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B157D8" w14:textId="77777777" w:rsidR="00533D66" w:rsidRDefault="009809FB" w:rsidP="00F17083">
      <w:pPr>
        <w:pStyle w:val="HSMXTitle"/>
      </w:pPr>
      <w:r>
        <w:rPr>
          <w:rFonts w:asciiTheme="majorBidi" w:hAnsiTheme="majorBidi" w:cstheme="majorBidi"/>
          <w:b w:val="0"/>
          <w:bCs/>
          <w:noProof/>
          <w:sz w:val="24"/>
          <w:lang w:val="en-US"/>
        </w:rPr>
        <w:drawing>
          <wp:anchor distT="0" distB="0" distL="114300" distR="114300" simplePos="0" relativeHeight="251661312" behindDoc="0" locked="0" layoutInCell="1" allowOverlap="1" wp14:anchorId="6796F835" wp14:editId="25BD075C">
            <wp:simplePos x="0" y="0"/>
            <wp:positionH relativeFrom="margin">
              <wp:align>center</wp:align>
            </wp:positionH>
            <wp:positionV relativeFrom="margin">
              <wp:posOffset>-622300</wp:posOffset>
            </wp:positionV>
            <wp:extent cx="1100254" cy="1100254"/>
            <wp:effectExtent l="0" t="0" r="0" b="0"/>
            <wp:wrapSquare wrapText="bothSides"/>
            <wp:docPr id="2" name="Picture 2"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Logo, company name&#10;&#10;Description automatically generated"/>
                    <pic:cNvPicPr/>
                  </pic:nvPicPr>
                  <pic:blipFill>
                    <a:blip r:embed="rId8">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1100254" cy="1100254"/>
                    </a:xfrm>
                    <a:prstGeom prst="rect">
                      <a:avLst/>
                    </a:prstGeom>
                  </pic:spPr>
                </pic:pic>
              </a:graphicData>
            </a:graphic>
          </wp:anchor>
        </w:drawing>
      </w:r>
    </w:p>
    <w:p w14:paraId="1E83C081" w14:textId="77777777" w:rsidR="009809FB" w:rsidRPr="007875B2" w:rsidRDefault="009809FB" w:rsidP="009809FB">
      <w:pPr>
        <w:spacing w:after="0" w:line="480" w:lineRule="auto"/>
        <w:jc w:val="center"/>
        <w:rPr>
          <w:rFonts w:asciiTheme="majorBidi" w:hAnsiTheme="majorBidi" w:cstheme="majorBidi"/>
          <w:b/>
          <w:bCs/>
          <w:sz w:val="24"/>
          <w:szCs w:val="24"/>
          <w:lang w:val="en-US"/>
        </w:rPr>
      </w:pPr>
      <w:r w:rsidRPr="007875B2">
        <w:rPr>
          <w:rFonts w:asciiTheme="majorBidi" w:hAnsiTheme="majorBidi" w:cstheme="majorBidi"/>
          <w:b/>
          <w:bCs/>
          <w:sz w:val="24"/>
          <w:szCs w:val="24"/>
          <w:lang w:val="en-US"/>
        </w:rPr>
        <w:t>College of Business</w:t>
      </w:r>
    </w:p>
    <w:p w14:paraId="3F7CCFD5" w14:textId="77777777" w:rsidR="00533D66" w:rsidRDefault="009809FB" w:rsidP="009809FB">
      <w:pPr>
        <w:spacing w:after="0" w:line="480" w:lineRule="auto"/>
        <w:jc w:val="center"/>
        <w:rPr>
          <w:rFonts w:asciiTheme="majorBidi" w:hAnsiTheme="majorBidi" w:cstheme="majorBidi"/>
          <w:b/>
          <w:bCs/>
          <w:sz w:val="28"/>
          <w:szCs w:val="28"/>
          <w:lang w:val="en-US"/>
        </w:rPr>
      </w:pPr>
      <w:r w:rsidRPr="009809FB">
        <w:rPr>
          <w:rFonts w:asciiTheme="majorBidi" w:hAnsiTheme="majorBidi" w:cstheme="majorBidi"/>
          <w:b/>
          <w:bCs/>
          <w:sz w:val="28"/>
          <w:szCs w:val="28"/>
          <w:lang w:val="en-US"/>
        </w:rPr>
        <w:t>A STUDY OF THE RELATIONSHIPS BETWEEN COST, QUALITY AND STUDENT ACHIEVEMENT IN THE PRIVATE SCHOOLS OF ABU DHABI</w:t>
      </w:r>
    </w:p>
    <w:p w14:paraId="323DF659" w14:textId="77777777" w:rsidR="00932FB2" w:rsidRPr="009809FB" w:rsidRDefault="00932FB2" w:rsidP="009809FB">
      <w:pPr>
        <w:spacing w:after="0" w:line="480" w:lineRule="auto"/>
        <w:jc w:val="center"/>
        <w:rPr>
          <w:rFonts w:asciiTheme="majorBidi" w:hAnsiTheme="majorBidi" w:cstheme="majorBidi"/>
          <w:b/>
          <w:bCs/>
          <w:sz w:val="28"/>
          <w:szCs w:val="28"/>
          <w:lang w:val="en-US"/>
        </w:rPr>
      </w:pPr>
    </w:p>
    <w:p w14:paraId="0E207141" w14:textId="77777777" w:rsidR="003F3E26" w:rsidRPr="00B10B3A" w:rsidRDefault="003F3E26" w:rsidP="003F3E26">
      <w:pPr>
        <w:spacing w:after="0" w:line="240" w:lineRule="auto"/>
        <w:contextualSpacing/>
        <w:jc w:val="center"/>
        <w:rPr>
          <w:rFonts w:ascii="Times New Roman" w:eastAsia="Times New Roman" w:hAnsi="Times New Roman" w:cs="Times New Roman"/>
          <w:b/>
          <w:color w:val="000000" w:themeColor="text1"/>
          <w:sz w:val="24"/>
          <w:szCs w:val="24"/>
          <w:lang w:val="en-US" w:eastAsia="en-GB"/>
        </w:rPr>
      </w:pPr>
      <w:r w:rsidRPr="00B10B3A">
        <w:rPr>
          <w:rFonts w:ascii="Times New Roman" w:eastAsia="Times New Roman" w:hAnsi="Times New Roman" w:cs="Times New Roman"/>
          <w:b/>
          <w:color w:val="000000" w:themeColor="text1"/>
          <w:sz w:val="24"/>
          <w:szCs w:val="24"/>
          <w:lang w:val="en-US" w:eastAsia="en-GB"/>
        </w:rPr>
        <w:t xml:space="preserve">Presented to </w:t>
      </w:r>
    </w:p>
    <w:p w14:paraId="0DA57194" w14:textId="77777777" w:rsidR="003F3E26" w:rsidRPr="00B10B3A" w:rsidRDefault="003F3E26" w:rsidP="003F3E26">
      <w:pPr>
        <w:spacing w:after="0" w:line="240" w:lineRule="auto"/>
        <w:contextualSpacing/>
        <w:jc w:val="center"/>
        <w:rPr>
          <w:rFonts w:ascii="Times New Roman" w:eastAsia="Times New Roman" w:hAnsi="Times New Roman" w:cs="Times New Roman"/>
          <w:b/>
          <w:color w:val="000000" w:themeColor="text1"/>
          <w:sz w:val="24"/>
          <w:szCs w:val="24"/>
          <w:lang w:val="en-US" w:eastAsia="en-GB"/>
        </w:rPr>
      </w:pPr>
      <w:r w:rsidRPr="00B10B3A">
        <w:rPr>
          <w:rFonts w:ascii="Times New Roman" w:eastAsia="Times New Roman" w:hAnsi="Times New Roman" w:cs="Times New Roman"/>
          <w:b/>
          <w:color w:val="000000" w:themeColor="text1"/>
          <w:sz w:val="24"/>
          <w:szCs w:val="24"/>
          <w:lang w:val="en-US" w:eastAsia="en-GB"/>
        </w:rPr>
        <w:t>The Academic Faculty</w:t>
      </w:r>
    </w:p>
    <w:p w14:paraId="1F02FFA1" w14:textId="77777777" w:rsidR="003F3E26" w:rsidRPr="00B10B3A" w:rsidRDefault="003F3E26" w:rsidP="003F3E26">
      <w:pPr>
        <w:autoSpaceDE w:val="0"/>
        <w:autoSpaceDN w:val="0"/>
        <w:adjustRightInd w:val="0"/>
        <w:spacing w:line="360" w:lineRule="auto"/>
        <w:rPr>
          <w:rFonts w:ascii="Times New Roman" w:eastAsia="Times New Roman" w:hAnsi="Times New Roman" w:cs="Times New Roman"/>
          <w:b/>
          <w:bCs/>
          <w:color w:val="000000" w:themeColor="text1"/>
          <w:sz w:val="24"/>
          <w:szCs w:val="24"/>
          <w:lang w:val="en-US" w:eastAsia="en-GB"/>
        </w:rPr>
      </w:pPr>
    </w:p>
    <w:p w14:paraId="51157431" w14:textId="77777777" w:rsidR="003F3E26" w:rsidRPr="00B10B3A" w:rsidRDefault="003F3E26" w:rsidP="003F3E26">
      <w:pPr>
        <w:autoSpaceDE w:val="0"/>
        <w:autoSpaceDN w:val="0"/>
        <w:adjustRightInd w:val="0"/>
        <w:spacing w:line="360" w:lineRule="auto"/>
        <w:rPr>
          <w:rFonts w:ascii="Times New Roman" w:eastAsia="Times New Roman" w:hAnsi="Times New Roman" w:cs="Times New Roman"/>
          <w:b/>
          <w:bCs/>
          <w:color w:val="000000" w:themeColor="text1"/>
          <w:sz w:val="24"/>
          <w:szCs w:val="24"/>
          <w:lang w:val="en-US" w:eastAsia="en-GB"/>
        </w:rPr>
      </w:pPr>
    </w:p>
    <w:p w14:paraId="3F175830" w14:textId="77777777" w:rsidR="003F3E26" w:rsidRPr="00B10B3A" w:rsidRDefault="003F3E26" w:rsidP="003F3E26">
      <w:pPr>
        <w:autoSpaceDE w:val="0"/>
        <w:autoSpaceDN w:val="0"/>
        <w:adjustRightInd w:val="0"/>
        <w:spacing w:line="360" w:lineRule="auto"/>
        <w:jc w:val="center"/>
        <w:rPr>
          <w:rFonts w:ascii="Times New Roman" w:eastAsia="Times New Roman" w:hAnsi="Times New Roman" w:cs="Times New Roman"/>
          <w:b/>
          <w:color w:val="000000" w:themeColor="text1"/>
          <w:sz w:val="24"/>
          <w:szCs w:val="24"/>
          <w:lang w:val="en-US" w:eastAsia="en-GB"/>
        </w:rPr>
      </w:pPr>
      <w:r w:rsidRPr="00B10B3A">
        <w:rPr>
          <w:rFonts w:ascii="Times New Roman" w:eastAsia="Times New Roman" w:hAnsi="Times New Roman" w:cs="Times New Roman"/>
          <w:b/>
          <w:color w:val="000000" w:themeColor="text1"/>
          <w:sz w:val="24"/>
          <w:szCs w:val="24"/>
          <w:lang w:val="en-US" w:eastAsia="en-GB"/>
        </w:rPr>
        <w:t>By</w:t>
      </w:r>
    </w:p>
    <w:p w14:paraId="7D9F01D9" w14:textId="77777777" w:rsidR="003F3E26" w:rsidRPr="00B10B3A" w:rsidRDefault="003F3E26" w:rsidP="003F3E26">
      <w:pPr>
        <w:autoSpaceDE w:val="0"/>
        <w:autoSpaceDN w:val="0"/>
        <w:adjustRightInd w:val="0"/>
        <w:spacing w:line="360" w:lineRule="auto"/>
        <w:jc w:val="center"/>
        <w:rPr>
          <w:rFonts w:ascii="Times New Roman" w:eastAsia="Times New Roman" w:hAnsi="Times New Roman" w:cs="Times New Roman"/>
          <w:b/>
          <w:color w:val="000000" w:themeColor="text1"/>
          <w:sz w:val="24"/>
          <w:szCs w:val="24"/>
          <w:lang w:val="en-US" w:eastAsia="en-GB"/>
        </w:rPr>
      </w:pPr>
      <w:r w:rsidRPr="00B10B3A">
        <w:rPr>
          <w:rFonts w:ascii="Times New Roman" w:eastAsia="Times New Roman" w:hAnsi="Times New Roman" w:cs="Times New Roman"/>
          <w:b/>
          <w:color w:val="000000" w:themeColor="text1"/>
          <w:sz w:val="24"/>
          <w:szCs w:val="24"/>
          <w:lang w:val="en-US" w:eastAsia="en-GB"/>
        </w:rPr>
        <w:t>Alanood Khalifa Al</w:t>
      </w:r>
      <w:r>
        <w:rPr>
          <w:rFonts w:ascii="Times New Roman" w:eastAsia="Times New Roman" w:hAnsi="Times New Roman" w:cs="Times New Roman"/>
          <w:b/>
          <w:color w:val="000000" w:themeColor="text1"/>
          <w:sz w:val="24"/>
          <w:szCs w:val="24"/>
          <w:lang w:val="en-US" w:eastAsia="en-GB"/>
        </w:rPr>
        <w:t xml:space="preserve"> </w:t>
      </w:r>
      <w:r w:rsidRPr="00B10B3A">
        <w:rPr>
          <w:rFonts w:ascii="Times New Roman" w:eastAsia="Times New Roman" w:hAnsi="Times New Roman" w:cs="Times New Roman"/>
          <w:b/>
          <w:color w:val="000000" w:themeColor="text1"/>
          <w:sz w:val="24"/>
          <w:szCs w:val="24"/>
          <w:lang w:val="en-US" w:eastAsia="en-GB"/>
        </w:rPr>
        <w:t>Kaabi</w:t>
      </w:r>
    </w:p>
    <w:p w14:paraId="5816EEEC" w14:textId="77777777" w:rsidR="003F3E26" w:rsidRPr="00B10B3A" w:rsidRDefault="003F3E26" w:rsidP="003F3E26">
      <w:pPr>
        <w:autoSpaceDE w:val="0"/>
        <w:autoSpaceDN w:val="0"/>
        <w:adjustRightInd w:val="0"/>
        <w:spacing w:line="360" w:lineRule="auto"/>
        <w:jc w:val="center"/>
        <w:rPr>
          <w:rFonts w:ascii="Times New Roman" w:eastAsia="Times New Roman" w:hAnsi="Times New Roman" w:cs="Times New Roman"/>
          <w:b/>
          <w:color w:val="000000" w:themeColor="text1"/>
          <w:sz w:val="24"/>
          <w:szCs w:val="24"/>
          <w:lang w:val="en-US" w:eastAsia="en-GB"/>
        </w:rPr>
      </w:pPr>
      <w:r>
        <w:rPr>
          <w:rFonts w:ascii="Times New Roman" w:eastAsia="Times New Roman" w:hAnsi="Times New Roman" w:cs="Times New Roman"/>
          <w:b/>
          <w:color w:val="000000" w:themeColor="text1"/>
          <w:sz w:val="24"/>
          <w:szCs w:val="24"/>
          <w:lang w:val="en-US" w:eastAsia="en-GB"/>
        </w:rPr>
        <w:t xml:space="preserve">ID# </w:t>
      </w:r>
      <w:r w:rsidRPr="00B10B3A">
        <w:rPr>
          <w:rFonts w:ascii="Times New Roman" w:eastAsia="Times New Roman" w:hAnsi="Times New Roman" w:cs="Times New Roman"/>
          <w:b/>
          <w:color w:val="000000" w:themeColor="text1"/>
          <w:sz w:val="24"/>
          <w:szCs w:val="24"/>
          <w:lang w:val="en-US" w:eastAsia="en-GB"/>
        </w:rPr>
        <w:t>1060299</w:t>
      </w:r>
    </w:p>
    <w:p w14:paraId="02D8AEC7" w14:textId="77777777" w:rsidR="003F3E26" w:rsidRPr="00B10B3A" w:rsidRDefault="003F3E26" w:rsidP="003F3E26">
      <w:pPr>
        <w:tabs>
          <w:tab w:val="left" w:pos="2310"/>
          <w:tab w:val="center" w:pos="4680"/>
        </w:tabs>
        <w:autoSpaceDE w:val="0"/>
        <w:autoSpaceDN w:val="0"/>
        <w:adjustRightInd w:val="0"/>
        <w:spacing w:line="360" w:lineRule="auto"/>
        <w:rPr>
          <w:rFonts w:ascii="Times New Roman" w:eastAsia="Times New Roman" w:hAnsi="Times New Roman" w:cs="Times New Roman"/>
          <w:b/>
          <w:color w:val="000000" w:themeColor="text1"/>
          <w:sz w:val="24"/>
          <w:szCs w:val="24"/>
          <w:lang w:val="en-US" w:eastAsia="en-GB"/>
        </w:rPr>
      </w:pPr>
      <w:r w:rsidRPr="00B10B3A">
        <w:rPr>
          <w:rFonts w:ascii="Times New Roman" w:eastAsia="Times New Roman" w:hAnsi="Times New Roman" w:cs="Times New Roman"/>
          <w:b/>
          <w:color w:val="000000" w:themeColor="text1"/>
          <w:sz w:val="24"/>
          <w:szCs w:val="24"/>
          <w:lang w:val="en-US" w:eastAsia="en-GB"/>
        </w:rPr>
        <w:tab/>
      </w:r>
    </w:p>
    <w:p w14:paraId="4DB5B001" w14:textId="77777777" w:rsidR="003F3E26" w:rsidRPr="00B10B3A" w:rsidRDefault="003F3E26" w:rsidP="003F3E26">
      <w:pPr>
        <w:spacing w:after="0" w:line="240" w:lineRule="auto"/>
        <w:contextualSpacing/>
        <w:jc w:val="center"/>
        <w:rPr>
          <w:rFonts w:ascii="Times New Roman" w:eastAsia="Times New Roman" w:hAnsi="Times New Roman" w:cs="Times New Roman"/>
          <w:b/>
          <w:color w:val="000000" w:themeColor="text1"/>
          <w:sz w:val="24"/>
          <w:szCs w:val="24"/>
          <w:lang w:val="en-US" w:eastAsia="en-GB"/>
        </w:rPr>
      </w:pPr>
      <w:r w:rsidRPr="00B10B3A">
        <w:rPr>
          <w:rFonts w:ascii="Times New Roman" w:eastAsia="Times New Roman" w:hAnsi="Times New Roman" w:cs="Times New Roman"/>
          <w:b/>
          <w:color w:val="000000" w:themeColor="text1"/>
          <w:sz w:val="24"/>
          <w:szCs w:val="24"/>
          <w:lang w:val="en-US" w:eastAsia="en-GB"/>
        </w:rPr>
        <w:t>In partial fulfillment</w:t>
      </w:r>
    </w:p>
    <w:p w14:paraId="4E2DFA8B" w14:textId="77777777" w:rsidR="003F3E26" w:rsidRPr="00B10B3A" w:rsidRDefault="003F3E26" w:rsidP="003F3E26">
      <w:pPr>
        <w:spacing w:after="0" w:line="240" w:lineRule="auto"/>
        <w:contextualSpacing/>
        <w:jc w:val="center"/>
        <w:rPr>
          <w:rFonts w:ascii="Times New Roman" w:eastAsia="Times New Roman" w:hAnsi="Times New Roman" w:cs="Times New Roman"/>
          <w:b/>
          <w:color w:val="000000" w:themeColor="text1"/>
          <w:sz w:val="24"/>
          <w:szCs w:val="24"/>
          <w:lang w:val="en-US" w:eastAsia="en-GB"/>
        </w:rPr>
      </w:pPr>
      <w:r w:rsidRPr="00B10B3A">
        <w:rPr>
          <w:rFonts w:ascii="Times New Roman" w:eastAsia="Times New Roman" w:hAnsi="Times New Roman" w:cs="Times New Roman"/>
          <w:b/>
          <w:color w:val="000000" w:themeColor="text1"/>
          <w:sz w:val="24"/>
          <w:szCs w:val="24"/>
          <w:lang w:val="en-US" w:eastAsia="en-GB"/>
        </w:rPr>
        <w:t>of the requirements for the degree of</w:t>
      </w:r>
    </w:p>
    <w:p w14:paraId="54F191B8" w14:textId="77777777" w:rsidR="003F3E26" w:rsidRPr="00B10B3A" w:rsidRDefault="003F3E26" w:rsidP="003F3E26">
      <w:pPr>
        <w:spacing w:after="0" w:line="240" w:lineRule="auto"/>
        <w:contextualSpacing/>
        <w:jc w:val="center"/>
        <w:rPr>
          <w:rFonts w:ascii="Times New Roman" w:eastAsia="Times New Roman" w:hAnsi="Times New Roman" w:cs="Times New Roman"/>
          <w:b/>
          <w:color w:val="000000" w:themeColor="text1"/>
          <w:sz w:val="24"/>
          <w:szCs w:val="24"/>
          <w:lang w:val="en-US" w:eastAsia="en-GB"/>
        </w:rPr>
      </w:pPr>
      <w:r w:rsidRPr="00B10B3A">
        <w:rPr>
          <w:rFonts w:ascii="Times New Roman" w:eastAsia="Times New Roman" w:hAnsi="Times New Roman" w:cs="Times New Roman"/>
          <w:b/>
          <w:color w:val="000000" w:themeColor="text1"/>
          <w:sz w:val="24"/>
          <w:szCs w:val="24"/>
          <w:lang w:val="en-US" w:eastAsia="en-GB"/>
        </w:rPr>
        <w:t>Doctor of Business Administration</w:t>
      </w:r>
    </w:p>
    <w:p w14:paraId="527016E9" w14:textId="77777777" w:rsidR="003F3E26" w:rsidRPr="00B10B3A" w:rsidRDefault="003F3E26" w:rsidP="003F3E26">
      <w:pPr>
        <w:spacing w:after="0" w:line="240" w:lineRule="auto"/>
        <w:jc w:val="center"/>
        <w:rPr>
          <w:rFonts w:ascii="Times New Roman" w:eastAsia="Times New Roman" w:hAnsi="Times New Roman" w:cs="Times New Roman"/>
          <w:b/>
          <w:color w:val="000000" w:themeColor="text1"/>
          <w:sz w:val="24"/>
          <w:szCs w:val="24"/>
          <w:lang w:val="en-US" w:eastAsia="en-GB"/>
        </w:rPr>
      </w:pPr>
    </w:p>
    <w:p w14:paraId="312BC508" w14:textId="77777777" w:rsidR="003F3E26" w:rsidRPr="00B10B3A" w:rsidRDefault="003F3E26" w:rsidP="003F3E26">
      <w:pPr>
        <w:spacing w:after="0" w:line="240" w:lineRule="auto"/>
        <w:jc w:val="center"/>
        <w:rPr>
          <w:rFonts w:ascii="Times New Roman" w:eastAsia="Times New Roman" w:hAnsi="Times New Roman" w:cs="Times New Roman"/>
          <w:b/>
          <w:color w:val="000000" w:themeColor="text1"/>
          <w:sz w:val="24"/>
          <w:szCs w:val="24"/>
          <w:lang w:val="en-US" w:eastAsia="en-GB"/>
        </w:rPr>
      </w:pPr>
    </w:p>
    <w:p w14:paraId="77329C52" w14:textId="77777777" w:rsidR="003F3E26" w:rsidRPr="00B10B3A" w:rsidRDefault="003F3E26" w:rsidP="003F3E26">
      <w:pPr>
        <w:spacing w:after="0" w:line="240" w:lineRule="auto"/>
        <w:jc w:val="center"/>
        <w:rPr>
          <w:rFonts w:ascii="Times New Roman" w:eastAsia="Times New Roman" w:hAnsi="Times New Roman" w:cs="Times New Roman"/>
          <w:b/>
          <w:color w:val="000000" w:themeColor="text1"/>
          <w:sz w:val="24"/>
          <w:szCs w:val="24"/>
          <w:lang w:val="en-US" w:eastAsia="en-GB"/>
        </w:rPr>
      </w:pPr>
    </w:p>
    <w:p w14:paraId="6BA3DC83" w14:textId="77777777" w:rsidR="003F3E26" w:rsidRPr="00B10B3A" w:rsidRDefault="003F3E26" w:rsidP="003F3E26">
      <w:pPr>
        <w:spacing w:after="0" w:line="240" w:lineRule="auto"/>
        <w:jc w:val="center"/>
        <w:rPr>
          <w:rFonts w:ascii="Times New Roman" w:eastAsia="Times New Roman" w:hAnsi="Times New Roman" w:cs="Times New Roman"/>
          <w:b/>
          <w:color w:val="000000" w:themeColor="text1"/>
          <w:sz w:val="24"/>
          <w:szCs w:val="24"/>
          <w:lang w:val="en-US" w:eastAsia="en-GB"/>
        </w:rPr>
      </w:pPr>
    </w:p>
    <w:p w14:paraId="084F8EFF" w14:textId="77777777" w:rsidR="003F3E26" w:rsidRPr="00B10B3A" w:rsidRDefault="003F3E26" w:rsidP="003F3E26">
      <w:pPr>
        <w:spacing w:after="0" w:line="240" w:lineRule="auto"/>
        <w:jc w:val="center"/>
        <w:rPr>
          <w:rFonts w:ascii="Times New Roman" w:eastAsia="Times New Roman" w:hAnsi="Times New Roman" w:cs="Times New Roman"/>
          <w:b/>
          <w:color w:val="000000" w:themeColor="text1"/>
          <w:sz w:val="24"/>
          <w:szCs w:val="24"/>
          <w:lang w:val="en-US" w:eastAsia="en-GB"/>
        </w:rPr>
      </w:pPr>
      <w:r w:rsidRPr="00B10B3A">
        <w:rPr>
          <w:rFonts w:ascii="Times New Roman" w:eastAsia="Times New Roman" w:hAnsi="Times New Roman" w:cs="Times New Roman"/>
          <w:b/>
          <w:color w:val="000000" w:themeColor="text1"/>
          <w:sz w:val="24"/>
          <w:szCs w:val="24"/>
          <w:lang w:val="en-US" w:eastAsia="en-GB"/>
        </w:rPr>
        <w:t>College of Business</w:t>
      </w:r>
    </w:p>
    <w:p w14:paraId="6F2D746C" w14:textId="77777777" w:rsidR="003F3E26" w:rsidRPr="00B10B3A" w:rsidRDefault="003F3E26" w:rsidP="003F3E26">
      <w:pPr>
        <w:spacing w:after="0" w:line="240" w:lineRule="auto"/>
        <w:jc w:val="center"/>
        <w:rPr>
          <w:rFonts w:ascii="Times New Roman" w:eastAsia="Times New Roman" w:hAnsi="Times New Roman" w:cs="Times New Roman"/>
          <w:b/>
          <w:color w:val="000000" w:themeColor="text1"/>
          <w:sz w:val="24"/>
          <w:szCs w:val="24"/>
          <w:lang w:val="en-US" w:eastAsia="en-GB"/>
        </w:rPr>
      </w:pPr>
      <w:r w:rsidRPr="00B10B3A">
        <w:rPr>
          <w:rFonts w:ascii="Times New Roman" w:eastAsia="Times New Roman" w:hAnsi="Times New Roman" w:cs="Times New Roman"/>
          <w:b/>
          <w:color w:val="000000" w:themeColor="text1"/>
          <w:sz w:val="24"/>
          <w:szCs w:val="24"/>
          <w:lang w:val="en-US" w:eastAsia="en-GB"/>
        </w:rPr>
        <w:t>Abu Dhabi University</w:t>
      </w:r>
    </w:p>
    <w:p w14:paraId="3DD83E62" w14:textId="77777777" w:rsidR="003F3E26" w:rsidRDefault="003F3E26" w:rsidP="003F3E26">
      <w:pPr>
        <w:spacing w:after="0" w:line="240" w:lineRule="auto"/>
        <w:jc w:val="center"/>
        <w:rPr>
          <w:rFonts w:ascii="Times New Roman" w:eastAsia="Times New Roman" w:hAnsi="Times New Roman" w:cs="Times New Roman"/>
          <w:b/>
          <w:color w:val="000000" w:themeColor="text1"/>
          <w:sz w:val="24"/>
          <w:szCs w:val="24"/>
          <w:lang w:val="en-US" w:eastAsia="en-GB"/>
        </w:rPr>
      </w:pPr>
    </w:p>
    <w:p w14:paraId="2BDE05DA" w14:textId="77777777" w:rsidR="003F3E26" w:rsidRPr="00B10B3A" w:rsidRDefault="003F3E26" w:rsidP="003F3E26">
      <w:pPr>
        <w:spacing w:after="0" w:line="240" w:lineRule="auto"/>
        <w:jc w:val="center"/>
        <w:rPr>
          <w:rFonts w:ascii="Times New Roman" w:eastAsia="Times New Roman" w:hAnsi="Times New Roman" w:cs="Times New Roman"/>
          <w:b/>
          <w:color w:val="000000" w:themeColor="text1"/>
          <w:sz w:val="24"/>
          <w:szCs w:val="24"/>
          <w:lang w:val="en-US" w:eastAsia="en-GB"/>
        </w:rPr>
      </w:pPr>
    </w:p>
    <w:p w14:paraId="7F934446" w14:textId="77777777" w:rsidR="003F3E26" w:rsidRPr="00B10B3A" w:rsidRDefault="003F3E26" w:rsidP="003F3E26">
      <w:pPr>
        <w:spacing w:after="0" w:line="240" w:lineRule="auto"/>
        <w:jc w:val="center"/>
        <w:rPr>
          <w:rFonts w:ascii="Times New Roman" w:eastAsia="Times New Roman" w:hAnsi="Times New Roman" w:cs="Times New Roman"/>
          <w:b/>
          <w:color w:val="000000" w:themeColor="text1"/>
          <w:sz w:val="24"/>
          <w:szCs w:val="24"/>
          <w:lang w:val="en-US" w:eastAsia="en-GB"/>
        </w:rPr>
      </w:pPr>
      <w:r w:rsidRPr="00B10B3A">
        <w:rPr>
          <w:rFonts w:ascii="Times New Roman" w:eastAsia="Times New Roman" w:hAnsi="Times New Roman" w:cs="Times New Roman"/>
          <w:b/>
          <w:color w:val="000000" w:themeColor="text1"/>
          <w:sz w:val="24"/>
          <w:szCs w:val="24"/>
          <w:lang w:val="en-US" w:eastAsia="en-GB"/>
        </w:rPr>
        <w:t>202</w:t>
      </w:r>
      <w:r w:rsidR="00F87BF3">
        <w:rPr>
          <w:rFonts w:ascii="Times New Roman" w:eastAsia="Times New Roman" w:hAnsi="Times New Roman" w:cs="Times New Roman"/>
          <w:b/>
          <w:color w:val="000000" w:themeColor="text1"/>
          <w:sz w:val="24"/>
          <w:szCs w:val="24"/>
          <w:lang w:val="en-US" w:eastAsia="en-GB"/>
        </w:rPr>
        <w:t>3</w:t>
      </w:r>
    </w:p>
    <w:p w14:paraId="4FAF2797" w14:textId="77777777" w:rsidR="009809FB" w:rsidRPr="007875B2" w:rsidRDefault="009809FB" w:rsidP="009809FB">
      <w:pPr>
        <w:spacing w:line="480" w:lineRule="auto"/>
        <w:jc w:val="center"/>
        <w:rPr>
          <w:rFonts w:asciiTheme="majorBidi" w:hAnsiTheme="majorBidi" w:cstheme="majorBidi"/>
          <w:sz w:val="24"/>
          <w:szCs w:val="24"/>
          <w:lang w:val="en-US"/>
        </w:rPr>
      </w:pPr>
    </w:p>
    <w:p w14:paraId="0D8EB6EE" w14:textId="77777777" w:rsidR="003F3E26" w:rsidRDefault="003F3E26" w:rsidP="003F3E26">
      <w:pPr>
        <w:spacing w:after="0" w:line="480" w:lineRule="auto"/>
        <w:jc w:val="center"/>
        <w:rPr>
          <w:rFonts w:asciiTheme="majorBidi" w:hAnsiTheme="majorBidi" w:cstheme="majorBidi"/>
          <w:b/>
          <w:bCs/>
          <w:sz w:val="28"/>
          <w:szCs w:val="28"/>
          <w:lang w:val="en-US"/>
        </w:rPr>
      </w:pPr>
      <w:bookmarkStart w:id="0" w:name="_Hlk96282032"/>
      <w:r w:rsidRPr="009809FB">
        <w:rPr>
          <w:rFonts w:asciiTheme="majorBidi" w:hAnsiTheme="majorBidi" w:cstheme="majorBidi"/>
          <w:b/>
          <w:bCs/>
          <w:sz w:val="28"/>
          <w:szCs w:val="28"/>
          <w:lang w:val="en-US"/>
        </w:rPr>
        <w:lastRenderedPageBreak/>
        <w:t>A STUDY OF THE RELATIONSHIPS BETWEEN COST, QUALITY AND STUDENT ACHIEVEMENT IN THE PRIVATE SCHOOLS OF ABU DHABI</w:t>
      </w:r>
    </w:p>
    <w:p w14:paraId="783A327B" w14:textId="254B9306" w:rsidR="003F3E26" w:rsidRDefault="003F3E26" w:rsidP="00F53395">
      <w:pPr>
        <w:widowControl w:val="0"/>
        <w:tabs>
          <w:tab w:val="right" w:pos="9720"/>
        </w:tabs>
        <w:autoSpaceDE w:val="0"/>
        <w:autoSpaceDN w:val="0"/>
        <w:adjustRightInd w:val="0"/>
        <w:spacing w:after="0" w:line="240" w:lineRule="auto"/>
        <w:jc w:val="right"/>
        <w:rPr>
          <w:rFonts w:ascii="Times New Roman" w:eastAsia="Times New Roman" w:hAnsi="Times New Roman" w:cs="Times New Roman"/>
          <w:bCs/>
          <w:color w:val="000000" w:themeColor="text1"/>
          <w:sz w:val="24"/>
          <w:szCs w:val="24"/>
          <w:lang w:val="en-US" w:eastAsia="en-GB"/>
        </w:rPr>
      </w:pPr>
      <w:r>
        <w:rPr>
          <w:rFonts w:ascii="Times New Roman" w:eastAsia="Times New Roman" w:hAnsi="Times New Roman" w:cs="Times New Roman"/>
          <w:b/>
          <w:bCs/>
          <w:noProof/>
          <w:color w:val="000000" w:themeColor="text1"/>
          <w:sz w:val="24"/>
          <w:szCs w:val="24"/>
          <w:lang w:val="en-US"/>
        </w:rPr>
        <mc:AlternateContent>
          <mc:Choice Requires="wpi">
            <w:drawing>
              <wp:anchor distT="0" distB="0" distL="114300" distR="114300" simplePos="0" relativeHeight="251668480" behindDoc="0" locked="0" layoutInCell="1" allowOverlap="1" wp14:anchorId="5FD022CC" wp14:editId="4ED3C5CC">
                <wp:simplePos x="0" y="0"/>
                <wp:positionH relativeFrom="column">
                  <wp:posOffset>7162770</wp:posOffset>
                </wp:positionH>
                <wp:positionV relativeFrom="paragraph">
                  <wp:posOffset>316790</wp:posOffset>
                </wp:positionV>
                <wp:extent cx="360" cy="360"/>
                <wp:effectExtent l="57150" t="38100" r="57150" b="57150"/>
                <wp:wrapNone/>
                <wp:docPr id="31" name="Ink 31"/>
                <wp:cNvGraphicFramePr/>
                <a:graphic xmlns:a="http://schemas.openxmlformats.org/drawingml/2006/main">
                  <a:graphicData uri="http://schemas.microsoft.com/office/word/2010/wordprocessingInk">
                    <w14:contentPart bwMode="auto" r:id="rId9">
                      <w14:nvContentPartPr>
                        <w14:cNvContentPartPr/>
                      </w14:nvContentPartPr>
                      <w14:xfrm>
                        <a:off x="0" y="0"/>
                        <a:ext cx="360" cy="360"/>
                      </w14:xfrm>
                    </w14:contentPart>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64481E7"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31" o:spid="_x0000_s1026" type="#_x0000_t75" style="position:absolute;margin-left:562.85pt;margin-top:23.8pt;width:2.3pt;height:2.3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">
                <v:imagedata r:id="rId10" o:title=""/>
              </v:shape>
            </w:pict>
          </mc:Fallback>
        </mc:AlternateContent>
      </w:r>
    </w:p>
    <w:p w14:paraId="6BAF96B6" w14:textId="3E312DDD" w:rsidR="003F3E26" w:rsidRPr="00B10B3A" w:rsidRDefault="003F3E26" w:rsidP="00BB6978">
      <w:pPr>
        <w:widowControl w:val="0"/>
        <w:tabs>
          <w:tab w:val="right" w:pos="9720"/>
        </w:tabs>
        <w:autoSpaceDE w:val="0"/>
        <w:autoSpaceDN w:val="0"/>
        <w:adjustRightInd w:val="0"/>
        <w:spacing w:after="0" w:line="240" w:lineRule="auto"/>
        <w:rPr>
          <w:rFonts w:ascii="Times New Roman" w:eastAsia="Times New Roman" w:hAnsi="Times New Roman" w:cs="Times New Roman"/>
          <w:bCs/>
          <w:color w:val="000000" w:themeColor="text1"/>
          <w:sz w:val="24"/>
          <w:szCs w:val="24"/>
          <w:lang w:val="en-US" w:eastAsia="en-GB"/>
        </w:rPr>
      </w:pPr>
      <w:r w:rsidRPr="00B166AE">
        <w:rPr>
          <w:rFonts w:ascii="Times New Roman" w:eastAsia="Times New Roman" w:hAnsi="Times New Roman" w:cs="Times New Roman"/>
          <w:bCs/>
          <w:color w:val="000000" w:themeColor="text1"/>
          <w:sz w:val="24"/>
          <w:szCs w:val="24"/>
          <w:lang w:val="en-US" w:eastAsia="en-GB"/>
        </w:rPr>
        <w:t>Alanood Khalifa Al Kaabi</w:t>
      </w:r>
      <w:r w:rsidR="00BB6978">
        <w:rPr>
          <w:rFonts w:ascii="Times New Roman" w:eastAsia="Times New Roman" w:hAnsi="Times New Roman" w:cs="Times New Roman"/>
          <w:bCs/>
          <w:noProof/>
          <w:color w:val="000000" w:themeColor="text1"/>
          <w:sz w:val="24"/>
          <w:szCs w:val="24"/>
          <w:lang w:val="en-US"/>
        </w:rPr>
        <w:drawing>
          <wp:inline distT="0" distB="0" distL="0" distR="0" wp14:anchorId="497B7310" wp14:editId="1F73F2AA">
            <wp:extent cx="1304925" cy="646430"/>
            <wp:effectExtent l="0" t="0" r="9525" b="127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04925" cy="646430"/>
                    </a:xfrm>
                    <a:prstGeom prst="rect">
                      <a:avLst/>
                    </a:prstGeom>
                    <a:noFill/>
                  </pic:spPr>
                </pic:pic>
              </a:graphicData>
            </a:graphic>
          </wp:inline>
        </w:drawing>
      </w:r>
    </w:p>
    <w:p w14:paraId="4A35B209" w14:textId="19B64569" w:rsidR="003F3E26" w:rsidRPr="009809FB" w:rsidRDefault="003F3E26" w:rsidP="00BB6978">
      <w:pPr>
        <w:spacing w:after="0" w:line="480" w:lineRule="auto"/>
        <w:rPr>
          <w:rFonts w:asciiTheme="majorBidi" w:hAnsiTheme="majorBidi" w:cstheme="majorBidi"/>
          <w:b/>
          <w:bCs/>
          <w:sz w:val="28"/>
          <w:szCs w:val="28"/>
          <w:lang w:val="en-US"/>
        </w:rPr>
      </w:pPr>
      <w:r>
        <w:rPr>
          <w:rFonts w:asciiTheme="majorBidi" w:hAnsiTheme="majorBidi" w:cstheme="majorBidi"/>
          <w:b/>
          <w:bCs/>
          <w:noProof/>
          <w:sz w:val="28"/>
          <w:szCs w:val="28"/>
          <w:lang w:val="en-US"/>
        </w:rPr>
        <mc:AlternateContent>
          <mc:Choice Requires="wpi">
            <w:drawing>
              <wp:anchor distT="0" distB="0" distL="114300" distR="114300" simplePos="0" relativeHeight="251665408" behindDoc="0" locked="0" layoutInCell="1" allowOverlap="1" wp14:anchorId="2D580D36" wp14:editId="25FF8BE3">
                <wp:simplePos x="0" y="0"/>
                <wp:positionH relativeFrom="column">
                  <wp:posOffset>5991330</wp:posOffset>
                </wp:positionH>
                <wp:positionV relativeFrom="paragraph">
                  <wp:posOffset>147350</wp:posOffset>
                </wp:positionV>
                <wp:extent cx="360" cy="360"/>
                <wp:effectExtent l="57150" t="38100" r="57150" b="57150"/>
                <wp:wrapNone/>
                <wp:docPr id="26" name="Ink 26"/>
                <wp:cNvGraphicFramePr/>
                <a:graphic xmlns:a="http://schemas.openxmlformats.org/drawingml/2006/main">
                  <a:graphicData uri="http://schemas.microsoft.com/office/word/2010/wordprocessingInk">
                    <w14:contentPart bwMode="auto" r:id="rId12">
                      <w14:nvContentPartPr>
                        <w14:cNvContentPartPr/>
                      </w14:nvContentPartPr>
                      <w14:xfrm>
                        <a:off x="0" y="0"/>
                        <a:ext cx="360" cy="360"/>
                      </w14:xfrm>
                    </w14:contentPart>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82A576B" id="Ink 26" o:spid="_x0000_s1026" type="#_x0000_t75" style="position:absolute;margin-left:470.6pt;margin-top:10.45pt;width:2.3pt;height:2.3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">
                <v:imagedata r:id="rId10" o:title=""/>
              </v:shape>
            </w:pict>
          </mc:Fallback>
        </mc:AlternateContent>
      </w:r>
      <w:r w:rsidR="00BB6978">
        <w:rPr>
          <w:rFonts w:asciiTheme="majorBidi" w:hAnsiTheme="majorBidi" w:cstheme="majorBidi"/>
          <w:b/>
          <w:bCs/>
          <w:sz w:val="28"/>
          <w:szCs w:val="28"/>
          <w:lang w:val="en-US"/>
        </w:rPr>
        <w:t xml:space="preserve">                                      </w:t>
      </w:r>
      <w:r w:rsidRPr="00B166AE">
        <w:rPr>
          <w:rFonts w:asciiTheme="majorBidi" w:hAnsiTheme="majorBidi" w:cstheme="majorBidi"/>
          <w:b/>
          <w:bCs/>
          <w:sz w:val="28"/>
          <w:szCs w:val="28"/>
          <w:lang w:val="en-US"/>
        </w:rPr>
        <w:t>__</w:t>
      </w:r>
      <w:r>
        <w:rPr>
          <w:rFonts w:asciiTheme="majorBidi" w:hAnsiTheme="majorBidi" w:cstheme="majorBidi"/>
          <w:b/>
          <w:bCs/>
          <w:sz w:val="28"/>
          <w:szCs w:val="28"/>
          <w:lang w:val="en-US"/>
        </w:rPr>
        <w:t>_______________</w:t>
      </w:r>
    </w:p>
    <w:p w14:paraId="44102DCE" w14:textId="4D741A96" w:rsidR="003F3E26" w:rsidRPr="007875B2" w:rsidRDefault="003F3E26" w:rsidP="00580AF5">
      <w:pPr>
        <w:spacing w:after="0" w:line="480" w:lineRule="auto"/>
        <w:rPr>
          <w:rFonts w:asciiTheme="majorBidi" w:hAnsiTheme="majorBidi" w:cstheme="majorBidi"/>
          <w:b/>
          <w:bCs/>
          <w:sz w:val="24"/>
          <w:szCs w:val="24"/>
          <w:lang w:val="en-US"/>
        </w:rPr>
      </w:pPr>
      <w:r>
        <w:rPr>
          <w:rFonts w:asciiTheme="majorBidi" w:hAnsiTheme="majorBidi" w:cstheme="majorBidi"/>
          <w:b/>
          <w:bCs/>
          <w:noProof/>
          <w:sz w:val="24"/>
          <w:szCs w:val="24"/>
          <w:lang w:val="en-US"/>
        </w:rPr>
        <mc:AlternateContent>
          <mc:Choice Requires="wpi">
            <w:drawing>
              <wp:anchor distT="0" distB="0" distL="114300" distR="114300" simplePos="0" relativeHeight="251663360" behindDoc="0" locked="0" layoutInCell="1" allowOverlap="1" wp14:anchorId="0A262529" wp14:editId="3A2EA68E">
                <wp:simplePos x="0" y="0"/>
                <wp:positionH relativeFrom="column">
                  <wp:posOffset>3267210</wp:posOffset>
                </wp:positionH>
                <wp:positionV relativeFrom="paragraph">
                  <wp:posOffset>101735</wp:posOffset>
                </wp:positionV>
                <wp:extent cx="360" cy="360"/>
                <wp:effectExtent l="57150" t="57150" r="57150" b="57150"/>
                <wp:wrapNone/>
                <wp:docPr id="22" name="Ink 22"/>
                <wp:cNvGraphicFramePr/>
                <a:graphic xmlns:a="http://schemas.openxmlformats.org/drawingml/2006/main">
                  <a:graphicData uri="http://schemas.microsoft.com/office/word/2010/wordprocessingInk">
                    <w14:contentPart bwMode="auto" r:id="rId13">
                      <w14:nvContentPartPr>
                        <w14:cNvContentPartPr/>
                      </w14:nvContentPartPr>
                      <w14:xfrm>
                        <a:off x="0" y="0"/>
                        <a:ext cx="360" cy="360"/>
                      </w14:xfrm>
                    </w14:contentPart>
                  </a:graphicData>
                </a:graphic>
              </wp:anchor>
            </w:drawing>
          </mc:Choice>
          <mc:Fallback>
            <w:pict>
              <v:shapetype w14:anchorId="68799758"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22" o:spid="_x0000_s1026" type="#_x0000_t75" style="position:absolute;margin-left:256.5pt;margin-top:7.25pt;width:1.55pt;height:1.5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">
                <v:imagedata r:id="rId14" o:title=""/>
              </v:shape>
            </w:pict>
          </mc:Fallback>
        </mc:AlternateContent>
      </w:r>
      <w:r w:rsidRPr="007875B2">
        <w:rPr>
          <w:rFonts w:asciiTheme="majorBidi" w:hAnsiTheme="majorBidi" w:cstheme="majorBidi"/>
          <w:b/>
          <w:bCs/>
          <w:sz w:val="24"/>
          <w:szCs w:val="24"/>
          <w:lang w:val="en-US"/>
        </w:rPr>
        <w:t>Approved:</w:t>
      </w:r>
      <w:r w:rsidR="00F53395">
        <w:rPr>
          <w:rFonts w:asciiTheme="majorBidi" w:hAnsiTheme="majorBidi" w:cstheme="majorBidi"/>
          <w:b/>
          <w:bCs/>
          <w:sz w:val="24"/>
          <w:szCs w:val="24"/>
          <w:lang w:val="en-US"/>
        </w:rPr>
        <w:t xml:space="preserve">    </w:t>
      </w:r>
      <w:r w:rsidR="00BB6978">
        <w:rPr>
          <w:rFonts w:asciiTheme="majorBidi" w:hAnsiTheme="majorBidi" w:cstheme="majorBidi"/>
          <w:b/>
          <w:bCs/>
          <w:noProof/>
          <w:sz w:val="24"/>
          <w:szCs w:val="24"/>
          <w:lang w:val="en-US"/>
        </w:rPr>
        <w:t xml:space="preserve">                                </w:t>
      </w:r>
      <w:r w:rsidR="00BB6978">
        <w:rPr>
          <w:rFonts w:asciiTheme="majorBidi" w:hAnsiTheme="majorBidi" w:cstheme="majorBidi"/>
          <w:b/>
          <w:bCs/>
          <w:noProof/>
          <w:sz w:val="24"/>
          <w:szCs w:val="24"/>
          <w:lang w:val="en-US"/>
        </w:rPr>
        <w:drawing>
          <wp:inline distT="0" distB="0" distL="0" distR="0" wp14:anchorId="26FFD15D" wp14:editId="3F0F9402">
            <wp:extent cx="713105" cy="103060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13105" cy="1030605"/>
                    </a:xfrm>
                    <a:prstGeom prst="rect">
                      <a:avLst/>
                    </a:prstGeom>
                    <a:noFill/>
                  </pic:spPr>
                </pic:pic>
              </a:graphicData>
            </a:graphic>
          </wp:inline>
        </w:drawing>
      </w:r>
      <w:r w:rsidR="00F53395">
        <w:rPr>
          <w:rFonts w:asciiTheme="majorBidi" w:hAnsiTheme="majorBidi" w:cstheme="majorBidi"/>
          <w:b/>
          <w:bCs/>
          <w:sz w:val="24"/>
          <w:szCs w:val="24"/>
          <w:lang w:val="en-US"/>
        </w:rPr>
        <w:t xml:space="preserve">                                                                </w:t>
      </w:r>
    </w:p>
    <w:p w14:paraId="3BBA199E" w14:textId="370D3C5E" w:rsidR="003F3E26" w:rsidRPr="007875B2" w:rsidRDefault="003F3E26" w:rsidP="00580AF5">
      <w:pPr>
        <w:spacing w:after="0" w:line="480" w:lineRule="auto"/>
        <w:rPr>
          <w:rFonts w:asciiTheme="majorBidi" w:hAnsiTheme="majorBidi" w:cstheme="majorBidi"/>
          <w:sz w:val="24"/>
          <w:szCs w:val="24"/>
          <w:lang w:val="en-US"/>
        </w:rPr>
      </w:pPr>
      <w:r w:rsidRPr="007875B2">
        <w:rPr>
          <w:rFonts w:asciiTheme="majorBidi" w:hAnsiTheme="majorBidi" w:cstheme="majorBidi"/>
          <w:sz w:val="24"/>
          <w:szCs w:val="24"/>
          <w:lang w:val="en-US"/>
        </w:rPr>
        <w:t>__________________________________</w:t>
      </w:r>
    </w:p>
    <w:p w14:paraId="6D759DCF" w14:textId="77777777" w:rsidR="003F3E26" w:rsidRPr="007875B2" w:rsidRDefault="003F3E26" w:rsidP="00580AF5">
      <w:pPr>
        <w:spacing w:after="0" w:line="480" w:lineRule="auto"/>
        <w:rPr>
          <w:rFonts w:asciiTheme="majorBidi" w:hAnsiTheme="majorBidi" w:cstheme="majorBidi"/>
          <w:sz w:val="24"/>
          <w:szCs w:val="24"/>
          <w:lang w:val="en-US"/>
        </w:rPr>
      </w:pPr>
      <w:r w:rsidRPr="007875B2">
        <w:rPr>
          <w:rFonts w:asciiTheme="majorBidi" w:hAnsiTheme="majorBidi" w:cstheme="majorBidi"/>
          <w:sz w:val="24"/>
          <w:szCs w:val="24"/>
          <w:lang w:val="en-US"/>
        </w:rPr>
        <w:t xml:space="preserve">Dr. </w:t>
      </w:r>
      <w:r>
        <w:rPr>
          <w:rFonts w:asciiTheme="majorBidi" w:hAnsiTheme="majorBidi" w:cstheme="majorBidi"/>
          <w:sz w:val="24"/>
          <w:szCs w:val="24"/>
          <w:lang w:val="en-US"/>
        </w:rPr>
        <w:t>Jacob Cherian</w:t>
      </w:r>
    </w:p>
    <w:p w14:paraId="5433FF1E" w14:textId="77777777" w:rsidR="003F3E26" w:rsidRPr="007875B2" w:rsidRDefault="003F3E26" w:rsidP="00580AF5">
      <w:pPr>
        <w:spacing w:after="0" w:line="480" w:lineRule="auto"/>
        <w:rPr>
          <w:rFonts w:asciiTheme="majorBidi" w:hAnsiTheme="majorBidi" w:cstheme="majorBidi"/>
          <w:sz w:val="24"/>
          <w:szCs w:val="24"/>
          <w:lang w:val="en-US"/>
        </w:rPr>
      </w:pPr>
      <w:r w:rsidRPr="007875B2">
        <w:rPr>
          <w:rFonts w:asciiTheme="majorBidi" w:hAnsiTheme="majorBidi" w:cstheme="majorBidi"/>
          <w:sz w:val="24"/>
          <w:szCs w:val="24"/>
          <w:lang w:val="en-US"/>
        </w:rPr>
        <w:t>Abu Dhabi University</w:t>
      </w:r>
    </w:p>
    <w:p w14:paraId="69CEF18C" w14:textId="64F25DC1" w:rsidR="003F3E26" w:rsidRPr="007875B2" w:rsidRDefault="003F3E26" w:rsidP="00580AF5">
      <w:pPr>
        <w:spacing w:after="0" w:line="480" w:lineRule="auto"/>
        <w:rPr>
          <w:rFonts w:asciiTheme="majorBidi" w:hAnsiTheme="majorBidi" w:cstheme="majorBidi"/>
          <w:sz w:val="24"/>
          <w:szCs w:val="24"/>
          <w:lang w:val="en-US"/>
        </w:rPr>
      </w:pPr>
      <w:r w:rsidRPr="007875B2">
        <w:rPr>
          <w:rFonts w:asciiTheme="majorBidi" w:hAnsiTheme="majorBidi" w:cstheme="majorBidi"/>
          <w:sz w:val="24"/>
          <w:szCs w:val="24"/>
          <w:lang w:val="en-US"/>
        </w:rPr>
        <w:t>Committee Chair</w:t>
      </w:r>
    </w:p>
    <w:p w14:paraId="568FB17E" w14:textId="7EE292C2" w:rsidR="00BB6978" w:rsidRDefault="00BB6978" w:rsidP="00BB6978">
      <w:pPr>
        <w:spacing w:after="0" w:line="480" w:lineRule="auto"/>
        <w:rPr>
          <w:rFonts w:asciiTheme="majorBidi" w:hAnsiTheme="majorBidi" w:cstheme="majorBidi"/>
          <w:sz w:val="24"/>
          <w:szCs w:val="24"/>
          <w:lang w:val="en-US"/>
        </w:rPr>
      </w:pPr>
      <w:r w:rsidRPr="007875B2">
        <w:rPr>
          <w:rFonts w:asciiTheme="majorBidi" w:hAnsiTheme="majorBidi" w:cstheme="majorBidi"/>
          <w:sz w:val="24"/>
          <w:szCs w:val="24"/>
          <w:lang w:val="en-US"/>
        </w:rPr>
        <w:t xml:space="preserve">Dr. </w:t>
      </w:r>
      <w:r>
        <w:rPr>
          <w:rFonts w:asciiTheme="majorBidi" w:hAnsiTheme="majorBidi" w:cstheme="majorBidi"/>
          <w:sz w:val="24"/>
          <w:szCs w:val="24"/>
          <w:lang w:val="en-US"/>
        </w:rPr>
        <w:t>Ross Davidson</w:t>
      </w:r>
      <w:r>
        <w:rPr>
          <w:rFonts w:asciiTheme="majorBidi" w:hAnsiTheme="majorBidi" w:cstheme="majorBidi"/>
          <w:noProof/>
          <w:sz w:val="24"/>
          <w:szCs w:val="24"/>
          <w:lang w:val="en-US"/>
        </w:rPr>
        <w:t xml:space="preserve">          </w:t>
      </w:r>
      <w:r>
        <w:rPr>
          <w:rFonts w:asciiTheme="majorBidi" w:hAnsiTheme="majorBidi" w:cstheme="majorBidi"/>
          <w:noProof/>
          <w:sz w:val="24"/>
          <w:szCs w:val="24"/>
          <w:lang w:val="en-US"/>
        </w:rPr>
        <w:drawing>
          <wp:inline distT="0" distB="0" distL="0" distR="0" wp14:anchorId="55250AB2" wp14:editId="09183000">
            <wp:extent cx="2257425" cy="563188"/>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80793" cy="569018"/>
                    </a:xfrm>
                    <a:prstGeom prst="rect">
                      <a:avLst/>
                    </a:prstGeom>
                    <a:noFill/>
                  </pic:spPr>
                </pic:pic>
              </a:graphicData>
            </a:graphic>
          </wp:inline>
        </w:drawing>
      </w:r>
    </w:p>
    <w:p w14:paraId="342032B7" w14:textId="5613F44A" w:rsidR="003F3E26" w:rsidRPr="007875B2" w:rsidRDefault="003F3E26" w:rsidP="00580AF5">
      <w:pPr>
        <w:spacing w:after="0" w:line="480" w:lineRule="auto"/>
        <w:rPr>
          <w:rFonts w:asciiTheme="majorBidi" w:hAnsiTheme="majorBidi" w:cstheme="majorBidi"/>
          <w:sz w:val="24"/>
          <w:szCs w:val="24"/>
          <w:lang w:val="en-US"/>
        </w:rPr>
      </w:pPr>
      <w:r w:rsidRPr="007875B2">
        <w:rPr>
          <w:rFonts w:asciiTheme="majorBidi" w:hAnsiTheme="majorBidi" w:cstheme="majorBidi"/>
          <w:sz w:val="24"/>
          <w:szCs w:val="24"/>
          <w:lang w:val="en-US"/>
        </w:rPr>
        <w:t>Abu Dhabi University</w:t>
      </w:r>
    </w:p>
    <w:p w14:paraId="3AFC7B51" w14:textId="1BBE77B0" w:rsidR="00F53395" w:rsidRDefault="003F3E26" w:rsidP="00580AF5">
      <w:pPr>
        <w:spacing w:after="0" w:line="480" w:lineRule="auto"/>
        <w:rPr>
          <w:rFonts w:asciiTheme="majorBidi" w:hAnsiTheme="majorBidi" w:cstheme="majorBidi"/>
          <w:sz w:val="24"/>
          <w:szCs w:val="24"/>
          <w:lang w:val="en-US"/>
        </w:rPr>
      </w:pPr>
      <w:r>
        <w:rPr>
          <w:rFonts w:asciiTheme="majorBidi" w:hAnsiTheme="majorBidi" w:cstheme="majorBidi"/>
          <w:noProof/>
          <w:sz w:val="24"/>
          <w:szCs w:val="24"/>
          <w:lang w:val="en-US"/>
        </w:rPr>
        <mc:AlternateContent>
          <mc:Choice Requires="wpi">
            <w:drawing>
              <wp:anchor distT="0" distB="0" distL="114300" distR="114300" simplePos="0" relativeHeight="251667456" behindDoc="0" locked="0" layoutInCell="1" allowOverlap="1" wp14:anchorId="0F823023" wp14:editId="107D6844">
                <wp:simplePos x="0" y="0"/>
                <wp:positionH relativeFrom="column">
                  <wp:posOffset>2600490</wp:posOffset>
                </wp:positionH>
                <wp:positionV relativeFrom="paragraph">
                  <wp:posOffset>209005</wp:posOffset>
                </wp:positionV>
                <wp:extent cx="360" cy="360"/>
                <wp:effectExtent l="57150" t="38100" r="57150" b="57150"/>
                <wp:wrapNone/>
                <wp:docPr id="30" name="Ink 30"/>
                <wp:cNvGraphicFramePr/>
                <a:graphic xmlns:a="http://schemas.openxmlformats.org/drawingml/2006/main">
                  <a:graphicData uri="http://schemas.microsoft.com/office/word/2010/wordprocessingInk">
                    <w14:contentPart bwMode="auto" r:id="rId17">
                      <w14:nvContentPartPr>
                        <w14:cNvContentPartPr/>
                      </w14:nvContentPartPr>
                      <w14:xfrm>
                        <a:off x="0" y="0"/>
                        <a:ext cx="360" cy="360"/>
                      </w14:xfrm>
                    </w14:contentPart>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1ECDCFD" id="Ink 30" o:spid="_x0000_s1026" type="#_x0000_t75" style="position:absolute;margin-left:203.6pt;margin-top:15.3pt;width:2.3pt;height:2.3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">
                <v:imagedata r:id="rId10" o:title=""/>
              </v:shape>
            </w:pict>
          </mc:Fallback>
        </mc:AlternateContent>
      </w:r>
      <w:r>
        <w:rPr>
          <w:rFonts w:asciiTheme="majorBidi" w:hAnsiTheme="majorBidi" w:cstheme="majorBidi"/>
          <w:sz w:val="24"/>
          <w:szCs w:val="24"/>
          <w:lang w:val="en-US"/>
        </w:rPr>
        <w:t xml:space="preserve">Committee Member                                            </w:t>
      </w:r>
      <w:r w:rsidRPr="007875B2">
        <w:rPr>
          <w:rFonts w:asciiTheme="majorBidi" w:hAnsiTheme="majorBidi" w:cstheme="majorBidi"/>
          <w:sz w:val="24"/>
          <w:szCs w:val="24"/>
          <w:lang w:val="en-US"/>
        </w:rPr>
        <w:t>________________________________</w:t>
      </w:r>
    </w:p>
    <w:p w14:paraId="2FBE18B3" w14:textId="48994518" w:rsidR="003F3E26" w:rsidRPr="007875B2" w:rsidRDefault="003F3E26" w:rsidP="00580AF5">
      <w:pPr>
        <w:spacing w:after="0" w:line="480" w:lineRule="auto"/>
        <w:rPr>
          <w:rFonts w:asciiTheme="majorBidi" w:hAnsiTheme="majorBidi" w:cstheme="majorBidi"/>
          <w:sz w:val="24"/>
          <w:szCs w:val="24"/>
          <w:lang w:val="en-US"/>
        </w:rPr>
      </w:pPr>
      <w:r w:rsidRPr="007875B2">
        <w:rPr>
          <w:rFonts w:asciiTheme="majorBidi" w:hAnsiTheme="majorBidi" w:cstheme="majorBidi"/>
          <w:sz w:val="24"/>
          <w:szCs w:val="24"/>
          <w:lang w:val="en-US"/>
        </w:rPr>
        <w:t>Prof. Barry O’Mahony</w:t>
      </w:r>
    </w:p>
    <w:p w14:paraId="2AC64972" w14:textId="77777777" w:rsidR="003F3E26" w:rsidRPr="007875B2" w:rsidRDefault="003F3E26" w:rsidP="00580AF5">
      <w:pPr>
        <w:spacing w:after="0" w:line="480" w:lineRule="auto"/>
        <w:rPr>
          <w:rFonts w:asciiTheme="majorBidi" w:hAnsiTheme="majorBidi" w:cstheme="majorBidi"/>
          <w:sz w:val="24"/>
          <w:szCs w:val="24"/>
          <w:lang w:val="en-US"/>
        </w:rPr>
      </w:pPr>
      <w:r w:rsidRPr="007875B2">
        <w:rPr>
          <w:rFonts w:asciiTheme="majorBidi" w:hAnsiTheme="majorBidi" w:cstheme="majorBidi"/>
          <w:sz w:val="24"/>
          <w:szCs w:val="24"/>
          <w:lang w:val="en-US"/>
        </w:rPr>
        <w:t>Dean, College of Business</w:t>
      </w:r>
    </w:p>
    <w:p w14:paraId="13FC59A8" w14:textId="77777777" w:rsidR="003F3E26" w:rsidRPr="007875B2" w:rsidRDefault="003F3E26" w:rsidP="00580AF5">
      <w:pPr>
        <w:spacing w:after="0" w:line="480" w:lineRule="auto"/>
        <w:rPr>
          <w:rFonts w:asciiTheme="majorBidi" w:hAnsiTheme="majorBidi" w:cstheme="majorBidi"/>
          <w:sz w:val="24"/>
          <w:szCs w:val="24"/>
          <w:lang w:val="en-US"/>
        </w:rPr>
      </w:pPr>
      <w:r w:rsidRPr="007875B2">
        <w:rPr>
          <w:rFonts w:asciiTheme="majorBidi" w:hAnsiTheme="majorBidi" w:cstheme="majorBidi"/>
          <w:sz w:val="24"/>
          <w:szCs w:val="24"/>
          <w:lang w:val="en-US"/>
        </w:rPr>
        <w:t>Abu Dhabi University</w:t>
      </w:r>
    </w:p>
    <w:p w14:paraId="53084132" w14:textId="77777777" w:rsidR="00932FB2" w:rsidRPr="007875B2" w:rsidRDefault="00932FB2" w:rsidP="00580AF5">
      <w:pPr>
        <w:spacing w:after="0" w:line="480" w:lineRule="auto"/>
        <w:rPr>
          <w:rFonts w:asciiTheme="majorBidi" w:hAnsiTheme="majorBidi" w:cstheme="majorBidi"/>
          <w:b/>
          <w:bCs/>
          <w:sz w:val="24"/>
          <w:szCs w:val="24"/>
          <w:lang w:val="en-US"/>
        </w:rPr>
      </w:pPr>
    </w:p>
    <w:p w14:paraId="7EB9F9B8" w14:textId="77777777" w:rsidR="00932FB2" w:rsidRPr="007875B2" w:rsidRDefault="00932FB2" w:rsidP="00580AF5">
      <w:pPr>
        <w:spacing w:after="0" w:line="480" w:lineRule="auto"/>
        <w:rPr>
          <w:rFonts w:asciiTheme="majorBidi" w:hAnsiTheme="majorBidi" w:cstheme="majorBidi"/>
          <w:b/>
          <w:bCs/>
          <w:sz w:val="24"/>
          <w:szCs w:val="24"/>
          <w:lang w:val="en-US"/>
        </w:rPr>
      </w:pPr>
    </w:p>
    <w:p w14:paraId="3FAE10E3" w14:textId="77777777" w:rsidR="00932FB2" w:rsidRPr="007875B2" w:rsidRDefault="00932FB2" w:rsidP="00580AF5">
      <w:pPr>
        <w:spacing w:after="0" w:line="480" w:lineRule="auto"/>
        <w:rPr>
          <w:rFonts w:asciiTheme="majorBidi" w:hAnsiTheme="majorBidi" w:cstheme="majorBidi"/>
          <w:b/>
          <w:bCs/>
          <w:sz w:val="24"/>
          <w:szCs w:val="24"/>
          <w:lang w:val="en-US"/>
        </w:rPr>
      </w:pPr>
    </w:p>
    <w:p w14:paraId="13CAB6D9" w14:textId="77777777" w:rsidR="00932FB2" w:rsidRPr="007875B2" w:rsidRDefault="00932FB2" w:rsidP="00580AF5">
      <w:pPr>
        <w:spacing w:after="0" w:line="480" w:lineRule="auto"/>
        <w:rPr>
          <w:rFonts w:asciiTheme="majorBidi" w:hAnsiTheme="majorBidi" w:cstheme="majorBidi"/>
          <w:b/>
          <w:bCs/>
          <w:sz w:val="24"/>
          <w:szCs w:val="24"/>
          <w:lang w:val="en-US"/>
        </w:rPr>
      </w:pPr>
    </w:p>
    <w:p w14:paraId="62D56943" w14:textId="77777777" w:rsidR="00932FB2" w:rsidRPr="007875B2" w:rsidRDefault="00932FB2" w:rsidP="00580AF5">
      <w:pPr>
        <w:spacing w:after="0" w:line="480" w:lineRule="auto"/>
        <w:rPr>
          <w:rFonts w:asciiTheme="majorBidi" w:hAnsiTheme="majorBidi" w:cstheme="majorBidi"/>
          <w:b/>
          <w:bCs/>
          <w:sz w:val="24"/>
          <w:szCs w:val="24"/>
          <w:lang w:val="en-US"/>
        </w:rPr>
      </w:pPr>
    </w:p>
    <w:p w14:paraId="303425A7" w14:textId="77777777" w:rsidR="003F3E26" w:rsidRPr="00EF5106" w:rsidRDefault="003F3E26" w:rsidP="003F3E26">
      <w:pPr>
        <w:spacing w:before="480" w:after="0" w:line="276" w:lineRule="auto"/>
        <w:jc w:val="center"/>
        <w:outlineLvl w:val="0"/>
        <w:rPr>
          <w:rFonts w:ascii="Times New Roman" w:eastAsiaTheme="majorEastAsia" w:hAnsi="Times New Roman" w:cs="Times New Roman"/>
          <w:b/>
          <w:bCs/>
          <w:color w:val="000000" w:themeColor="text1"/>
          <w:w w:val="105"/>
          <w:sz w:val="24"/>
          <w:szCs w:val="24"/>
          <w:lang w:val="en-US" w:eastAsia="en-GB" w:bidi="en-US"/>
        </w:rPr>
      </w:pPr>
      <w:bookmarkStart w:id="1" w:name="_Toc138239766"/>
      <w:r w:rsidRPr="00EF5106">
        <w:rPr>
          <w:rFonts w:ascii="Times New Roman" w:eastAsiaTheme="majorEastAsia" w:hAnsi="Times New Roman" w:cs="Times New Roman"/>
          <w:b/>
          <w:bCs/>
          <w:color w:val="000000" w:themeColor="text1"/>
          <w:w w:val="105"/>
          <w:sz w:val="24"/>
          <w:szCs w:val="24"/>
          <w:lang w:val="en-US" w:eastAsia="en-GB" w:bidi="en-US"/>
        </w:rPr>
        <w:t>COPYRIGHT INFORMATION</w:t>
      </w:r>
      <w:bookmarkEnd w:id="1"/>
    </w:p>
    <w:p w14:paraId="5B954A3D" w14:textId="77777777" w:rsidR="003F3E26" w:rsidRPr="00EF5106" w:rsidRDefault="003F3E26" w:rsidP="003F3E26">
      <w:pPr>
        <w:jc w:val="center"/>
        <w:rPr>
          <w:rFonts w:ascii="Times New Roman" w:eastAsia="Times New Roman" w:hAnsi="Times New Roman" w:cs="Times New Roman"/>
          <w:b/>
          <w:bCs/>
          <w:color w:val="000000" w:themeColor="text1"/>
          <w:w w:val="105"/>
          <w:sz w:val="24"/>
          <w:szCs w:val="24"/>
          <w:lang w:val="en-US" w:eastAsia="en-GB"/>
        </w:rPr>
      </w:pPr>
    </w:p>
    <w:p w14:paraId="094DE672" w14:textId="77777777" w:rsidR="003F3E26" w:rsidRPr="007875B2" w:rsidRDefault="003F3E26" w:rsidP="003F3E26">
      <w:pPr>
        <w:spacing w:after="0" w:line="480" w:lineRule="auto"/>
        <w:jc w:val="both"/>
        <w:rPr>
          <w:rFonts w:asciiTheme="majorBidi" w:hAnsiTheme="majorBidi" w:cstheme="majorBidi"/>
          <w:b/>
          <w:bCs/>
          <w:sz w:val="24"/>
          <w:szCs w:val="24"/>
          <w:lang w:val="en-US"/>
        </w:rPr>
      </w:pPr>
    </w:p>
    <w:p w14:paraId="0C8E668E" w14:textId="77777777" w:rsidR="003F3E26" w:rsidRPr="00E25A5B" w:rsidRDefault="003F3E26" w:rsidP="003F3E26">
      <w:pPr>
        <w:spacing w:after="0" w:line="480" w:lineRule="auto"/>
        <w:jc w:val="both"/>
        <w:rPr>
          <w:rFonts w:ascii="Times New Roman" w:eastAsia="Times New Roman" w:hAnsi="Times New Roman" w:cs="Times New Roman"/>
          <w:color w:val="000000" w:themeColor="text1"/>
          <w:sz w:val="24"/>
          <w:szCs w:val="24"/>
          <w:lang w:val="en-US" w:eastAsia="en-GB"/>
        </w:rPr>
      </w:pPr>
      <w:r w:rsidRPr="00E25A5B">
        <w:rPr>
          <w:rFonts w:ascii="Times New Roman" w:eastAsia="Times New Roman" w:hAnsi="Times New Roman" w:cs="Times New Roman"/>
          <w:color w:val="000000" w:themeColor="text1"/>
          <w:sz w:val="24"/>
          <w:szCs w:val="24"/>
          <w:lang w:val="en-US" w:eastAsia="en-GB"/>
        </w:rPr>
        <w:t>Permission was requested from and granted by the authors for all material used in data collection and analysis. All articles in this dissertation have been cited to the best of my knowledge, and all precautions have been taken to ensure that the copyrights of others were respected.</w:t>
      </w:r>
    </w:p>
    <w:p w14:paraId="4E00FF78" w14:textId="77777777" w:rsidR="003F3E26" w:rsidRPr="00E25A5B" w:rsidRDefault="003F3E26" w:rsidP="003F3E26">
      <w:pPr>
        <w:spacing w:after="0" w:line="480" w:lineRule="auto"/>
        <w:ind w:firstLine="720"/>
        <w:jc w:val="both"/>
        <w:rPr>
          <w:rFonts w:ascii="Times New Roman" w:eastAsia="Times New Roman" w:hAnsi="Times New Roman" w:cs="Times New Roman"/>
          <w:color w:val="0070C0"/>
          <w:sz w:val="24"/>
          <w:szCs w:val="24"/>
          <w:lang w:val="en-US" w:eastAsia="en-GB" w:bidi="ar-AE"/>
        </w:rPr>
      </w:pPr>
    </w:p>
    <w:p w14:paraId="17558D0A" w14:textId="77777777" w:rsidR="003F3E26" w:rsidRDefault="003F3E26" w:rsidP="003F3E26">
      <w:pPr>
        <w:spacing w:after="200" w:line="480" w:lineRule="auto"/>
        <w:jc w:val="center"/>
        <w:rPr>
          <w:rFonts w:ascii="Times New Roman" w:eastAsia="Times New Roman" w:hAnsi="Times New Roman" w:cs="Times New Roman"/>
          <w:sz w:val="24"/>
          <w:szCs w:val="24"/>
          <w:lang w:val="en-US" w:eastAsia="en-GB"/>
        </w:rPr>
      </w:pPr>
      <w:r w:rsidRPr="00E25A5B">
        <w:rPr>
          <w:rFonts w:ascii="Times New Roman" w:eastAsia="Times New Roman" w:hAnsi="Times New Roman" w:cs="Times New Roman"/>
          <w:sz w:val="24"/>
          <w:szCs w:val="24"/>
          <w:lang w:val="en-US" w:eastAsia="en-GB"/>
        </w:rPr>
        <w:t>© Copyright 202</w:t>
      </w:r>
      <w:r w:rsidR="00FB0276">
        <w:rPr>
          <w:rFonts w:ascii="Times New Roman" w:eastAsia="Times New Roman" w:hAnsi="Times New Roman" w:cs="Times New Roman"/>
          <w:sz w:val="24"/>
          <w:szCs w:val="24"/>
          <w:lang w:val="en-US" w:eastAsia="en-GB"/>
        </w:rPr>
        <w:t>3</w:t>
      </w:r>
      <w:r w:rsidRPr="00E25A5B">
        <w:rPr>
          <w:rFonts w:ascii="Times New Roman" w:eastAsia="Times New Roman" w:hAnsi="Times New Roman" w:cs="Times New Roman"/>
          <w:sz w:val="24"/>
          <w:szCs w:val="24"/>
          <w:lang w:val="en-US" w:eastAsia="en-GB"/>
        </w:rPr>
        <w:t xml:space="preserve"> </w:t>
      </w:r>
    </w:p>
    <w:p w14:paraId="4810886E" w14:textId="77777777" w:rsidR="003F3E26" w:rsidRPr="00E25A5B" w:rsidRDefault="003F3E26" w:rsidP="003F3E26">
      <w:pPr>
        <w:spacing w:after="200" w:line="480" w:lineRule="auto"/>
        <w:jc w:val="center"/>
        <w:rPr>
          <w:rFonts w:ascii="Times New Roman" w:eastAsia="Times New Roman" w:hAnsi="Times New Roman" w:cs="Times New Roman"/>
          <w:sz w:val="24"/>
          <w:szCs w:val="24"/>
          <w:lang w:val="en-US" w:eastAsia="en-GB"/>
        </w:rPr>
      </w:pPr>
      <w:r w:rsidRPr="00E25A5B">
        <w:rPr>
          <w:rFonts w:ascii="Times New Roman" w:eastAsia="Times New Roman" w:hAnsi="Times New Roman" w:cs="Times New Roman"/>
          <w:sz w:val="24"/>
          <w:szCs w:val="24"/>
          <w:lang w:val="en-US" w:eastAsia="en-GB"/>
        </w:rPr>
        <w:t>By</w:t>
      </w:r>
    </w:p>
    <w:p w14:paraId="3D4ECEF6" w14:textId="77777777" w:rsidR="003F3E26" w:rsidRPr="00E25A5B" w:rsidRDefault="003F3E26" w:rsidP="003F3E26">
      <w:pPr>
        <w:spacing w:after="200" w:line="480" w:lineRule="auto"/>
        <w:jc w:val="center"/>
        <w:rPr>
          <w:rFonts w:ascii="Times New Roman" w:eastAsia="Times New Roman" w:hAnsi="Times New Roman" w:cs="Times New Roman"/>
          <w:sz w:val="24"/>
          <w:szCs w:val="24"/>
          <w:lang w:val="en-US" w:eastAsia="en-GB"/>
        </w:rPr>
      </w:pPr>
      <w:r w:rsidRPr="00E25A5B">
        <w:rPr>
          <w:rFonts w:ascii="Times New Roman" w:eastAsia="Times New Roman" w:hAnsi="Times New Roman" w:cs="Times New Roman"/>
          <w:color w:val="000000" w:themeColor="text1"/>
          <w:sz w:val="24"/>
          <w:szCs w:val="24"/>
          <w:lang w:val="en-US" w:eastAsia="en-GB"/>
        </w:rPr>
        <w:t>Alanood Khalifa Al Kaabi</w:t>
      </w:r>
    </w:p>
    <w:p w14:paraId="13667588" w14:textId="77777777" w:rsidR="003F3E26" w:rsidRPr="00E25A5B" w:rsidRDefault="003F3E26" w:rsidP="003F3E26">
      <w:pPr>
        <w:spacing w:before="100" w:beforeAutospacing="1" w:after="100" w:afterAutospacing="1" w:line="240" w:lineRule="auto"/>
        <w:jc w:val="center"/>
        <w:rPr>
          <w:rFonts w:ascii="Times New Roman" w:eastAsia="Times New Roman" w:hAnsi="Times New Roman" w:cs="Times New Roman"/>
          <w:color w:val="000000" w:themeColor="text1"/>
          <w:sz w:val="24"/>
          <w:szCs w:val="24"/>
          <w:lang w:val="en-US" w:eastAsia="en-GB"/>
        </w:rPr>
      </w:pPr>
      <w:r w:rsidRPr="00E25A5B">
        <w:rPr>
          <w:rFonts w:ascii="Times New Roman" w:eastAsia="Times New Roman" w:hAnsi="Times New Roman" w:cs="Times New Roman"/>
          <w:color w:val="000000" w:themeColor="text1"/>
          <w:sz w:val="24"/>
          <w:szCs w:val="24"/>
          <w:lang w:val="en-US" w:eastAsia="en-GB"/>
        </w:rPr>
        <w:t>All Rights Reserved</w:t>
      </w:r>
    </w:p>
    <w:p w14:paraId="5CB7A4CB" w14:textId="77777777" w:rsidR="00932FB2" w:rsidRDefault="00932FB2" w:rsidP="00932FB2">
      <w:pPr>
        <w:spacing w:line="480" w:lineRule="auto"/>
        <w:jc w:val="both"/>
        <w:rPr>
          <w:rFonts w:asciiTheme="majorBidi" w:hAnsiTheme="majorBidi" w:cstheme="majorBidi"/>
          <w:lang w:val="en-US"/>
        </w:rPr>
      </w:pPr>
    </w:p>
    <w:bookmarkEnd w:id="0"/>
    <w:p w14:paraId="0C39D70B" w14:textId="77777777" w:rsidR="00932FB2" w:rsidRDefault="00932FB2" w:rsidP="00932FB2">
      <w:pPr>
        <w:spacing w:line="480" w:lineRule="auto"/>
        <w:jc w:val="both"/>
        <w:rPr>
          <w:rFonts w:asciiTheme="majorBidi" w:hAnsiTheme="majorBidi" w:cstheme="majorBidi"/>
          <w:lang w:val="en-US"/>
        </w:rPr>
      </w:pPr>
    </w:p>
    <w:p w14:paraId="21FB6590" w14:textId="77777777" w:rsidR="001D7F14" w:rsidRDefault="001D7F14" w:rsidP="00932FB2">
      <w:pPr>
        <w:spacing w:line="480" w:lineRule="auto"/>
        <w:jc w:val="both"/>
        <w:rPr>
          <w:rFonts w:asciiTheme="majorBidi" w:hAnsiTheme="majorBidi" w:cstheme="majorBidi"/>
          <w:lang w:val="en-US"/>
        </w:rPr>
      </w:pPr>
    </w:p>
    <w:p w14:paraId="4474115D" w14:textId="77777777" w:rsidR="00980328" w:rsidRDefault="00980328" w:rsidP="00980328">
      <w:pPr>
        <w:jc w:val="center"/>
        <w:rPr>
          <w:rFonts w:asciiTheme="majorBidi" w:hAnsiTheme="majorBidi" w:cstheme="majorBidi"/>
          <w:b/>
          <w:bCs/>
        </w:rPr>
      </w:pPr>
      <w:bookmarkStart w:id="2" w:name="_Toc51179089"/>
      <w:bookmarkStart w:id="3" w:name="_Toc56888865"/>
      <w:r w:rsidRPr="003231B2">
        <w:rPr>
          <w:noProof/>
          <w:lang w:val="en-US"/>
        </w:rPr>
        <w:drawing>
          <wp:inline distT="0" distB="0" distL="0" distR="0" wp14:anchorId="3615B000" wp14:editId="790DCBC9">
            <wp:extent cx="2058903" cy="500146"/>
            <wp:effectExtent l="0" t="0" r="0" b="0"/>
            <wp:docPr id="17" name="Picture 17" descr="Abu Dhabi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bu Dhabi University"/>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068741" cy="502536"/>
                    </a:xfrm>
                    <a:prstGeom prst="rect">
                      <a:avLst/>
                    </a:prstGeom>
                    <a:noFill/>
                    <a:ln>
                      <a:noFill/>
                    </a:ln>
                  </pic:spPr>
                </pic:pic>
              </a:graphicData>
            </a:graphic>
          </wp:inline>
        </w:drawing>
      </w:r>
    </w:p>
    <w:p w14:paraId="33CB04A3" w14:textId="77777777" w:rsidR="003F3E26" w:rsidRPr="00D92568" w:rsidRDefault="003F3E26" w:rsidP="003F3E26">
      <w:pPr>
        <w:jc w:val="center"/>
        <w:rPr>
          <w:rFonts w:asciiTheme="majorBidi" w:hAnsiTheme="majorBidi" w:cstheme="majorBidi"/>
          <w:b/>
          <w:bCs/>
        </w:rPr>
      </w:pPr>
      <w:r>
        <w:rPr>
          <w:rFonts w:asciiTheme="majorBidi" w:hAnsiTheme="majorBidi" w:cstheme="majorBidi"/>
          <w:b/>
          <w:bCs/>
        </w:rPr>
        <w:t xml:space="preserve">LIBRARY </w:t>
      </w:r>
      <w:r w:rsidRPr="00D92568">
        <w:rPr>
          <w:rFonts w:asciiTheme="majorBidi" w:hAnsiTheme="majorBidi" w:cstheme="majorBidi"/>
          <w:b/>
          <w:bCs/>
        </w:rPr>
        <w:t>COPYRIGHT PERMISSION AGREEMENT</w:t>
      </w:r>
    </w:p>
    <w:p w14:paraId="0E7DB19E" w14:textId="77777777" w:rsidR="003F3E26" w:rsidRDefault="003F3E26" w:rsidP="003F3E26">
      <w:pPr>
        <w:jc w:val="center"/>
        <w:rPr>
          <w:rFonts w:asciiTheme="majorBidi" w:hAnsiTheme="majorBidi" w:cstheme="majorBidi"/>
        </w:rPr>
      </w:pPr>
      <w:r>
        <w:rPr>
          <w:rFonts w:asciiTheme="majorBidi" w:hAnsiTheme="majorBidi" w:cstheme="majorBidi"/>
        </w:rPr>
        <w:t>Abu Dhabi University</w:t>
      </w:r>
    </w:p>
    <w:p w14:paraId="0713AA0E" w14:textId="77777777" w:rsidR="003F3E26" w:rsidRDefault="003F3E26" w:rsidP="003F3E26">
      <w:pPr>
        <w:jc w:val="center"/>
        <w:rPr>
          <w:rFonts w:asciiTheme="majorBidi" w:hAnsiTheme="majorBidi" w:cstheme="majorBidi"/>
        </w:rPr>
      </w:pPr>
      <w:r>
        <w:rPr>
          <w:rFonts w:asciiTheme="majorBidi" w:hAnsiTheme="majorBidi" w:cstheme="majorBidi"/>
        </w:rPr>
        <w:t>United Arab Emirates</w:t>
      </w:r>
    </w:p>
    <w:p w14:paraId="186FA2A5" w14:textId="77777777" w:rsidR="003F3E26" w:rsidRDefault="00F53395" w:rsidP="003F3E26">
      <w:pPr>
        <w:jc w:val="center"/>
        <w:rPr>
          <w:rFonts w:asciiTheme="majorBidi" w:hAnsiTheme="majorBidi" w:cstheme="majorBidi"/>
        </w:rPr>
      </w:pPr>
      <w:hyperlink r:id="rId19" w:history="1">
        <w:r w:rsidR="003F3E26" w:rsidRPr="00CF0514">
          <w:rPr>
            <w:rStyle w:val="Hyperlink"/>
            <w:rFonts w:asciiTheme="majorBidi" w:hAnsiTheme="majorBidi"/>
          </w:rPr>
          <w:t>http://library.adu.ac.ae</w:t>
        </w:r>
      </w:hyperlink>
      <w:r w:rsidR="003F3E26">
        <w:rPr>
          <w:rFonts w:asciiTheme="majorBidi" w:hAnsiTheme="majorBidi" w:cstheme="majorBidi"/>
        </w:rPr>
        <w:t xml:space="preserve">   </w:t>
      </w:r>
      <w:hyperlink r:id="rId20" w:history="1">
        <w:r w:rsidR="003F3E26" w:rsidRPr="00C05C7B">
          <w:rPr>
            <w:rStyle w:val="Hyperlink"/>
            <w:rFonts w:asciiTheme="majorBidi" w:hAnsiTheme="majorBidi"/>
          </w:rPr>
          <w:t>adulibrary@adu.ac.ae</w:t>
        </w:r>
      </w:hyperlink>
    </w:p>
    <w:p w14:paraId="0DBF5954" w14:textId="77777777" w:rsidR="003F3E26" w:rsidRDefault="003F3E26" w:rsidP="003F3E26">
      <w:pPr>
        <w:jc w:val="center"/>
        <w:rPr>
          <w:rFonts w:asciiTheme="majorBidi" w:hAnsiTheme="majorBidi" w:cstheme="majorBidi"/>
        </w:rPr>
      </w:pPr>
    </w:p>
    <w:p w14:paraId="00D2A6A3" w14:textId="77777777" w:rsidR="003F3E26" w:rsidRDefault="003F3E26" w:rsidP="003F3E26">
      <w:pPr>
        <w:spacing w:line="360" w:lineRule="auto"/>
        <w:jc w:val="both"/>
        <w:rPr>
          <w:rFonts w:asciiTheme="majorBidi" w:hAnsiTheme="majorBidi" w:cstheme="majorBidi"/>
        </w:rPr>
      </w:pPr>
      <w:r>
        <w:rPr>
          <w:rFonts w:asciiTheme="majorBidi" w:hAnsiTheme="majorBidi" w:cstheme="majorBidi"/>
        </w:rPr>
        <w:t xml:space="preserve">I, </w:t>
      </w:r>
      <w:r>
        <w:rPr>
          <w:rFonts w:asciiTheme="majorBidi" w:hAnsiTheme="majorBidi" w:cstheme="majorBidi"/>
        </w:rPr>
        <w:softHyphen/>
      </w:r>
      <w:r>
        <w:rPr>
          <w:rFonts w:asciiTheme="majorBidi" w:hAnsiTheme="majorBidi" w:cstheme="majorBidi"/>
        </w:rPr>
        <w:softHyphen/>
      </w:r>
      <w:r>
        <w:rPr>
          <w:rFonts w:asciiTheme="majorBidi" w:hAnsiTheme="majorBidi" w:cstheme="majorBidi"/>
        </w:rPr>
        <w:softHyphen/>
      </w:r>
      <w:r>
        <w:rPr>
          <w:rFonts w:asciiTheme="majorBidi" w:hAnsiTheme="majorBidi" w:cstheme="majorBidi"/>
        </w:rPr>
        <w:softHyphen/>
        <w:t xml:space="preserve">Alanood Khalifa Al Kaabi warrant that I have the authority to act on any matters for the work, a study on the relationship between cost, quality and students achievement in private schools in the UAE, dated </w:t>
      </w:r>
      <w:r w:rsidR="00C52EF0">
        <w:rPr>
          <w:rFonts w:asciiTheme="majorBidi" w:hAnsiTheme="majorBidi" w:cstheme="majorBidi"/>
        </w:rPr>
        <w:t>January 2023</w:t>
      </w:r>
      <w:r>
        <w:rPr>
          <w:rFonts w:asciiTheme="majorBidi" w:hAnsiTheme="majorBidi" w:cstheme="majorBidi"/>
        </w:rPr>
        <w:t>, to be included in the Abu Dhabi University Library Repository, and as such have the right to grant permission to digitize, republish and use the said work in all media now known or hereafter devised.</w:t>
      </w:r>
    </w:p>
    <w:p w14:paraId="2C4F7AC1" w14:textId="77777777" w:rsidR="003F3E26" w:rsidRDefault="003F3E26" w:rsidP="003F3E26">
      <w:pPr>
        <w:spacing w:line="360" w:lineRule="auto"/>
        <w:jc w:val="both"/>
        <w:rPr>
          <w:rFonts w:asciiTheme="majorBidi" w:hAnsiTheme="majorBidi" w:cstheme="majorBidi"/>
        </w:rPr>
      </w:pPr>
      <w:r>
        <w:rPr>
          <w:rFonts w:asciiTheme="majorBidi" w:hAnsiTheme="majorBidi" w:cstheme="majorBidi"/>
        </w:rPr>
        <w:t>I grant to the Abu Dhabi University Library the nonexclusive worldwide rights to digitize, publish, exhibit, preserve, and use the work in any way that furthers the educational, research and public service purposes of the Abu Dhabi University. I further give permission for the Library to catalogue and to make available to researchers the images of my dissertation, with the following access restrictions:</w:t>
      </w:r>
    </w:p>
    <w:p w14:paraId="00251928" w14:textId="77777777" w:rsidR="003F3E26" w:rsidRPr="00CE00F3" w:rsidRDefault="003F3E26" w:rsidP="003F3E26">
      <w:pPr>
        <w:jc w:val="both"/>
        <w:rPr>
          <w:rFonts w:asciiTheme="majorBidi" w:hAnsiTheme="majorBidi" w:cstheme="majorBidi"/>
          <w:b/>
          <w:bCs/>
        </w:rPr>
      </w:pPr>
      <w:r w:rsidRPr="00CE00F3">
        <w:rPr>
          <w:rFonts w:asciiTheme="majorBidi" w:hAnsiTheme="majorBidi" w:cstheme="majorBidi"/>
          <w:b/>
          <w:bCs/>
        </w:rPr>
        <w:t>ACCESS RESTRICTIONS</w:t>
      </w:r>
    </w:p>
    <w:p w14:paraId="2A42C6BF" w14:textId="77777777" w:rsidR="003F3E26" w:rsidRDefault="003F3E26" w:rsidP="003F3E26">
      <w:pPr>
        <w:jc w:val="both"/>
        <w:rPr>
          <w:rFonts w:asciiTheme="majorBidi" w:hAnsiTheme="majorBidi" w:cstheme="majorBidi"/>
        </w:rPr>
      </w:pPr>
      <w:r>
        <w:rPr>
          <w:rFonts w:asciiTheme="majorBidi" w:hAnsiTheme="majorBidi" w:cstheme="majorBidi"/>
        </w:rPr>
        <w:t xml:space="preserve"> My electronic dissertation can be made accessible via the Abu Dhabi University repository with the following status (select one):</w:t>
      </w:r>
    </w:p>
    <w:p w14:paraId="5ECF59DA" w14:textId="77777777" w:rsidR="003F3E26" w:rsidRDefault="003F3E26" w:rsidP="003F3E26">
      <w:pPr>
        <w:spacing w:line="360" w:lineRule="auto"/>
        <w:jc w:val="both"/>
        <w:rPr>
          <w:rFonts w:asciiTheme="majorBidi" w:hAnsiTheme="majorBidi" w:cstheme="majorBidi"/>
        </w:rPr>
      </w:pPr>
      <w:r>
        <w:rPr>
          <w:rFonts w:asciiTheme="majorBidi" w:hAnsiTheme="majorBidi" w:cstheme="majorBidi"/>
          <w:lang w:val="en-US"/>
        </w:rPr>
        <w:fldChar w:fldCharType="begin">
          <w:ffData>
            <w:name w:val="Check1"/>
            <w:enabled/>
            <w:calcOnExit w:val="0"/>
            <w:checkBox>
              <w:sizeAuto/>
              <w:default w:val="1"/>
            </w:checkBox>
          </w:ffData>
        </w:fldChar>
      </w:r>
      <w:r>
        <w:rPr>
          <w:rFonts w:asciiTheme="majorBidi" w:hAnsiTheme="majorBidi" w:cstheme="majorBidi"/>
          <w:lang w:val="en-US"/>
        </w:rPr>
        <w:instrText xml:space="preserve"> FORMCHECKBOX </w:instrText>
      </w:r>
      <w:r w:rsidR="00F53395">
        <w:rPr>
          <w:rFonts w:asciiTheme="majorBidi" w:hAnsiTheme="majorBidi" w:cstheme="majorBidi"/>
          <w:lang w:val="en-US"/>
        </w:rPr>
      </w:r>
      <w:r w:rsidR="00F53395">
        <w:rPr>
          <w:rFonts w:asciiTheme="majorBidi" w:hAnsiTheme="majorBidi" w:cstheme="majorBidi"/>
          <w:lang w:val="en-US"/>
        </w:rPr>
        <w:fldChar w:fldCharType="separate"/>
      </w:r>
      <w:r>
        <w:rPr>
          <w:rFonts w:asciiTheme="majorBidi" w:hAnsiTheme="majorBidi" w:cstheme="majorBidi"/>
          <w:lang w:val="en-US"/>
        </w:rPr>
        <w:fldChar w:fldCharType="end"/>
      </w:r>
      <w:r>
        <w:rPr>
          <w:rFonts w:asciiTheme="majorBidi" w:hAnsiTheme="majorBidi" w:cstheme="majorBidi"/>
          <w:lang w:val="en-US"/>
        </w:rPr>
        <w:t xml:space="preserve"> </w:t>
      </w:r>
      <w:r>
        <w:rPr>
          <w:rFonts w:asciiTheme="majorBidi" w:hAnsiTheme="majorBidi" w:cstheme="majorBidi"/>
        </w:rPr>
        <w:t>OPTION 1: Provide open access to my electronic dissertation on the institutional repository.</w:t>
      </w:r>
    </w:p>
    <w:p w14:paraId="53B6E336" w14:textId="77777777" w:rsidR="003F3E26" w:rsidRDefault="003F3E26" w:rsidP="003F3E26">
      <w:pPr>
        <w:spacing w:line="360" w:lineRule="auto"/>
        <w:jc w:val="both"/>
        <w:rPr>
          <w:rFonts w:asciiTheme="majorBidi" w:hAnsiTheme="majorBidi" w:cstheme="majorBidi"/>
        </w:rPr>
      </w:pPr>
      <w:r>
        <w:rPr>
          <w:rFonts w:asciiTheme="majorBidi" w:hAnsiTheme="majorBidi" w:cstheme="majorBidi"/>
        </w:rPr>
        <w:fldChar w:fldCharType="begin">
          <w:ffData>
            <w:name w:val="Check2"/>
            <w:enabled/>
            <w:calcOnExit w:val="0"/>
            <w:checkBox>
              <w:sizeAuto/>
              <w:default w:val="0"/>
            </w:checkBox>
          </w:ffData>
        </w:fldChar>
      </w:r>
      <w:bookmarkStart w:id="4" w:name="Check2"/>
      <w:r>
        <w:rPr>
          <w:rFonts w:asciiTheme="majorBidi" w:hAnsiTheme="majorBidi" w:cstheme="majorBidi"/>
        </w:rPr>
        <w:instrText xml:space="preserve"> FORMCHECKBOX </w:instrText>
      </w:r>
      <w:r w:rsidR="00F53395">
        <w:rPr>
          <w:rFonts w:asciiTheme="majorBidi" w:hAnsiTheme="majorBidi" w:cstheme="majorBidi"/>
        </w:rPr>
      </w:r>
      <w:r w:rsidR="00F53395">
        <w:rPr>
          <w:rFonts w:asciiTheme="majorBidi" w:hAnsiTheme="majorBidi" w:cstheme="majorBidi"/>
        </w:rPr>
        <w:fldChar w:fldCharType="separate"/>
      </w:r>
      <w:r>
        <w:rPr>
          <w:rFonts w:asciiTheme="majorBidi" w:hAnsiTheme="majorBidi" w:cstheme="majorBidi"/>
        </w:rPr>
        <w:fldChar w:fldCharType="end"/>
      </w:r>
      <w:bookmarkEnd w:id="4"/>
      <w:r>
        <w:rPr>
          <w:rFonts w:asciiTheme="majorBidi" w:hAnsiTheme="majorBidi" w:cstheme="majorBidi"/>
        </w:rPr>
        <w:t xml:space="preserve"> OPTION 2: Place an embargo on access to my electronic dissertation for a period of given time from the date of submission (select one).</w:t>
      </w:r>
    </w:p>
    <w:p w14:paraId="2A377D10" w14:textId="77777777" w:rsidR="003F3E26" w:rsidRDefault="003F3E26" w:rsidP="003F3E26">
      <w:pPr>
        <w:rPr>
          <w:rFonts w:asciiTheme="majorBidi" w:hAnsiTheme="majorBidi" w:cstheme="majorBidi"/>
        </w:rPr>
      </w:pP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fldChar w:fldCharType="begin">
          <w:ffData>
            <w:name w:val="Check2"/>
            <w:enabled/>
            <w:calcOnExit w:val="0"/>
            <w:checkBox>
              <w:sizeAuto/>
              <w:default w:val="0"/>
            </w:checkBox>
          </w:ffData>
        </w:fldChar>
      </w:r>
      <w:r>
        <w:rPr>
          <w:rFonts w:asciiTheme="majorBidi" w:hAnsiTheme="majorBidi" w:cstheme="majorBidi"/>
        </w:rPr>
        <w:instrText xml:space="preserve"> FORMCHECKBOX </w:instrText>
      </w:r>
      <w:r w:rsidR="00F53395">
        <w:rPr>
          <w:rFonts w:asciiTheme="majorBidi" w:hAnsiTheme="majorBidi" w:cstheme="majorBidi"/>
        </w:rPr>
      </w:r>
      <w:r w:rsidR="00F53395">
        <w:rPr>
          <w:rFonts w:asciiTheme="majorBidi" w:hAnsiTheme="majorBidi" w:cstheme="majorBidi"/>
        </w:rPr>
        <w:fldChar w:fldCharType="separate"/>
      </w:r>
      <w:r>
        <w:rPr>
          <w:rFonts w:asciiTheme="majorBidi" w:hAnsiTheme="majorBidi" w:cstheme="majorBidi"/>
        </w:rPr>
        <w:fldChar w:fldCharType="end"/>
      </w:r>
      <w:r>
        <w:rPr>
          <w:rFonts w:asciiTheme="majorBidi" w:hAnsiTheme="majorBidi" w:cstheme="majorBidi"/>
        </w:rPr>
        <w:t xml:space="preserve"> 6 Months   </w:t>
      </w:r>
      <w:r>
        <w:rPr>
          <w:rFonts w:asciiTheme="majorBidi" w:hAnsiTheme="majorBidi" w:cstheme="majorBidi"/>
        </w:rPr>
        <w:fldChar w:fldCharType="begin">
          <w:ffData>
            <w:name w:val=""/>
            <w:enabled/>
            <w:calcOnExit w:val="0"/>
            <w:checkBox>
              <w:sizeAuto/>
              <w:default w:val="0"/>
            </w:checkBox>
          </w:ffData>
        </w:fldChar>
      </w:r>
      <w:r>
        <w:rPr>
          <w:rFonts w:asciiTheme="majorBidi" w:hAnsiTheme="majorBidi" w:cstheme="majorBidi"/>
        </w:rPr>
        <w:instrText xml:space="preserve"> FORMCHECKBOX </w:instrText>
      </w:r>
      <w:r w:rsidR="00F53395">
        <w:rPr>
          <w:rFonts w:asciiTheme="majorBidi" w:hAnsiTheme="majorBidi" w:cstheme="majorBidi"/>
        </w:rPr>
      </w:r>
      <w:r w:rsidR="00F53395">
        <w:rPr>
          <w:rFonts w:asciiTheme="majorBidi" w:hAnsiTheme="majorBidi" w:cstheme="majorBidi"/>
        </w:rPr>
        <w:fldChar w:fldCharType="separate"/>
      </w:r>
      <w:r>
        <w:rPr>
          <w:rFonts w:asciiTheme="majorBidi" w:hAnsiTheme="majorBidi" w:cstheme="majorBidi"/>
        </w:rPr>
        <w:fldChar w:fldCharType="end"/>
      </w:r>
      <w:r>
        <w:rPr>
          <w:rFonts w:asciiTheme="majorBidi" w:hAnsiTheme="majorBidi" w:cstheme="majorBidi"/>
        </w:rPr>
        <w:t xml:space="preserve"> 1 year   </w:t>
      </w:r>
      <w:r>
        <w:rPr>
          <w:rFonts w:asciiTheme="majorBidi" w:hAnsiTheme="majorBidi" w:cstheme="majorBidi"/>
          <w:lang w:val="en-US"/>
        </w:rPr>
        <w:fldChar w:fldCharType="begin">
          <w:ffData>
            <w:name w:val="Check1"/>
            <w:enabled/>
            <w:calcOnExit w:val="0"/>
            <w:checkBox>
              <w:sizeAuto/>
              <w:default w:val="1"/>
            </w:checkBox>
          </w:ffData>
        </w:fldChar>
      </w:r>
      <w:r>
        <w:rPr>
          <w:rFonts w:asciiTheme="majorBidi" w:hAnsiTheme="majorBidi" w:cstheme="majorBidi"/>
          <w:lang w:val="en-US"/>
        </w:rPr>
        <w:instrText xml:space="preserve"> FORMCHECKBOX </w:instrText>
      </w:r>
      <w:r w:rsidR="00F53395">
        <w:rPr>
          <w:rFonts w:asciiTheme="majorBidi" w:hAnsiTheme="majorBidi" w:cstheme="majorBidi"/>
          <w:lang w:val="en-US"/>
        </w:rPr>
      </w:r>
      <w:r w:rsidR="00F53395">
        <w:rPr>
          <w:rFonts w:asciiTheme="majorBidi" w:hAnsiTheme="majorBidi" w:cstheme="majorBidi"/>
          <w:lang w:val="en-US"/>
        </w:rPr>
        <w:fldChar w:fldCharType="separate"/>
      </w:r>
      <w:r>
        <w:rPr>
          <w:rFonts w:asciiTheme="majorBidi" w:hAnsiTheme="majorBidi" w:cstheme="majorBidi"/>
          <w:lang w:val="en-US"/>
        </w:rPr>
        <w:fldChar w:fldCharType="end"/>
      </w:r>
      <w:r>
        <w:rPr>
          <w:rFonts w:asciiTheme="majorBidi" w:hAnsiTheme="majorBidi" w:cstheme="majorBidi"/>
          <w:lang w:val="en-US"/>
        </w:rPr>
        <w:t xml:space="preserve"> </w:t>
      </w:r>
      <w:r>
        <w:rPr>
          <w:rFonts w:asciiTheme="majorBidi" w:hAnsiTheme="majorBidi" w:cstheme="majorBidi"/>
        </w:rPr>
        <w:t>2 years</w:t>
      </w:r>
    </w:p>
    <w:p w14:paraId="2DC59E9D" w14:textId="77777777" w:rsidR="003F3E26" w:rsidRDefault="003F3E26" w:rsidP="003F3E26">
      <w:pPr>
        <w:rPr>
          <w:rFonts w:asciiTheme="majorBidi" w:hAnsiTheme="majorBidi" w:cstheme="majorBidi"/>
        </w:rPr>
      </w:pPr>
      <w:r w:rsidRPr="004A5050">
        <w:rPr>
          <w:rFonts w:asciiTheme="majorBidi" w:hAnsiTheme="majorBidi" w:cstheme="majorBidi"/>
          <w:b/>
          <w:bCs/>
        </w:rPr>
        <w:t>Permission Granted By</w:t>
      </w:r>
      <w:r>
        <w:rPr>
          <w:rFonts w:asciiTheme="majorBidi" w:hAnsiTheme="majorBidi" w:cstheme="majorBidi"/>
        </w:rPr>
        <w:t>:</w:t>
      </w:r>
    </w:p>
    <w:p w14:paraId="1162B1AC" w14:textId="77777777" w:rsidR="003F3E26" w:rsidRDefault="003F3E26" w:rsidP="003F3E26">
      <w:pPr>
        <w:rPr>
          <w:rFonts w:asciiTheme="majorBidi" w:hAnsiTheme="majorBidi" w:cstheme="majorBidi"/>
        </w:rPr>
      </w:pPr>
      <w:r>
        <w:rPr>
          <w:rFonts w:asciiTheme="majorBidi" w:hAnsiTheme="majorBidi" w:cstheme="majorBidi"/>
        </w:rPr>
        <w:t>Name and Signature: Alanood Khalifa Al Kaabi</w:t>
      </w:r>
    </w:p>
    <w:p w14:paraId="1246D5A6" w14:textId="77777777" w:rsidR="003F3E26" w:rsidRDefault="003F3E26" w:rsidP="003F3E26">
      <w:pPr>
        <w:rPr>
          <w:rFonts w:asciiTheme="majorBidi" w:hAnsiTheme="majorBidi" w:cstheme="majorBidi"/>
        </w:rPr>
      </w:pPr>
      <w:r>
        <w:rPr>
          <w:rFonts w:asciiTheme="majorBidi" w:hAnsiTheme="majorBidi" w:cstheme="majorBidi"/>
        </w:rPr>
        <w:t>Date:</w:t>
      </w:r>
      <w:r>
        <w:rPr>
          <w:rFonts w:asciiTheme="majorBidi" w:hAnsiTheme="majorBidi" w:cstheme="majorBidi"/>
        </w:rPr>
        <w:tab/>
      </w:r>
      <w:r>
        <w:rPr>
          <w:rFonts w:asciiTheme="majorBidi" w:hAnsiTheme="majorBidi" w:cstheme="majorBidi"/>
        </w:rPr>
        <w:tab/>
        <w:t xml:space="preserve">           </w:t>
      </w:r>
      <w:r w:rsidR="00C52EF0">
        <w:rPr>
          <w:rFonts w:asciiTheme="majorBidi" w:hAnsiTheme="majorBidi" w:cstheme="majorBidi"/>
        </w:rPr>
        <w:t>January 2023</w:t>
      </w:r>
    </w:p>
    <w:p w14:paraId="427F03B1" w14:textId="77777777" w:rsidR="003F3E26" w:rsidRPr="00D05901" w:rsidRDefault="003F3E26" w:rsidP="003F3E26">
      <w:pPr>
        <w:rPr>
          <w:rFonts w:asciiTheme="majorBidi" w:hAnsiTheme="majorBidi" w:cstheme="majorBidi"/>
          <w:vertAlign w:val="subscript"/>
        </w:rPr>
      </w:pPr>
      <w:r>
        <w:rPr>
          <w:rFonts w:asciiTheme="majorBidi" w:hAnsiTheme="majorBidi" w:cstheme="majorBidi"/>
        </w:rPr>
        <w:t xml:space="preserve">Email: </w:t>
      </w:r>
      <w:r>
        <w:rPr>
          <w:rFonts w:asciiTheme="majorBidi" w:hAnsiTheme="majorBidi" w:cstheme="majorBidi"/>
        </w:rPr>
        <w:tab/>
      </w:r>
      <w:r>
        <w:rPr>
          <w:rFonts w:asciiTheme="majorBidi" w:hAnsiTheme="majorBidi" w:cstheme="majorBidi"/>
        </w:rPr>
        <w:tab/>
        <w:t xml:space="preserve">          anood.khalifa@gmail.com</w:t>
      </w:r>
    </w:p>
    <w:p w14:paraId="1DBD7498" w14:textId="77777777" w:rsidR="00932FB2" w:rsidRDefault="00932FB2" w:rsidP="00932FB2">
      <w:pPr>
        <w:pStyle w:val="Heading1"/>
        <w:spacing w:before="0" w:line="480" w:lineRule="auto"/>
        <w:jc w:val="center"/>
        <w:rPr>
          <w:rFonts w:asciiTheme="majorBidi" w:hAnsiTheme="majorBidi"/>
          <w:color w:val="auto"/>
          <w:lang w:val="en-US"/>
        </w:rPr>
      </w:pPr>
      <w:bookmarkStart w:id="5" w:name="_Toc138239767"/>
      <w:r w:rsidRPr="007875B2">
        <w:rPr>
          <w:rFonts w:asciiTheme="majorBidi" w:hAnsiTheme="majorBidi"/>
          <w:color w:val="auto"/>
          <w:lang w:val="en-US"/>
        </w:rPr>
        <w:t>Abstract</w:t>
      </w:r>
      <w:bookmarkEnd w:id="2"/>
      <w:bookmarkEnd w:id="3"/>
      <w:bookmarkEnd w:id="5"/>
    </w:p>
    <w:p w14:paraId="082EB627" w14:textId="77777777" w:rsidR="00DB1F74" w:rsidRPr="00E34267" w:rsidRDefault="00DB1F74" w:rsidP="00E34267">
      <w:pPr>
        <w:spacing w:after="0" w:line="480" w:lineRule="auto"/>
        <w:ind w:firstLine="720"/>
        <w:jc w:val="both"/>
        <w:rPr>
          <w:rFonts w:asciiTheme="majorBidi" w:hAnsiTheme="majorBidi" w:cstheme="majorBidi"/>
          <w:sz w:val="24"/>
          <w:szCs w:val="24"/>
          <w:lang w:val="en-US"/>
        </w:rPr>
      </w:pPr>
      <w:r w:rsidRPr="00E34267">
        <w:rPr>
          <w:rFonts w:asciiTheme="majorBidi" w:hAnsiTheme="majorBidi" w:cstheme="majorBidi"/>
          <w:b/>
          <w:bCs/>
          <w:sz w:val="24"/>
          <w:szCs w:val="24"/>
          <w:lang w:val="en-US"/>
        </w:rPr>
        <w:t>Purpose:</w:t>
      </w:r>
      <w:r w:rsidRPr="00E34267">
        <w:rPr>
          <w:rFonts w:asciiTheme="majorBidi" w:hAnsiTheme="majorBidi" w:cstheme="majorBidi"/>
          <w:sz w:val="24"/>
          <w:szCs w:val="24"/>
          <w:lang w:val="en-US"/>
        </w:rPr>
        <w:t xml:space="preserve"> This study aimed to explore the relationships between school cost, school quality, and students’ achievement in private schools in the UAE. Moreover, it also aimed to determine the extent to which socio-economic factors </w:t>
      </w:r>
      <w:r w:rsidR="00580AF5">
        <w:rPr>
          <w:rFonts w:asciiTheme="majorBidi" w:hAnsiTheme="majorBidi" w:cstheme="majorBidi"/>
          <w:sz w:val="24"/>
          <w:szCs w:val="24"/>
          <w:lang w:val="en-US"/>
        </w:rPr>
        <w:t xml:space="preserve">in </w:t>
      </w:r>
      <w:r w:rsidR="00580AF5" w:rsidRPr="00580AF5">
        <w:rPr>
          <w:rFonts w:asciiTheme="majorBidi" w:hAnsiTheme="majorBidi" w:cstheme="majorBidi"/>
          <w:sz w:val="24"/>
          <w:szCs w:val="24"/>
          <w:lang w:val="en-US"/>
        </w:rPr>
        <w:t xml:space="preserve">terms of income and education </w:t>
      </w:r>
      <w:r w:rsidRPr="00E34267">
        <w:rPr>
          <w:rFonts w:asciiTheme="majorBidi" w:hAnsiTheme="majorBidi" w:cstheme="majorBidi"/>
          <w:sz w:val="24"/>
          <w:szCs w:val="24"/>
          <w:lang w:val="en-US"/>
        </w:rPr>
        <w:t>influence student outcomes.</w:t>
      </w:r>
    </w:p>
    <w:p w14:paraId="030E9BDC" w14:textId="77777777" w:rsidR="00DB1F74" w:rsidRPr="00E34267" w:rsidRDefault="00DB1F74" w:rsidP="00E34267">
      <w:pPr>
        <w:spacing w:after="0" w:line="480" w:lineRule="auto"/>
        <w:ind w:firstLine="720"/>
        <w:jc w:val="both"/>
        <w:rPr>
          <w:rFonts w:asciiTheme="majorBidi" w:hAnsiTheme="majorBidi" w:cstheme="majorBidi"/>
          <w:sz w:val="24"/>
          <w:szCs w:val="24"/>
          <w:lang w:val="en-US"/>
        </w:rPr>
      </w:pPr>
      <w:r w:rsidRPr="00E34267">
        <w:rPr>
          <w:rFonts w:asciiTheme="majorBidi" w:hAnsiTheme="majorBidi" w:cstheme="majorBidi"/>
          <w:b/>
          <w:bCs/>
          <w:sz w:val="24"/>
          <w:szCs w:val="24"/>
          <w:lang w:val="en-US"/>
        </w:rPr>
        <w:t>Methodology:</w:t>
      </w:r>
      <w:r w:rsidRPr="00E34267">
        <w:rPr>
          <w:rFonts w:asciiTheme="majorBidi" w:hAnsiTheme="majorBidi" w:cstheme="majorBidi"/>
          <w:sz w:val="24"/>
          <w:szCs w:val="24"/>
          <w:lang w:val="en-US"/>
        </w:rPr>
        <w:t xml:space="preserve"> </w:t>
      </w:r>
      <w:bookmarkStart w:id="6" w:name="_Hlk105257761"/>
      <w:r w:rsidRPr="00E34267">
        <w:rPr>
          <w:rFonts w:asciiTheme="majorBidi" w:hAnsiTheme="majorBidi" w:cstheme="majorBidi"/>
          <w:sz w:val="24"/>
          <w:szCs w:val="24"/>
          <w:lang w:val="en-US"/>
        </w:rPr>
        <w:t>A quantitative survey research design was employed by distributing a survey to students’ parents in private schools (n=400) who were selected randomly</w:t>
      </w:r>
      <w:bookmarkEnd w:id="6"/>
      <w:r w:rsidRPr="00E34267">
        <w:rPr>
          <w:rFonts w:asciiTheme="majorBidi" w:hAnsiTheme="majorBidi" w:cstheme="majorBidi"/>
          <w:sz w:val="24"/>
          <w:szCs w:val="24"/>
          <w:lang w:val="en-US"/>
        </w:rPr>
        <w:t xml:space="preserve">. The data were analyzed using SPSS software. Therefore, descriptive statistics, correlation analysis, linear regression, and multiple regression analysis were used to provide a comprehensive understanding of the relationships between the variables. </w:t>
      </w:r>
    </w:p>
    <w:p w14:paraId="627E0868" w14:textId="77777777" w:rsidR="00DB1F74" w:rsidRPr="00E34267" w:rsidRDefault="00DB1F74" w:rsidP="00E34267">
      <w:pPr>
        <w:spacing w:after="0" w:line="480" w:lineRule="auto"/>
        <w:ind w:firstLine="720"/>
        <w:jc w:val="both"/>
        <w:rPr>
          <w:rFonts w:asciiTheme="majorBidi" w:hAnsiTheme="majorBidi" w:cstheme="majorBidi"/>
          <w:sz w:val="24"/>
          <w:szCs w:val="24"/>
          <w:lang w:val="en-US"/>
        </w:rPr>
      </w:pPr>
      <w:bookmarkStart w:id="7" w:name="_Hlk105257793"/>
      <w:r w:rsidRPr="00E34267">
        <w:rPr>
          <w:rFonts w:asciiTheme="majorBidi" w:hAnsiTheme="majorBidi" w:cstheme="majorBidi"/>
          <w:b/>
          <w:bCs/>
          <w:sz w:val="24"/>
          <w:szCs w:val="24"/>
          <w:lang w:val="en-US"/>
        </w:rPr>
        <w:t>Findings:</w:t>
      </w:r>
      <w:r w:rsidRPr="00E34267">
        <w:rPr>
          <w:rFonts w:asciiTheme="majorBidi" w:hAnsiTheme="majorBidi" w:cstheme="majorBidi"/>
          <w:sz w:val="24"/>
          <w:szCs w:val="24"/>
          <w:lang w:val="en-US"/>
        </w:rPr>
        <w:t xml:space="preserve"> A significant positive association was found between school costs and school quality. Furthermore, parents reported that their children’s outcomes were significantly associated with the costs that they paid to schools. Additionally, school quality had a significant impact on students’ achievement and explained approximately 38 percent of the variation in students’ achievement. The results also demonstrated a significant association between school cost, parents’ income, and students’ outcomes. </w:t>
      </w:r>
    </w:p>
    <w:bookmarkEnd w:id="7"/>
    <w:p w14:paraId="1815748C" w14:textId="77777777" w:rsidR="00DB1F74" w:rsidRPr="00E34267" w:rsidRDefault="00DB1F74" w:rsidP="00E34267">
      <w:pPr>
        <w:spacing w:after="0" w:line="480" w:lineRule="auto"/>
        <w:ind w:firstLine="720"/>
        <w:jc w:val="both"/>
        <w:rPr>
          <w:rFonts w:asciiTheme="majorBidi" w:hAnsiTheme="majorBidi" w:cstheme="majorBidi"/>
          <w:sz w:val="24"/>
          <w:szCs w:val="24"/>
          <w:lang w:val="en-US"/>
        </w:rPr>
      </w:pPr>
      <w:r w:rsidRPr="00E34267">
        <w:rPr>
          <w:rFonts w:asciiTheme="majorBidi" w:hAnsiTheme="majorBidi" w:cstheme="majorBidi"/>
          <w:b/>
          <w:bCs/>
          <w:sz w:val="24"/>
          <w:szCs w:val="24"/>
          <w:lang w:val="en-US"/>
        </w:rPr>
        <w:t>Originality/value:</w:t>
      </w:r>
      <w:r w:rsidRPr="00E34267">
        <w:rPr>
          <w:rFonts w:asciiTheme="majorBidi" w:hAnsiTheme="majorBidi" w:cstheme="majorBidi"/>
          <w:sz w:val="24"/>
          <w:szCs w:val="24"/>
          <w:lang w:val="en-US"/>
        </w:rPr>
        <w:t xml:space="preserve"> This study explores the relationships between school cost, school quality, and students’ achievements. Additionally, it examines the influence of socioeconomic factors on the relationships between the study variables. The context of this study is the United Arab Emirates (UAE).</w:t>
      </w:r>
    </w:p>
    <w:p w14:paraId="0A24E585" w14:textId="77777777" w:rsidR="003C3699" w:rsidRDefault="003C3699" w:rsidP="003C3699">
      <w:pPr>
        <w:rPr>
          <w:lang w:val="en-US"/>
        </w:rPr>
      </w:pPr>
    </w:p>
    <w:p w14:paraId="4485DDCF" w14:textId="77777777" w:rsidR="003C3699" w:rsidRPr="003C3699" w:rsidRDefault="003C3699" w:rsidP="003C3699">
      <w:pPr>
        <w:rPr>
          <w:lang w:val="en-US"/>
        </w:rPr>
      </w:pPr>
    </w:p>
    <w:p w14:paraId="5E9B1468" w14:textId="77777777" w:rsidR="003C3699" w:rsidRPr="007875B2" w:rsidRDefault="003C3699" w:rsidP="003C3699">
      <w:pPr>
        <w:pStyle w:val="Heading1"/>
        <w:spacing w:before="0" w:line="480" w:lineRule="auto"/>
        <w:jc w:val="center"/>
        <w:rPr>
          <w:rFonts w:asciiTheme="majorBidi" w:hAnsiTheme="majorBidi"/>
          <w:b w:val="0"/>
          <w:bCs w:val="0"/>
          <w:color w:val="auto"/>
          <w:lang w:val="en-US"/>
        </w:rPr>
      </w:pPr>
      <w:bookmarkStart w:id="8" w:name="_Toc51179090"/>
      <w:bookmarkStart w:id="9" w:name="_Toc56888866"/>
      <w:bookmarkStart w:id="10" w:name="_Toc138239768"/>
      <w:r w:rsidRPr="007875B2">
        <w:rPr>
          <w:rFonts w:asciiTheme="majorBidi" w:hAnsiTheme="majorBidi"/>
          <w:color w:val="auto"/>
          <w:lang w:val="en-US"/>
        </w:rPr>
        <w:t xml:space="preserve">List of </w:t>
      </w:r>
      <w:r w:rsidR="00180CD3">
        <w:rPr>
          <w:rFonts w:asciiTheme="majorBidi" w:hAnsiTheme="majorBidi"/>
          <w:color w:val="auto"/>
          <w:lang w:val="en-US"/>
        </w:rPr>
        <w:t>a</w:t>
      </w:r>
      <w:r w:rsidRPr="007875B2">
        <w:rPr>
          <w:rFonts w:asciiTheme="majorBidi" w:hAnsiTheme="majorBidi"/>
          <w:color w:val="auto"/>
          <w:lang w:val="en-US"/>
        </w:rPr>
        <w:t>bbreviation</w:t>
      </w:r>
      <w:bookmarkEnd w:id="8"/>
      <w:r w:rsidRPr="007875B2">
        <w:rPr>
          <w:rFonts w:asciiTheme="majorBidi" w:hAnsiTheme="majorBidi"/>
          <w:color w:val="auto"/>
          <w:lang w:val="en-US"/>
        </w:rPr>
        <w:t>s</w:t>
      </w:r>
      <w:bookmarkEnd w:id="9"/>
      <w:bookmarkEnd w:id="10"/>
    </w:p>
    <w:tbl>
      <w:tblPr>
        <w:tblStyle w:val="GridTable6Colorfu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35"/>
        <w:gridCol w:w="6485"/>
      </w:tblGrid>
      <w:tr w:rsidR="00377A31" w:rsidRPr="00E34267" w14:paraId="7EA0BEBE" w14:textId="77777777" w:rsidTr="002E7B37">
        <w:trPr>
          <w:cnfStyle w:val="100000000000" w:firstRow="1" w:lastRow="0" w:firstColumn="0" w:lastColumn="0" w:oddVBand="0" w:evenVBand="0" w:oddHBand="0"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1435" w:type="dxa"/>
            <w:tcBorders>
              <w:bottom w:val="none" w:sz="0" w:space="0" w:color="auto"/>
            </w:tcBorders>
            <w:shd w:val="clear" w:color="auto" w:fill="auto"/>
          </w:tcPr>
          <w:p w14:paraId="7E6ABB2F" w14:textId="77777777" w:rsidR="00377A31" w:rsidRPr="00E34267" w:rsidRDefault="00377A31" w:rsidP="00377A31">
            <w:pPr>
              <w:spacing w:line="360" w:lineRule="auto"/>
              <w:rPr>
                <w:rFonts w:asciiTheme="majorBidi" w:hAnsiTheme="majorBidi" w:cstheme="majorBidi"/>
                <w:b w:val="0"/>
                <w:bCs w:val="0"/>
                <w:sz w:val="24"/>
                <w:szCs w:val="24"/>
              </w:rPr>
            </w:pPr>
            <w:r w:rsidRPr="00E34267">
              <w:rPr>
                <w:rFonts w:asciiTheme="majorBidi" w:eastAsia="Times New Roman" w:hAnsiTheme="majorBidi" w:cstheme="majorBidi"/>
                <w:b w:val="0"/>
                <w:bCs w:val="0"/>
                <w:color w:val="000000"/>
                <w:sz w:val="24"/>
                <w:szCs w:val="24"/>
                <w:lang w:val="en-IN"/>
              </w:rPr>
              <w:t>UAE</w:t>
            </w:r>
          </w:p>
        </w:tc>
        <w:tc>
          <w:tcPr>
            <w:tcW w:w="6485" w:type="dxa"/>
            <w:tcBorders>
              <w:bottom w:val="none" w:sz="0" w:space="0" w:color="auto"/>
            </w:tcBorders>
            <w:shd w:val="clear" w:color="auto" w:fill="auto"/>
          </w:tcPr>
          <w:p w14:paraId="5F9BFF5F" w14:textId="77777777" w:rsidR="00377A31" w:rsidRPr="00E34267" w:rsidRDefault="00377A31" w:rsidP="00377A31">
            <w:pPr>
              <w:spacing w:line="360" w:lineRule="auto"/>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color w:val="000000"/>
                <w:sz w:val="24"/>
                <w:szCs w:val="24"/>
                <w:lang w:val="en-IN"/>
              </w:rPr>
            </w:pPr>
            <w:r w:rsidRPr="00E34267">
              <w:rPr>
                <w:rFonts w:asciiTheme="majorBidi" w:eastAsia="Times New Roman" w:hAnsiTheme="majorBidi" w:cstheme="majorBidi"/>
                <w:b w:val="0"/>
                <w:bCs w:val="0"/>
                <w:color w:val="000000"/>
                <w:sz w:val="24"/>
                <w:szCs w:val="24"/>
                <w:lang w:val="en-IN"/>
              </w:rPr>
              <w:t>United Arab Emirates</w:t>
            </w:r>
          </w:p>
        </w:tc>
      </w:tr>
      <w:tr w:rsidR="00377A31" w:rsidRPr="00E34267" w14:paraId="4AC978C6" w14:textId="77777777" w:rsidTr="002E7B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5" w:type="dxa"/>
            <w:shd w:val="clear" w:color="auto" w:fill="auto"/>
          </w:tcPr>
          <w:p w14:paraId="77C27A0D" w14:textId="77777777" w:rsidR="00377A31" w:rsidRPr="00E34267" w:rsidRDefault="00377A31" w:rsidP="00377A31">
            <w:pPr>
              <w:spacing w:line="360" w:lineRule="auto"/>
              <w:rPr>
                <w:rFonts w:asciiTheme="majorBidi" w:hAnsiTheme="majorBidi" w:cstheme="majorBidi"/>
                <w:b w:val="0"/>
                <w:bCs w:val="0"/>
                <w:sz w:val="24"/>
                <w:szCs w:val="24"/>
              </w:rPr>
            </w:pPr>
            <w:r w:rsidRPr="00E34267">
              <w:rPr>
                <w:rFonts w:asciiTheme="majorBidi" w:eastAsia="Calibri" w:hAnsiTheme="majorBidi" w:cstheme="majorBidi"/>
                <w:b w:val="0"/>
                <w:bCs w:val="0"/>
                <w:sz w:val="24"/>
                <w:szCs w:val="24"/>
              </w:rPr>
              <w:t>ADEK</w:t>
            </w:r>
          </w:p>
        </w:tc>
        <w:tc>
          <w:tcPr>
            <w:tcW w:w="6485" w:type="dxa"/>
            <w:shd w:val="clear" w:color="auto" w:fill="auto"/>
          </w:tcPr>
          <w:p w14:paraId="7AD14ED0" w14:textId="77777777" w:rsidR="00377A31" w:rsidRPr="00E34267" w:rsidRDefault="00377A31" w:rsidP="00377A31">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34267">
              <w:rPr>
                <w:rFonts w:asciiTheme="majorBidi" w:eastAsia="Calibri" w:hAnsiTheme="majorBidi" w:cstheme="majorBidi"/>
                <w:sz w:val="24"/>
                <w:szCs w:val="24"/>
              </w:rPr>
              <w:t xml:space="preserve">Abu Dhabi Department of Education and Knowledge </w:t>
            </w:r>
          </w:p>
        </w:tc>
      </w:tr>
      <w:tr w:rsidR="00377A31" w:rsidRPr="00E34267" w14:paraId="408AB5FD" w14:textId="77777777" w:rsidTr="002E7B37">
        <w:tc>
          <w:tcPr>
            <w:cnfStyle w:val="001000000000" w:firstRow="0" w:lastRow="0" w:firstColumn="1" w:lastColumn="0" w:oddVBand="0" w:evenVBand="0" w:oddHBand="0" w:evenHBand="0" w:firstRowFirstColumn="0" w:firstRowLastColumn="0" w:lastRowFirstColumn="0" w:lastRowLastColumn="0"/>
            <w:tcW w:w="1435" w:type="dxa"/>
            <w:shd w:val="clear" w:color="auto" w:fill="auto"/>
          </w:tcPr>
          <w:p w14:paraId="2E2B1D78" w14:textId="77777777" w:rsidR="00377A31" w:rsidRPr="00E34267" w:rsidRDefault="00377A31" w:rsidP="00377A31">
            <w:pPr>
              <w:spacing w:line="360" w:lineRule="auto"/>
              <w:rPr>
                <w:rFonts w:asciiTheme="majorBidi" w:hAnsiTheme="majorBidi" w:cstheme="majorBidi"/>
                <w:b w:val="0"/>
                <w:bCs w:val="0"/>
                <w:sz w:val="24"/>
                <w:szCs w:val="24"/>
              </w:rPr>
            </w:pPr>
            <w:r w:rsidRPr="00E34267">
              <w:rPr>
                <w:rFonts w:asciiTheme="majorBidi" w:eastAsia="Calibri" w:hAnsiTheme="majorBidi" w:cstheme="majorBidi"/>
                <w:b w:val="0"/>
                <w:bCs w:val="0"/>
                <w:sz w:val="24"/>
                <w:szCs w:val="24"/>
              </w:rPr>
              <w:t>MOE</w:t>
            </w:r>
          </w:p>
        </w:tc>
        <w:tc>
          <w:tcPr>
            <w:tcW w:w="6485" w:type="dxa"/>
            <w:shd w:val="clear" w:color="auto" w:fill="auto"/>
          </w:tcPr>
          <w:p w14:paraId="471660C1" w14:textId="77777777" w:rsidR="00377A31" w:rsidRPr="00E34267" w:rsidRDefault="00377A31" w:rsidP="00377A31">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E34267">
              <w:rPr>
                <w:rFonts w:asciiTheme="majorBidi" w:eastAsia="Calibri" w:hAnsiTheme="majorBidi" w:cstheme="majorBidi"/>
                <w:sz w:val="24"/>
                <w:szCs w:val="24"/>
              </w:rPr>
              <w:t xml:space="preserve">Ministry of Education </w:t>
            </w:r>
          </w:p>
        </w:tc>
      </w:tr>
      <w:tr w:rsidR="00377A31" w:rsidRPr="00E34267" w14:paraId="647024C2" w14:textId="77777777" w:rsidTr="002E7B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5" w:type="dxa"/>
            <w:shd w:val="clear" w:color="auto" w:fill="auto"/>
          </w:tcPr>
          <w:p w14:paraId="247477A4" w14:textId="77777777" w:rsidR="00377A31" w:rsidRPr="00E34267" w:rsidRDefault="00377A31" w:rsidP="00377A31">
            <w:pPr>
              <w:spacing w:line="360" w:lineRule="auto"/>
              <w:rPr>
                <w:rFonts w:asciiTheme="majorBidi" w:hAnsiTheme="majorBidi" w:cstheme="majorBidi"/>
                <w:b w:val="0"/>
                <w:bCs w:val="0"/>
                <w:sz w:val="24"/>
                <w:szCs w:val="24"/>
              </w:rPr>
            </w:pPr>
            <w:r w:rsidRPr="00E34267">
              <w:rPr>
                <w:rFonts w:asciiTheme="majorBidi" w:hAnsiTheme="majorBidi" w:cstheme="majorBidi"/>
                <w:b w:val="0"/>
                <w:bCs w:val="0"/>
                <w:sz w:val="24"/>
                <w:szCs w:val="24"/>
              </w:rPr>
              <w:t>K-12</w:t>
            </w:r>
          </w:p>
        </w:tc>
        <w:tc>
          <w:tcPr>
            <w:tcW w:w="6485" w:type="dxa"/>
            <w:shd w:val="clear" w:color="auto" w:fill="auto"/>
          </w:tcPr>
          <w:p w14:paraId="231E820E" w14:textId="77777777" w:rsidR="00377A31" w:rsidRPr="00E34267" w:rsidRDefault="00377A31" w:rsidP="00377A31">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K</w:t>
            </w:r>
            <w:r w:rsidRPr="00E34267">
              <w:rPr>
                <w:rFonts w:asciiTheme="majorBidi" w:hAnsiTheme="majorBidi" w:cstheme="majorBidi"/>
                <w:sz w:val="24"/>
                <w:szCs w:val="24"/>
              </w:rPr>
              <w:t xml:space="preserve">indergarten to12th grade </w:t>
            </w:r>
          </w:p>
        </w:tc>
      </w:tr>
      <w:tr w:rsidR="00377A31" w:rsidRPr="00E34267" w14:paraId="2B501E21" w14:textId="77777777" w:rsidTr="002E7B37">
        <w:tc>
          <w:tcPr>
            <w:cnfStyle w:val="001000000000" w:firstRow="0" w:lastRow="0" w:firstColumn="1" w:lastColumn="0" w:oddVBand="0" w:evenVBand="0" w:oddHBand="0" w:evenHBand="0" w:firstRowFirstColumn="0" w:firstRowLastColumn="0" w:lastRowFirstColumn="0" w:lastRowLastColumn="0"/>
            <w:tcW w:w="1435" w:type="dxa"/>
            <w:shd w:val="clear" w:color="auto" w:fill="auto"/>
          </w:tcPr>
          <w:p w14:paraId="3D3EFFDE" w14:textId="77777777" w:rsidR="00377A31" w:rsidRPr="00E34267" w:rsidRDefault="00377A31" w:rsidP="00377A31">
            <w:pPr>
              <w:spacing w:line="360" w:lineRule="auto"/>
              <w:rPr>
                <w:rFonts w:asciiTheme="majorBidi" w:hAnsiTheme="majorBidi" w:cstheme="majorBidi"/>
                <w:b w:val="0"/>
                <w:bCs w:val="0"/>
                <w:sz w:val="24"/>
                <w:szCs w:val="24"/>
              </w:rPr>
            </w:pPr>
            <w:r w:rsidRPr="00E34267">
              <w:rPr>
                <w:rFonts w:asciiTheme="majorBidi" w:hAnsiTheme="majorBidi" w:cstheme="majorBidi"/>
                <w:b w:val="0"/>
                <w:bCs w:val="0"/>
                <w:sz w:val="24"/>
                <w:szCs w:val="24"/>
                <w:lang w:val="en-IN"/>
              </w:rPr>
              <w:t>PWC</w:t>
            </w:r>
          </w:p>
        </w:tc>
        <w:tc>
          <w:tcPr>
            <w:tcW w:w="6485" w:type="dxa"/>
            <w:shd w:val="clear" w:color="auto" w:fill="auto"/>
          </w:tcPr>
          <w:p w14:paraId="34EAB5E0" w14:textId="77777777" w:rsidR="00377A31" w:rsidRPr="00E34267" w:rsidRDefault="00377A31" w:rsidP="00377A31">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E34267">
              <w:rPr>
                <w:rFonts w:asciiTheme="majorBidi" w:hAnsiTheme="majorBidi" w:cstheme="majorBidi"/>
                <w:sz w:val="24"/>
                <w:szCs w:val="24"/>
                <w:lang w:val="en-IN"/>
              </w:rPr>
              <w:t>Price</w:t>
            </w:r>
            <w:r>
              <w:rPr>
                <w:rFonts w:asciiTheme="majorBidi" w:hAnsiTheme="majorBidi" w:cstheme="majorBidi"/>
                <w:sz w:val="24"/>
                <w:szCs w:val="24"/>
                <w:lang w:val="en-IN"/>
              </w:rPr>
              <w:t xml:space="preserve"> W</w:t>
            </w:r>
            <w:r w:rsidRPr="00E34267">
              <w:rPr>
                <w:rFonts w:asciiTheme="majorBidi" w:hAnsiTheme="majorBidi" w:cstheme="majorBidi"/>
                <w:sz w:val="24"/>
                <w:szCs w:val="24"/>
                <w:lang w:val="en-IN"/>
              </w:rPr>
              <w:t>aterhouse</w:t>
            </w:r>
            <w:r>
              <w:rPr>
                <w:rFonts w:asciiTheme="majorBidi" w:hAnsiTheme="majorBidi" w:cstheme="majorBidi"/>
                <w:sz w:val="24"/>
                <w:szCs w:val="24"/>
                <w:lang w:val="en-IN"/>
              </w:rPr>
              <w:t xml:space="preserve"> </w:t>
            </w:r>
            <w:r w:rsidRPr="00E34267">
              <w:rPr>
                <w:rFonts w:asciiTheme="majorBidi" w:hAnsiTheme="majorBidi" w:cstheme="majorBidi"/>
                <w:sz w:val="24"/>
                <w:szCs w:val="24"/>
                <w:lang w:val="en-IN"/>
              </w:rPr>
              <w:t xml:space="preserve">Coopers </w:t>
            </w:r>
          </w:p>
        </w:tc>
      </w:tr>
      <w:tr w:rsidR="00377A31" w:rsidRPr="00E34267" w14:paraId="6A932A8D" w14:textId="77777777" w:rsidTr="002E7B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5" w:type="dxa"/>
            <w:shd w:val="clear" w:color="auto" w:fill="auto"/>
          </w:tcPr>
          <w:p w14:paraId="3BA0A3F7" w14:textId="77777777" w:rsidR="00377A31" w:rsidRPr="00E34267" w:rsidRDefault="00377A31" w:rsidP="00377A31">
            <w:pPr>
              <w:spacing w:line="360" w:lineRule="auto"/>
              <w:rPr>
                <w:rFonts w:asciiTheme="majorBidi" w:hAnsiTheme="majorBidi" w:cstheme="majorBidi"/>
                <w:b w:val="0"/>
                <w:bCs w:val="0"/>
                <w:sz w:val="24"/>
                <w:szCs w:val="24"/>
              </w:rPr>
            </w:pPr>
            <w:r w:rsidRPr="00E34267">
              <w:rPr>
                <w:rFonts w:asciiTheme="majorBidi" w:hAnsiTheme="majorBidi" w:cstheme="majorBidi"/>
                <w:b w:val="0"/>
                <w:bCs w:val="0"/>
                <w:sz w:val="24"/>
                <w:szCs w:val="24"/>
                <w:lang w:val="en-IN"/>
              </w:rPr>
              <w:t xml:space="preserve">PISA </w:t>
            </w:r>
          </w:p>
        </w:tc>
        <w:tc>
          <w:tcPr>
            <w:tcW w:w="6485" w:type="dxa"/>
            <w:shd w:val="clear" w:color="auto" w:fill="auto"/>
          </w:tcPr>
          <w:p w14:paraId="1CBF1B9D" w14:textId="77777777" w:rsidR="00377A31" w:rsidRPr="00E34267" w:rsidRDefault="00377A31" w:rsidP="00377A31">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34267">
              <w:rPr>
                <w:rFonts w:asciiTheme="majorBidi" w:hAnsiTheme="majorBidi" w:cstheme="majorBidi"/>
                <w:sz w:val="24"/>
                <w:szCs w:val="24"/>
                <w:lang w:val="en-IN"/>
              </w:rPr>
              <w:t>Program for International Student Assessment</w:t>
            </w:r>
          </w:p>
        </w:tc>
      </w:tr>
      <w:tr w:rsidR="00377A31" w:rsidRPr="00E34267" w14:paraId="73E9EC93" w14:textId="77777777" w:rsidTr="002E7B37">
        <w:tc>
          <w:tcPr>
            <w:cnfStyle w:val="001000000000" w:firstRow="0" w:lastRow="0" w:firstColumn="1" w:lastColumn="0" w:oddVBand="0" w:evenVBand="0" w:oddHBand="0" w:evenHBand="0" w:firstRowFirstColumn="0" w:firstRowLastColumn="0" w:lastRowFirstColumn="0" w:lastRowLastColumn="0"/>
            <w:tcW w:w="1435" w:type="dxa"/>
            <w:shd w:val="clear" w:color="auto" w:fill="auto"/>
          </w:tcPr>
          <w:p w14:paraId="2AD45F3B" w14:textId="77777777" w:rsidR="00377A31" w:rsidRPr="00E34267" w:rsidRDefault="00377A31" w:rsidP="00377A31">
            <w:pPr>
              <w:spacing w:line="360" w:lineRule="auto"/>
              <w:rPr>
                <w:rFonts w:asciiTheme="majorBidi" w:hAnsiTheme="majorBidi" w:cstheme="majorBidi"/>
                <w:b w:val="0"/>
                <w:bCs w:val="0"/>
                <w:sz w:val="24"/>
                <w:szCs w:val="24"/>
              </w:rPr>
            </w:pPr>
            <w:r w:rsidRPr="00E34267">
              <w:rPr>
                <w:rFonts w:asciiTheme="majorBidi" w:hAnsiTheme="majorBidi" w:cstheme="majorBidi"/>
                <w:b w:val="0"/>
                <w:bCs w:val="0"/>
                <w:sz w:val="24"/>
                <w:szCs w:val="24"/>
                <w:lang w:val="en-IN"/>
              </w:rPr>
              <w:t>TIMSS</w:t>
            </w:r>
          </w:p>
        </w:tc>
        <w:tc>
          <w:tcPr>
            <w:tcW w:w="6485" w:type="dxa"/>
            <w:shd w:val="clear" w:color="auto" w:fill="auto"/>
          </w:tcPr>
          <w:p w14:paraId="30562583" w14:textId="77777777" w:rsidR="00377A31" w:rsidRPr="00E34267" w:rsidRDefault="00377A31" w:rsidP="00377A31">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E34267">
              <w:rPr>
                <w:rFonts w:asciiTheme="majorBidi" w:hAnsiTheme="majorBidi" w:cstheme="majorBidi"/>
                <w:sz w:val="24"/>
                <w:szCs w:val="24"/>
              </w:rPr>
              <w:t>Trends in Global Mathematics and Science Study</w:t>
            </w:r>
          </w:p>
        </w:tc>
      </w:tr>
      <w:tr w:rsidR="00377A31" w:rsidRPr="00E34267" w14:paraId="67B76A3A" w14:textId="77777777" w:rsidTr="002E7B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5" w:type="dxa"/>
            <w:shd w:val="clear" w:color="auto" w:fill="auto"/>
          </w:tcPr>
          <w:p w14:paraId="7025C95F" w14:textId="77777777" w:rsidR="00377A31" w:rsidRPr="00E34267" w:rsidRDefault="00377A31" w:rsidP="00377A31">
            <w:pPr>
              <w:spacing w:line="360" w:lineRule="auto"/>
              <w:rPr>
                <w:rFonts w:asciiTheme="majorBidi" w:hAnsiTheme="majorBidi" w:cstheme="majorBidi"/>
                <w:b w:val="0"/>
                <w:bCs w:val="0"/>
                <w:sz w:val="24"/>
                <w:szCs w:val="24"/>
              </w:rPr>
            </w:pPr>
            <w:r w:rsidRPr="00E34267">
              <w:rPr>
                <w:rFonts w:asciiTheme="majorBidi" w:hAnsiTheme="majorBidi" w:cstheme="majorBidi"/>
                <w:b w:val="0"/>
                <w:bCs w:val="0"/>
                <w:sz w:val="24"/>
                <w:szCs w:val="24"/>
              </w:rPr>
              <w:t>ADEC</w:t>
            </w:r>
          </w:p>
        </w:tc>
        <w:tc>
          <w:tcPr>
            <w:tcW w:w="6485" w:type="dxa"/>
            <w:shd w:val="clear" w:color="auto" w:fill="auto"/>
          </w:tcPr>
          <w:p w14:paraId="74AB3905" w14:textId="77777777" w:rsidR="00377A31" w:rsidRPr="00E34267" w:rsidRDefault="00377A31" w:rsidP="00377A31">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34267">
              <w:rPr>
                <w:rFonts w:asciiTheme="majorBidi" w:hAnsiTheme="majorBidi" w:cstheme="majorBidi"/>
                <w:sz w:val="24"/>
                <w:szCs w:val="24"/>
              </w:rPr>
              <w:t xml:space="preserve">Abu Dhabi Education Council </w:t>
            </w:r>
          </w:p>
        </w:tc>
      </w:tr>
      <w:tr w:rsidR="00377A31" w:rsidRPr="00E34267" w14:paraId="72A6B964" w14:textId="77777777" w:rsidTr="002E7B37">
        <w:tc>
          <w:tcPr>
            <w:cnfStyle w:val="001000000000" w:firstRow="0" w:lastRow="0" w:firstColumn="1" w:lastColumn="0" w:oddVBand="0" w:evenVBand="0" w:oddHBand="0" w:evenHBand="0" w:firstRowFirstColumn="0" w:firstRowLastColumn="0" w:lastRowFirstColumn="0" w:lastRowLastColumn="0"/>
            <w:tcW w:w="1435" w:type="dxa"/>
            <w:shd w:val="clear" w:color="auto" w:fill="auto"/>
          </w:tcPr>
          <w:p w14:paraId="02732531" w14:textId="77777777" w:rsidR="00377A31" w:rsidRPr="00E34267" w:rsidRDefault="00377A31" w:rsidP="00377A31">
            <w:pPr>
              <w:spacing w:line="360" w:lineRule="auto"/>
              <w:rPr>
                <w:rFonts w:asciiTheme="majorBidi" w:hAnsiTheme="majorBidi" w:cstheme="majorBidi"/>
                <w:b w:val="0"/>
                <w:bCs w:val="0"/>
                <w:sz w:val="24"/>
                <w:szCs w:val="24"/>
              </w:rPr>
            </w:pPr>
            <w:r w:rsidRPr="00E34267">
              <w:rPr>
                <w:rFonts w:asciiTheme="majorBidi" w:hAnsiTheme="majorBidi" w:cstheme="majorBidi"/>
                <w:b w:val="0"/>
                <w:bCs w:val="0"/>
                <w:sz w:val="24"/>
                <w:szCs w:val="24"/>
              </w:rPr>
              <w:t>GCC</w:t>
            </w:r>
          </w:p>
        </w:tc>
        <w:tc>
          <w:tcPr>
            <w:tcW w:w="6485" w:type="dxa"/>
            <w:shd w:val="clear" w:color="auto" w:fill="auto"/>
          </w:tcPr>
          <w:p w14:paraId="16666E6B" w14:textId="77777777" w:rsidR="00377A31" w:rsidRPr="00E34267" w:rsidRDefault="00377A31" w:rsidP="00377A31">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Gulf Co-operation</w:t>
            </w:r>
            <w:r w:rsidRPr="00E34267">
              <w:rPr>
                <w:rFonts w:asciiTheme="majorBidi" w:hAnsiTheme="majorBidi" w:cstheme="majorBidi"/>
                <w:sz w:val="24"/>
                <w:szCs w:val="24"/>
              </w:rPr>
              <w:t xml:space="preserve"> Council</w:t>
            </w:r>
          </w:p>
        </w:tc>
      </w:tr>
      <w:tr w:rsidR="00377A31" w:rsidRPr="00E34267" w14:paraId="6E988EB4" w14:textId="77777777" w:rsidTr="002E7B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5" w:type="dxa"/>
            <w:shd w:val="clear" w:color="auto" w:fill="auto"/>
          </w:tcPr>
          <w:p w14:paraId="01231CDB" w14:textId="77777777" w:rsidR="00377A31" w:rsidRPr="00E34267" w:rsidRDefault="00377A31" w:rsidP="00377A31">
            <w:pPr>
              <w:spacing w:line="360" w:lineRule="auto"/>
              <w:rPr>
                <w:rFonts w:asciiTheme="majorBidi" w:hAnsiTheme="majorBidi" w:cstheme="majorBidi"/>
                <w:b w:val="0"/>
                <w:bCs w:val="0"/>
                <w:sz w:val="24"/>
                <w:szCs w:val="24"/>
              </w:rPr>
            </w:pPr>
            <w:r w:rsidRPr="00E34267">
              <w:rPr>
                <w:rFonts w:asciiTheme="majorBidi" w:hAnsiTheme="majorBidi" w:cstheme="majorBidi"/>
                <w:b w:val="0"/>
                <w:bCs w:val="0"/>
                <w:sz w:val="24"/>
                <w:szCs w:val="24"/>
                <w:lang w:val="en-IN"/>
              </w:rPr>
              <w:t>CAGR</w:t>
            </w:r>
          </w:p>
        </w:tc>
        <w:tc>
          <w:tcPr>
            <w:tcW w:w="6485" w:type="dxa"/>
            <w:shd w:val="clear" w:color="auto" w:fill="auto"/>
          </w:tcPr>
          <w:p w14:paraId="3B16A3D9" w14:textId="77777777" w:rsidR="00377A31" w:rsidRPr="00E34267" w:rsidRDefault="00377A31" w:rsidP="00377A31">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34267">
              <w:rPr>
                <w:rFonts w:asciiTheme="majorBidi" w:hAnsiTheme="majorBidi" w:cstheme="majorBidi"/>
                <w:sz w:val="24"/>
                <w:szCs w:val="24"/>
                <w:lang w:val="en-IN"/>
              </w:rPr>
              <w:t>Compound Annual Growth</w:t>
            </w:r>
          </w:p>
        </w:tc>
      </w:tr>
      <w:tr w:rsidR="00377A31" w:rsidRPr="00E34267" w14:paraId="563C6E30" w14:textId="77777777" w:rsidTr="002E7B37">
        <w:tc>
          <w:tcPr>
            <w:cnfStyle w:val="001000000000" w:firstRow="0" w:lastRow="0" w:firstColumn="1" w:lastColumn="0" w:oddVBand="0" w:evenVBand="0" w:oddHBand="0" w:evenHBand="0" w:firstRowFirstColumn="0" w:firstRowLastColumn="0" w:lastRowFirstColumn="0" w:lastRowLastColumn="0"/>
            <w:tcW w:w="1435" w:type="dxa"/>
            <w:shd w:val="clear" w:color="auto" w:fill="auto"/>
          </w:tcPr>
          <w:p w14:paraId="6DA770A5" w14:textId="77777777" w:rsidR="00377A31" w:rsidRPr="00E34267" w:rsidRDefault="00377A31" w:rsidP="00377A31">
            <w:pPr>
              <w:spacing w:line="360" w:lineRule="auto"/>
              <w:rPr>
                <w:rFonts w:asciiTheme="majorBidi" w:hAnsiTheme="majorBidi" w:cstheme="majorBidi"/>
                <w:b w:val="0"/>
                <w:bCs w:val="0"/>
                <w:sz w:val="24"/>
                <w:szCs w:val="24"/>
              </w:rPr>
            </w:pPr>
            <w:r w:rsidRPr="00E34267">
              <w:rPr>
                <w:rFonts w:asciiTheme="majorBidi" w:hAnsiTheme="majorBidi" w:cstheme="majorBidi"/>
                <w:b w:val="0"/>
                <w:bCs w:val="0"/>
                <w:sz w:val="24"/>
                <w:szCs w:val="24"/>
                <w:lang w:val="en-IN"/>
              </w:rPr>
              <w:t>LCPS</w:t>
            </w:r>
          </w:p>
        </w:tc>
        <w:tc>
          <w:tcPr>
            <w:tcW w:w="6485" w:type="dxa"/>
            <w:shd w:val="clear" w:color="auto" w:fill="auto"/>
          </w:tcPr>
          <w:p w14:paraId="4B996174" w14:textId="77777777" w:rsidR="00377A31" w:rsidRPr="00E34267" w:rsidRDefault="00377A31" w:rsidP="00377A31">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lang w:val="en-IN"/>
              </w:rPr>
              <w:t>Low Cost Private S</w:t>
            </w:r>
            <w:r w:rsidRPr="00E34267">
              <w:rPr>
                <w:rFonts w:asciiTheme="majorBidi" w:hAnsiTheme="majorBidi" w:cstheme="majorBidi"/>
                <w:sz w:val="24"/>
                <w:szCs w:val="24"/>
                <w:lang w:val="en-IN"/>
              </w:rPr>
              <w:t xml:space="preserve">chools </w:t>
            </w:r>
          </w:p>
        </w:tc>
      </w:tr>
      <w:tr w:rsidR="00377A31" w:rsidRPr="00E34267" w14:paraId="63D3934D" w14:textId="77777777" w:rsidTr="002E7B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5" w:type="dxa"/>
            <w:shd w:val="clear" w:color="auto" w:fill="auto"/>
          </w:tcPr>
          <w:p w14:paraId="675C197A" w14:textId="77777777" w:rsidR="00377A31" w:rsidRPr="00E34267" w:rsidRDefault="00377A31" w:rsidP="00377A31">
            <w:pPr>
              <w:spacing w:line="360" w:lineRule="auto"/>
              <w:rPr>
                <w:rFonts w:asciiTheme="majorBidi" w:hAnsiTheme="majorBidi" w:cstheme="majorBidi"/>
                <w:b w:val="0"/>
                <w:bCs w:val="0"/>
                <w:sz w:val="24"/>
                <w:szCs w:val="24"/>
              </w:rPr>
            </w:pPr>
            <w:r w:rsidRPr="00E34267">
              <w:rPr>
                <w:rFonts w:asciiTheme="majorBidi" w:hAnsiTheme="majorBidi" w:cstheme="majorBidi"/>
                <w:b w:val="0"/>
                <w:bCs w:val="0"/>
                <w:sz w:val="24"/>
                <w:szCs w:val="24"/>
                <w:lang w:val="en-IN"/>
              </w:rPr>
              <w:t>LFPS</w:t>
            </w:r>
          </w:p>
        </w:tc>
        <w:tc>
          <w:tcPr>
            <w:tcW w:w="6485" w:type="dxa"/>
            <w:shd w:val="clear" w:color="auto" w:fill="auto"/>
          </w:tcPr>
          <w:p w14:paraId="534A48B1" w14:textId="77777777" w:rsidR="00377A31" w:rsidRPr="00E34267" w:rsidRDefault="00377A31" w:rsidP="00377A31">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lang w:val="en-IN"/>
              </w:rPr>
              <w:t>Low Fees Private S</w:t>
            </w:r>
            <w:r w:rsidRPr="00E34267">
              <w:rPr>
                <w:rFonts w:asciiTheme="majorBidi" w:hAnsiTheme="majorBidi" w:cstheme="majorBidi"/>
                <w:sz w:val="24"/>
                <w:szCs w:val="24"/>
                <w:lang w:val="en-IN"/>
              </w:rPr>
              <w:t xml:space="preserve">chools </w:t>
            </w:r>
          </w:p>
        </w:tc>
      </w:tr>
      <w:tr w:rsidR="00377A31" w:rsidRPr="00E34267" w14:paraId="5CC1B284" w14:textId="77777777" w:rsidTr="002E7B37">
        <w:tc>
          <w:tcPr>
            <w:cnfStyle w:val="001000000000" w:firstRow="0" w:lastRow="0" w:firstColumn="1" w:lastColumn="0" w:oddVBand="0" w:evenVBand="0" w:oddHBand="0" w:evenHBand="0" w:firstRowFirstColumn="0" w:firstRowLastColumn="0" w:lastRowFirstColumn="0" w:lastRowLastColumn="0"/>
            <w:tcW w:w="1435" w:type="dxa"/>
            <w:shd w:val="clear" w:color="auto" w:fill="auto"/>
          </w:tcPr>
          <w:p w14:paraId="46C6EB7B" w14:textId="77777777" w:rsidR="00377A31" w:rsidRPr="00E34267" w:rsidRDefault="00377A31" w:rsidP="00377A31">
            <w:pPr>
              <w:spacing w:line="360" w:lineRule="auto"/>
              <w:rPr>
                <w:rFonts w:asciiTheme="majorBidi" w:hAnsiTheme="majorBidi" w:cstheme="majorBidi"/>
                <w:b w:val="0"/>
                <w:bCs w:val="0"/>
                <w:sz w:val="24"/>
                <w:szCs w:val="24"/>
              </w:rPr>
            </w:pPr>
            <w:r w:rsidRPr="00E34267">
              <w:rPr>
                <w:rFonts w:asciiTheme="majorBidi" w:hAnsiTheme="majorBidi" w:cstheme="majorBidi"/>
                <w:b w:val="0"/>
                <w:bCs w:val="0"/>
                <w:sz w:val="24"/>
                <w:szCs w:val="24"/>
              </w:rPr>
              <w:t>MCIEA</w:t>
            </w:r>
          </w:p>
        </w:tc>
        <w:tc>
          <w:tcPr>
            <w:tcW w:w="6485" w:type="dxa"/>
            <w:shd w:val="clear" w:color="auto" w:fill="auto"/>
          </w:tcPr>
          <w:p w14:paraId="5844A6D9" w14:textId="77777777" w:rsidR="00377A31" w:rsidRPr="00E34267" w:rsidRDefault="00377A31" w:rsidP="00377A31">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E34267">
              <w:rPr>
                <w:rFonts w:asciiTheme="majorBidi" w:hAnsiTheme="majorBidi" w:cstheme="majorBidi"/>
                <w:sz w:val="24"/>
                <w:szCs w:val="24"/>
              </w:rPr>
              <w:t xml:space="preserve">Massachusetts Consortium for Innovative Education Assessment </w:t>
            </w:r>
          </w:p>
        </w:tc>
      </w:tr>
      <w:tr w:rsidR="00377A31" w:rsidRPr="00E34267" w14:paraId="57E06AC6" w14:textId="77777777" w:rsidTr="002E7B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5" w:type="dxa"/>
            <w:shd w:val="clear" w:color="auto" w:fill="auto"/>
          </w:tcPr>
          <w:p w14:paraId="0DEA4A12" w14:textId="77777777" w:rsidR="00377A31" w:rsidRPr="00E34267" w:rsidRDefault="00377A31" w:rsidP="00377A31">
            <w:pPr>
              <w:spacing w:line="360" w:lineRule="auto"/>
              <w:rPr>
                <w:rFonts w:asciiTheme="majorBidi" w:hAnsiTheme="majorBidi" w:cstheme="majorBidi"/>
                <w:b w:val="0"/>
                <w:bCs w:val="0"/>
                <w:sz w:val="24"/>
                <w:szCs w:val="24"/>
              </w:rPr>
            </w:pPr>
            <w:r w:rsidRPr="00E34267">
              <w:rPr>
                <w:rFonts w:asciiTheme="majorBidi" w:hAnsiTheme="majorBidi" w:cstheme="majorBidi"/>
                <w:b w:val="0"/>
                <w:bCs w:val="0"/>
                <w:sz w:val="24"/>
                <w:szCs w:val="24"/>
                <w:lang w:val="en-IN"/>
              </w:rPr>
              <w:t>SES</w:t>
            </w:r>
          </w:p>
        </w:tc>
        <w:tc>
          <w:tcPr>
            <w:tcW w:w="6485" w:type="dxa"/>
            <w:shd w:val="clear" w:color="auto" w:fill="auto"/>
          </w:tcPr>
          <w:p w14:paraId="70285F64" w14:textId="77777777" w:rsidR="00377A31" w:rsidRPr="00E34267" w:rsidRDefault="00377A31" w:rsidP="00377A31">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34267">
              <w:rPr>
                <w:rFonts w:asciiTheme="majorBidi" w:hAnsiTheme="majorBidi" w:cstheme="majorBidi"/>
                <w:sz w:val="24"/>
                <w:szCs w:val="24"/>
                <w:lang w:val="en-IN"/>
              </w:rPr>
              <w:t xml:space="preserve">Socio Economic Status </w:t>
            </w:r>
          </w:p>
        </w:tc>
      </w:tr>
      <w:tr w:rsidR="00377A31" w:rsidRPr="00E34267" w14:paraId="394404DF" w14:textId="77777777" w:rsidTr="002E7B37">
        <w:tc>
          <w:tcPr>
            <w:cnfStyle w:val="001000000000" w:firstRow="0" w:lastRow="0" w:firstColumn="1" w:lastColumn="0" w:oddVBand="0" w:evenVBand="0" w:oddHBand="0" w:evenHBand="0" w:firstRowFirstColumn="0" w:firstRowLastColumn="0" w:lastRowFirstColumn="0" w:lastRowLastColumn="0"/>
            <w:tcW w:w="1435" w:type="dxa"/>
            <w:shd w:val="clear" w:color="auto" w:fill="auto"/>
          </w:tcPr>
          <w:p w14:paraId="576D1A0D" w14:textId="77777777" w:rsidR="00377A31" w:rsidRPr="00E34267" w:rsidRDefault="00377A31" w:rsidP="00377A31">
            <w:pPr>
              <w:spacing w:line="360" w:lineRule="auto"/>
              <w:rPr>
                <w:rFonts w:asciiTheme="majorBidi" w:hAnsiTheme="majorBidi" w:cstheme="majorBidi"/>
                <w:b w:val="0"/>
                <w:bCs w:val="0"/>
                <w:sz w:val="24"/>
                <w:szCs w:val="24"/>
              </w:rPr>
            </w:pPr>
            <w:r w:rsidRPr="00E34267">
              <w:rPr>
                <w:rFonts w:asciiTheme="majorBidi" w:hAnsiTheme="majorBidi" w:cstheme="majorBidi"/>
                <w:b w:val="0"/>
                <w:bCs w:val="0"/>
                <w:sz w:val="24"/>
                <w:szCs w:val="24"/>
              </w:rPr>
              <w:t>SAT</w:t>
            </w:r>
          </w:p>
        </w:tc>
        <w:tc>
          <w:tcPr>
            <w:tcW w:w="6485" w:type="dxa"/>
            <w:shd w:val="clear" w:color="auto" w:fill="auto"/>
          </w:tcPr>
          <w:p w14:paraId="0F8D42B0" w14:textId="77777777" w:rsidR="00377A31" w:rsidRPr="00E34267" w:rsidRDefault="00377A31" w:rsidP="00377A31">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E34267">
              <w:rPr>
                <w:rFonts w:asciiTheme="majorBidi" w:hAnsiTheme="majorBidi" w:cstheme="majorBidi"/>
                <w:sz w:val="24"/>
                <w:szCs w:val="24"/>
              </w:rPr>
              <w:t xml:space="preserve">Scholastic Assessment Test </w:t>
            </w:r>
          </w:p>
        </w:tc>
      </w:tr>
      <w:tr w:rsidR="00377A31" w:rsidRPr="00E34267" w14:paraId="2D5E978F" w14:textId="77777777" w:rsidTr="002E7B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5" w:type="dxa"/>
            <w:shd w:val="clear" w:color="auto" w:fill="auto"/>
          </w:tcPr>
          <w:p w14:paraId="017BBBED" w14:textId="77777777" w:rsidR="00377A31" w:rsidRPr="00E34267" w:rsidRDefault="00377A31" w:rsidP="00377A31">
            <w:pPr>
              <w:spacing w:line="360" w:lineRule="auto"/>
              <w:rPr>
                <w:rFonts w:asciiTheme="majorBidi" w:hAnsiTheme="majorBidi" w:cstheme="majorBidi"/>
                <w:b w:val="0"/>
                <w:bCs w:val="0"/>
                <w:sz w:val="24"/>
                <w:szCs w:val="24"/>
              </w:rPr>
            </w:pPr>
            <w:r w:rsidRPr="00E34267">
              <w:rPr>
                <w:rFonts w:asciiTheme="majorBidi" w:hAnsiTheme="majorBidi" w:cstheme="majorBidi"/>
                <w:b w:val="0"/>
                <w:bCs w:val="0"/>
                <w:sz w:val="24"/>
                <w:szCs w:val="24"/>
              </w:rPr>
              <w:t>ACT</w:t>
            </w:r>
          </w:p>
        </w:tc>
        <w:tc>
          <w:tcPr>
            <w:tcW w:w="6485" w:type="dxa"/>
            <w:shd w:val="clear" w:color="auto" w:fill="auto"/>
          </w:tcPr>
          <w:p w14:paraId="02E52F92" w14:textId="77777777" w:rsidR="00377A31" w:rsidRPr="00E34267" w:rsidRDefault="00377A31" w:rsidP="00377A31">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34267">
              <w:rPr>
                <w:rFonts w:asciiTheme="majorBidi" w:hAnsiTheme="majorBidi" w:cstheme="majorBidi"/>
                <w:sz w:val="24"/>
                <w:szCs w:val="24"/>
              </w:rPr>
              <w:t xml:space="preserve">American College Testing </w:t>
            </w:r>
          </w:p>
        </w:tc>
      </w:tr>
      <w:tr w:rsidR="00377A31" w:rsidRPr="00E34267" w14:paraId="4AF8EBE9" w14:textId="77777777" w:rsidTr="002E7B37">
        <w:tc>
          <w:tcPr>
            <w:cnfStyle w:val="001000000000" w:firstRow="0" w:lastRow="0" w:firstColumn="1" w:lastColumn="0" w:oddVBand="0" w:evenVBand="0" w:oddHBand="0" w:evenHBand="0" w:firstRowFirstColumn="0" w:firstRowLastColumn="0" w:lastRowFirstColumn="0" w:lastRowLastColumn="0"/>
            <w:tcW w:w="1435" w:type="dxa"/>
            <w:shd w:val="clear" w:color="auto" w:fill="auto"/>
          </w:tcPr>
          <w:p w14:paraId="20E90BAC" w14:textId="77777777" w:rsidR="00377A31" w:rsidRPr="00E34267" w:rsidRDefault="00377A31" w:rsidP="00377A31">
            <w:pPr>
              <w:spacing w:line="360" w:lineRule="auto"/>
              <w:rPr>
                <w:rFonts w:asciiTheme="majorBidi" w:hAnsiTheme="majorBidi" w:cstheme="majorBidi"/>
                <w:b w:val="0"/>
                <w:bCs w:val="0"/>
                <w:sz w:val="24"/>
                <w:szCs w:val="24"/>
              </w:rPr>
            </w:pPr>
            <w:r w:rsidRPr="00E34267">
              <w:rPr>
                <w:rFonts w:asciiTheme="majorBidi" w:hAnsiTheme="majorBidi" w:cstheme="majorBidi"/>
                <w:b w:val="0"/>
                <w:bCs w:val="0"/>
                <w:sz w:val="24"/>
                <w:szCs w:val="24"/>
              </w:rPr>
              <w:t>OECD</w:t>
            </w:r>
          </w:p>
        </w:tc>
        <w:tc>
          <w:tcPr>
            <w:tcW w:w="6485" w:type="dxa"/>
            <w:shd w:val="clear" w:color="auto" w:fill="auto"/>
          </w:tcPr>
          <w:p w14:paraId="277191F3" w14:textId="77777777" w:rsidR="00377A31" w:rsidRPr="00E34267" w:rsidRDefault="00377A31" w:rsidP="00377A31">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E34267">
              <w:rPr>
                <w:rFonts w:asciiTheme="majorBidi" w:hAnsiTheme="majorBidi" w:cstheme="majorBidi"/>
                <w:sz w:val="24"/>
                <w:szCs w:val="24"/>
              </w:rPr>
              <w:t xml:space="preserve">Organization for Economic Co-operation and Development </w:t>
            </w:r>
          </w:p>
        </w:tc>
      </w:tr>
      <w:tr w:rsidR="00377A31" w:rsidRPr="00E34267" w14:paraId="47ED0B07" w14:textId="77777777" w:rsidTr="002E7B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5" w:type="dxa"/>
            <w:shd w:val="clear" w:color="auto" w:fill="auto"/>
          </w:tcPr>
          <w:p w14:paraId="4A7F168F" w14:textId="77777777" w:rsidR="00377A31" w:rsidRPr="00E34267" w:rsidRDefault="00377A31" w:rsidP="00377A31">
            <w:pPr>
              <w:spacing w:line="360" w:lineRule="auto"/>
              <w:rPr>
                <w:rFonts w:asciiTheme="majorBidi" w:hAnsiTheme="majorBidi" w:cstheme="majorBidi"/>
                <w:b w:val="0"/>
                <w:bCs w:val="0"/>
                <w:sz w:val="24"/>
                <w:szCs w:val="24"/>
              </w:rPr>
            </w:pPr>
            <w:r w:rsidRPr="00E34267">
              <w:rPr>
                <w:rFonts w:asciiTheme="majorBidi" w:hAnsiTheme="majorBidi" w:cstheme="majorBidi"/>
                <w:b w:val="0"/>
                <w:bCs w:val="0"/>
                <w:sz w:val="24"/>
                <w:szCs w:val="24"/>
              </w:rPr>
              <w:t>DFID</w:t>
            </w:r>
          </w:p>
        </w:tc>
        <w:tc>
          <w:tcPr>
            <w:tcW w:w="6485" w:type="dxa"/>
            <w:shd w:val="clear" w:color="auto" w:fill="auto"/>
          </w:tcPr>
          <w:p w14:paraId="08914412" w14:textId="77777777" w:rsidR="00377A31" w:rsidRPr="00E34267" w:rsidRDefault="00377A31" w:rsidP="00377A31">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34267">
              <w:rPr>
                <w:rFonts w:asciiTheme="majorBidi" w:hAnsiTheme="majorBidi" w:cstheme="majorBidi"/>
                <w:sz w:val="24"/>
                <w:szCs w:val="24"/>
              </w:rPr>
              <w:t xml:space="preserve">Department for International Development </w:t>
            </w:r>
          </w:p>
        </w:tc>
      </w:tr>
      <w:tr w:rsidR="00377A31" w:rsidRPr="00E34267" w14:paraId="07CF3534" w14:textId="77777777" w:rsidTr="002E7B37">
        <w:tc>
          <w:tcPr>
            <w:cnfStyle w:val="001000000000" w:firstRow="0" w:lastRow="0" w:firstColumn="1" w:lastColumn="0" w:oddVBand="0" w:evenVBand="0" w:oddHBand="0" w:evenHBand="0" w:firstRowFirstColumn="0" w:firstRowLastColumn="0" w:lastRowFirstColumn="0" w:lastRowLastColumn="0"/>
            <w:tcW w:w="1435" w:type="dxa"/>
            <w:shd w:val="clear" w:color="auto" w:fill="auto"/>
          </w:tcPr>
          <w:p w14:paraId="6BCCF6FD" w14:textId="77777777" w:rsidR="00377A31" w:rsidRPr="00E34267" w:rsidRDefault="00377A31" w:rsidP="00377A31">
            <w:pPr>
              <w:spacing w:line="360" w:lineRule="auto"/>
              <w:rPr>
                <w:rFonts w:asciiTheme="majorBidi" w:hAnsiTheme="majorBidi" w:cstheme="majorBidi"/>
                <w:b w:val="0"/>
                <w:bCs w:val="0"/>
                <w:sz w:val="24"/>
                <w:szCs w:val="24"/>
              </w:rPr>
            </w:pPr>
            <w:r w:rsidRPr="00E34267">
              <w:rPr>
                <w:rFonts w:asciiTheme="majorBidi" w:hAnsiTheme="majorBidi" w:cstheme="majorBidi"/>
                <w:b w:val="0"/>
                <w:bCs w:val="0"/>
                <w:sz w:val="24"/>
                <w:szCs w:val="24"/>
                <w:lang w:val="en-IN"/>
              </w:rPr>
              <w:t>MOE</w:t>
            </w:r>
          </w:p>
        </w:tc>
        <w:tc>
          <w:tcPr>
            <w:tcW w:w="6485" w:type="dxa"/>
            <w:shd w:val="clear" w:color="auto" w:fill="auto"/>
          </w:tcPr>
          <w:p w14:paraId="312C33E2" w14:textId="77777777" w:rsidR="00377A31" w:rsidRPr="00E34267" w:rsidRDefault="00377A31" w:rsidP="00377A31">
            <w:pPr>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E34267">
              <w:rPr>
                <w:rFonts w:asciiTheme="majorBidi" w:hAnsiTheme="majorBidi" w:cstheme="majorBidi"/>
                <w:sz w:val="24"/>
                <w:szCs w:val="24"/>
              </w:rPr>
              <w:t>Ministry of Education</w:t>
            </w:r>
          </w:p>
        </w:tc>
      </w:tr>
      <w:tr w:rsidR="00377A31" w:rsidRPr="00E34267" w14:paraId="664803F2" w14:textId="77777777" w:rsidTr="002E7B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5" w:type="dxa"/>
            <w:shd w:val="clear" w:color="auto" w:fill="auto"/>
          </w:tcPr>
          <w:p w14:paraId="3338C609" w14:textId="77777777" w:rsidR="00377A31" w:rsidRPr="00E34267" w:rsidRDefault="00377A31" w:rsidP="00377A31">
            <w:pPr>
              <w:spacing w:line="360" w:lineRule="auto"/>
              <w:rPr>
                <w:rFonts w:asciiTheme="majorBidi" w:hAnsiTheme="majorBidi" w:cstheme="majorBidi"/>
                <w:b w:val="0"/>
                <w:bCs w:val="0"/>
                <w:sz w:val="24"/>
                <w:szCs w:val="24"/>
              </w:rPr>
            </w:pPr>
            <w:r w:rsidRPr="00E34267">
              <w:rPr>
                <w:rFonts w:asciiTheme="majorBidi" w:hAnsiTheme="majorBidi" w:cstheme="majorBidi"/>
                <w:b w:val="0"/>
                <w:bCs w:val="0"/>
                <w:sz w:val="24"/>
                <w:szCs w:val="24"/>
              </w:rPr>
              <w:t>IRB</w:t>
            </w:r>
          </w:p>
        </w:tc>
        <w:tc>
          <w:tcPr>
            <w:tcW w:w="6485" w:type="dxa"/>
            <w:shd w:val="clear" w:color="auto" w:fill="auto"/>
          </w:tcPr>
          <w:p w14:paraId="24121F50" w14:textId="77777777" w:rsidR="00377A31" w:rsidRPr="00E34267" w:rsidRDefault="00377A31" w:rsidP="00377A31">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34267">
              <w:rPr>
                <w:rFonts w:asciiTheme="majorBidi" w:hAnsiTheme="majorBidi" w:cstheme="majorBidi"/>
                <w:sz w:val="24"/>
                <w:szCs w:val="24"/>
              </w:rPr>
              <w:t xml:space="preserve">Institutional Review Board </w:t>
            </w:r>
          </w:p>
        </w:tc>
      </w:tr>
    </w:tbl>
    <w:p w14:paraId="73CC4A7B" w14:textId="77777777" w:rsidR="003C3699" w:rsidRDefault="003C3699" w:rsidP="003C3699">
      <w:pPr>
        <w:spacing w:after="0" w:line="480" w:lineRule="auto"/>
        <w:jc w:val="both"/>
        <w:rPr>
          <w:rFonts w:asciiTheme="majorBidi" w:hAnsiTheme="majorBidi" w:cstheme="majorBidi"/>
          <w:sz w:val="24"/>
          <w:szCs w:val="24"/>
          <w:lang w:val="en-US"/>
        </w:rPr>
      </w:pPr>
    </w:p>
    <w:p w14:paraId="7F523C47" w14:textId="77777777" w:rsidR="003C3699" w:rsidRDefault="003C3699" w:rsidP="003C3699">
      <w:pPr>
        <w:spacing w:after="0" w:line="480" w:lineRule="auto"/>
        <w:jc w:val="both"/>
        <w:rPr>
          <w:rFonts w:asciiTheme="majorBidi" w:hAnsiTheme="majorBidi" w:cstheme="majorBidi"/>
          <w:sz w:val="24"/>
          <w:szCs w:val="24"/>
          <w:lang w:val="en-US"/>
        </w:rPr>
      </w:pPr>
    </w:p>
    <w:p w14:paraId="10DF69B4" w14:textId="77777777" w:rsidR="003C3699" w:rsidRDefault="003C3699" w:rsidP="003C3699">
      <w:pPr>
        <w:spacing w:after="0" w:line="480" w:lineRule="auto"/>
        <w:jc w:val="both"/>
        <w:rPr>
          <w:rFonts w:asciiTheme="majorBidi" w:hAnsiTheme="majorBidi" w:cstheme="majorBidi"/>
          <w:sz w:val="24"/>
          <w:szCs w:val="24"/>
          <w:lang w:val="en-US"/>
        </w:rPr>
      </w:pPr>
    </w:p>
    <w:p w14:paraId="65E6E63F" w14:textId="77777777" w:rsidR="003C3699" w:rsidRDefault="003C3699" w:rsidP="003C3699">
      <w:pPr>
        <w:spacing w:after="0" w:line="480" w:lineRule="auto"/>
        <w:jc w:val="both"/>
        <w:rPr>
          <w:rFonts w:asciiTheme="majorBidi" w:hAnsiTheme="majorBidi" w:cstheme="majorBidi"/>
          <w:sz w:val="24"/>
          <w:szCs w:val="24"/>
          <w:lang w:val="en-US"/>
        </w:rPr>
      </w:pPr>
    </w:p>
    <w:p w14:paraId="661BE024" w14:textId="77777777" w:rsidR="003C3699" w:rsidRDefault="003C3699" w:rsidP="003C3699">
      <w:pPr>
        <w:spacing w:after="0" w:line="480" w:lineRule="auto"/>
        <w:jc w:val="both"/>
        <w:rPr>
          <w:rFonts w:asciiTheme="majorBidi" w:hAnsiTheme="majorBidi" w:cstheme="majorBidi"/>
          <w:sz w:val="24"/>
          <w:szCs w:val="24"/>
          <w:lang w:val="en-US"/>
        </w:rPr>
      </w:pPr>
    </w:p>
    <w:p w14:paraId="5672BC70" w14:textId="77777777" w:rsidR="003C3699" w:rsidRDefault="003C3699" w:rsidP="003C3699">
      <w:pPr>
        <w:spacing w:after="0" w:line="480" w:lineRule="auto"/>
        <w:jc w:val="both"/>
        <w:rPr>
          <w:rFonts w:asciiTheme="majorBidi" w:hAnsiTheme="majorBidi" w:cstheme="majorBidi"/>
          <w:sz w:val="24"/>
          <w:szCs w:val="24"/>
          <w:lang w:val="en-US"/>
        </w:rPr>
      </w:pPr>
    </w:p>
    <w:p w14:paraId="0AB3FC18" w14:textId="77777777" w:rsidR="003C3699" w:rsidRDefault="003C3699" w:rsidP="003C3699">
      <w:pPr>
        <w:spacing w:after="0" w:line="480" w:lineRule="auto"/>
        <w:jc w:val="both"/>
        <w:rPr>
          <w:rFonts w:asciiTheme="majorBidi" w:hAnsiTheme="majorBidi" w:cstheme="majorBidi"/>
          <w:sz w:val="24"/>
          <w:szCs w:val="24"/>
          <w:lang w:val="en-US"/>
        </w:rPr>
      </w:pPr>
    </w:p>
    <w:p w14:paraId="35DACB4F" w14:textId="77777777" w:rsidR="003C3699" w:rsidRDefault="003C3699" w:rsidP="003C3699">
      <w:pPr>
        <w:spacing w:after="0" w:line="480" w:lineRule="auto"/>
        <w:jc w:val="both"/>
        <w:rPr>
          <w:rFonts w:asciiTheme="majorBidi" w:hAnsiTheme="majorBidi" w:cstheme="majorBidi"/>
          <w:sz w:val="24"/>
          <w:szCs w:val="24"/>
          <w:lang w:val="en-US"/>
        </w:rPr>
      </w:pPr>
    </w:p>
    <w:p w14:paraId="25B65E15" w14:textId="77777777" w:rsidR="003C3699" w:rsidRDefault="003C3699" w:rsidP="003C3699">
      <w:pPr>
        <w:spacing w:after="0" w:line="480" w:lineRule="auto"/>
        <w:jc w:val="both"/>
        <w:rPr>
          <w:rFonts w:asciiTheme="majorBidi" w:hAnsiTheme="majorBidi" w:cstheme="majorBidi"/>
          <w:sz w:val="24"/>
          <w:szCs w:val="24"/>
          <w:lang w:val="en-US"/>
        </w:rPr>
      </w:pPr>
    </w:p>
    <w:p w14:paraId="604410F0" w14:textId="77777777" w:rsidR="003C3699" w:rsidRDefault="003C3699" w:rsidP="003C3699">
      <w:pPr>
        <w:spacing w:after="0" w:line="480" w:lineRule="auto"/>
        <w:jc w:val="both"/>
        <w:rPr>
          <w:rFonts w:asciiTheme="majorBidi" w:hAnsiTheme="majorBidi" w:cstheme="majorBidi"/>
          <w:sz w:val="24"/>
          <w:szCs w:val="24"/>
          <w:lang w:val="en-US"/>
        </w:rPr>
      </w:pPr>
    </w:p>
    <w:p w14:paraId="2E4AA1B4" w14:textId="77777777" w:rsidR="003C3699" w:rsidRDefault="003C3699" w:rsidP="003C3699">
      <w:pPr>
        <w:spacing w:after="0" w:line="480" w:lineRule="auto"/>
        <w:jc w:val="both"/>
        <w:rPr>
          <w:rFonts w:asciiTheme="majorBidi" w:hAnsiTheme="majorBidi" w:cstheme="majorBidi"/>
          <w:sz w:val="24"/>
          <w:szCs w:val="24"/>
          <w:lang w:val="en-US"/>
        </w:rPr>
      </w:pPr>
    </w:p>
    <w:p w14:paraId="002A3A0E" w14:textId="77777777" w:rsidR="003C3699" w:rsidRPr="007875B2" w:rsidRDefault="003C3699" w:rsidP="003C3699">
      <w:pPr>
        <w:spacing w:after="0" w:line="480" w:lineRule="auto"/>
        <w:jc w:val="both"/>
        <w:rPr>
          <w:rFonts w:asciiTheme="majorBidi" w:hAnsiTheme="majorBidi" w:cstheme="majorBidi"/>
          <w:sz w:val="24"/>
          <w:szCs w:val="24"/>
          <w:lang w:val="en-US"/>
        </w:rPr>
      </w:pPr>
    </w:p>
    <w:p w14:paraId="6F01DF62" w14:textId="77777777" w:rsidR="003C3699" w:rsidRPr="007875B2" w:rsidRDefault="003C3699" w:rsidP="003C3699">
      <w:pPr>
        <w:pStyle w:val="Heading1"/>
        <w:spacing w:before="0" w:line="480" w:lineRule="auto"/>
        <w:jc w:val="center"/>
        <w:rPr>
          <w:rFonts w:asciiTheme="majorBidi" w:hAnsiTheme="majorBidi"/>
          <w:b w:val="0"/>
          <w:bCs w:val="0"/>
          <w:color w:val="auto"/>
          <w:lang w:val="en-US"/>
        </w:rPr>
      </w:pPr>
      <w:bookmarkStart w:id="11" w:name="_Toc51179091"/>
      <w:bookmarkStart w:id="12" w:name="_Toc56888867"/>
      <w:bookmarkStart w:id="13" w:name="_Toc138239769"/>
      <w:r w:rsidRPr="007875B2">
        <w:rPr>
          <w:rFonts w:asciiTheme="majorBidi" w:hAnsiTheme="majorBidi"/>
          <w:color w:val="auto"/>
          <w:lang w:val="en-US"/>
        </w:rPr>
        <w:t>Declaration</w:t>
      </w:r>
      <w:bookmarkEnd w:id="11"/>
      <w:bookmarkEnd w:id="12"/>
      <w:bookmarkEnd w:id="13"/>
    </w:p>
    <w:p w14:paraId="35E3AA90" w14:textId="77777777" w:rsidR="003F3E26" w:rsidRPr="00AB4CA3" w:rsidRDefault="003F3E26" w:rsidP="003F3E26">
      <w:pPr>
        <w:rPr>
          <w:lang w:val="en-US"/>
        </w:rPr>
      </w:pPr>
    </w:p>
    <w:p w14:paraId="7A133731" w14:textId="77777777" w:rsidR="003F3E26" w:rsidRPr="007875B2" w:rsidRDefault="003F3E26" w:rsidP="003F3E26">
      <w:pPr>
        <w:spacing w:after="0" w:line="480" w:lineRule="auto"/>
        <w:ind w:firstLine="720"/>
        <w:jc w:val="both"/>
        <w:rPr>
          <w:rFonts w:asciiTheme="majorBidi" w:hAnsiTheme="majorBidi" w:cstheme="majorBidi"/>
          <w:sz w:val="24"/>
          <w:szCs w:val="24"/>
          <w:lang w:val="en-US"/>
        </w:rPr>
      </w:pPr>
      <w:r w:rsidRPr="007875B2">
        <w:rPr>
          <w:rFonts w:asciiTheme="majorBidi" w:hAnsiTheme="majorBidi" w:cstheme="majorBidi"/>
          <w:sz w:val="24"/>
          <w:szCs w:val="24"/>
          <w:lang w:val="en-US"/>
        </w:rPr>
        <w:t>I certify that I have read this dissertation and that in my opinion it meets the academic and professional standards required by Abu Dhabi University as a dissertation for the degree of Doctor of Business Administration.</w:t>
      </w:r>
    </w:p>
    <w:p w14:paraId="4E394DAF" w14:textId="77777777" w:rsidR="003F3E26" w:rsidRPr="007875B2" w:rsidRDefault="003F3E26" w:rsidP="003F3E26">
      <w:pPr>
        <w:spacing w:after="0" w:line="480" w:lineRule="auto"/>
        <w:jc w:val="both"/>
        <w:rPr>
          <w:rFonts w:asciiTheme="majorBidi" w:hAnsiTheme="majorBidi" w:cstheme="majorBidi"/>
          <w:b/>
          <w:bCs/>
          <w:sz w:val="24"/>
          <w:szCs w:val="24"/>
          <w:lang w:val="en-US"/>
        </w:rPr>
      </w:pPr>
    </w:p>
    <w:p w14:paraId="07660839" w14:textId="77777777" w:rsidR="003C3699" w:rsidRPr="007875B2" w:rsidRDefault="003C3699" w:rsidP="003C3699">
      <w:pPr>
        <w:spacing w:after="0" w:line="480" w:lineRule="auto"/>
        <w:jc w:val="both"/>
        <w:rPr>
          <w:rFonts w:asciiTheme="majorBidi" w:hAnsiTheme="majorBidi" w:cstheme="majorBidi"/>
          <w:b/>
          <w:bCs/>
          <w:sz w:val="24"/>
          <w:szCs w:val="24"/>
          <w:lang w:val="en-US"/>
        </w:rPr>
      </w:pPr>
    </w:p>
    <w:p w14:paraId="7056176B" w14:textId="77777777" w:rsidR="003C3699" w:rsidRPr="007875B2" w:rsidRDefault="003C3699" w:rsidP="003C3699">
      <w:pPr>
        <w:spacing w:after="0" w:line="480" w:lineRule="auto"/>
        <w:jc w:val="both"/>
        <w:rPr>
          <w:rFonts w:asciiTheme="majorBidi" w:hAnsiTheme="majorBidi" w:cstheme="majorBidi"/>
          <w:b/>
          <w:bCs/>
          <w:sz w:val="24"/>
          <w:szCs w:val="24"/>
          <w:lang w:val="en-US"/>
        </w:rPr>
      </w:pPr>
    </w:p>
    <w:p w14:paraId="31CD6439" w14:textId="77777777" w:rsidR="003C3699" w:rsidRPr="007875B2" w:rsidRDefault="003C3699" w:rsidP="003C3699">
      <w:pPr>
        <w:spacing w:after="0" w:line="480" w:lineRule="auto"/>
        <w:jc w:val="both"/>
        <w:rPr>
          <w:rFonts w:asciiTheme="majorBidi" w:hAnsiTheme="majorBidi" w:cstheme="majorBidi"/>
          <w:b/>
          <w:bCs/>
          <w:sz w:val="24"/>
          <w:szCs w:val="24"/>
          <w:lang w:val="en-US"/>
        </w:rPr>
      </w:pPr>
    </w:p>
    <w:p w14:paraId="2F8ABE64" w14:textId="77777777" w:rsidR="003C3699" w:rsidRPr="007875B2" w:rsidRDefault="003C3699" w:rsidP="003C3699">
      <w:pPr>
        <w:spacing w:after="0" w:line="480" w:lineRule="auto"/>
        <w:jc w:val="both"/>
        <w:rPr>
          <w:rFonts w:asciiTheme="majorBidi" w:hAnsiTheme="majorBidi" w:cstheme="majorBidi"/>
          <w:b/>
          <w:bCs/>
          <w:sz w:val="24"/>
          <w:szCs w:val="24"/>
          <w:lang w:val="en-US"/>
        </w:rPr>
      </w:pPr>
    </w:p>
    <w:p w14:paraId="78B6DA71" w14:textId="77777777" w:rsidR="003C3699" w:rsidRPr="007875B2" w:rsidRDefault="003C3699" w:rsidP="003C3699">
      <w:pPr>
        <w:spacing w:after="0" w:line="480" w:lineRule="auto"/>
        <w:jc w:val="both"/>
        <w:rPr>
          <w:rFonts w:asciiTheme="majorBidi" w:hAnsiTheme="majorBidi" w:cstheme="majorBidi"/>
          <w:b/>
          <w:bCs/>
          <w:sz w:val="24"/>
          <w:szCs w:val="24"/>
          <w:lang w:val="en-US"/>
        </w:rPr>
      </w:pPr>
    </w:p>
    <w:p w14:paraId="19E71245" w14:textId="77777777" w:rsidR="003C3699" w:rsidRPr="007875B2" w:rsidRDefault="003C3699" w:rsidP="003C3699">
      <w:pPr>
        <w:spacing w:after="0" w:line="480" w:lineRule="auto"/>
        <w:jc w:val="both"/>
        <w:rPr>
          <w:rFonts w:asciiTheme="majorBidi" w:hAnsiTheme="majorBidi" w:cstheme="majorBidi"/>
          <w:b/>
          <w:bCs/>
          <w:sz w:val="24"/>
          <w:szCs w:val="24"/>
          <w:lang w:val="en-US"/>
        </w:rPr>
      </w:pPr>
    </w:p>
    <w:p w14:paraId="50B4A639" w14:textId="77777777" w:rsidR="003C3699" w:rsidRPr="007875B2" w:rsidRDefault="003C3699" w:rsidP="003C3699">
      <w:pPr>
        <w:spacing w:after="0" w:line="480" w:lineRule="auto"/>
        <w:jc w:val="both"/>
        <w:rPr>
          <w:rFonts w:asciiTheme="majorBidi" w:hAnsiTheme="majorBidi" w:cstheme="majorBidi"/>
          <w:b/>
          <w:bCs/>
          <w:sz w:val="24"/>
          <w:szCs w:val="24"/>
          <w:lang w:val="en-US"/>
        </w:rPr>
      </w:pPr>
    </w:p>
    <w:p w14:paraId="3D59CBA6" w14:textId="77777777" w:rsidR="003C3699" w:rsidRPr="007875B2" w:rsidRDefault="003C3699" w:rsidP="003C3699">
      <w:pPr>
        <w:spacing w:after="0" w:line="480" w:lineRule="auto"/>
        <w:jc w:val="both"/>
        <w:rPr>
          <w:rFonts w:asciiTheme="majorBidi" w:hAnsiTheme="majorBidi" w:cstheme="majorBidi"/>
          <w:b/>
          <w:bCs/>
          <w:sz w:val="24"/>
          <w:szCs w:val="24"/>
          <w:lang w:val="en-US"/>
        </w:rPr>
      </w:pPr>
    </w:p>
    <w:p w14:paraId="38E66B35" w14:textId="77777777" w:rsidR="003C3699" w:rsidRPr="007875B2" w:rsidRDefault="003C3699" w:rsidP="003C3699">
      <w:pPr>
        <w:spacing w:after="0" w:line="480" w:lineRule="auto"/>
        <w:jc w:val="both"/>
        <w:rPr>
          <w:rFonts w:asciiTheme="majorBidi" w:hAnsiTheme="majorBidi" w:cstheme="majorBidi"/>
          <w:b/>
          <w:bCs/>
          <w:sz w:val="24"/>
          <w:szCs w:val="24"/>
          <w:lang w:val="en-US"/>
        </w:rPr>
      </w:pPr>
    </w:p>
    <w:p w14:paraId="7AABAA2A" w14:textId="77777777" w:rsidR="003C3699" w:rsidRPr="007875B2" w:rsidRDefault="003C3699" w:rsidP="003C3699">
      <w:pPr>
        <w:spacing w:after="0" w:line="480" w:lineRule="auto"/>
        <w:jc w:val="both"/>
        <w:rPr>
          <w:rFonts w:asciiTheme="majorBidi" w:hAnsiTheme="majorBidi" w:cstheme="majorBidi"/>
          <w:b/>
          <w:bCs/>
          <w:sz w:val="24"/>
          <w:szCs w:val="24"/>
          <w:lang w:val="en-US"/>
        </w:rPr>
      </w:pPr>
    </w:p>
    <w:p w14:paraId="26AC0C43" w14:textId="77777777" w:rsidR="003C3699" w:rsidRPr="007875B2" w:rsidRDefault="003C3699" w:rsidP="003C3699">
      <w:pPr>
        <w:spacing w:after="0" w:line="480" w:lineRule="auto"/>
        <w:jc w:val="both"/>
        <w:rPr>
          <w:rFonts w:asciiTheme="majorBidi" w:hAnsiTheme="majorBidi" w:cstheme="majorBidi"/>
          <w:b/>
          <w:bCs/>
          <w:sz w:val="24"/>
          <w:szCs w:val="24"/>
          <w:lang w:val="en-US"/>
        </w:rPr>
      </w:pPr>
    </w:p>
    <w:p w14:paraId="315F3BAF" w14:textId="77777777" w:rsidR="003C3699" w:rsidRPr="007875B2" w:rsidRDefault="003C3699" w:rsidP="003C3699">
      <w:pPr>
        <w:spacing w:after="0" w:line="480" w:lineRule="auto"/>
        <w:jc w:val="both"/>
        <w:rPr>
          <w:rFonts w:asciiTheme="majorBidi" w:hAnsiTheme="majorBidi" w:cstheme="majorBidi"/>
          <w:b/>
          <w:bCs/>
          <w:sz w:val="24"/>
          <w:szCs w:val="24"/>
          <w:lang w:val="en-US"/>
        </w:rPr>
      </w:pPr>
    </w:p>
    <w:p w14:paraId="2D817E25" w14:textId="77777777" w:rsidR="003C3699" w:rsidRDefault="003C3699" w:rsidP="003C3699">
      <w:pPr>
        <w:spacing w:after="0" w:line="480" w:lineRule="auto"/>
        <w:jc w:val="both"/>
        <w:rPr>
          <w:rFonts w:asciiTheme="majorBidi" w:hAnsiTheme="majorBidi" w:cstheme="majorBidi"/>
          <w:b/>
          <w:bCs/>
          <w:sz w:val="24"/>
          <w:szCs w:val="24"/>
          <w:lang w:val="en-US"/>
        </w:rPr>
      </w:pPr>
    </w:p>
    <w:p w14:paraId="5BD1158D" w14:textId="77777777" w:rsidR="00AB31B2" w:rsidRPr="007875B2" w:rsidRDefault="00AB31B2" w:rsidP="003C3699">
      <w:pPr>
        <w:spacing w:after="0" w:line="480" w:lineRule="auto"/>
        <w:jc w:val="both"/>
        <w:rPr>
          <w:rFonts w:asciiTheme="majorBidi" w:hAnsiTheme="majorBidi" w:cstheme="majorBidi"/>
          <w:b/>
          <w:bCs/>
          <w:sz w:val="24"/>
          <w:szCs w:val="24"/>
          <w:lang w:val="en-US"/>
        </w:rPr>
      </w:pPr>
    </w:p>
    <w:p w14:paraId="7F34A054" w14:textId="77777777" w:rsidR="003C3699" w:rsidRPr="007875B2" w:rsidRDefault="003C3699" w:rsidP="003C3699">
      <w:pPr>
        <w:spacing w:after="0" w:line="480" w:lineRule="auto"/>
        <w:jc w:val="both"/>
        <w:rPr>
          <w:rFonts w:asciiTheme="majorBidi" w:hAnsiTheme="majorBidi" w:cstheme="majorBidi"/>
          <w:b/>
          <w:bCs/>
          <w:sz w:val="24"/>
          <w:szCs w:val="24"/>
          <w:lang w:val="en-US"/>
        </w:rPr>
      </w:pPr>
    </w:p>
    <w:p w14:paraId="20F7BC1D" w14:textId="77777777" w:rsidR="003C3699" w:rsidRPr="007875B2" w:rsidRDefault="003C3699" w:rsidP="003C3699">
      <w:pPr>
        <w:pStyle w:val="Heading1"/>
        <w:spacing w:before="0" w:line="480" w:lineRule="auto"/>
        <w:jc w:val="center"/>
        <w:rPr>
          <w:rFonts w:asciiTheme="majorBidi" w:hAnsiTheme="majorBidi"/>
          <w:b w:val="0"/>
          <w:bCs w:val="0"/>
          <w:color w:val="auto"/>
          <w:lang w:val="en-US"/>
        </w:rPr>
      </w:pPr>
      <w:bookmarkStart w:id="14" w:name="_Toc45663789"/>
      <w:bookmarkStart w:id="15" w:name="_Toc45825570"/>
      <w:bookmarkStart w:id="16" w:name="_Toc51179092"/>
      <w:bookmarkStart w:id="17" w:name="_Toc56888868"/>
      <w:bookmarkStart w:id="18" w:name="_Toc138239770"/>
      <w:r w:rsidRPr="007875B2">
        <w:rPr>
          <w:rFonts w:asciiTheme="majorBidi" w:hAnsiTheme="majorBidi"/>
          <w:color w:val="auto"/>
          <w:lang w:val="en-US"/>
        </w:rPr>
        <w:t>D</w:t>
      </w:r>
      <w:bookmarkEnd w:id="14"/>
      <w:bookmarkEnd w:id="15"/>
      <w:r w:rsidRPr="007875B2">
        <w:rPr>
          <w:rFonts w:asciiTheme="majorBidi" w:hAnsiTheme="majorBidi"/>
          <w:color w:val="auto"/>
          <w:lang w:val="en-US"/>
        </w:rPr>
        <w:t>edication</w:t>
      </w:r>
      <w:bookmarkEnd w:id="16"/>
      <w:bookmarkEnd w:id="17"/>
      <w:bookmarkEnd w:id="18"/>
    </w:p>
    <w:p w14:paraId="5AF87947" w14:textId="77777777" w:rsidR="003C3699" w:rsidRPr="007875B2" w:rsidRDefault="003C3699" w:rsidP="003C3699">
      <w:pPr>
        <w:spacing w:line="480" w:lineRule="auto"/>
        <w:jc w:val="both"/>
        <w:rPr>
          <w:rFonts w:asciiTheme="majorBidi" w:hAnsiTheme="majorBidi" w:cstheme="majorBidi"/>
          <w:sz w:val="24"/>
          <w:szCs w:val="24"/>
          <w:lang w:val="en-US"/>
        </w:rPr>
      </w:pPr>
    </w:p>
    <w:p w14:paraId="09518358" w14:textId="77777777" w:rsidR="003C3699" w:rsidRPr="007875B2" w:rsidRDefault="004B466B" w:rsidP="003F3E26">
      <w:pPr>
        <w:spacing w:line="480" w:lineRule="auto"/>
        <w:ind w:firstLine="720"/>
        <w:jc w:val="both"/>
        <w:rPr>
          <w:rFonts w:asciiTheme="majorBidi" w:hAnsiTheme="majorBidi" w:cstheme="majorBidi"/>
          <w:sz w:val="24"/>
          <w:szCs w:val="24"/>
          <w:lang w:val="en-US"/>
        </w:rPr>
      </w:pPr>
      <w:r>
        <w:rPr>
          <w:rFonts w:asciiTheme="majorBidi" w:hAnsiTheme="majorBidi" w:cstheme="majorBidi"/>
          <w:sz w:val="24"/>
          <w:szCs w:val="24"/>
          <w:lang w:val="en-US"/>
        </w:rPr>
        <w:t xml:space="preserve">To my </w:t>
      </w:r>
      <w:r w:rsidR="00E34267">
        <w:rPr>
          <w:rFonts w:asciiTheme="majorBidi" w:hAnsiTheme="majorBidi" w:cstheme="majorBidi"/>
          <w:sz w:val="24"/>
          <w:szCs w:val="24"/>
          <w:lang w:val="en-US"/>
        </w:rPr>
        <w:t>mother and father</w:t>
      </w:r>
      <w:r>
        <w:rPr>
          <w:rFonts w:asciiTheme="majorBidi" w:hAnsiTheme="majorBidi" w:cstheme="majorBidi"/>
          <w:sz w:val="24"/>
          <w:szCs w:val="24"/>
          <w:lang w:val="en-US"/>
        </w:rPr>
        <w:t xml:space="preserve"> who always believed in me.</w:t>
      </w:r>
    </w:p>
    <w:p w14:paraId="172885B0" w14:textId="77777777" w:rsidR="003C3699" w:rsidRPr="007875B2" w:rsidRDefault="003C3699" w:rsidP="003C3699">
      <w:pPr>
        <w:spacing w:line="480" w:lineRule="auto"/>
        <w:jc w:val="both"/>
        <w:rPr>
          <w:rFonts w:asciiTheme="majorBidi" w:hAnsiTheme="majorBidi" w:cstheme="majorBidi"/>
          <w:sz w:val="24"/>
          <w:szCs w:val="24"/>
          <w:lang w:val="en-US"/>
        </w:rPr>
      </w:pPr>
    </w:p>
    <w:p w14:paraId="089D65B1" w14:textId="77777777" w:rsidR="003C3699" w:rsidRDefault="003C3699" w:rsidP="00B106BF">
      <w:pPr>
        <w:spacing w:line="480" w:lineRule="auto"/>
        <w:jc w:val="center"/>
        <w:rPr>
          <w:rFonts w:asciiTheme="majorBidi" w:hAnsiTheme="majorBidi" w:cstheme="majorBidi"/>
          <w:sz w:val="24"/>
          <w:szCs w:val="24"/>
          <w:lang w:val="en-US"/>
        </w:rPr>
      </w:pPr>
    </w:p>
    <w:p w14:paraId="1952E5FC" w14:textId="77777777" w:rsidR="00B106BF" w:rsidRDefault="00B106BF" w:rsidP="00B106BF">
      <w:pPr>
        <w:spacing w:line="480" w:lineRule="auto"/>
        <w:jc w:val="center"/>
        <w:rPr>
          <w:rFonts w:asciiTheme="majorBidi" w:hAnsiTheme="majorBidi" w:cstheme="majorBidi"/>
          <w:sz w:val="24"/>
          <w:szCs w:val="24"/>
          <w:lang w:val="en-US"/>
        </w:rPr>
      </w:pPr>
    </w:p>
    <w:p w14:paraId="1C4DAE3F" w14:textId="77777777" w:rsidR="00B106BF" w:rsidRDefault="00B106BF" w:rsidP="00B106BF">
      <w:pPr>
        <w:spacing w:line="480" w:lineRule="auto"/>
        <w:jc w:val="center"/>
        <w:rPr>
          <w:rFonts w:asciiTheme="majorBidi" w:hAnsiTheme="majorBidi" w:cstheme="majorBidi"/>
          <w:sz w:val="24"/>
          <w:szCs w:val="24"/>
          <w:lang w:val="en-US"/>
        </w:rPr>
      </w:pPr>
    </w:p>
    <w:p w14:paraId="6B22551D" w14:textId="77777777" w:rsidR="00B106BF" w:rsidRDefault="00B106BF" w:rsidP="00B106BF">
      <w:pPr>
        <w:spacing w:line="480" w:lineRule="auto"/>
        <w:jc w:val="center"/>
        <w:rPr>
          <w:rFonts w:asciiTheme="majorBidi" w:hAnsiTheme="majorBidi" w:cstheme="majorBidi"/>
          <w:sz w:val="24"/>
          <w:szCs w:val="24"/>
          <w:lang w:val="en-US"/>
        </w:rPr>
      </w:pPr>
    </w:p>
    <w:p w14:paraId="1F283C83" w14:textId="77777777" w:rsidR="00B106BF" w:rsidRDefault="00B106BF" w:rsidP="00B106BF">
      <w:pPr>
        <w:spacing w:line="480" w:lineRule="auto"/>
        <w:jc w:val="center"/>
        <w:rPr>
          <w:rFonts w:asciiTheme="majorBidi" w:hAnsiTheme="majorBidi" w:cstheme="majorBidi"/>
          <w:sz w:val="24"/>
          <w:szCs w:val="24"/>
          <w:lang w:val="en-US"/>
        </w:rPr>
      </w:pPr>
    </w:p>
    <w:p w14:paraId="65A6348C" w14:textId="77777777" w:rsidR="00B106BF" w:rsidRDefault="00B106BF" w:rsidP="00B106BF">
      <w:pPr>
        <w:spacing w:line="480" w:lineRule="auto"/>
        <w:jc w:val="center"/>
        <w:rPr>
          <w:rFonts w:asciiTheme="majorBidi" w:hAnsiTheme="majorBidi" w:cstheme="majorBidi"/>
          <w:sz w:val="24"/>
          <w:szCs w:val="24"/>
          <w:lang w:val="en-US"/>
        </w:rPr>
      </w:pPr>
    </w:p>
    <w:p w14:paraId="343AB939" w14:textId="77777777" w:rsidR="00B106BF" w:rsidRDefault="00B106BF" w:rsidP="00B106BF">
      <w:pPr>
        <w:spacing w:line="480" w:lineRule="auto"/>
        <w:jc w:val="center"/>
        <w:rPr>
          <w:rFonts w:asciiTheme="majorBidi" w:hAnsiTheme="majorBidi" w:cstheme="majorBidi"/>
          <w:sz w:val="24"/>
          <w:szCs w:val="24"/>
          <w:lang w:val="en-US"/>
        </w:rPr>
      </w:pPr>
    </w:p>
    <w:p w14:paraId="4BE09BCB" w14:textId="77777777" w:rsidR="00B106BF" w:rsidRPr="007875B2" w:rsidRDefault="00B106BF" w:rsidP="00B106BF">
      <w:pPr>
        <w:spacing w:line="480" w:lineRule="auto"/>
        <w:jc w:val="center"/>
        <w:rPr>
          <w:rFonts w:asciiTheme="majorBidi" w:hAnsiTheme="majorBidi" w:cstheme="majorBidi"/>
          <w:sz w:val="24"/>
          <w:szCs w:val="24"/>
          <w:lang w:val="en-US"/>
        </w:rPr>
      </w:pPr>
    </w:p>
    <w:p w14:paraId="3E1916E8" w14:textId="77777777" w:rsidR="00BB6978" w:rsidRDefault="00BB6978" w:rsidP="00B106BF">
      <w:pPr>
        <w:pStyle w:val="Heading1"/>
        <w:spacing w:before="0" w:line="480" w:lineRule="auto"/>
        <w:jc w:val="center"/>
        <w:rPr>
          <w:rFonts w:asciiTheme="majorBidi" w:hAnsiTheme="majorBidi"/>
          <w:color w:val="auto"/>
          <w:lang w:val="en-US"/>
        </w:rPr>
      </w:pPr>
      <w:bookmarkStart w:id="19" w:name="_Toc56888869"/>
      <w:bookmarkStart w:id="20" w:name="_Toc138239771"/>
      <w:bookmarkStart w:id="21" w:name="_Toc51179093"/>
    </w:p>
    <w:p w14:paraId="46D5AA0A" w14:textId="77777777" w:rsidR="00BB6978" w:rsidRDefault="00BB6978" w:rsidP="00B106BF">
      <w:pPr>
        <w:pStyle w:val="Heading1"/>
        <w:spacing w:before="0" w:line="480" w:lineRule="auto"/>
        <w:jc w:val="center"/>
        <w:rPr>
          <w:rFonts w:asciiTheme="majorBidi" w:hAnsiTheme="majorBidi"/>
          <w:color w:val="auto"/>
          <w:lang w:val="en-US"/>
        </w:rPr>
      </w:pPr>
    </w:p>
    <w:p w14:paraId="62D91769" w14:textId="77777777" w:rsidR="00BB6978" w:rsidRDefault="00BB6978" w:rsidP="00B106BF">
      <w:pPr>
        <w:pStyle w:val="Heading1"/>
        <w:spacing w:before="0" w:line="480" w:lineRule="auto"/>
        <w:jc w:val="center"/>
        <w:rPr>
          <w:rFonts w:asciiTheme="majorBidi" w:hAnsiTheme="majorBidi"/>
          <w:color w:val="auto"/>
          <w:lang w:val="en-US"/>
        </w:rPr>
      </w:pPr>
    </w:p>
    <w:p w14:paraId="02C59DA8" w14:textId="3B345CCE" w:rsidR="00B106BF" w:rsidRPr="007875B2" w:rsidRDefault="00B106BF" w:rsidP="00B106BF">
      <w:pPr>
        <w:pStyle w:val="Heading1"/>
        <w:spacing w:before="0" w:line="480" w:lineRule="auto"/>
        <w:jc w:val="center"/>
        <w:rPr>
          <w:rFonts w:asciiTheme="majorBidi" w:hAnsiTheme="majorBidi"/>
          <w:b w:val="0"/>
          <w:bCs w:val="0"/>
          <w:color w:val="auto"/>
          <w:lang w:val="en-US"/>
        </w:rPr>
      </w:pPr>
      <w:r w:rsidRPr="007875B2">
        <w:rPr>
          <w:rFonts w:asciiTheme="majorBidi" w:hAnsiTheme="majorBidi"/>
          <w:color w:val="auto"/>
          <w:lang w:val="en-US"/>
        </w:rPr>
        <w:t>Acknowledgements</w:t>
      </w:r>
      <w:bookmarkEnd w:id="19"/>
      <w:bookmarkEnd w:id="20"/>
    </w:p>
    <w:p w14:paraId="723DE083" w14:textId="77777777" w:rsidR="00B106BF" w:rsidRDefault="00B106BF" w:rsidP="00B106BF">
      <w:pPr>
        <w:spacing w:line="480" w:lineRule="auto"/>
        <w:jc w:val="both"/>
        <w:rPr>
          <w:rFonts w:asciiTheme="majorBidi" w:hAnsiTheme="majorBidi" w:cstheme="majorBidi"/>
          <w:sz w:val="24"/>
          <w:szCs w:val="24"/>
          <w:lang w:val="en-US"/>
        </w:rPr>
      </w:pPr>
    </w:p>
    <w:p w14:paraId="4ADB016B" w14:textId="77777777" w:rsidR="00B106BF" w:rsidRDefault="00B106BF" w:rsidP="00B106BF">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In the journey of learning and achievement, we naturally face moments of </w:t>
      </w:r>
      <w:r w:rsidR="00834997">
        <w:rPr>
          <w:rFonts w:asciiTheme="majorBidi" w:hAnsiTheme="majorBidi" w:cstheme="majorBidi"/>
          <w:sz w:val="24"/>
          <w:szCs w:val="24"/>
          <w:lang w:val="en-US"/>
        </w:rPr>
        <w:t>doubts</w:t>
      </w:r>
      <w:r>
        <w:rPr>
          <w:rFonts w:asciiTheme="majorBidi" w:hAnsiTheme="majorBidi" w:cstheme="majorBidi"/>
          <w:sz w:val="24"/>
          <w:szCs w:val="24"/>
          <w:lang w:val="en-US"/>
        </w:rPr>
        <w:t xml:space="preserve"> or weakness, moments where we say we can’t do it, we might lose our motivation and feel tiered. </w:t>
      </w:r>
      <w:r w:rsidR="006C1AE2">
        <w:rPr>
          <w:rFonts w:asciiTheme="majorBidi" w:hAnsiTheme="majorBidi" w:cstheme="majorBidi"/>
          <w:sz w:val="24"/>
          <w:szCs w:val="24"/>
          <w:lang w:val="en-US"/>
        </w:rPr>
        <w:t>T</w:t>
      </w:r>
      <w:r w:rsidR="00580AF5">
        <w:rPr>
          <w:rFonts w:asciiTheme="majorBidi" w:hAnsiTheme="majorBidi" w:cstheme="majorBidi"/>
          <w:sz w:val="24"/>
          <w:szCs w:val="24"/>
          <w:lang w:val="en-US"/>
        </w:rPr>
        <w:t>hese moments</w:t>
      </w:r>
      <w:r>
        <w:rPr>
          <w:rFonts w:asciiTheme="majorBidi" w:hAnsiTheme="majorBidi" w:cstheme="majorBidi"/>
          <w:sz w:val="24"/>
          <w:szCs w:val="24"/>
          <w:lang w:val="en-US"/>
        </w:rPr>
        <w:t xml:space="preserve"> where small gestures, warm words and inspiring talks make a big difference, they keep us going. For all my family, friends, colleagues and supervisors, thank you for believing in my capabilities and supporting me during this journey which was filled with ups and downs.</w:t>
      </w:r>
    </w:p>
    <w:p w14:paraId="4ED25224" w14:textId="77777777" w:rsidR="00B106BF" w:rsidRDefault="00B106BF" w:rsidP="00B106BF">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I would like to thank my mother and my dad for their prayers and love that kept me strong. I thank my husband Eissa for being there and for his continues motivation. I thank all my brothers and sisters especially Mohamed, Anjoud, Noura and Zayed who felt the moments of pressure and showed care and love.</w:t>
      </w:r>
    </w:p>
    <w:p w14:paraId="75A61AF9" w14:textId="77777777" w:rsidR="00B106BF" w:rsidRDefault="00B106BF" w:rsidP="00B106BF">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I thank my supervisors who witnessed the moments of frustration and doubts and continued to encourage me. I would like to thank my friends who kept me laughing in the most stressful moments and reminded me of my achievements and abilities. I would also like to thank cohort 7 class for sharing their knowledge and their encouragement. I am very grateful to the supporting community; without them I would have not made it.  </w:t>
      </w:r>
    </w:p>
    <w:p w14:paraId="0065B1E1" w14:textId="77777777" w:rsidR="00B106BF" w:rsidRDefault="00B106BF" w:rsidP="00B106BF">
      <w:pPr>
        <w:spacing w:line="480" w:lineRule="auto"/>
        <w:jc w:val="both"/>
        <w:rPr>
          <w:rFonts w:asciiTheme="majorBidi" w:hAnsiTheme="majorBidi" w:cstheme="majorBidi"/>
          <w:sz w:val="24"/>
          <w:szCs w:val="24"/>
          <w:lang w:val="en-US"/>
        </w:rPr>
      </w:pPr>
    </w:p>
    <w:p w14:paraId="5865BC1C" w14:textId="77777777" w:rsidR="00B106BF" w:rsidRDefault="00B106BF" w:rsidP="00B106BF">
      <w:pPr>
        <w:rPr>
          <w:rFonts w:asciiTheme="majorBidi" w:hAnsiTheme="majorBidi" w:cstheme="majorBidi"/>
          <w:sz w:val="24"/>
          <w:szCs w:val="24"/>
          <w:lang w:val="en-US"/>
        </w:rPr>
      </w:pPr>
    </w:p>
    <w:p w14:paraId="51EE60EE" w14:textId="77777777" w:rsidR="00B106BF" w:rsidRDefault="00B106BF" w:rsidP="00B106BF">
      <w:pPr>
        <w:rPr>
          <w:rFonts w:asciiTheme="majorBidi" w:hAnsiTheme="majorBidi" w:cstheme="majorBidi"/>
          <w:sz w:val="24"/>
          <w:szCs w:val="24"/>
          <w:lang w:val="en-US"/>
        </w:rPr>
      </w:pPr>
    </w:p>
    <w:p w14:paraId="41095BC2" w14:textId="77777777" w:rsidR="00B106BF" w:rsidRDefault="00B106BF" w:rsidP="00B106BF">
      <w:pPr>
        <w:spacing w:line="480" w:lineRule="auto"/>
        <w:jc w:val="both"/>
        <w:rPr>
          <w:rFonts w:asciiTheme="majorBidi" w:hAnsiTheme="majorBidi" w:cstheme="majorBidi"/>
          <w:sz w:val="24"/>
          <w:szCs w:val="24"/>
          <w:lang w:val="en-US"/>
        </w:rPr>
      </w:pPr>
    </w:p>
    <w:p w14:paraId="1F11FE64" w14:textId="77777777" w:rsidR="00B106BF" w:rsidRDefault="00B106BF" w:rsidP="00B106BF">
      <w:pPr>
        <w:pStyle w:val="Heading1"/>
        <w:spacing w:before="0" w:line="480" w:lineRule="auto"/>
        <w:jc w:val="center"/>
        <w:rPr>
          <w:rFonts w:asciiTheme="majorBidi" w:hAnsiTheme="majorBidi"/>
          <w:color w:val="auto"/>
          <w:lang w:val="en-US"/>
        </w:rPr>
      </w:pPr>
      <w:bookmarkStart w:id="22" w:name="_Toc51179094"/>
      <w:bookmarkStart w:id="23" w:name="_Toc56888870"/>
      <w:bookmarkStart w:id="24" w:name="_Toc138239772"/>
      <w:r w:rsidRPr="007875B2">
        <w:rPr>
          <w:rFonts w:asciiTheme="majorBidi" w:hAnsiTheme="majorBidi"/>
          <w:color w:val="auto"/>
          <w:lang w:val="en-US"/>
        </w:rPr>
        <w:t xml:space="preserve">Publication </w:t>
      </w:r>
      <w:r w:rsidR="00343FCA">
        <w:rPr>
          <w:rFonts w:asciiTheme="majorBidi" w:hAnsiTheme="majorBidi"/>
          <w:color w:val="auto"/>
          <w:lang w:val="en-US"/>
        </w:rPr>
        <w:t>a</w:t>
      </w:r>
      <w:r w:rsidRPr="007875B2">
        <w:rPr>
          <w:rFonts w:asciiTheme="majorBidi" w:hAnsiTheme="majorBidi"/>
          <w:color w:val="auto"/>
          <w:lang w:val="en-US"/>
        </w:rPr>
        <w:t xml:space="preserve">rising </w:t>
      </w:r>
      <w:r w:rsidR="00343FCA">
        <w:rPr>
          <w:rFonts w:asciiTheme="majorBidi" w:hAnsiTheme="majorBidi"/>
          <w:color w:val="auto"/>
          <w:lang w:val="en-US"/>
        </w:rPr>
        <w:t>f</w:t>
      </w:r>
      <w:r w:rsidRPr="007875B2">
        <w:rPr>
          <w:rFonts w:asciiTheme="majorBidi" w:hAnsiTheme="majorBidi"/>
          <w:color w:val="auto"/>
          <w:lang w:val="en-US"/>
        </w:rPr>
        <w:t xml:space="preserve">rom this </w:t>
      </w:r>
      <w:r w:rsidR="00343FCA">
        <w:rPr>
          <w:rFonts w:asciiTheme="majorBidi" w:hAnsiTheme="majorBidi"/>
          <w:color w:val="auto"/>
          <w:lang w:val="en-US"/>
        </w:rPr>
        <w:t>d</w:t>
      </w:r>
      <w:r w:rsidRPr="007875B2">
        <w:rPr>
          <w:rFonts w:asciiTheme="majorBidi" w:hAnsiTheme="majorBidi"/>
          <w:color w:val="auto"/>
          <w:lang w:val="en-US"/>
        </w:rPr>
        <w:t>issertation</w:t>
      </w:r>
      <w:bookmarkEnd w:id="22"/>
      <w:bookmarkEnd w:id="23"/>
      <w:r>
        <w:rPr>
          <w:rFonts w:asciiTheme="majorBidi" w:hAnsiTheme="majorBidi"/>
          <w:color w:val="auto"/>
          <w:lang w:val="en-US"/>
        </w:rPr>
        <w:t>:</w:t>
      </w:r>
      <w:bookmarkEnd w:id="24"/>
    </w:p>
    <w:p w14:paraId="1058FECC" w14:textId="77777777" w:rsidR="00B106BF" w:rsidRPr="001768EC" w:rsidRDefault="00F53395" w:rsidP="001768EC">
      <w:pPr>
        <w:spacing w:line="480" w:lineRule="auto"/>
        <w:rPr>
          <w:rFonts w:asciiTheme="majorBidi" w:hAnsiTheme="majorBidi" w:cstheme="majorBidi"/>
          <w:b/>
          <w:bCs/>
          <w:sz w:val="24"/>
          <w:szCs w:val="24"/>
          <w:lang w:val="en-US"/>
        </w:rPr>
      </w:pPr>
      <w:hyperlink r:id="rId21" w:tooltip="Alanood Alkaabi" w:history="1">
        <w:r w:rsidR="00B106BF" w:rsidRPr="001768EC">
          <w:rPr>
            <w:rStyle w:val="Hyperlink"/>
            <w:rFonts w:asciiTheme="majorBidi" w:hAnsiTheme="majorBidi" w:cstheme="majorBidi"/>
            <w:color w:val="auto"/>
            <w:sz w:val="24"/>
            <w:szCs w:val="24"/>
            <w:shd w:val="clear" w:color="auto" w:fill="FFFFFF"/>
          </w:rPr>
          <w:t>Alkaabi, A.</w:t>
        </w:r>
      </w:hyperlink>
      <w:r w:rsidR="00B106BF" w:rsidRPr="001768EC">
        <w:rPr>
          <w:rFonts w:asciiTheme="majorBidi" w:hAnsiTheme="majorBidi" w:cstheme="majorBidi"/>
          <w:sz w:val="24"/>
          <w:szCs w:val="24"/>
          <w:shd w:val="clear" w:color="auto" w:fill="FFFFFF"/>
        </w:rPr>
        <w:t>, </w:t>
      </w:r>
      <w:hyperlink r:id="rId22" w:tooltip="Jacob Poopada Cherian" w:history="1">
        <w:r w:rsidR="00B106BF" w:rsidRPr="001768EC">
          <w:rPr>
            <w:rStyle w:val="Hyperlink"/>
            <w:rFonts w:asciiTheme="majorBidi" w:hAnsiTheme="majorBidi" w:cstheme="majorBidi"/>
            <w:color w:val="auto"/>
            <w:sz w:val="24"/>
            <w:szCs w:val="24"/>
            <w:shd w:val="clear" w:color="auto" w:fill="FFFFFF"/>
          </w:rPr>
          <w:t>Cherian, J.P.</w:t>
        </w:r>
      </w:hyperlink>
      <w:r w:rsidR="00B106BF" w:rsidRPr="001768EC">
        <w:rPr>
          <w:rFonts w:asciiTheme="majorBidi" w:hAnsiTheme="majorBidi" w:cstheme="majorBidi"/>
          <w:sz w:val="24"/>
          <w:szCs w:val="24"/>
          <w:shd w:val="clear" w:color="auto" w:fill="FFFFFF"/>
        </w:rPr>
        <w:t> and </w:t>
      </w:r>
      <w:hyperlink r:id="rId23" w:tooltip="Ross Davidson" w:history="1">
        <w:r w:rsidR="00B106BF" w:rsidRPr="001768EC">
          <w:rPr>
            <w:rStyle w:val="Hyperlink"/>
            <w:rFonts w:asciiTheme="majorBidi" w:hAnsiTheme="majorBidi" w:cstheme="majorBidi"/>
            <w:color w:val="auto"/>
            <w:sz w:val="24"/>
            <w:szCs w:val="24"/>
            <w:shd w:val="clear" w:color="auto" w:fill="FFFFFF"/>
          </w:rPr>
          <w:t>Davidson, R.</w:t>
        </w:r>
      </w:hyperlink>
      <w:r w:rsidR="00B106BF" w:rsidRPr="001768EC">
        <w:rPr>
          <w:rFonts w:asciiTheme="majorBidi" w:hAnsiTheme="majorBidi" w:cstheme="majorBidi"/>
          <w:sz w:val="24"/>
          <w:szCs w:val="24"/>
          <w:shd w:val="clear" w:color="auto" w:fill="FFFFFF"/>
        </w:rPr>
        <w:t> (2022), "Is private schooling worth it? A study on the relationship between cost, quality, and student achievement in the private schools", </w:t>
      </w:r>
      <w:hyperlink r:id="rId24" w:history="1">
        <w:r w:rsidR="00B106BF" w:rsidRPr="001768EC">
          <w:rPr>
            <w:rStyle w:val="Hyperlink"/>
            <w:rFonts w:asciiTheme="majorBidi" w:hAnsiTheme="majorBidi" w:cstheme="majorBidi"/>
            <w:i/>
            <w:iCs/>
            <w:color w:val="auto"/>
            <w:sz w:val="24"/>
            <w:szCs w:val="24"/>
          </w:rPr>
          <w:t>International Journal of Educational Management</w:t>
        </w:r>
      </w:hyperlink>
      <w:r w:rsidR="00B106BF" w:rsidRPr="001768EC">
        <w:rPr>
          <w:rFonts w:asciiTheme="majorBidi" w:hAnsiTheme="majorBidi" w:cstheme="majorBidi"/>
          <w:sz w:val="24"/>
          <w:szCs w:val="24"/>
          <w:shd w:val="clear" w:color="auto" w:fill="FFFFFF"/>
        </w:rPr>
        <w:t>, Vol. 36 No. 7, pp. 1362-1379. </w:t>
      </w:r>
      <w:hyperlink r:id="rId25" w:tooltip="DOI: https://doi.org/10.1108/IJEM-01-2022-0010" w:history="1">
        <w:r w:rsidR="00B106BF" w:rsidRPr="001768EC">
          <w:rPr>
            <w:rStyle w:val="Hyperlink"/>
            <w:rFonts w:asciiTheme="majorBidi" w:hAnsiTheme="majorBidi" w:cstheme="majorBidi"/>
            <w:color w:val="007377"/>
            <w:sz w:val="24"/>
            <w:szCs w:val="24"/>
            <w:shd w:val="clear" w:color="auto" w:fill="FFFFFF"/>
          </w:rPr>
          <w:t>https://doi.org/10.1108/IJEM-01-2022-0010</w:t>
        </w:r>
      </w:hyperlink>
      <w:r w:rsidR="00B106BF" w:rsidRPr="001768EC">
        <w:rPr>
          <w:rFonts w:asciiTheme="majorBidi" w:hAnsiTheme="majorBidi" w:cstheme="majorBidi"/>
          <w:sz w:val="24"/>
          <w:szCs w:val="24"/>
          <w:lang w:val="en-US"/>
        </w:rPr>
        <w:t xml:space="preserve"> </w:t>
      </w:r>
    </w:p>
    <w:p w14:paraId="4133A1FD" w14:textId="77777777" w:rsidR="00B106BF" w:rsidRPr="001768EC" w:rsidRDefault="00B106BF" w:rsidP="001768EC">
      <w:pPr>
        <w:spacing w:line="480" w:lineRule="auto"/>
        <w:rPr>
          <w:rFonts w:asciiTheme="majorBidi" w:hAnsiTheme="majorBidi" w:cstheme="majorBidi"/>
          <w:b/>
          <w:bCs/>
          <w:sz w:val="24"/>
          <w:szCs w:val="24"/>
          <w:lang w:val="en-US"/>
        </w:rPr>
      </w:pPr>
      <w:r w:rsidRPr="001768EC">
        <w:rPr>
          <w:rFonts w:asciiTheme="majorBidi" w:hAnsiTheme="majorBidi" w:cstheme="majorBidi"/>
          <w:sz w:val="24"/>
          <w:szCs w:val="24"/>
          <w:lang w:val="en-US"/>
        </w:rPr>
        <w:t xml:space="preserve">© Emerald Publishing Limited 0951-354X </w:t>
      </w:r>
    </w:p>
    <w:p w14:paraId="74DA447E" w14:textId="77777777" w:rsidR="00B106BF" w:rsidRDefault="00B106BF" w:rsidP="00B106BF">
      <w:pPr>
        <w:rPr>
          <w:rFonts w:asciiTheme="majorBidi" w:hAnsiTheme="majorBidi" w:cstheme="majorBidi"/>
          <w:sz w:val="24"/>
          <w:szCs w:val="24"/>
          <w:lang w:val="en-US"/>
        </w:rPr>
      </w:pPr>
    </w:p>
    <w:p w14:paraId="748290F4" w14:textId="77777777" w:rsidR="00B106BF" w:rsidRDefault="00B106BF" w:rsidP="00B106BF">
      <w:pPr>
        <w:rPr>
          <w:rFonts w:asciiTheme="majorBidi" w:hAnsiTheme="majorBidi" w:cstheme="majorBidi"/>
          <w:sz w:val="24"/>
          <w:szCs w:val="24"/>
          <w:lang w:val="en-US"/>
        </w:rPr>
      </w:pPr>
    </w:p>
    <w:p w14:paraId="4FFFD228" w14:textId="77777777" w:rsidR="00B106BF" w:rsidRDefault="00B106BF" w:rsidP="00B106BF">
      <w:pPr>
        <w:rPr>
          <w:rFonts w:asciiTheme="majorBidi" w:hAnsiTheme="majorBidi" w:cstheme="majorBidi"/>
          <w:sz w:val="24"/>
          <w:szCs w:val="24"/>
          <w:lang w:val="en-US"/>
        </w:rPr>
      </w:pPr>
    </w:p>
    <w:p w14:paraId="242E2991" w14:textId="77777777" w:rsidR="00B106BF" w:rsidRDefault="00B106BF" w:rsidP="00B106BF">
      <w:pPr>
        <w:rPr>
          <w:rFonts w:asciiTheme="majorBidi" w:hAnsiTheme="majorBidi" w:cstheme="majorBidi"/>
          <w:sz w:val="24"/>
          <w:szCs w:val="24"/>
          <w:lang w:val="en-US"/>
        </w:rPr>
      </w:pPr>
    </w:p>
    <w:p w14:paraId="19FD5BC5" w14:textId="77777777" w:rsidR="00B106BF" w:rsidRDefault="00B106BF" w:rsidP="00B106BF">
      <w:pPr>
        <w:rPr>
          <w:rFonts w:asciiTheme="majorBidi" w:hAnsiTheme="majorBidi" w:cstheme="majorBidi"/>
          <w:sz w:val="24"/>
          <w:szCs w:val="24"/>
          <w:lang w:val="en-US"/>
        </w:rPr>
      </w:pPr>
    </w:p>
    <w:p w14:paraId="27B661F8" w14:textId="77777777" w:rsidR="00B106BF" w:rsidRDefault="00B106BF" w:rsidP="00B106BF">
      <w:pPr>
        <w:rPr>
          <w:rFonts w:asciiTheme="majorBidi" w:hAnsiTheme="majorBidi" w:cstheme="majorBidi"/>
          <w:sz w:val="24"/>
          <w:szCs w:val="24"/>
          <w:lang w:val="en-US"/>
        </w:rPr>
      </w:pPr>
    </w:p>
    <w:p w14:paraId="1AD932EC" w14:textId="77777777" w:rsidR="00B106BF" w:rsidRDefault="00B106BF" w:rsidP="00B106BF">
      <w:pPr>
        <w:rPr>
          <w:rFonts w:asciiTheme="majorBidi" w:hAnsiTheme="majorBidi" w:cstheme="majorBidi"/>
          <w:sz w:val="24"/>
          <w:szCs w:val="24"/>
          <w:lang w:val="en-US"/>
        </w:rPr>
      </w:pPr>
    </w:p>
    <w:p w14:paraId="19835AAF" w14:textId="77777777" w:rsidR="00B106BF" w:rsidRDefault="00B106BF" w:rsidP="00B106BF">
      <w:pPr>
        <w:rPr>
          <w:rFonts w:asciiTheme="majorBidi" w:hAnsiTheme="majorBidi" w:cstheme="majorBidi"/>
          <w:sz w:val="24"/>
          <w:szCs w:val="24"/>
          <w:lang w:val="en-US"/>
        </w:rPr>
      </w:pPr>
    </w:p>
    <w:p w14:paraId="5F3AA1F8" w14:textId="77777777" w:rsidR="00B106BF" w:rsidRDefault="00B106BF" w:rsidP="00B106BF">
      <w:pPr>
        <w:rPr>
          <w:rFonts w:asciiTheme="majorBidi" w:hAnsiTheme="majorBidi" w:cstheme="majorBidi"/>
          <w:sz w:val="24"/>
          <w:szCs w:val="24"/>
          <w:lang w:val="en-US"/>
        </w:rPr>
      </w:pPr>
    </w:p>
    <w:p w14:paraId="6764A259" w14:textId="77777777" w:rsidR="00B106BF" w:rsidRDefault="00B106BF" w:rsidP="00B106BF">
      <w:pPr>
        <w:rPr>
          <w:rFonts w:asciiTheme="majorBidi" w:hAnsiTheme="majorBidi" w:cstheme="majorBidi"/>
          <w:sz w:val="24"/>
          <w:szCs w:val="24"/>
          <w:lang w:val="en-US"/>
        </w:rPr>
      </w:pPr>
    </w:p>
    <w:p w14:paraId="1AB528D2" w14:textId="77777777" w:rsidR="00B106BF" w:rsidRDefault="00B106BF" w:rsidP="00B106BF">
      <w:pPr>
        <w:rPr>
          <w:rFonts w:asciiTheme="majorBidi" w:hAnsiTheme="majorBidi" w:cstheme="majorBidi"/>
          <w:sz w:val="24"/>
          <w:szCs w:val="24"/>
          <w:lang w:val="en-US"/>
        </w:rPr>
      </w:pPr>
    </w:p>
    <w:p w14:paraId="32EBB6C3" w14:textId="77777777" w:rsidR="00B106BF" w:rsidRDefault="00B106BF" w:rsidP="00B106BF">
      <w:pPr>
        <w:rPr>
          <w:rFonts w:asciiTheme="majorBidi" w:hAnsiTheme="majorBidi" w:cstheme="majorBidi"/>
          <w:sz w:val="24"/>
          <w:szCs w:val="24"/>
          <w:lang w:val="en-US"/>
        </w:rPr>
      </w:pPr>
    </w:p>
    <w:p w14:paraId="17CF32B4" w14:textId="77777777" w:rsidR="00B106BF" w:rsidRDefault="00B106BF" w:rsidP="00B106BF">
      <w:pPr>
        <w:rPr>
          <w:rFonts w:asciiTheme="majorBidi" w:hAnsiTheme="majorBidi" w:cstheme="majorBidi"/>
          <w:sz w:val="24"/>
          <w:szCs w:val="24"/>
          <w:lang w:val="en-US"/>
        </w:rPr>
      </w:pPr>
    </w:p>
    <w:p w14:paraId="02D8F165" w14:textId="77777777" w:rsidR="00B106BF" w:rsidRDefault="00B106BF" w:rsidP="00B106BF">
      <w:pPr>
        <w:rPr>
          <w:rFonts w:asciiTheme="majorBidi" w:hAnsiTheme="majorBidi" w:cstheme="majorBidi"/>
          <w:sz w:val="24"/>
          <w:szCs w:val="24"/>
          <w:lang w:val="en-US"/>
        </w:rPr>
      </w:pPr>
    </w:p>
    <w:p w14:paraId="57B1668A" w14:textId="77777777" w:rsidR="00B106BF" w:rsidRDefault="00B106BF" w:rsidP="00B106BF">
      <w:pPr>
        <w:rPr>
          <w:rFonts w:asciiTheme="majorBidi" w:hAnsiTheme="majorBidi" w:cstheme="majorBidi"/>
          <w:sz w:val="24"/>
          <w:szCs w:val="24"/>
          <w:lang w:val="en-US"/>
        </w:rPr>
      </w:pPr>
    </w:p>
    <w:p w14:paraId="4BB7947A" w14:textId="77777777" w:rsidR="00B106BF" w:rsidRDefault="00B106BF" w:rsidP="00B106BF">
      <w:pPr>
        <w:rPr>
          <w:rFonts w:asciiTheme="majorBidi" w:hAnsiTheme="majorBidi" w:cstheme="majorBidi"/>
          <w:sz w:val="24"/>
          <w:szCs w:val="24"/>
          <w:lang w:val="en-US"/>
        </w:rPr>
      </w:pPr>
    </w:p>
    <w:p w14:paraId="5CC7DCB8" w14:textId="77777777" w:rsidR="00B106BF" w:rsidRDefault="00B106BF" w:rsidP="00B106BF">
      <w:pPr>
        <w:rPr>
          <w:rFonts w:asciiTheme="majorBidi" w:hAnsiTheme="majorBidi" w:cstheme="majorBidi"/>
          <w:sz w:val="24"/>
          <w:szCs w:val="24"/>
          <w:lang w:val="en-US"/>
        </w:rPr>
      </w:pPr>
    </w:p>
    <w:sdt>
      <w:sdtPr>
        <w:rPr>
          <w:rFonts w:asciiTheme="majorBidi" w:eastAsiaTheme="minorHAnsi" w:hAnsiTheme="majorBidi" w:cstheme="minorBidi"/>
          <w:b w:val="0"/>
          <w:bCs w:val="0"/>
          <w:color w:val="auto"/>
          <w:sz w:val="24"/>
          <w:szCs w:val="24"/>
          <w:lang w:val="en-IN" w:eastAsia="en-US"/>
        </w:rPr>
        <w:id w:val="1462299606"/>
        <w:docPartObj>
          <w:docPartGallery w:val="Table of Contents"/>
          <w:docPartUnique/>
        </w:docPartObj>
      </w:sdtPr>
      <w:sdtEndPr>
        <w:rPr>
          <w:rFonts w:asciiTheme="minorHAnsi" w:hAnsiTheme="minorHAnsi"/>
          <w:noProof/>
          <w:sz w:val="22"/>
          <w:szCs w:val="22"/>
          <w:lang w:val="en-GB"/>
        </w:rPr>
      </w:sdtEndPr>
      <w:sdtContent>
        <w:p w14:paraId="7A6B54DC" w14:textId="77777777" w:rsidR="00B106BF" w:rsidRPr="00601718" w:rsidRDefault="00B106BF" w:rsidP="00B106BF">
          <w:pPr>
            <w:pStyle w:val="TOCHeading"/>
            <w:spacing w:after="240" w:line="360" w:lineRule="auto"/>
            <w:jc w:val="center"/>
            <w:rPr>
              <w:rFonts w:asciiTheme="majorBidi" w:hAnsiTheme="majorBidi"/>
              <w:color w:val="auto"/>
              <w:sz w:val="24"/>
              <w:szCs w:val="24"/>
            </w:rPr>
          </w:pPr>
          <w:r w:rsidRPr="00601718">
            <w:rPr>
              <w:rFonts w:asciiTheme="majorBidi" w:hAnsiTheme="majorBidi"/>
              <w:color w:val="auto"/>
              <w:sz w:val="24"/>
              <w:szCs w:val="24"/>
            </w:rPr>
            <w:t xml:space="preserve">Table of </w:t>
          </w:r>
          <w:r w:rsidR="00343FCA" w:rsidRPr="00601718">
            <w:rPr>
              <w:rFonts w:asciiTheme="majorBidi" w:hAnsiTheme="majorBidi"/>
              <w:color w:val="auto"/>
              <w:sz w:val="24"/>
              <w:szCs w:val="24"/>
            </w:rPr>
            <w:t>c</w:t>
          </w:r>
          <w:r w:rsidRPr="00601718">
            <w:rPr>
              <w:rFonts w:asciiTheme="majorBidi" w:hAnsiTheme="majorBidi"/>
              <w:color w:val="auto"/>
              <w:sz w:val="24"/>
              <w:szCs w:val="24"/>
            </w:rPr>
            <w:t>ontents</w:t>
          </w:r>
        </w:p>
        <w:p w14:paraId="7A191068" w14:textId="2B284F16" w:rsidR="008D5FD6" w:rsidRDefault="00B106BF">
          <w:pPr>
            <w:pStyle w:val="TOC1"/>
            <w:tabs>
              <w:tab w:val="right" w:leader="dot" w:pos="7910"/>
            </w:tabs>
            <w:rPr>
              <w:rFonts w:eastAsiaTheme="minorEastAsia"/>
              <w:noProof/>
              <w:lang w:val="en-US"/>
            </w:rPr>
          </w:pPr>
          <w:r w:rsidRPr="00601718">
            <w:rPr>
              <w:rFonts w:asciiTheme="majorBidi" w:hAnsiTheme="majorBidi" w:cstheme="majorBidi"/>
              <w:sz w:val="24"/>
              <w:szCs w:val="24"/>
            </w:rPr>
            <w:fldChar w:fldCharType="begin"/>
          </w:r>
          <w:r w:rsidRPr="00601718">
            <w:rPr>
              <w:rFonts w:asciiTheme="majorBidi" w:hAnsiTheme="majorBidi" w:cstheme="majorBidi"/>
              <w:sz w:val="24"/>
              <w:szCs w:val="24"/>
            </w:rPr>
            <w:instrText xml:space="preserve"> TOC \o "1-3" \h \z \u </w:instrText>
          </w:r>
          <w:r w:rsidRPr="00601718">
            <w:rPr>
              <w:rFonts w:asciiTheme="majorBidi" w:hAnsiTheme="majorBidi" w:cstheme="majorBidi"/>
              <w:sz w:val="24"/>
              <w:szCs w:val="24"/>
            </w:rPr>
            <w:fldChar w:fldCharType="separate"/>
          </w:r>
          <w:hyperlink w:anchor="_Toc138239766" w:history="1">
            <w:r w:rsidR="008D5FD6" w:rsidRPr="00C5103D">
              <w:rPr>
                <w:rStyle w:val="Hyperlink"/>
                <w:rFonts w:ascii="Times New Roman" w:eastAsiaTheme="majorEastAsia" w:hAnsi="Times New Roman" w:cs="Times New Roman"/>
                <w:b/>
                <w:bCs/>
                <w:noProof/>
                <w:w w:val="105"/>
                <w:lang w:val="en-US" w:eastAsia="en-GB" w:bidi="en-US"/>
              </w:rPr>
              <w:t>COPYRIGHT INFORMATION</w:t>
            </w:r>
            <w:r w:rsidR="008D5FD6">
              <w:rPr>
                <w:noProof/>
                <w:webHidden/>
              </w:rPr>
              <w:tab/>
            </w:r>
            <w:r w:rsidR="008D5FD6">
              <w:rPr>
                <w:noProof/>
                <w:webHidden/>
              </w:rPr>
              <w:fldChar w:fldCharType="begin"/>
            </w:r>
            <w:r w:rsidR="008D5FD6">
              <w:rPr>
                <w:noProof/>
                <w:webHidden/>
              </w:rPr>
              <w:instrText xml:space="preserve"> PAGEREF _Toc138239766 \h </w:instrText>
            </w:r>
            <w:r w:rsidR="008D5FD6">
              <w:rPr>
                <w:noProof/>
                <w:webHidden/>
              </w:rPr>
            </w:r>
            <w:r w:rsidR="008D5FD6">
              <w:rPr>
                <w:noProof/>
                <w:webHidden/>
              </w:rPr>
              <w:fldChar w:fldCharType="separate"/>
            </w:r>
            <w:r w:rsidR="008D5FD6">
              <w:rPr>
                <w:noProof/>
                <w:webHidden/>
              </w:rPr>
              <w:t>iii</w:t>
            </w:r>
            <w:r w:rsidR="008D5FD6">
              <w:rPr>
                <w:noProof/>
                <w:webHidden/>
              </w:rPr>
              <w:fldChar w:fldCharType="end"/>
            </w:r>
          </w:hyperlink>
        </w:p>
        <w:p w14:paraId="2E977126" w14:textId="33D74CEB" w:rsidR="008D5FD6" w:rsidRDefault="00F53395">
          <w:pPr>
            <w:pStyle w:val="TOC1"/>
            <w:tabs>
              <w:tab w:val="right" w:leader="dot" w:pos="7910"/>
            </w:tabs>
            <w:rPr>
              <w:rFonts w:eastAsiaTheme="minorEastAsia"/>
              <w:noProof/>
              <w:lang w:val="en-US"/>
            </w:rPr>
          </w:pPr>
          <w:hyperlink w:anchor="_Toc138239767" w:history="1">
            <w:r w:rsidR="008D5FD6" w:rsidRPr="00C5103D">
              <w:rPr>
                <w:rStyle w:val="Hyperlink"/>
                <w:rFonts w:asciiTheme="majorBidi" w:hAnsiTheme="majorBidi"/>
                <w:noProof/>
                <w:lang w:val="en-US"/>
              </w:rPr>
              <w:t>Abstract</w:t>
            </w:r>
            <w:r w:rsidR="008D5FD6">
              <w:rPr>
                <w:noProof/>
                <w:webHidden/>
              </w:rPr>
              <w:tab/>
            </w:r>
            <w:r w:rsidR="008D5FD6">
              <w:rPr>
                <w:noProof/>
                <w:webHidden/>
              </w:rPr>
              <w:fldChar w:fldCharType="begin"/>
            </w:r>
            <w:r w:rsidR="008D5FD6">
              <w:rPr>
                <w:noProof/>
                <w:webHidden/>
              </w:rPr>
              <w:instrText xml:space="preserve"> PAGEREF _Toc138239767 \h </w:instrText>
            </w:r>
            <w:r w:rsidR="008D5FD6">
              <w:rPr>
                <w:noProof/>
                <w:webHidden/>
              </w:rPr>
            </w:r>
            <w:r w:rsidR="008D5FD6">
              <w:rPr>
                <w:noProof/>
                <w:webHidden/>
              </w:rPr>
              <w:fldChar w:fldCharType="separate"/>
            </w:r>
            <w:r w:rsidR="008D5FD6">
              <w:rPr>
                <w:noProof/>
                <w:webHidden/>
              </w:rPr>
              <w:t>v</w:t>
            </w:r>
            <w:r w:rsidR="008D5FD6">
              <w:rPr>
                <w:noProof/>
                <w:webHidden/>
              </w:rPr>
              <w:fldChar w:fldCharType="end"/>
            </w:r>
          </w:hyperlink>
        </w:p>
        <w:p w14:paraId="02DC92F4" w14:textId="7ECA248A" w:rsidR="008D5FD6" w:rsidRDefault="00F53395">
          <w:pPr>
            <w:pStyle w:val="TOC1"/>
            <w:tabs>
              <w:tab w:val="right" w:leader="dot" w:pos="7910"/>
            </w:tabs>
            <w:rPr>
              <w:rFonts w:eastAsiaTheme="minorEastAsia"/>
              <w:noProof/>
              <w:lang w:val="en-US"/>
            </w:rPr>
          </w:pPr>
          <w:hyperlink w:anchor="_Toc138239768" w:history="1">
            <w:r w:rsidR="008D5FD6" w:rsidRPr="00C5103D">
              <w:rPr>
                <w:rStyle w:val="Hyperlink"/>
                <w:rFonts w:asciiTheme="majorBidi" w:hAnsiTheme="majorBidi"/>
                <w:noProof/>
                <w:lang w:val="en-US"/>
              </w:rPr>
              <w:t>List of abbreviations</w:t>
            </w:r>
            <w:r w:rsidR="008D5FD6">
              <w:rPr>
                <w:noProof/>
                <w:webHidden/>
              </w:rPr>
              <w:tab/>
            </w:r>
            <w:r w:rsidR="008D5FD6">
              <w:rPr>
                <w:noProof/>
                <w:webHidden/>
              </w:rPr>
              <w:fldChar w:fldCharType="begin"/>
            </w:r>
            <w:r w:rsidR="008D5FD6">
              <w:rPr>
                <w:noProof/>
                <w:webHidden/>
              </w:rPr>
              <w:instrText xml:space="preserve"> PAGEREF _Toc138239768 \h </w:instrText>
            </w:r>
            <w:r w:rsidR="008D5FD6">
              <w:rPr>
                <w:noProof/>
                <w:webHidden/>
              </w:rPr>
            </w:r>
            <w:r w:rsidR="008D5FD6">
              <w:rPr>
                <w:noProof/>
                <w:webHidden/>
              </w:rPr>
              <w:fldChar w:fldCharType="separate"/>
            </w:r>
            <w:r w:rsidR="008D5FD6">
              <w:rPr>
                <w:noProof/>
                <w:webHidden/>
              </w:rPr>
              <w:t>vi</w:t>
            </w:r>
            <w:r w:rsidR="008D5FD6">
              <w:rPr>
                <w:noProof/>
                <w:webHidden/>
              </w:rPr>
              <w:fldChar w:fldCharType="end"/>
            </w:r>
          </w:hyperlink>
        </w:p>
        <w:p w14:paraId="62FE4D71" w14:textId="10715E03" w:rsidR="008D5FD6" w:rsidRDefault="00F53395">
          <w:pPr>
            <w:pStyle w:val="TOC1"/>
            <w:tabs>
              <w:tab w:val="right" w:leader="dot" w:pos="7910"/>
            </w:tabs>
            <w:rPr>
              <w:rFonts w:eastAsiaTheme="minorEastAsia"/>
              <w:noProof/>
              <w:lang w:val="en-US"/>
            </w:rPr>
          </w:pPr>
          <w:hyperlink w:anchor="_Toc138239769" w:history="1">
            <w:r w:rsidR="008D5FD6" w:rsidRPr="00C5103D">
              <w:rPr>
                <w:rStyle w:val="Hyperlink"/>
                <w:rFonts w:asciiTheme="majorBidi" w:hAnsiTheme="majorBidi"/>
                <w:noProof/>
                <w:lang w:val="en-US"/>
              </w:rPr>
              <w:t>Declaration</w:t>
            </w:r>
            <w:r w:rsidR="008D5FD6">
              <w:rPr>
                <w:noProof/>
                <w:webHidden/>
              </w:rPr>
              <w:tab/>
            </w:r>
            <w:r w:rsidR="008D5FD6">
              <w:rPr>
                <w:noProof/>
                <w:webHidden/>
              </w:rPr>
              <w:fldChar w:fldCharType="begin"/>
            </w:r>
            <w:r w:rsidR="008D5FD6">
              <w:rPr>
                <w:noProof/>
                <w:webHidden/>
              </w:rPr>
              <w:instrText xml:space="preserve"> PAGEREF _Toc138239769 \h </w:instrText>
            </w:r>
            <w:r w:rsidR="008D5FD6">
              <w:rPr>
                <w:noProof/>
                <w:webHidden/>
              </w:rPr>
            </w:r>
            <w:r w:rsidR="008D5FD6">
              <w:rPr>
                <w:noProof/>
                <w:webHidden/>
              </w:rPr>
              <w:fldChar w:fldCharType="separate"/>
            </w:r>
            <w:r w:rsidR="008D5FD6">
              <w:rPr>
                <w:noProof/>
                <w:webHidden/>
              </w:rPr>
              <w:t>vii</w:t>
            </w:r>
            <w:r w:rsidR="008D5FD6">
              <w:rPr>
                <w:noProof/>
                <w:webHidden/>
              </w:rPr>
              <w:fldChar w:fldCharType="end"/>
            </w:r>
          </w:hyperlink>
        </w:p>
        <w:p w14:paraId="50EDC7BC" w14:textId="49765434" w:rsidR="008D5FD6" w:rsidRDefault="00F53395">
          <w:pPr>
            <w:pStyle w:val="TOC1"/>
            <w:tabs>
              <w:tab w:val="right" w:leader="dot" w:pos="7910"/>
            </w:tabs>
            <w:rPr>
              <w:rFonts w:eastAsiaTheme="minorEastAsia"/>
              <w:noProof/>
              <w:lang w:val="en-US"/>
            </w:rPr>
          </w:pPr>
          <w:hyperlink w:anchor="_Toc138239770" w:history="1">
            <w:r w:rsidR="008D5FD6" w:rsidRPr="00C5103D">
              <w:rPr>
                <w:rStyle w:val="Hyperlink"/>
                <w:rFonts w:asciiTheme="majorBidi" w:hAnsiTheme="majorBidi"/>
                <w:noProof/>
                <w:lang w:val="en-US"/>
              </w:rPr>
              <w:t>Dedication</w:t>
            </w:r>
            <w:r w:rsidR="008D5FD6">
              <w:rPr>
                <w:noProof/>
                <w:webHidden/>
              </w:rPr>
              <w:tab/>
            </w:r>
            <w:r w:rsidR="008D5FD6">
              <w:rPr>
                <w:noProof/>
                <w:webHidden/>
              </w:rPr>
              <w:fldChar w:fldCharType="begin"/>
            </w:r>
            <w:r w:rsidR="008D5FD6">
              <w:rPr>
                <w:noProof/>
                <w:webHidden/>
              </w:rPr>
              <w:instrText xml:space="preserve"> PAGEREF _Toc138239770 \h </w:instrText>
            </w:r>
            <w:r w:rsidR="008D5FD6">
              <w:rPr>
                <w:noProof/>
                <w:webHidden/>
              </w:rPr>
            </w:r>
            <w:r w:rsidR="008D5FD6">
              <w:rPr>
                <w:noProof/>
                <w:webHidden/>
              </w:rPr>
              <w:fldChar w:fldCharType="separate"/>
            </w:r>
            <w:r w:rsidR="008D5FD6">
              <w:rPr>
                <w:noProof/>
                <w:webHidden/>
              </w:rPr>
              <w:t>viii</w:t>
            </w:r>
            <w:r w:rsidR="008D5FD6">
              <w:rPr>
                <w:noProof/>
                <w:webHidden/>
              </w:rPr>
              <w:fldChar w:fldCharType="end"/>
            </w:r>
          </w:hyperlink>
        </w:p>
        <w:p w14:paraId="4D14666A" w14:textId="47CA3211" w:rsidR="008D5FD6" w:rsidRDefault="00F53395">
          <w:pPr>
            <w:pStyle w:val="TOC1"/>
            <w:tabs>
              <w:tab w:val="right" w:leader="dot" w:pos="7910"/>
            </w:tabs>
            <w:rPr>
              <w:rFonts w:eastAsiaTheme="minorEastAsia"/>
              <w:noProof/>
              <w:lang w:val="en-US"/>
            </w:rPr>
          </w:pPr>
          <w:hyperlink w:anchor="_Toc138239771" w:history="1">
            <w:r w:rsidR="008D5FD6" w:rsidRPr="00C5103D">
              <w:rPr>
                <w:rStyle w:val="Hyperlink"/>
                <w:rFonts w:asciiTheme="majorBidi" w:hAnsiTheme="majorBidi"/>
                <w:noProof/>
                <w:lang w:val="en-US"/>
              </w:rPr>
              <w:t>Acknowledgements</w:t>
            </w:r>
            <w:r w:rsidR="008D5FD6">
              <w:rPr>
                <w:noProof/>
                <w:webHidden/>
              </w:rPr>
              <w:tab/>
            </w:r>
            <w:r w:rsidR="008D5FD6">
              <w:rPr>
                <w:noProof/>
                <w:webHidden/>
              </w:rPr>
              <w:fldChar w:fldCharType="begin"/>
            </w:r>
            <w:r w:rsidR="008D5FD6">
              <w:rPr>
                <w:noProof/>
                <w:webHidden/>
              </w:rPr>
              <w:instrText xml:space="preserve"> PAGEREF _Toc138239771 \h </w:instrText>
            </w:r>
            <w:r w:rsidR="008D5FD6">
              <w:rPr>
                <w:noProof/>
                <w:webHidden/>
              </w:rPr>
            </w:r>
            <w:r w:rsidR="008D5FD6">
              <w:rPr>
                <w:noProof/>
                <w:webHidden/>
              </w:rPr>
              <w:fldChar w:fldCharType="separate"/>
            </w:r>
            <w:r w:rsidR="008D5FD6">
              <w:rPr>
                <w:noProof/>
                <w:webHidden/>
              </w:rPr>
              <w:t>ix</w:t>
            </w:r>
            <w:r w:rsidR="008D5FD6">
              <w:rPr>
                <w:noProof/>
                <w:webHidden/>
              </w:rPr>
              <w:fldChar w:fldCharType="end"/>
            </w:r>
          </w:hyperlink>
        </w:p>
        <w:p w14:paraId="22A9D8A9" w14:textId="131035AB" w:rsidR="008D5FD6" w:rsidRDefault="00F53395">
          <w:pPr>
            <w:pStyle w:val="TOC1"/>
            <w:tabs>
              <w:tab w:val="right" w:leader="dot" w:pos="7910"/>
            </w:tabs>
            <w:rPr>
              <w:rFonts w:eastAsiaTheme="minorEastAsia"/>
              <w:noProof/>
              <w:lang w:val="en-US"/>
            </w:rPr>
          </w:pPr>
          <w:hyperlink w:anchor="_Toc138239772" w:history="1">
            <w:r w:rsidR="008D5FD6" w:rsidRPr="00C5103D">
              <w:rPr>
                <w:rStyle w:val="Hyperlink"/>
                <w:rFonts w:asciiTheme="majorBidi" w:hAnsiTheme="majorBidi"/>
                <w:noProof/>
                <w:lang w:val="en-US"/>
              </w:rPr>
              <w:t>Publication arising from this dissertation:</w:t>
            </w:r>
            <w:r w:rsidR="008D5FD6">
              <w:rPr>
                <w:noProof/>
                <w:webHidden/>
              </w:rPr>
              <w:tab/>
            </w:r>
            <w:r w:rsidR="008D5FD6">
              <w:rPr>
                <w:noProof/>
                <w:webHidden/>
              </w:rPr>
              <w:fldChar w:fldCharType="begin"/>
            </w:r>
            <w:r w:rsidR="008D5FD6">
              <w:rPr>
                <w:noProof/>
                <w:webHidden/>
              </w:rPr>
              <w:instrText xml:space="preserve"> PAGEREF _Toc138239772 \h </w:instrText>
            </w:r>
            <w:r w:rsidR="008D5FD6">
              <w:rPr>
                <w:noProof/>
                <w:webHidden/>
              </w:rPr>
            </w:r>
            <w:r w:rsidR="008D5FD6">
              <w:rPr>
                <w:noProof/>
                <w:webHidden/>
              </w:rPr>
              <w:fldChar w:fldCharType="separate"/>
            </w:r>
            <w:r w:rsidR="008D5FD6">
              <w:rPr>
                <w:noProof/>
                <w:webHidden/>
              </w:rPr>
              <w:t>x</w:t>
            </w:r>
            <w:r w:rsidR="008D5FD6">
              <w:rPr>
                <w:noProof/>
                <w:webHidden/>
              </w:rPr>
              <w:fldChar w:fldCharType="end"/>
            </w:r>
          </w:hyperlink>
        </w:p>
        <w:p w14:paraId="68E9914D" w14:textId="1180F736" w:rsidR="008D5FD6" w:rsidRDefault="00F53395">
          <w:pPr>
            <w:pStyle w:val="TOC1"/>
            <w:tabs>
              <w:tab w:val="right" w:leader="dot" w:pos="7910"/>
            </w:tabs>
            <w:rPr>
              <w:rFonts w:eastAsiaTheme="minorEastAsia"/>
              <w:noProof/>
              <w:lang w:val="en-US"/>
            </w:rPr>
          </w:pPr>
          <w:hyperlink w:anchor="_Toc138239773" w:history="1">
            <w:r w:rsidR="008D5FD6" w:rsidRPr="00C5103D">
              <w:rPr>
                <w:rStyle w:val="Hyperlink"/>
                <w:rFonts w:asciiTheme="majorBidi" w:hAnsiTheme="majorBidi"/>
                <w:noProof/>
                <w:lang w:val="en-US"/>
              </w:rPr>
              <w:t>List of tables</w:t>
            </w:r>
            <w:r w:rsidR="008D5FD6">
              <w:rPr>
                <w:noProof/>
                <w:webHidden/>
              </w:rPr>
              <w:tab/>
            </w:r>
            <w:r w:rsidR="008D5FD6">
              <w:rPr>
                <w:noProof/>
                <w:webHidden/>
              </w:rPr>
              <w:fldChar w:fldCharType="begin"/>
            </w:r>
            <w:r w:rsidR="008D5FD6">
              <w:rPr>
                <w:noProof/>
                <w:webHidden/>
              </w:rPr>
              <w:instrText xml:space="preserve"> PAGEREF _Toc138239773 \h </w:instrText>
            </w:r>
            <w:r w:rsidR="008D5FD6">
              <w:rPr>
                <w:noProof/>
                <w:webHidden/>
              </w:rPr>
            </w:r>
            <w:r w:rsidR="008D5FD6">
              <w:rPr>
                <w:noProof/>
                <w:webHidden/>
              </w:rPr>
              <w:fldChar w:fldCharType="separate"/>
            </w:r>
            <w:r w:rsidR="008D5FD6">
              <w:rPr>
                <w:noProof/>
                <w:webHidden/>
              </w:rPr>
              <w:t>xiii</w:t>
            </w:r>
            <w:r w:rsidR="008D5FD6">
              <w:rPr>
                <w:noProof/>
                <w:webHidden/>
              </w:rPr>
              <w:fldChar w:fldCharType="end"/>
            </w:r>
          </w:hyperlink>
        </w:p>
        <w:p w14:paraId="637822DE" w14:textId="32B333F7" w:rsidR="008D5FD6" w:rsidRDefault="00F53395">
          <w:pPr>
            <w:pStyle w:val="TOC1"/>
            <w:tabs>
              <w:tab w:val="right" w:leader="dot" w:pos="7910"/>
            </w:tabs>
            <w:rPr>
              <w:rFonts w:eastAsiaTheme="minorEastAsia"/>
              <w:noProof/>
              <w:lang w:val="en-US"/>
            </w:rPr>
          </w:pPr>
          <w:hyperlink w:anchor="_Toc138239774" w:history="1">
            <w:r w:rsidR="008D5FD6" w:rsidRPr="00C5103D">
              <w:rPr>
                <w:rStyle w:val="Hyperlink"/>
                <w:rFonts w:asciiTheme="majorBidi" w:hAnsiTheme="majorBidi"/>
                <w:noProof/>
                <w:lang w:val="en-US"/>
              </w:rPr>
              <w:t>List of figures</w:t>
            </w:r>
            <w:r w:rsidR="008D5FD6">
              <w:rPr>
                <w:noProof/>
                <w:webHidden/>
              </w:rPr>
              <w:tab/>
            </w:r>
            <w:r w:rsidR="008D5FD6">
              <w:rPr>
                <w:noProof/>
                <w:webHidden/>
              </w:rPr>
              <w:fldChar w:fldCharType="begin"/>
            </w:r>
            <w:r w:rsidR="008D5FD6">
              <w:rPr>
                <w:noProof/>
                <w:webHidden/>
              </w:rPr>
              <w:instrText xml:space="preserve"> PAGEREF _Toc138239774 \h </w:instrText>
            </w:r>
            <w:r w:rsidR="008D5FD6">
              <w:rPr>
                <w:noProof/>
                <w:webHidden/>
              </w:rPr>
            </w:r>
            <w:r w:rsidR="008D5FD6">
              <w:rPr>
                <w:noProof/>
                <w:webHidden/>
              </w:rPr>
              <w:fldChar w:fldCharType="separate"/>
            </w:r>
            <w:r w:rsidR="008D5FD6">
              <w:rPr>
                <w:noProof/>
                <w:webHidden/>
              </w:rPr>
              <w:t>xiv</w:t>
            </w:r>
            <w:r w:rsidR="008D5FD6">
              <w:rPr>
                <w:noProof/>
                <w:webHidden/>
              </w:rPr>
              <w:fldChar w:fldCharType="end"/>
            </w:r>
          </w:hyperlink>
        </w:p>
        <w:p w14:paraId="12DE8E12" w14:textId="29C20DFD" w:rsidR="008D5FD6" w:rsidRDefault="00F53395">
          <w:pPr>
            <w:pStyle w:val="TOC1"/>
            <w:tabs>
              <w:tab w:val="right" w:leader="dot" w:pos="7910"/>
            </w:tabs>
            <w:rPr>
              <w:rFonts w:eastAsiaTheme="minorEastAsia"/>
              <w:noProof/>
              <w:lang w:val="en-US"/>
            </w:rPr>
          </w:pPr>
          <w:hyperlink w:anchor="_Toc138239775" w:history="1">
            <w:r w:rsidR="008D5FD6" w:rsidRPr="00C5103D">
              <w:rPr>
                <w:rStyle w:val="Hyperlink"/>
                <w:rFonts w:asciiTheme="majorBidi" w:hAnsiTheme="majorBidi"/>
                <w:noProof/>
                <w:lang w:eastAsia="en-GB" w:bidi="en-GB"/>
              </w:rPr>
              <w:t>CHAPTER I – Introduction</w:t>
            </w:r>
            <w:r w:rsidR="008D5FD6">
              <w:rPr>
                <w:noProof/>
                <w:webHidden/>
              </w:rPr>
              <w:tab/>
            </w:r>
            <w:r w:rsidR="008D5FD6">
              <w:rPr>
                <w:noProof/>
                <w:webHidden/>
              </w:rPr>
              <w:fldChar w:fldCharType="begin"/>
            </w:r>
            <w:r w:rsidR="008D5FD6">
              <w:rPr>
                <w:noProof/>
                <w:webHidden/>
              </w:rPr>
              <w:instrText xml:space="preserve"> PAGEREF _Toc138239775 \h </w:instrText>
            </w:r>
            <w:r w:rsidR="008D5FD6">
              <w:rPr>
                <w:noProof/>
                <w:webHidden/>
              </w:rPr>
            </w:r>
            <w:r w:rsidR="008D5FD6">
              <w:rPr>
                <w:noProof/>
                <w:webHidden/>
              </w:rPr>
              <w:fldChar w:fldCharType="separate"/>
            </w:r>
            <w:r w:rsidR="008D5FD6">
              <w:rPr>
                <w:noProof/>
                <w:webHidden/>
              </w:rPr>
              <w:t>1</w:t>
            </w:r>
            <w:r w:rsidR="008D5FD6">
              <w:rPr>
                <w:noProof/>
                <w:webHidden/>
              </w:rPr>
              <w:fldChar w:fldCharType="end"/>
            </w:r>
          </w:hyperlink>
        </w:p>
        <w:p w14:paraId="7EFCFFD5" w14:textId="51DB9E8E" w:rsidR="008D5FD6" w:rsidRDefault="00F53395">
          <w:pPr>
            <w:pStyle w:val="TOC1"/>
            <w:tabs>
              <w:tab w:val="left" w:pos="660"/>
              <w:tab w:val="right" w:leader="dot" w:pos="7910"/>
            </w:tabs>
            <w:rPr>
              <w:rFonts w:eastAsiaTheme="minorEastAsia"/>
              <w:noProof/>
              <w:lang w:val="en-US"/>
            </w:rPr>
          </w:pPr>
          <w:hyperlink w:anchor="_Toc138239776" w:history="1">
            <w:r w:rsidR="008D5FD6" w:rsidRPr="00C5103D">
              <w:rPr>
                <w:rStyle w:val="Hyperlink"/>
                <w:rFonts w:asciiTheme="majorBidi" w:eastAsia="Times New Roman" w:hAnsiTheme="majorBidi"/>
                <w:noProof/>
              </w:rPr>
              <w:t>1.1</w:t>
            </w:r>
            <w:r w:rsidR="008D5FD6">
              <w:rPr>
                <w:rFonts w:eastAsiaTheme="minorEastAsia"/>
                <w:noProof/>
                <w:lang w:val="en-US"/>
              </w:rPr>
              <w:tab/>
            </w:r>
            <w:r w:rsidR="008D5FD6" w:rsidRPr="00C5103D">
              <w:rPr>
                <w:rStyle w:val="Hyperlink"/>
                <w:rFonts w:asciiTheme="majorBidi" w:eastAsia="Times New Roman" w:hAnsiTheme="majorBidi"/>
                <w:noProof/>
              </w:rPr>
              <w:t>Introduction</w:t>
            </w:r>
            <w:r w:rsidR="008D5FD6">
              <w:rPr>
                <w:noProof/>
                <w:webHidden/>
              </w:rPr>
              <w:tab/>
            </w:r>
            <w:r w:rsidR="008D5FD6">
              <w:rPr>
                <w:noProof/>
                <w:webHidden/>
              </w:rPr>
              <w:fldChar w:fldCharType="begin"/>
            </w:r>
            <w:r w:rsidR="008D5FD6">
              <w:rPr>
                <w:noProof/>
                <w:webHidden/>
              </w:rPr>
              <w:instrText xml:space="preserve"> PAGEREF _Toc138239776 \h </w:instrText>
            </w:r>
            <w:r w:rsidR="008D5FD6">
              <w:rPr>
                <w:noProof/>
                <w:webHidden/>
              </w:rPr>
            </w:r>
            <w:r w:rsidR="008D5FD6">
              <w:rPr>
                <w:noProof/>
                <w:webHidden/>
              </w:rPr>
              <w:fldChar w:fldCharType="separate"/>
            </w:r>
            <w:r w:rsidR="008D5FD6">
              <w:rPr>
                <w:noProof/>
                <w:webHidden/>
              </w:rPr>
              <w:t>1</w:t>
            </w:r>
            <w:r w:rsidR="008D5FD6">
              <w:rPr>
                <w:noProof/>
                <w:webHidden/>
              </w:rPr>
              <w:fldChar w:fldCharType="end"/>
            </w:r>
          </w:hyperlink>
        </w:p>
        <w:p w14:paraId="4AEF9087" w14:textId="3F34A60C" w:rsidR="008D5FD6" w:rsidRDefault="00F53395">
          <w:pPr>
            <w:pStyle w:val="TOC1"/>
            <w:tabs>
              <w:tab w:val="left" w:pos="660"/>
              <w:tab w:val="right" w:leader="dot" w:pos="7910"/>
            </w:tabs>
            <w:rPr>
              <w:rFonts w:eastAsiaTheme="minorEastAsia"/>
              <w:noProof/>
              <w:lang w:val="en-US"/>
            </w:rPr>
          </w:pPr>
          <w:hyperlink w:anchor="_Toc138239777" w:history="1">
            <w:r w:rsidR="008D5FD6" w:rsidRPr="00C5103D">
              <w:rPr>
                <w:rStyle w:val="Hyperlink"/>
                <w:rFonts w:asciiTheme="majorBidi" w:eastAsia="Times New Roman" w:hAnsiTheme="majorBidi"/>
                <w:noProof/>
              </w:rPr>
              <w:t>1.2</w:t>
            </w:r>
            <w:r w:rsidR="008D5FD6">
              <w:rPr>
                <w:rFonts w:eastAsiaTheme="minorEastAsia"/>
                <w:noProof/>
                <w:lang w:val="en-US"/>
              </w:rPr>
              <w:tab/>
            </w:r>
            <w:r w:rsidR="008D5FD6" w:rsidRPr="00C5103D">
              <w:rPr>
                <w:rStyle w:val="Hyperlink"/>
                <w:rFonts w:asciiTheme="majorBidi" w:eastAsia="Times New Roman" w:hAnsiTheme="majorBidi"/>
                <w:noProof/>
              </w:rPr>
              <w:t>The Relationship between School Cost and Quality</w:t>
            </w:r>
            <w:r w:rsidR="008D5FD6">
              <w:rPr>
                <w:noProof/>
                <w:webHidden/>
              </w:rPr>
              <w:tab/>
            </w:r>
            <w:r w:rsidR="008D5FD6">
              <w:rPr>
                <w:noProof/>
                <w:webHidden/>
              </w:rPr>
              <w:fldChar w:fldCharType="begin"/>
            </w:r>
            <w:r w:rsidR="008D5FD6">
              <w:rPr>
                <w:noProof/>
                <w:webHidden/>
              </w:rPr>
              <w:instrText xml:space="preserve"> PAGEREF _Toc138239777 \h </w:instrText>
            </w:r>
            <w:r w:rsidR="008D5FD6">
              <w:rPr>
                <w:noProof/>
                <w:webHidden/>
              </w:rPr>
            </w:r>
            <w:r w:rsidR="008D5FD6">
              <w:rPr>
                <w:noProof/>
                <w:webHidden/>
              </w:rPr>
              <w:fldChar w:fldCharType="separate"/>
            </w:r>
            <w:r w:rsidR="008D5FD6">
              <w:rPr>
                <w:noProof/>
                <w:webHidden/>
              </w:rPr>
              <w:t>1</w:t>
            </w:r>
            <w:r w:rsidR="008D5FD6">
              <w:rPr>
                <w:noProof/>
                <w:webHidden/>
              </w:rPr>
              <w:fldChar w:fldCharType="end"/>
            </w:r>
          </w:hyperlink>
        </w:p>
        <w:p w14:paraId="63887883" w14:textId="2757A244" w:rsidR="008D5FD6" w:rsidRDefault="00F53395">
          <w:pPr>
            <w:pStyle w:val="TOC1"/>
            <w:tabs>
              <w:tab w:val="left" w:pos="660"/>
              <w:tab w:val="right" w:leader="dot" w:pos="7910"/>
            </w:tabs>
            <w:rPr>
              <w:rFonts w:eastAsiaTheme="minorEastAsia"/>
              <w:noProof/>
              <w:lang w:val="en-US"/>
            </w:rPr>
          </w:pPr>
          <w:hyperlink w:anchor="_Toc138239778" w:history="1">
            <w:r w:rsidR="008D5FD6" w:rsidRPr="00C5103D">
              <w:rPr>
                <w:rStyle w:val="Hyperlink"/>
                <w:rFonts w:asciiTheme="majorBidi" w:eastAsia="Times New Roman" w:hAnsiTheme="majorBidi"/>
                <w:noProof/>
              </w:rPr>
              <w:t>1.3</w:t>
            </w:r>
            <w:r w:rsidR="008D5FD6">
              <w:rPr>
                <w:rFonts w:eastAsiaTheme="minorEastAsia"/>
                <w:noProof/>
                <w:lang w:val="en-US"/>
              </w:rPr>
              <w:tab/>
            </w:r>
            <w:r w:rsidR="008D5FD6" w:rsidRPr="00C5103D">
              <w:rPr>
                <w:rStyle w:val="Hyperlink"/>
                <w:rFonts w:asciiTheme="majorBidi" w:eastAsia="Times New Roman" w:hAnsiTheme="majorBidi"/>
                <w:noProof/>
              </w:rPr>
              <w:t>School Cost and Quality and its Relation to Students’ Achievement</w:t>
            </w:r>
            <w:r w:rsidR="008D5FD6">
              <w:rPr>
                <w:noProof/>
                <w:webHidden/>
              </w:rPr>
              <w:tab/>
            </w:r>
            <w:r w:rsidR="008D5FD6">
              <w:rPr>
                <w:noProof/>
                <w:webHidden/>
              </w:rPr>
              <w:fldChar w:fldCharType="begin"/>
            </w:r>
            <w:r w:rsidR="008D5FD6">
              <w:rPr>
                <w:noProof/>
                <w:webHidden/>
              </w:rPr>
              <w:instrText xml:space="preserve"> PAGEREF _Toc138239778 \h </w:instrText>
            </w:r>
            <w:r w:rsidR="008D5FD6">
              <w:rPr>
                <w:noProof/>
                <w:webHidden/>
              </w:rPr>
            </w:r>
            <w:r w:rsidR="008D5FD6">
              <w:rPr>
                <w:noProof/>
                <w:webHidden/>
              </w:rPr>
              <w:fldChar w:fldCharType="separate"/>
            </w:r>
            <w:r w:rsidR="008D5FD6">
              <w:rPr>
                <w:noProof/>
                <w:webHidden/>
              </w:rPr>
              <w:t>3</w:t>
            </w:r>
            <w:r w:rsidR="008D5FD6">
              <w:rPr>
                <w:noProof/>
                <w:webHidden/>
              </w:rPr>
              <w:fldChar w:fldCharType="end"/>
            </w:r>
          </w:hyperlink>
        </w:p>
        <w:p w14:paraId="058421E5" w14:textId="5A803527" w:rsidR="008D5FD6" w:rsidRDefault="00F53395">
          <w:pPr>
            <w:pStyle w:val="TOC1"/>
            <w:tabs>
              <w:tab w:val="right" w:leader="dot" w:pos="7910"/>
            </w:tabs>
            <w:rPr>
              <w:rFonts w:eastAsiaTheme="minorEastAsia"/>
              <w:noProof/>
              <w:lang w:val="en-US"/>
            </w:rPr>
          </w:pPr>
          <w:hyperlink w:anchor="_Toc138239779" w:history="1">
            <w:r w:rsidR="008D5FD6" w:rsidRPr="00C5103D">
              <w:rPr>
                <w:rStyle w:val="Hyperlink"/>
                <w:rFonts w:asciiTheme="majorBidi" w:eastAsia="Times New Roman" w:hAnsiTheme="majorBidi"/>
                <w:noProof/>
              </w:rPr>
              <w:t>1.4 Socio-Economic Factors and School Quality, Cost, and Students’ Achievement</w:t>
            </w:r>
            <w:r w:rsidR="008D5FD6">
              <w:rPr>
                <w:noProof/>
                <w:webHidden/>
              </w:rPr>
              <w:tab/>
            </w:r>
            <w:r w:rsidR="008D5FD6">
              <w:rPr>
                <w:noProof/>
                <w:webHidden/>
              </w:rPr>
              <w:fldChar w:fldCharType="begin"/>
            </w:r>
            <w:r w:rsidR="008D5FD6">
              <w:rPr>
                <w:noProof/>
                <w:webHidden/>
              </w:rPr>
              <w:instrText xml:space="preserve"> PAGEREF _Toc138239779 \h </w:instrText>
            </w:r>
            <w:r w:rsidR="008D5FD6">
              <w:rPr>
                <w:noProof/>
                <w:webHidden/>
              </w:rPr>
            </w:r>
            <w:r w:rsidR="008D5FD6">
              <w:rPr>
                <w:noProof/>
                <w:webHidden/>
              </w:rPr>
              <w:fldChar w:fldCharType="separate"/>
            </w:r>
            <w:r w:rsidR="008D5FD6">
              <w:rPr>
                <w:noProof/>
                <w:webHidden/>
              </w:rPr>
              <w:t>4</w:t>
            </w:r>
            <w:r w:rsidR="008D5FD6">
              <w:rPr>
                <w:noProof/>
                <w:webHidden/>
              </w:rPr>
              <w:fldChar w:fldCharType="end"/>
            </w:r>
          </w:hyperlink>
        </w:p>
        <w:p w14:paraId="3914FBAC" w14:textId="31D460C1" w:rsidR="008D5FD6" w:rsidRDefault="00F53395">
          <w:pPr>
            <w:pStyle w:val="TOC1"/>
            <w:tabs>
              <w:tab w:val="left" w:pos="660"/>
              <w:tab w:val="right" w:leader="dot" w:pos="7910"/>
            </w:tabs>
            <w:rPr>
              <w:rFonts w:eastAsiaTheme="minorEastAsia"/>
              <w:noProof/>
              <w:lang w:val="en-US"/>
            </w:rPr>
          </w:pPr>
          <w:hyperlink w:anchor="_Toc138239780" w:history="1">
            <w:r w:rsidR="008D5FD6" w:rsidRPr="00C5103D">
              <w:rPr>
                <w:rStyle w:val="Hyperlink"/>
                <w:rFonts w:asciiTheme="majorBidi" w:eastAsia="Times New Roman" w:hAnsiTheme="majorBidi"/>
                <w:noProof/>
              </w:rPr>
              <w:t>1.5</w:t>
            </w:r>
            <w:r w:rsidR="008D5FD6">
              <w:rPr>
                <w:rFonts w:eastAsiaTheme="minorEastAsia"/>
                <w:noProof/>
                <w:lang w:val="en-US"/>
              </w:rPr>
              <w:tab/>
            </w:r>
            <w:r w:rsidR="008D5FD6" w:rsidRPr="00C5103D">
              <w:rPr>
                <w:rStyle w:val="Hyperlink"/>
                <w:rFonts w:asciiTheme="majorBidi" w:eastAsia="Times New Roman" w:hAnsiTheme="majorBidi"/>
                <w:noProof/>
              </w:rPr>
              <w:t>A General Overview of the UAE Education System</w:t>
            </w:r>
            <w:r w:rsidR="008D5FD6">
              <w:rPr>
                <w:noProof/>
                <w:webHidden/>
              </w:rPr>
              <w:tab/>
            </w:r>
            <w:r w:rsidR="008D5FD6">
              <w:rPr>
                <w:noProof/>
                <w:webHidden/>
              </w:rPr>
              <w:fldChar w:fldCharType="begin"/>
            </w:r>
            <w:r w:rsidR="008D5FD6">
              <w:rPr>
                <w:noProof/>
                <w:webHidden/>
              </w:rPr>
              <w:instrText xml:space="preserve"> PAGEREF _Toc138239780 \h </w:instrText>
            </w:r>
            <w:r w:rsidR="008D5FD6">
              <w:rPr>
                <w:noProof/>
                <w:webHidden/>
              </w:rPr>
            </w:r>
            <w:r w:rsidR="008D5FD6">
              <w:rPr>
                <w:noProof/>
                <w:webHidden/>
              </w:rPr>
              <w:fldChar w:fldCharType="separate"/>
            </w:r>
            <w:r w:rsidR="008D5FD6">
              <w:rPr>
                <w:noProof/>
                <w:webHidden/>
              </w:rPr>
              <w:t>7</w:t>
            </w:r>
            <w:r w:rsidR="008D5FD6">
              <w:rPr>
                <w:noProof/>
                <w:webHidden/>
              </w:rPr>
              <w:fldChar w:fldCharType="end"/>
            </w:r>
          </w:hyperlink>
        </w:p>
        <w:p w14:paraId="7507D923" w14:textId="7C0CE1F7" w:rsidR="008D5FD6" w:rsidRDefault="00F53395">
          <w:pPr>
            <w:pStyle w:val="TOC2"/>
            <w:tabs>
              <w:tab w:val="right" w:leader="dot" w:pos="7910"/>
            </w:tabs>
            <w:rPr>
              <w:rFonts w:eastAsiaTheme="minorEastAsia"/>
              <w:noProof/>
              <w:lang w:val="en-US"/>
            </w:rPr>
          </w:pPr>
          <w:hyperlink w:anchor="_Toc138239781" w:history="1">
            <w:r w:rsidR="008D5FD6" w:rsidRPr="00C5103D">
              <w:rPr>
                <w:rStyle w:val="Hyperlink"/>
                <w:rFonts w:asciiTheme="majorBidi" w:eastAsia="Times New Roman" w:hAnsiTheme="majorBidi"/>
                <w:noProof/>
              </w:rPr>
              <w:t>1.5.1 Private Schooling in Abu Dhabi</w:t>
            </w:r>
            <w:r w:rsidR="008D5FD6">
              <w:rPr>
                <w:noProof/>
                <w:webHidden/>
              </w:rPr>
              <w:tab/>
            </w:r>
            <w:r w:rsidR="008D5FD6">
              <w:rPr>
                <w:noProof/>
                <w:webHidden/>
              </w:rPr>
              <w:fldChar w:fldCharType="begin"/>
            </w:r>
            <w:r w:rsidR="008D5FD6">
              <w:rPr>
                <w:noProof/>
                <w:webHidden/>
              </w:rPr>
              <w:instrText xml:space="preserve"> PAGEREF _Toc138239781 \h </w:instrText>
            </w:r>
            <w:r w:rsidR="008D5FD6">
              <w:rPr>
                <w:noProof/>
                <w:webHidden/>
              </w:rPr>
            </w:r>
            <w:r w:rsidR="008D5FD6">
              <w:rPr>
                <w:noProof/>
                <w:webHidden/>
              </w:rPr>
              <w:fldChar w:fldCharType="separate"/>
            </w:r>
            <w:r w:rsidR="008D5FD6">
              <w:rPr>
                <w:noProof/>
                <w:webHidden/>
              </w:rPr>
              <w:t>10</w:t>
            </w:r>
            <w:r w:rsidR="008D5FD6">
              <w:rPr>
                <w:noProof/>
                <w:webHidden/>
              </w:rPr>
              <w:fldChar w:fldCharType="end"/>
            </w:r>
          </w:hyperlink>
        </w:p>
        <w:p w14:paraId="492203E2" w14:textId="18442662" w:rsidR="008D5FD6" w:rsidRDefault="00F53395">
          <w:pPr>
            <w:pStyle w:val="TOC1"/>
            <w:tabs>
              <w:tab w:val="right" w:leader="dot" w:pos="7910"/>
            </w:tabs>
            <w:rPr>
              <w:rFonts w:eastAsiaTheme="minorEastAsia"/>
              <w:noProof/>
              <w:lang w:val="en-US"/>
            </w:rPr>
          </w:pPr>
          <w:hyperlink w:anchor="_Toc138239782" w:history="1">
            <w:r w:rsidR="008D5FD6" w:rsidRPr="00C5103D">
              <w:rPr>
                <w:rStyle w:val="Hyperlink"/>
                <w:rFonts w:asciiTheme="majorBidi" w:eastAsia="Times New Roman" w:hAnsiTheme="majorBidi"/>
                <w:noProof/>
              </w:rPr>
              <w:t>1.6 Problem statement</w:t>
            </w:r>
            <w:r w:rsidR="008D5FD6">
              <w:rPr>
                <w:noProof/>
                <w:webHidden/>
              </w:rPr>
              <w:tab/>
            </w:r>
            <w:r w:rsidR="008D5FD6">
              <w:rPr>
                <w:noProof/>
                <w:webHidden/>
              </w:rPr>
              <w:fldChar w:fldCharType="begin"/>
            </w:r>
            <w:r w:rsidR="008D5FD6">
              <w:rPr>
                <w:noProof/>
                <w:webHidden/>
              </w:rPr>
              <w:instrText xml:space="preserve"> PAGEREF _Toc138239782 \h </w:instrText>
            </w:r>
            <w:r w:rsidR="008D5FD6">
              <w:rPr>
                <w:noProof/>
                <w:webHidden/>
              </w:rPr>
            </w:r>
            <w:r w:rsidR="008D5FD6">
              <w:rPr>
                <w:noProof/>
                <w:webHidden/>
              </w:rPr>
              <w:fldChar w:fldCharType="separate"/>
            </w:r>
            <w:r w:rsidR="008D5FD6">
              <w:rPr>
                <w:noProof/>
                <w:webHidden/>
              </w:rPr>
              <w:t>13</w:t>
            </w:r>
            <w:r w:rsidR="008D5FD6">
              <w:rPr>
                <w:noProof/>
                <w:webHidden/>
              </w:rPr>
              <w:fldChar w:fldCharType="end"/>
            </w:r>
          </w:hyperlink>
        </w:p>
        <w:p w14:paraId="38FBCBCB" w14:textId="4328F69E" w:rsidR="008D5FD6" w:rsidRDefault="00F53395">
          <w:pPr>
            <w:pStyle w:val="TOC1"/>
            <w:tabs>
              <w:tab w:val="right" w:leader="dot" w:pos="7910"/>
            </w:tabs>
            <w:rPr>
              <w:rFonts w:eastAsiaTheme="minorEastAsia"/>
              <w:noProof/>
              <w:lang w:val="en-US"/>
            </w:rPr>
          </w:pPr>
          <w:hyperlink w:anchor="_Toc138239783" w:history="1">
            <w:r w:rsidR="008D5FD6" w:rsidRPr="00C5103D">
              <w:rPr>
                <w:rStyle w:val="Hyperlink"/>
                <w:rFonts w:asciiTheme="majorBidi" w:eastAsia="Times New Roman" w:hAnsiTheme="majorBidi"/>
                <w:noProof/>
              </w:rPr>
              <w:t>1.7 Need &amp; justification of the study</w:t>
            </w:r>
            <w:r w:rsidR="008D5FD6">
              <w:rPr>
                <w:noProof/>
                <w:webHidden/>
              </w:rPr>
              <w:tab/>
            </w:r>
            <w:r w:rsidR="008D5FD6">
              <w:rPr>
                <w:noProof/>
                <w:webHidden/>
              </w:rPr>
              <w:fldChar w:fldCharType="begin"/>
            </w:r>
            <w:r w:rsidR="008D5FD6">
              <w:rPr>
                <w:noProof/>
                <w:webHidden/>
              </w:rPr>
              <w:instrText xml:space="preserve"> PAGEREF _Toc138239783 \h </w:instrText>
            </w:r>
            <w:r w:rsidR="008D5FD6">
              <w:rPr>
                <w:noProof/>
                <w:webHidden/>
              </w:rPr>
            </w:r>
            <w:r w:rsidR="008D5FD6">
              <w:rPr>
                <w:noProof/>
                <w:webHidden/>
              </w:rPr>
              <w:fldChar w:fldCharType="separate"/>
            </w:r>
            <w:r w:rsidR="008D5FD6">
              <w:rPr>
                <w:noProof/>
                <w:webHidden/>
              </w:rPr>
              <w:t>15</w:t>
            </w:r>
            <w:r w:rsidR="008D5FD6">
              <w:rPr>
                <w:noProof/>
                <w:webHidden/>
              </w:rPr>
              <w:fldChar w:fldCharType="end"/>
            </w:r>
          </w:hyperlink>
        </w:p>
        <w:p w14:paraId="2EC60AA8" w14:textId="4EA507D0" w:rsidR="008D5FD6" w:rsidRDefault="00F53395">
          <w:pPr>
            <w:pStyle w:val="TOC1"/>
            <w:tabs>
              <w:tab w:val="right" w:leader="dot" w:pos="7910"/>
            </w:tabs>
            <w:rPr>
              <w:rFonts w:eastAsiaTheme="minorEastAsia"/>
              <w:noProof/>
              <w:lang w:val="en-US"/>
            </w:rPr>
          </w:pPr>
          <w:hyperlink w:anchor="_Toc138239784" w:history="1">
            <w:r w:rsidR="008D5FD6" w:rsidRPr="00C5103D">
              <w:rPr>
                <w:rStyle w:val="Hyperlink"/>
                <w:rFonts w:asciiTheme="majorBidi" w:eastAsia="Times New Roman" w:hAnsiTheme="majorBidi"/>
                <w:noProof/>
              </w:rPr>
              <w:t>1.8 Research aims &amp; objectives</w:t>
            </w:r>
            <w:r w:rsidR="008D5FD6">
              <w:rPr>
                <w:noProof/>
                <w:webHidden/>
              </w:rPr>
              <w:tab/>
            </w:r>
            <w:r w:rsidR="008D5FD6">
              <w:rPr>
                <w:noProof/>
                <w:webHidden/>
              </w:rPr>
              <w:fldChar w:fldCharType="begin"/>
            </w:r>
            <w:r w:rsidR="008D5FD6">
              <w:rPr>
                <w:noProof/>
                <w:webHidden/>
              </w:rPr>
              <w:instrText xml:space="preserve"> PAGEREF _Toc138239784 \h </w:instrText>
            </w:r>
            <w:r w:rsidR="008D5FD6">
              <w:rPr>
                <w:noProof/>
                <w:webHidden/>
              </w:rPr>
            </w:r>
            <w:r w:rsidR="008D5FD6">
              <w:rPr>
                <w:noProof/>
                <w:webHidden/>
              </w:rPr>
              <w:fldChar w:fldCharType="separate"/>
            </w:r>
            <w:r w:rsidR="008D5FD6">
              <w:rPr>
                <w:noProof/>
                <w:webHidden/>
              </w:rPr>
              <w:t>18</w:t>
            </w:r>
            <w:r w:rsidR="008D5FD6">
              <w:rPr>
                <w:noProof/>
                <w:webHidden/>
              </w:rPr>
              <w:fldChar w:fldCharType="end"/>
            </w:r>
          </w:hyperlink>
        </w:p>
        <w:p w14:paraId="7E9395AF" w14:textId="6B6E6E72" w:rsidR="008D5FD6" w:rsidRDefault="00F53395">
          <w:pPr>
            <w:pStyle w:val="TOC1"/>
            <w:tabs>
              <w:tab w:val="right" w:leader="dot" w:pos="7910"/>
            </w:tabs>
            <w:rPr>
              <w:rFonts w:eastAsiaTheme="minorEastAsia"/>
              <w:noProof/>
              <w:lang w:val="en-US"/>
            </w:rPr>
          </w:pPr>
          <w:hyperlink w:anchor="_Toc138239785" w:history="1">
            <w:r w:rsidR="008D5FD6" w:rsidRPr="00C5103D">
              <w:rPr>
                <w:rStyle w:val="Hyperlink"/>
                <w:rFonts w:asciiTheme="majorBidi" w:eastAsia="Times New Roman" w:hAnsiTheme="majorBidi"/>
                <w:noProof/>
              </w:rPr>
              <w:t>1.9 Research questions</w:t>
            </w:r>
            <w:r w:rsidR="008D5FD6">
              <w:rPr>
                <w:noProof/>
                <w:webHidden/>
              </w:rPr>
              <w:tab/>
            </w:r>
            <w:r w:rsidR="008D5FD6">
              <w:rPr>
                <w:noProof/>
                <w:webHidden/>
              </w:rPr>
              <w:fldChar w:fldCharType="begin"/>
            </w:r>
            <w:r w:rsidR="008D5FD6">
              <w:rPr>
                <w:noProof/>
                <w:webHidden/>
              </w:rPr>
              <w:instrText xml:space="preserve"> PAGEREF _Toc138239785 \h </w:instrText>
            </w:r>
            <w:r w:rsidR="008D5FD6">
              <w:rPr>
                <w:noProof/>
                <w:webHidden/>
              </w:rPr>
            </w:r>
            <w:r w:rsidR="008D5FD6">
              <w:rPr>
                <w:noProof/>
                <w:webHidden/>
              </w:rPr>
              <w:fldChar w:fldCharType="separate"/>
            </w:r>
            <w:r w:rsidR="008D5FD6">
              <w:rPr>
                <w:noProof/>
                <w:webHidden/>
              </w:rPr>
              <w:t>19</w:t>
            </w:r>
            <w:r w:rsidR="008D5FD6">
              <w:rPr>
                <w:noProof/>
                <w:webHidden/>
              </w:rPr>
              <w:fldChar w:fldCharType="end"/>
            </w:r>
          </w:hyperlink>
        </w:p>
        <w:p w14:paraId="7EE265CA" w14:textId="06A6ACE6" w:rsidR="008D5FD6" w:rsidRDefault="00F53395">
          <w:pPr>
            <w:pStyle w:val="TOC1"/>
            <w:tabs>
              <w:tab w:val="right" w:leader="dot" w:pos="7910"/>
            </w:tabs>
            <w:rPr>
              <w:rFonts w:eastAsiaTheme="minorEastAsia"/>
              <w:noProof/>
              <w:lang w:val="en-US"/>
            </w:rPr>
          </w:pPr>
          <w:hyperlink w:anchor="_Toc138239786" w:history="1">
            <w:r w:rsidR="008D5FD6" w:rsidRPr="00C5103D">
              <w:rPr>
                <w:rStyle w:val="Hyperlink"/>
                <w:rFonts w:asciiTheme="majorBidi" w:eastAsia="Times New Roman" w:hAnsiTheme="majorBidi"/>
                <w:noProof/>
              </w:rPr>
              <w:t>1.10 Research Hypotheses</w:t>
            </w:r>
            <w:r w:rsidR="008D5FD6">
              <w:rPr>
                <w:noProof/>
                <w:webHidden/>
              </w:rPr>
              <w:tab/>
            </w:r>
            <w:r w:rsidR="008D5FD6">
              <w:rPr>
                <w:noProof/>
                <w:webHidden/>
              </w:rPr>
              <w:fldChar w:fldCharType="begin"/>
            </w:r>
            <w:r w:rsidR="008D5FD6">
              <w:rPr>
                <w:noProof/>
                <w:webHidden/>
              </w:rPr>
              <w:instrText xml:space="preserve"> PAGEREF _Toc138239786 \h </w:instrText>
            </w:r>
            <w:r w:rsidR="008D5FD6">
              <w:rPr>
                <w:noProof/>
                <w:webHidden/>
              </w:rPr>
            </w:r>
            <w:r w:rsidR="008D5FD6">
              <w:rPr>
                <w:noProof/>
                <w:webHidden/>
              </w:rPr>
              <w:fldChar w:fldCharType="separate"/>
            </w:r>
            <w:r w:rsidR="008D5FD6">
              <w:rPr>
                <w:noProof/>
                <w:webHidden/>
              </w:rPr>
              <w:t>20</w:t>
            </w:r>
            <w:r w:rsidR="008D5FD6">
              <w:rPr>
                <w:noProof/>
                <w:webHidden/>
              </w:rPr>
              <w:fldChar w:fldCharType="end"/>
            </w:r>
          </w:hyperlink>
        </w:p>
        <w:p w14:paraId="4E67E31A" w14:textId="6600B69F" w:rsidR="008D5FD6" w:rsidRDefault="00F53395">
          <w:pPr>
            <w:pStyle w:val="TOC1"/>
            <w:tabs>
              <w:tab w:val="right" w:leader="dot" w:pos="7910"/>
            </w:tabs>
            <w:rPr>
              <w:rFonts w:eastAsiaTheme="minorEastAsia"/>
              <w:noProof/>
              <w:lang w:val="en-US"/>
            </w:rPr>
          </w:pPr>
          <w:hyperlink w:anchor="_Toc138239787" w:history="1">
            <w:r w:rsidR="008D5FD6" w:rsidRPr="00C5103D">
              <w:rPr>
                <w:rStyle w:val="Hyperlink"/>
                <w:rFonts w:asciiTheme="majorBidi" w:eastAsia="Times New Roman" w:hAnsiTheme="majorBidi"/>
                <w:noProof/>
              </w:rPr>
              <w:t>1.11 Research significance</w:t>
            </w:r>
            <w:r w:rsidR="008D5FD6">
              <w:rPr>
                <w:noProof/>
                <w:webHidden/>
              </w:rPr>
              <w:tab/>
            </w:r>
            <w:r w:rsidR="008D5FD6">
              <w:rPr>
                <w:noProof/>
                <w:webHidden/>
              </w:rPr>
              <w:fldChar w:fldCharType="begin"/>
            </w:r>
            <w:r w:rsidR="008D5FD6">
              <w:rPr>
                <w:noProof/>
                <w:webHidden/>
              </w:rPr>
              <w:instrText xml:space="preserve"> PAGEREF _Toc138239787 \h </w:instrText>
            </w:r>
            <w:r w:rsidR="008D5FD6">
              <w:rPr>
                <w:noProof/>
                <w:webHidden/>
              </w:rPr>
            </w:r>
            <w:r w:rsidR="008D5FD6">
              <w:rPr>
                <w:noProof/>
                <w:webHidden/>
              </w:rPr>
              <w:fldChar w:fldCharType="separate"/>
            </w:r>
            <w:r w:rsidR="008D5FD6">
              <w:rPr>
                <w:noProof/>
                <w:webHidden/>
              </w:rPr>
              <w:t>21</w:t>
            </w:r>
            <w:r w:rsidR="008D5FD6">
              <w:rPr>
                <w:noProof/>
                <w:webHidden/>
              </w:rPr>
              <w:fldChar w:fldCharType="end"/>
            </w:r>
          </w:hyperlink>
        </w:p>
        <w:p w14:paraId="02804BDE" w14:textId="6D7A5549" w:rsidR="008D5FD6" w:rsidRDefault="00F53395">
          <w:pPr>
            <w:pStyle w:val="TOC1"/>
            <w:tabs>
              <w:tab w:val="right" w:leader="dot" w:pos="7910"/>
            </w:tabs>
            <w:rPr>
              <w:rFonts w:eastAsiaTheme="minorEastAsia"/>
              <w:noProof/>
              <w:lang w:val="en-US"/>
            </w:rPr>
          </w:pPr>
          <w:hyperlink w:anchor="_Toc138239788" w:history="1">
            <w:r w:rsidR="008D5FD6" w:rsidRPr="00C5103D">
              <w:rPr>
                <w:rStyle w:val="Hyperlink"/>
                <w:rFonts w:asciiTheme="majorBidi" w:eastAsia="Times New Roman" w:hAnsiTheme="majorBidi"/>
                <w:noProof/>
              </w:rPr>
              <w:t>1.12 Definition of terms</w:t>
            </w:r>
            <w:r w:rsidR="008D5FD6">
              <w:rPr>
                <w:noProof/>
                <w:webHidden/>
              </w:rPr>
              <w:tab/>
            </w:r>
            <w:r w:rsidR="008D5FD6">
              <w:rPr>
                <w:noProof/>
                <w:webHidden/>
              </w:rPr>
              <w:fldChar w:fldCharType="begin"/>
            </w:r>
            <w:r w:rsidR="008D5FD6">
              <w:rPr>
                <w:noProof/>
                <w:webHidden/>
              </w:rPr>
              <w:instrText xml:space="preserve"> PAGEREF _Toc138239788 \h </w:instrText>
            </w:r>
            <w:r w:rsidR="008D5FD6">
              <w:rPr>
                <w:noProof/>
                <w:webHidden/>
              </w:rPr>
            </w:r>
            <w:r w:rsidR="008D5FD6">
              <w:rPr>
                <w:noProof/>
                <w:webHidden/>
              </w:rPr>
              <w:fldChar w:fldCharType="separate"/>
            </w:r>
            <w:r w:rsidR="008D5FD6">
              <w:rPr>
                <w:noProof/>
                <w:webHidden/>
              </w:rPr>
              <w:t>23</w:t>
            </w:r>
            <w:r w:rsidR="008D5FD6">
              <w:rPr>
                <w:noProof/>
                <w:webHidden/>
              </w:rPr>
              <w:fldChar w:fldCharType="end"/>
            </w:r>
          </w:hyperlink>
        </w:p>
        <w:p w14:paraId="0EEB3AF3" w14:textId="099BEF74" w:rsidR="008D5FD6" w:rsidRDefault="00F53395">
          <w:pPr>
            <w:pStyle w:val="TOC1"/>
            <w:tabs>
              <w:tab w:val="right" w:leader="dot" w:pos="7910"/>
            </w:tabs>
            <w:rPr>
              <w:rFonts w:eastAsiaTheme="minorEastAsia"/>
              <w:noProof/>
              <w:lang w:val="en-US"/>
            </w:rPr>
          </w:pPr>
          <w:hyperlink w:anchor="_Toc138239789" w:history="1">
            <w:r w:rsidR="008D5FD6" w:rsidRPr="00C5103D">
              <w:rPr>
                <w:rStyle w:val="Hyperlink"/>
                <w:rFonts w:asciiTheme="majorBidi" w:eastAsia="Times New Roman" w:hAnsiTheme="majorBidi"/>
                <w:noProof/>
              </w:rPr>
              <w:t>1.13 Research process</w:t>
            </w:r>
            <w:r w:rsidR="008D5FD6">
              <w:rPr>
                <w:noProof/>
                <w:webHidden/>
              </w:rPr>
              <w:tab/>
            </w:r>
            <w:r w:rsidR="008D5FD6">
              <w:rPr>
                <w:noProof/>
                <w:webHidden/>
              </w:rPr>
              <w:fldChar w:fldCharType="begin"/>
            </w:r>
            <w:r w:rsidR="008D5FD6">
              <w:rPr>
                <w:noProof/>
                <w:webHidden/>
              </w:rPr>
              <w:instrText xml:space="preserve"> PAGEREF _Toc138239789 \h </w:instrText>
            </w:r>
            <w:r w:rsidR="008D5FD6">
              <w:rPr>
                <w:noProof/>
                <w:webHidden/>
              </w:rPr>
            </w:r>
            <w:r w:rsidR="008D5FD6">
              <w:rPr>
                <w:noProof/>
                <w:webHidden/>
              </w:rPr>
              <w:fldChar w:fldCharType="separate"/>
            </w:r>
            <w:r w:rsidR="008D5FD6">
              <w:rPr>
                <w:noProof/>
                <w:webHidden/>
              </w:rPr>
              <w:t>25</w:t>
            </w:r>
            <w:r w:rsidR="008D5FD6">
              <w:rPr>
                <w:noProof/>
                <w:webHidden/>
              </w:rPr>
              <w:fldChar w:fldCharType="end"/>
            </w:r>
          </w:hyperlink>
        </w:p>
        <w:p w14:paraId="714131B3" w14:textId="1B3BA60A" w:rsidR="008D5FD6" w:rsidRDefault="00F53395">
          <w:pPr>
            <w:pStyle w:val="TOC1"/>
            <w:tabs>
              <w:tab w:val="right" w:leader="dot" w:pos="7910"/>
            </w:tabs>
            <w:rPr>
              <w:rFonts w:eastAsiaTheme="minorEastAsia"/>
              <w:noProof/>
              <w:lang w:val="en-US"/>
            </w:rPr>
          </w:pPr>
          <w:hyperlink w:anchor="_Toc138239790" w:history="1">
            <w:r w:rsidR="008D5FD6" w:rsidRPr="00C5103D">
              <w:rPr>
                <w:rStyle w:val="Hyperlink"/>
                <w:rFonts w:asciiTheme="majorBidi" w:eastAsia="Times New Roman" w:hAnsiTheme="majorBidi"/>
                <w:noProof/>
              </w:rPr>
              <w:t>1.14 Organization of the dissertation</w:t>
            </w:r>
            <w:r w:rsidR="008D5FD6">
              <w:rPr>
                <w:noProof/>
                <w:webHidden/>
              </w:rPr>
              <w:tab/>
            </w:r>
            <w:r w:rsidR="008D5FD6">
              <w:rPr>
                <w:noProof/>
                <w:webHidden/>
              </w:rPr>
              <w:fldChar w:fldCharType="begin"/>
            </w:r>
            <w:r w:rsidR="008D5FD6">
              <w:rPr>
                <w:noProof/>
                <w:webHidden/>
              </w:rPr>
              <w:instrText xml:space="preserve"> PAGEREF _Toc138239790 \h </w:instrText>
            </w:r>
            <w:r w:rsidR="008D5FD6">
              <w:rPr>
                <w:noProof/>
                <w:webHidden/>
              </w:rPr>
            </w:r>
            <w:r w:rsidR="008D5FD6">
              <w:rPr>
                <w:noProof/>
                <w:webHidden/>
              </w:rPr>
              <w:fldChar w:fldCharType="separate"/>
            </w:r>
            <w:r w:rsidR="008D5FD6">
              <w:rPr>
                <w:noProof/>
                <w:webHidden/>
              </w:rPr>
              <w:t>26</w:t>
            </w:r>
            <w:r w:rsidR="008D5FD6">
              <w:rPr>
                <w:noProof/>
                <w:webHidden/>
              </w:rPr>
              <w:fldChar w:fldCharType="end"/>
            </w:r>
          </w:hyperlink>
        </w:p>
        <w:p w14:paraId="6D1CA46C" w14:textId="3EA9A112" w:rsidR="008D5FD6" w:rsidRDefault="00F53395">
          <w:pPr>
            <w:pStyle w:val="TOC1"/>
            <w:tabs>
              <w:tab w:val="right" w:leader="dot" w:pos="7910"/>
            </w:tabs>
            <w:rPr>
              <w:rFonts w:eastAsiaTheme="minorEastAsia"/>
              <w:noProof/>
              <w:lang w:val="en-US"/>
            </w:rPr>
          </w:pPr>
          <w:hyperlink w:anchor="_Toc138239791" w:history="1">
            <w:r w:rsidR="008D5FD6" w:rsidRPr="00C5103D">
              <w:rPr>
                <w:rStyle w:val="Hyperlink"/>
                <w:rFonts w:asciiTheme="majorBidi" w:hAnsiTheme="majorBidi"/>
                <w:noProof/>
                <w:lang w:eastAsia="en-GB" w:bidi="en-GB"/>
              </w:rPr>
              <w:t>Chapter II: Literature review</w:t>
            </w:r>
            <w:r w:rsidR="008D5FD6">
              <w:rPr>
                <w:noProof/>
                <w:webHidden/>
              </w:rPr>
              <w:tab/>
            </w:r>
            <w:r w:rsidR="008D5FD6">
              <w:rPr>
                <w:noProof/>
                <w:webHidden/>
              </w:rPr>
              <w:fldChar w:fldCharType="begin"/>
            </w:r>
            <w:r w:rsidR="008D5FD6">
              <w:rPr>
                <w:noProof/>
                <w:webHidden/>
              </w:rPr>
              <w:instrText xml:space="preserve"> PAGEREF _Toc138239791 \h </w:instrText>
            </w:r>
            <w:r w:rsidR="008D5FD6">
              <w:rPr>
                <w:noProof/>
                <w:webHidden/>
              </w:rPr>
            </w:r>
            <w:r w:rsidR="008D5FD6">
              <w:rPr>
                <w:noProof/>
                <w:webHidden/>
              </w:rPr>
              <w:fldChar w:fldCharType="separate"/>
            </w:r>
            <w:r w:rsidR="008D5FD6">
              <w:rPr>
                <w:noProof/>
                <w:webHidden/>
              </w:rPr>
              <w:t>27</w:t>
            </w:r>
            <w:r w:rsidR="008D5FD6">
              <w:rPr>
                <w:noProof/>
                <w:webHidden/>
              </w:rPr>
              <w:fldChar w:fldCharType="end"/>
            </w:r>
          </w:hyperlink>
        </w:p>
        <w:p w14:paraId="7EDCC1EF" w14:textId="36E3A06A" w:rsidR="008D5FD6" w:rsidRDefault="00F53395">
          <w:pPr>
            <w:pStyle w:val="TOC1"/>
            <w:tabs>
              <w:tab w:val="right" w:leader="dot" w:pos="7910"/>
            </w:tabs>
            <w:rPr>
              <w:rFonts w:eastAsiaTheme="minorEastAsia"/>
              <w:noProof/>
              <w:lang w:val="en-US"/>
            </w:rPr>
          </w:pPr>
          <w:hyperlink w:anchor="_Toc138239792" w:history="1">
            <w:r w:rsidR="008D5FD6" w:rsidRPr="00C5103D">
              <w:rPr>
                <w:rStyle w:val="Hyperlink"/>
                <w:rFonts w:asciiTheme="majorBidi" w:hAnsiTheme="majorBidi"/>
                <w:noProof/>
              </w:rPr>
              <w:t>2.1 Introduction</w:t>
            </w:r>
            <w:r w:rsidR="008D5FD6">
              <w:rPr>
                <w:noProof/>
                <w:webHidden/>
              </w:rPr>
              <w:tab/>
            </w:r>
            <w:r w:rsidR="008D5FD6">
              <w:rPr>
                <w:noProof/>
                <w:webHidden/>
              </w:rPr>
              <w:fldChar w:fldCharType="begin"/>
            </w:r>
            <w:r w:rsidR="008D5FD6">
              <w:rPr>
                <w:noProof/>
                <w:webHidden/>
              </w:rPr>
              <w:instrText xml:space="preserve"> PAGEREF _Toc138239792 \h </w:instrText>
            </w:r>
            <w:r w:rsidR="008D5FD6">
              <w:rPr>
                <w:noProof/>
                <w:webHidden/>
              </w:rPr>
            </w:r>
            <w:r w:rsidR="008D5FD6">
              <w:rPr>
                <w:noProof/>
                <w:webHidden/>
              </w:rPr>
              <w:fldChar w:fldCharType="separate"/>
            </w:r>
            <w:r w:rsidR="008D5FD6">
              <w:rPr>
                <w:noProof/>
                <w:webHidden/>
              </w:rPr>
              <w:t>27</w:t>
            </w:r>
            <w:r w:rsidR="008D5FD6">
              <w:rPr>
                <w:noProof/>
                <w:webHidden/>
              </w:rPr>
              <w:fldChar w:fldCharType="end"/>
            </w:r>
          </w:hyperlink>
        </w:p>
        <w:p w14:paraId="7608F405" w14:textId="49F14F36" w:rsidR="008D5FD6" w:rsidRDefault="00F53395">
          <w:pPr>
            <w:pStyle w:val="TOC1"/>
            <w:tabs>
              <w:tab w:val="right" w:leader="dot" w:pos="7910"/>
            </w:tabs>
            <w:rPr>
              <w:rFonts w:eastAsiaTheme="minorEastAsia"/>
              <w:noProof/>
              <w:lang w:val="en-US"/>
            </w:rPr>
          </w:pPr>
          <w:hyperlink w:anchor="_Toc138239793" w:history="1">
            <w:r w:rsidR="008D5FD6" w:rsidRPr="00C5103D">
              <w:rPr>
                <w:rStyle w:val="Hyperlink"/>
                <w:rFonts w:asciiTheme="majorBidi" w:hAnsiTheme="majorBidi"/>
                <w:noProof/>
              </w:rPr>
              <w:t>2.2 Conceptual framework</w:t>
            </w:r>
            <w:r w:rsidR="008D5FD6">
              <w:rPr>
                <w:noProof/>
                <w:webHidden/>
              </w:rPr>
              <w:tab/>
            </w:r>
            <w:r w:rsidR="008D5FD6">
              <w:rPr>
                <w:noProof/>
                <w:webHidden/>
              </w:rPr>
              <w:fldChar w:fldCharType="begin"/>
            </w:r>
            <w:r w:rsidR="008D5FD6">
              <w:rPr>
                <w:noProof/>
                <w:webHidden/>
              </w:rPr>
              <w:instrText xml:space="preserve"> PAGEREF _Toc138239793 \h </w:instrText>
            </w:r>
            <w:r w:rsidR="008D5FD6">
              <w:rPr>
                <w:noProof/>
                <w:webHidden/>
              </w:rPr>
            </w:r>
            <w:r w:rsidR="008D5FD6">
              <w:rPr>
                <w:noProof/>
                <w:webHidden/>
              </w:rPr>
              <w:fldChar w:fldCharType="separate"/>
            </w:r>
            <w:r w:rsidR="008D5FD6">
              <w:rPr>
                <w:noProof/>
                <w:webHidden/>
              </w:rPr>
              <w:t>30</w:t>
            </w:r>
            <w:r w:rsidR="008D5FD6">
              <w:rPr>
                <w:noProof/>
                <w:webHidden/>
              </w:rPr>
              <w:fldChar w:fldCharType="end"/>
            </w:r>
          </w:hyperlink>
        </w:p>
        <w:p w14:paraId="508649F1" w14:textId="3E9AF738" w:rsidR="008D5FD6" w:rsidRDefault="00F53395">
          <w:pPr>
            <w:pStyle w:val="TOC2"/>
            <w:tabs>
              <w:tab w:val="right" w:leader="dot" w:pos="7910"/>
            </w:tabs>
            <w:rPr>
              <w:rFonts w:eastAsiaTheme="minorEastAsia"/>
              <w:noProof/>
              <w:lang w:val="en-US"/>
            </w:rPr>
          </w:pPr>
          <w:hyperlink w:anchor="_Toc138239794" w:history="1">
            <w:r w:rsidR="008D5FD6" w:rsidRPr="00C5103D">
              <w:rPr>
                <w:rStyle w:val="Hyperlink"/>
                <w:rFonts w:asciiTheme="majorBidi" w:hAnsiTheme="majorBidi"/>
                <w:noProof/>
              </w:rPr>
              <w:t>2.2.1 School quality</w:t>
            </w:r>
            <w:r w:rsidR="008D5FD6">
              <w:rPr>
                <w:noProof/>
                <w:webHidden/>
              </w:rPr>
              <w:tab/>
            </w:r>
            <w:r w:rsidR="008D5FD6">
              <w:rPr>
                <w:noProof/>
                <w:webHidden/>
              </w:rPr>
              <w:fldChar w:fldCharType="begin"/>
            </w:r>
            <w:r w:rsidR="008D5FD6">
              <w:rPr>
                <w:noProof/>
                <w:webHidden/>
              </w:rPr>
              <w:instrText xml:space="preserve"> PAGEREF _Toc138239794 \h </w:instrText>
            </w:r>
            <w:r w:rsidR="008D5FD6">
              <w:rPr>
                <w:noProof/>
                <w:webHidden/>
              </w:rPr>
            </w:r>
            <w:r w:rsidR="008D5FD6">
              <w:rPr>
                <w:noProof/>
                <w:webHidden/>
              </w:rPr>
              <w:fldChar w:fldCharType="separate"/>
            </w:r>
            <w:r w:rsidR="008D5FD6">
              <w:rPr>
                <w:noProof/>
                <w:webHidden/>
              </w:rPr>
              <w:t>30</w:t>
            </w:r>
            <w:r w:rsidR="008D5FD6">
              <w:rPr>
                <w:noProof/>
                <w:webHidden/>
              </w:rPr>
              <w:fldChar w:fldCharType="end"/>
            </w:r>
          </w:hyperlink>
        </w:p>
        <w:p w14:paraId="4ACF9291" w14:textId="64460550" w:rsidR="008D5FD6" w:rsidRDefault="00F53395">
          <w:pPr>
            <w:pStyle w:val="TOC2"/>
            <w:tabs>
              <w:tab w:val="right" w:leader="dot" w:pos="7910"/>
            </w:tabs>
            <w:rPr>
              <w:rFonts w:eastAsiaTheme="minorEastAsia"/>
              <w:noProof/>
              <w:lang w:val="en-US"/>
            </w:rPr>
          </w:pPr>
          <w:hyperlink w:anchor="_Toc138239795" w:history="1">
            <w:r w:rsidR="008D5FD6" w:rsidRPr="00C5103D">
              <w:rPr>
                <w:rStyle w:val="Hyperlink"/>
                <w:rFonts w:asciiTheme="majorBidi" w:hAnsiTheme="majorBidi"/>
                <w:noProof/>
              </w:rPr>
              <w:t>2.2.2 Quantifying school quality</w:t>
            </w:r>
            <w:r w:rsidR="008D5FD6">
              <w:rPr>
                <w:noProof/>
                <w:webHidden/>
              </w:rPr>
              <w:tab/>
            </w:r>
            <w:r w:rsidR="008D5FD6">
              <w:rPr>
                <w:noProof/>
                <w:webHidden/>
              </w:rPr>
              <w:fldChar w:fldCharType="begin"/>
            </w:r>
            <w:r w:rsidR="008D5FD6">
              <w:rPr>
                <w:noProof/>
                <w:webHidden/>
              </w:rPr>
              <w:instrText xml:space="preserve"> PAGEREF _Toc138239795 \h </w:instrText>
            </w:r>
            <w:r w:rsidR="008D5FD6">
              <w:rPr>
                <w:noProof/>
                <w:webHidden/>
              </w:rPr>
            </w:r>
            <w:r w:rsidR="008D5FD6">
              <w:rPr>
                <w:noProof/>
                <w:webHidden/>
              </w:rPr>
              <w:fldChar w:fldCharType="separate"/>
            </w:r>
            <w:r w:rsidR="008D5FD6">
              <w:rPr>
                <w:noProof/>
                <w:webHidden/>
              </w:rPr>
              <w:t>39</w:t>
            </w:r>
            <w:r w:rsidR="008D5FD6">
              <w:rPr>
                <w:noProof/>
                <w:webHidden/>
              </w:rPr>
              <w:fldChar w:fldCharType="end"/>
            </w:r>
          </w:hyperlink>
        </w:p>
        <w:p w14:paraId="1836B3B9" w14:textId="219F8E01" w:rsidR="008D5FD6" w:rsidRDefault="00F53395">
          <w:pPr>
            <w:pStyle w:val="TOC2"/>
            <w:tabs>
              <w:tab w:val="right" w:leader="dot" w:pos="7910"/>
            </w:tabs>
            <w:rPr>
              <w:rFonts w:eastAsiaTheme="minorEastAsia"/>
              <w:noProof/>
              <w:lang w:val="en-US"/>
            </w:rPr>
          </w:pPr>
          <w:hyperlink w:anchor="_Toc138239796" w:history="1">
            <w:r w:rsidR="008D5FD6" w:rsidRPr="00C5103D">
              <w:rPr>
                <w:rStyle w:val="Hyperlink"/>
                <w:rFonts w:asciiTheme="majorBidi" w:hAnsiTheme="majorBidi"/>
                <w:noProof/>
              </w:rPr>
              <w:t>2.2.3 Cost of education</w:t>
            </w:r>
            <w:r w:rsidR="008D5FD6">
              <w:rPr>
                <w:noProof/>
                <w:webHidden/>
              </w:rPr>
              <w:tab/>
            </w:r>
            <w:r w:rsidR="008D5FD6">
              <w:rPr>
                <w:noProof/>
                <w:webHidden/>
              </w:rPr>
              <w:fldChar w:fldCharType="begin"/>
            </w:r>
            <w:r w:rsidR="008D5FD6">
              <w:rPr>
                <w:noProof/>
                <w:webHidden/>
              </w:rPr>
              <w:instrText xml:space="preserve"> PAGEREF _Toc138239796 \h </w:instrText>
            </w:r>
            <w:r w:rsidR="008D5FD6">
              <w:rPr>
                <w:noProof/>
                <w:webHidden/>
              </w:rPr>
            </w:r>
            <w:r w:rsidR="008D5FD6">
              <w:rPr>
                <w:noProof/>
                <w:webHidden/>
              </w:rPr>
              <w:fldChar w:fldCharType="separate"/>
            </w:r>
            <w:r w:rsidR="008D5FD6">
              <w:rPr>
                <w:noProof/>
                <w:webHidden/>
              </w:rPr>
              <w:t>41</w:t>
            </w:r>
            <w:r w:rsidR="008D5FD6">
              <w:rPr>
                <w:noProof/>
                <w:webHidden/>
              </w:rPr>
              <w:fldChar w:fldCharType="end"/>
            </w:r>
          </w:hyperlink>
        </w:p>
        <w:p w14:paraId="05997B08" w14:textId="57AFBDE3" w:rsidR="008D5FD6" w:rsidRDefault="00F53395">
          <w:pPr>
            <w:pStyle w:val="TOC2"/>
            <w:tabs>
              <w:tab w:val="right" w:leader="dot" w:pos="7910"/>
            </w:tabs>
            <w:rPr>
              <w:rFonts w:eastAsiaTheme="minorEastAsia"/>
              <w:noProof/>
              <w:lang w:val="en-US"/>
            </w:rPr>
          </w:pPr>
          <w:hyperlink w:anchor="_Toc138239797" w:history="1">
            <w:r w:rsidR="008D5FD6" w:rsidRPr="00C5103D">
              <w:rPr>
                <w:rStyle w:val="Hyperlink"/>
                <w:rFonts w:asciiTheme="majorBidi" w:hAnsiTheme="majorBidi"/>
                <w:noProof/>
              </w:rPr>
              <w:t>2.2.4 Students achievement</w:t>
            </w:r>
            <w:r w:rsidR="008D5FD6">
              <w:rPr>
                <w:noProof/>
                <w:webHidden/>
              </w:rPr>
              <w:tab/>
            </w:r>
            <w:r w:rsidR="008D5FD6">
              <w:rPr>
                <w:noProof/>
                <w:webHidden/>
              </w:rPr>
              <w:fldChar w:fldCharType="begin"/>
            </w:r>
            <w:r w:rsidR="008D5FD6">
              <w:rPr>
                <w:noProof/>
                <w:webHidden/>
              </w:rPr>
              <w:instrText xml:space="preserve"> PAGEREF _Toc138239797 \h </w:instrText>
            </w:r>
            <w:r w:rsidR="008D5FD6">
              <w:rPr>
                <w:noProof/>
                <w:webHidden/>
              </w:rPr>
            </w:r>
            <w:r w:rsidR="008D5FD6">
              <w:rPr>
                <w:noProof/>
                <w:webHidden/>
              </w:rPr>
              <w:fldChar w:fldCharType="separate"/>
            </w:r>
            <w:r w:rsidR="008D5FD6">
              <w:rPr>
                <w:noProof/>
                <w:webHidden/>
              </w:rPr>
              <w:t>44</w:t>
            </w:r>
            <w:r w:rsidR="008D5FD6">
              <w:rPr>
                <w:noProof/>
                <w:webHidden/>
              </w:rPr>
              <w:fldChar w:fldCharType="end"/>
            </w:r>
          </w:hyperlink>
        </w:p>
        <w:p w14:paraId="6C118592" w14:textId="1084A940" w:rsidR="008D5FD6" w:rsidRDefault="00F53395">
          <w:pPr>
            <w:pStyle w:val="TOC2"/>
            <w:tabs>
              <w:tab w:val="right" w:leader="dot" w:pos="7910"/>
            </w:tabs>
            <w:rPr>
              <w:rFonts w:eastAsiaTheme="minorEastAsia"/>
              <w:noProof/>
              <w:lang w:val="en-US"/>
            </w:rPr>
          </w:pPr>
          <w:hyperlink w:anchor="_Toc138239798" w:history="1">
            <w:r w:rsidR="008D5FD6" w:rsidRPr="00C5103D">
              <w:rPr>
                <w:rStyle w:val="Hyperlink"/>
                <w:rFonts w:asciiTheme="majorBidi" w:hAnsiTheme="majorBidi"/>
                <w:noProof/>
              </w:rPr>
              <w:t>2.3.1 Education production function</w:t>
            </w:r>
            <w:r w:rsidR="008D5FD6">
              <w:rPr>
                <w:noProof/>
                <w:webHidden/>
              </w:rPr>
              <w:tab/>
            </w:r>
            <w:r w:rsidR="008D5FD6">
              <w:rPr>
                <w:noProof/>
                <w:webHidden/>
              </w:rPr>
              <w:fldChar w:fldCharType="begin"/>
            </w:r>
            <w:r w:rsidR="008D5FD6">
              <w:rPr>
                <w:noProof/>
                <w:webHidden/>
              </w:rPr>
              <w:instrText xml:space="preserve"> PAGEREF _Toc138239798 \h </w:instrText>
            </w:r>
            <w:r w:rsidR="008D5FD6">
              <w:rPr>
                <w:noProof/>
                <w:webHidden/>
              </w:rPr>
            </w:r>
            <w:r w:rsidR="008D5FD6">
              <w:rPr>
                <w:noProof/>
                <w:webHidden/>
              </w:rPr>
              <w:fldChar w:fldCharType="separate"/>
            </w:r>
            <w:r w:rsidR="008D5FD6">
              <w:rPr>
                <w:noProof/>
                <w:webHidden/>
              </w:rPr>
              <w:t>51</w:t>
            </w:r>
            <w:r w:rsidR="008D5FD6">
              <w:rPr>
                <w:noProof/>
                <w:webHidden/>
              </w:rPr>
              <w:fldChar w:fldCharType="end"/>
            </w:r>
          </w:hyperlink>
        </w:p>
        <w:p w14:paraId="773E1D8F" w14:textId="2F20F645" w:rsidR="008D5FD6" w:rsidRDefault="00F53395">
          <w:pPr>
            <w:pStyle w:val="TOC2"/>
            <w:tabs>
              <w:tab w:val="right" w:leader="dot" w:pos="7910"/>
            </w:tabs>
            <w:rPr>
              <w:rFonts w:eastAsiaTheme="minorEastAsia"/>
              <w:noProof/>
              <w:lang w:val="en-US"/>
            </w:rPr>
          </w:pPr>
          <w:hyperlink w:anchor="_Toc138239799" w:history="1">
            <w:r w:rsidR="008D5FD6" w:rsidRPr="00C5103D">
              <w:rPr>
                <w:rStyle w:val="Hyperlink"/>
                <w:rFonts w:asciiTheme="majorBidi" w:hAnsiTheme="majorBidi"/>
                <w:noProof/>
              </w:rPr>
              <w:t>2.4.1 Comparative investigation of research on school quality components</w:t>
            </w:r>
            <w:r w:rsidR="008D5FD6">
              <w:rPr>
                <w:noProof/>
                <w:webHidden/>
              </w:rPr>
              <w:tab/>
            </w:r>
            <w:r w:rsidR="008D5FD6">
              <w:rPr>
                <w:noProof/>
                <w:webHidden/>
              </w:rPr>
              <w:fldChar w:fldCharType="begin"/>
            </w:r>
            <w:r w:rsidR="008D5FD6">
              <w:rPr>
                <w:noProof/>
                <w:webHidden/>
              </w:rPr>
              <w:instrText xml:space="preserve"> PAGEREF _Toc138239799 \h </w:instrText>
            </w:r>
            <w:r w:rsidR="008D5FD6">
              <w:rPr>
                <w:noProof/>
                <w:webHidden/>
              </w:rPr>
            </w:r>
            <w:r w:rsidR="008D5FD6">
              <w:rPr>
                <w:noProof/>
                <w:webHidden/>
              </w:rPr>
              <w:fldChar w:fldCharType="separate"/>
            </w:r>
            <w:r w:rsidR="008D5FD6">
              <w:rPr>
                <w:noProof/>
                <w:webHidden/>
              </w:rPr>
              <w:t>55</w:t>
            </w:r>
            <w:r w:rsidR="008D5FD6">
              <w:rPr>
                <w:noProof/>
                <w:webHidden/>
              </w:rPr>
              <w:fldChar w:fldCharType="end"/>
            </w:r>
          </w:hyperlink>
        </w:p>
        <w:p w14:paraId="2500E9F7" w14:textId="3986628E" w:rsidR="008D5FD6" w:rsidRDefault="00F53395">
          <w:pPr>
            <w:pStyle w:val="TOC2"/>
            <w:tabs>
              <w:tab w:val="right" w:leader="dot" w:pos="7910"/>
            </w:tabs>
            <w:rPr>
              <w:rFonts w:eastAsiaTheme="minorEastAsia"/>
              <w:noProof/>
              <w:lang w:val="en-US"/>
            </w:rPr>
          </w:pPr>
          <w:hyperlink w:anchor="_Toc138239800" w:history="1">
            <w:r w:rsidR="008D5FD6" w:rsidRPr="00C5103D">
              <w:rPr>
                <w:rStyle w:val="Hyperlink"/>
                <w:rFonts w:asciiTheme="majorBidi" w:hAnsiTheme="majorBidi"/>
                <w:noProof/>
              </w:rPr>
              <w:t>2.4.2 How to measure student achievement?</w:t>
            </w:r>
            <w:r w:rsidR="008D5FD6">
              <w:rPr>
                <w:noProof/>
                <w:webHidden/>
              </w:rPr>
              <w:tab/>
            </w:r>
            <w:r w:rsidR="008D5FD6">
              <w:rPr>
                <w:noProof/>
                <w:webHidden/>
              </w:rPr>
              <w:fldChar w:fldCharType="begin"/>
            </w:r>
            <w:r w:rsidR="008D5FD6">
              <w:rPr>
                <w:noProof/>
                <w:webHidden/>
              </w:rPr>
              <w:instrText xml:space="preserve"> PAGEREF _Toc138239800 \h </w:instrText>
            </w:r>
            <w:r w:rsidR="008D5FD6">
              <w:rPr>
                <w:noProof/>
                <w:webHidden/>
              </w:rPr>
            </w:r>
            <w:r w:rsidR="008D5FD6">
              <w:rPr>
                <w:noProof/>
                <w:webHidden/>
              </w:rPr>
              <w:fldChar w:fldCharType="separate"/>
            </w:r>
            <w:r w:rsidR="008D5FD6">
              <w:rPr>
                <w:noProof/>
                <w:webHidden/>
              </w:rPr>
              <w:t>62</w:t>
            </w:r>
            <w:r w:rsidR="008D5FD6">
              <w:rPr>
                <w:noProof/>
                <w:webHidden/>
              </w:rPr>
              <w:fldChar w:fldCharType="end"/>
            </w:r>
          </w:hyperlink>
        </w:p>
        <w:p w14:paraId="2F1C7BAD" w14:textId="3AAE35C5" w:rsidR="008D5FD6" w:rsidRDefault="00F53395">
          <w:pPr>
            <w:pStyle w:val="TOC2"/>
            <w:tabs>
              <w:tab w:val="right" w:leader="dot" w:pos="7910"/>
            </w:tabs>
            <w:rPr>
              <w:rFonts w:eastAsiaTheme="minorEastAsia"/>
              <w:noProof/>
              <w:lang w:val="en-US"/>
            </w:rPr>
          </w:pPr>
          <w:hyperlink w:anchor="_Toc138239801" w:history="1">
            <w:r w:rsidR="008D5FD6" w:rsidRPr="00C5103D">
              <w:rPr>
                <w:rStyle w:val="Hyperlink"/>
                <w:rFonts w:asciiTheme="majorBidi" w:hAnsiTheme="majorBidi"/>
                <w:noProof/>
              </w:rPr>
              <w:t>2.4.3 Critique of school quality and student achievement research</w:t>
            </w:r>
            <w:r w:rsidR="008D5FD6">
              <w:rPr>
                <w:noProof/>
                <w:webHidden/>
              </w:rPr>
              <w:tab/>
            </w:r>
            <w:r w:rsidR="008D5FD6">
              <w:rPr>
                <w:noProof/>
                <w:webHidden/>
              </w:rPr>
              <w:fldChar w:fldCharType="begin"/>
            </w:r>
            <w:r w:rsidR="008D5FD6">
              <w:rPr>
                <w:noProof/>
                <w:webHidden/>
              </w:rPr>
              <w:instrText xml:space="preserve"> PAGEREF _Toc138239801 \h </w:instrText>
            </w:r>
            <w:r w:rsidR="008D5FD6">
              <w:rPr>
                <w:noProof/>
                <w:webHidden/>
              </w:rPr>
            </w:r>
            <w:r w:rsidR="008D5FD6">
              <w:rPr>
                <w:noProof/>
                <w:webHidden/>
              </w:rPr>
              <w:fldChar w:fldCharType="separate"/>
            </w:r>
            <w:r w:rsidR="008D5FD6">
              <w:rPr>
                <w:noProof/>
                <w:webHidden/>
              </w:rPr>
              <w:t>70</w:t>
            </w:r>
            <w:r w:rsidR="008D5FD6">
              <w:rPr>
                <w:noProof/>
                <w:webHidden/>
              </w:rPr>
              <w:fldChar w:fldCharType="end"/>
            </w:r>
          </w:hyperlink>
        </w:p>
        <w:p w14:paraId="72C1789B" w14:textId="1EC31ADE" w:rsidR="008D5FD6" w:rsidRDefault="00F53395">
          <w:pPr>
            <w:pStyle w:val="TOC2"/>
            <w:tabs>
              <w:tab w:val="right" w:leader="dot" w:pos="7910"/>
            </w:tabs>
            <w:rPr>
              <w:rFonts w:eastAsiaTheme="minorEastAsia"/>
              <w:noProof/>
              <w:lang w:val="en-US"/>
            </w:rPr>
          </w:pPr>
          <w:hyperlink w:anchor="_Toc138239802" w:history="1">
            <w:r w:rsidR="008D5FD6" w:rsidRPr="00C5103D">
              <w:rPr>
                <w:rStyle w:val="Hyperlink"/>
                <w:rFonts w:asciiTheme="majorBidi" w:hAnsiTheme="majorBidi"/>
                <w:noProof/>
              </w:rPr>
              <w:t>2.4.4 Relationship between school cost, quality and student achievement</w:t>
            </w:r>
            <w:r w:rsidR="008D5FD6">
              <w:rPr>
                <w:noProof/>
                <w:webHidden/>
              </w:rPr>
              <w:tab/>
            </w:r>
            <w:r w:rsidR="008D5FD6">
              <w:rPr>
                <w:noProof/>
                <w:webHidden/>
              </w:rPr>
              <w:fldChar w:fldCharType="begin"/>
            </w:r>
            <w:r w:rsidR="008D5FD6">
              <w:rPr>
                <w:noProof/>
                <w:webHidden/>
              </w:rPr>
              <w:instrText xml:space="preserve"> PAGEREF _Toc138239802 \h </w:instrText>
            </w:r>
            <w:r w:rsidR="008D5FD6">
              <w:rPr>
                <w:noProof/>
                <w:webHidden/>
              </w:rPr>
            </w:r>
            <w:r w:rsidR="008D5FD6">
              <w:rPr>
                <w:noProof/>
                <w:webHidden/>
              </w:rPr>
              <w:fldChar w:fldCharType="separate"/>
            </w:r>
            <w:r w:rsidR="008D5FD6">
              <w:rPr>
                <w:noProof/>
                <w:webHidden/>
              </w:rPr>
              <w:t>74</w:t>
            </w:r>
            <w:r w:rsidR="008D5FD6">
              <w:rPr>
                <w:noProof/>
                <w:webHidden/>
              </w:rPr>
              <w:fldChar w:fldCharType="end"/>
            </w:r>
          </w:hyperlink>
        </w:p>
        <w:p w14:paraId="033CCD92" w14:textId="5669719A" w:rsidR="008D5FD6" w:rsidRDefault="00F53395">
          <w:pPr>
            <w:pStyle w:val="TOC1"/>
            <w:tabs>
              <w:tab w:val="right" w:leader="dot" w:pos="7910"/>
            </w:tabs>
            <w:rPr>
              <w:rFonts w:eastAsiaTheme="minorEastAsia"/>
              <w:noProof/>
              <w:lang w:val="en-US"/>
            </w:rPr>
          </w:pPr>
          <w:hyperlink w:anchor="_Toc138239803" w:history="1">
            <w:r w:rsidR="008D5FD6" w:rsidRPr="00C5103D">
              <w:rPr>
                <w:rStyle w:val="Hyperlink"/>
                <w:rFonts w:asciiTheme="majorBidi" w:hAnsiTheme="majorBidi"/>
                <w:noProof/>
                <w:lang w:eastAsia="en-GB" w:bidi="en-GB"/>
              </w:rPr>
              <w:t>CHAPTER III: Research methodology</w:t>
            </w:r>
            <w:r w:rsidR="008D5FD6">
              <w:rPr>
                <w:noProof/>
                <w:webHidden/>
              </w:rPr>
              <w:tab/>
            </w:r>
            <w:r w:rsidR="008D5FD6">
              <w:rPr>
                <w:noProof/>
                <w:webHidden/>
              </w:rPr>
              <w:fldChar w:fldCharType="begin"/>
            </w:r>
            <w:r w:rsidR="008D5FD6">
              <w:rPr>
                <w:noProof/>
                <w:webHidden/>
              </w:rPr>
              <w:instrText xml:space="preserve"> PAGEREF _Toc138239803 \h </w:instrText>
            </w:r>
            <w:r w:rsidR="008D5FD6">
              <w:rPr>
                <w:noProof/>
                <w:webHidden/>
              </w:rPr>
            </w:r>
            <w:r w:rsidR="008D5FD6">
              <w:rPr>
                <w:noProof/>
                <w:webHidden/>
              </w:rPr>
              <w:fldChar w:fldCharType="separate"/>
            </w:r>
            <w:r w:rsidR="008D5FD6">
              <w:rPr>
                <w:noProof/>
                <w:webHidden/>
              </w:rPr>
              <w:t>79</w:t>
            </w:r>
            <w:r w:rsidR="008D5FD6">
              <w:rPr>
                <w:noProof/>
                <w:webHidden/>
              </w:rPr>
              <w:fldChar w:fldCharType="end"/>
            </w:r>
          </w:hyperlink>
        </w:p>
        <w:p w14:paraId="4EA705DF" w14:textId="4CEF7362" w:rsidR="008D5FD6" w:rsidRDefault="00F53395">
          <w:pPr>
            <w:pStyle w:val="TOC1"/>
            <w:tabs>
              <w:tab w:val="right" w:leader="dot" w:pos="7910"/>
            </w:tabs>
            <w:rPr>
              <w:rFonts w:eastAsiaTheme="minorEastAsia"/>
              <w:noProof/>
              <w:lang w:val="en-US"/>
            </w:rPr>
          </w:pPr>
          <w:hyperlink w:anchor="_Toc138239804" w:history="1">
            <w:r w:rsidR="008D5FD6" w:rsidRPr="00C5103D">
              <w:rPr>
                <w:rStyle w:val="Hyperlink"/>
                <w:rFonts w:asciiTheme="majorBidi" w:eastAsia="Times New Roman" w:hAnsiTheme="majorBidi"/>
                <w:noProof/>
              </w:rPr>
              <w:t>3.1 Introduction</w:t>
            </w:r>
            <w:r w:rsidR="008D5FD6">
              <w:rPr>
                <w:noProof/>
                <w:webHidden/>
              </w:rPr>
              <w:tab/>
            </w:r>
            <w:r w:rsidR="008D5FD6">
              <w:rPr>
                <w:noProof/>
                <w:webHidden/>
              </w:rPr>
              <w:fldChar w:fldCharType="begin"/>
            </w:r>
            <w:r w:rsidR="008D5FD6">
              <w:rPr>
                <w:noProof/>
                <w:webHidden/>
              </w:rPr>
              <w:instrText xml:space="preserve"> PAGEREF _Toc138239804 \h </w:instrText>
            </w:r>
            <w:r w:rsidR="008D5FD6">
              <w:rPr>
                <w:noProof/>
                <w:webHidden/>
              </w:rPr>
            </w:r>
            <w:r w:rsidR="008D5FD6">
              <w:rPr>
                <w:noProof/>
                <w:webHidden/>
              </w:rPr>
              <w:fldChar w:fldCharType="separate"/>
            </w:r>
            <w:r w:rsidR="008D5FD6">
              <w:rPr>
                <w:noProof/>
                <w:webHidden/>
              </w:rPr>
              <w:t>79</w:t>
            </w:r>
            <w:r w:rsidR="008D5FD6">
              <w:rPr>
                <w:noProof/>
                <w:webHidden/>
              </w:rPr>
              <w:fldChar w:fldCharType="end"/>
            </w:r>
          </w:hyperlink>
        </w:p>
        <w:p w14:paraId="78991FD1" w14:textId="10DD71F4" w:rsidR="008D5FD6" w:rsidRDefault="00F53395">
          <w:pPr>
            <w:pStyle w:val="TOC1"/>
            <w:tabs>
              <w:tab w:val="left" w:pos="660"/>
              <w:tab w:val="right" w:leader="dot" w:pos="7910"/>
            </w:tabs>
            <w:rPr>
              <w:rFonts w:eastAsiaTheme="minorEastAsia"/>
              <w:noProof/>
              <w:lang w:val="en-US"/>
            </w:rPr>
          </w:pPr>
          <w:hyperlink w:anchor="_Toc138239805" w:history="1">
            <w:r w:rsidR="008D5FD6" w:rsidRPr="00C5103D">
              <w:rPr>
                <w:rStyle w:val="Hyperlink"/>
                <w:rFonts w:asciiTheme="majorBidi" w:eastAsia="Times New Roman" w:hAnsiTheme="majorBidi"/>
                <w:noProof/>
              </w:rPr>
              <w:t>3.2</w:t>
            </w:r>
            <w:r w:rsidR="008D5FD6">
              <w:rPr>
                <w:rFonts w:eastAsiaTheme="minorEastAsia"/>
                <w:noProof/>
                <w:lang w:val="en-US"/>
              </w:rPr>
              <w:tab/>
            </w:r>
            <w:r w:rsidR="008D5FD6" w:rsidRPr="00C5103D">
              <w:rPr>
                <w:rStyle w:val="Hyperlink"/>
                <w:rFonts w:asciiTheme="majorBidi" w:hAnsiTheme="majorBidi"/>
                <w:noProof/>
              </w:rPr>
              <w:t>The research design</w:t>
            </w:r>
            <w:r w:rsidR="008D5FD6">
              <w:rPr>
                <w:noProof/>
                <w:webHidden/>
              </w:rPr>
              <w:tab/>
            </w:r>
            <w:r w:rsidR="008D5FD6">
              <w:rPr>
                <w:noProof/>
                <w:webHidden/>
              </w:rPr>
              <w:fldChar w:fldCharType="begin"/>
            </w:r>
            <w:r w:rsidR="008D5FD6">
              <w:rPr>
                <w:noProof/>
                <w:webHidden/>
              </w:rPr>
              <w:instrText xml:space="preserve"> PAGEREF _Toc138239805 \h </w:instrText>
            </w:r>
            <w:r w:rsidR="008D5FD6">
              <w:rPr>
                <w:noProof/>
                <w:webHidden/>
              </w:rPr>
            </w:r>
            <w:r w:rsidR="008D5FD6">
              <w:rPr>
                <w:noProof/>
                <w:webHidden/>
              </w:rPr>
              <w:fldChar w:fldCharType="separate"/>
            </w:r>
            <w:r w:rsidR="008D5FD6">
              <w:rPr>
                <w:noProof/>
                <w:webHidden/>
              </w:rPr>
              <w:t>80</w:t>
            </w:r>
            <w:r w:rsidR="008D5FD6">
              <w:rPr>
                <w:noProof/>
                <w:webHidden/>
              </w:rPr>
              <w:fldChar w:fldCharType="end"/>
            </w:r>
          </w:hyperlink>
        </w:p>
        <w:p w14:paraId="256683AC" w14:textId="10C68B39" w:rsidR="008D5FD6" w:rsidRDefault="00F53395">
          <w:pPr>
            <w:pStyle w:val="TOC1"/>
            <w:tabs>
              <w:tab w:val="right" w:leader="dot" w:pos="7910"/>
            </w:tabs>
            <w:rPr>
              <w:rFonts w:eastAsiaTheme="minorEastAsia"/>
              <w:noProof/>
              <w:lang w:val="en-US"/>
            </w:rPr>
          </w:pPr>
          <w:hyperlink w:anchor="_Toc138239806" w:history="1">
            <w:r w:rsidR="008D5FD6" w:rsidRPr="00C5103D">
              <w:rPr>
                <w:rStyle w:val="Hyperlink"/>
                <w:rFonts w:asciiTheme="majorBidi" w:eastAsia="Times New Roman" w:hAnsiTheme="majorBidi"/>
                <w:noProof/>
              </w:rPr>
              <w:t>3.3 Population and sample</w:t>
            </w:r>
            <w:r w:rsidR="008D5FD6">
              <w:rPr>
                <w:noProof/>
                <w:webHidden/>
              </w:rPr>
              <w:tab/>
            </w:r>
            <w:r w:rsidR="008D5FD6">
              <w:rPr>
                <w:noProof/>
                <w:webHidden/>
              </w:rPr>
              <w:fldChar w:fldCharType="begin"/>
            </w:r>
            <w:r w:rsidR="008D5FD6">
              <w:rPr>
                <w:noProof/>
                <w:webHidden/>
              </w:rPr>
              <w:instrText xml:space="preserve"> PAGEREF _Toc138239806 \h </w:instrText>
            </w:r>
            <w:r w:rsidR="008D5FD6">
              <w:rPr>
                <w:noProof/>
                <w:webHidden/>
              </w:rPr>
            </w:r>
            <w:r w:rsidR="008D5FD6">
              <w:rPr>
                <w:noProof/>
                <w:webHidden/>
              </w:rPr>
              <w:fldChar w:fldCharType="separate"/>
            </w:r>
            <w:r w:rsidR="008D5FD6">
              <w:rPr>
                <w:noProof/>
                <w:webHidden/>
              </w:rPr>
              <w:t>81</w:t>
            </w:r>
            <w:r w:rsidR="008D5FD6">
              <w:rPr>
                <w:noProof/>
                <w:webHidden/>
              </w:rPr>
              <w:fldChar w:fldCharType="end"/>
            </w:r>
          </w:hyperlink>
        </w:p>
        <w:p w14:paraId="68D622F1" w14:textId="0E1CBC43" w:rsidR="008D5FD6" w:rsidRDefault="00F53395">
          <w:pPr>
            <w:pStyle w:val="TOC1"/>
            <w:tabs>
              <w:tab w:val="right" w:leader="dot" w:pos="7910"/>
            </w:tabs>
            <w:rPr>
              <w:rFonts w:eastAsiaTheme="minorEastAsia"/>
              <w:noProof/>
              <w:lang w:val="en-US"/>
            </w:rPr>
          </w:pPr>
          <w:hyperlink w:anchor="_Toc138239807" w:history="1">
            <w:r w:rsidR="008D5FD6" w:rsidRPr="00C5103D">
              <w:rPr>
                <w:rStyle w:val="Hyperlink"/>
                <w:rFonts w:asciiTheme="majorBidi" w:eastAsia="Times New Roman" w:hAnsiTheme="majorBidi"/>
                <w:noProof/>
              </w:rPr>
              <w:t>3.4 Instrumentation</w:t>
            </w:r>
            <w:r w:rsidR="008D5FD6">
              <w:rPr>
                <w:noProof/>
                <w:webHidden/>
              </w:rPr>
              <w:tab/>
            </w:r>
            <w:r w:rsidR="008D5FD6">
              <w:rPr>
                <w:noProof/>
                <w:webHidden/>
              </w:rPr>
              <w:fldChar w:fldCharType="begin"/>
            </w:r>
            <w:r w:rsidR="008D5FD6">
              <w:rPr>
                <w:noProof/>
                <w:webHidden/>
              </w:rPr>
              <w:instrText xml:space="preserve"> PAGEREF _Toc138239807 \h </w:instrText>
            </w:r>
            <w:r w:rsidR="008D5FD6">
              <w:rPr>
                <w:noProof/>
                <w:webHidden/>
              </w:rPr>
            </w:r>
            <w:r w:rsidR="008D5FD6">
              <w:rPr>
                <w:noProof/>
                <w:webHidden/>
              </w:rPr>
              <w:fldChar w:fldCharType="separate"/>
            </w:r>
            <w:r w:rsidR="008D5FD6">
              <w:rPr>
                <w:noProof/>
                <w:webHidden/>
              </w:rPr>
              <w:t>85</w:t>
            </w:r>
            <w:r w:rsidR="008D5FD6">
              <w:rPr>
                <w:noProof/>
                <w:webHidden/>
              </w:rPr>
              <w:fldChar w:fldCharType="end"/>
            </w:r>
          </w:hyperlink>
        </w:p>
        <w:p w14:paraId="7A075FFF" w14:textId="0E1104C5" w:rsidR="008D5FD6" w:rsidRDefault="00F53395">
          <w:pPr>
            <w:pStyle w:val="TOC1"/>
            <w:tabs>
              <w:tab w:val="right" w:leader="dot" w:pos="7910"/>
            </w:tabs>
            <w:rPr>
              <w:rFonts w:eastAsiaTheme="minorEastAsia"/>
              <w:noProof/>
              <w:lang w:val="en-US"/>
            </w:rPr>
          </w:pPr>
          <w:hyperlink w:anchor="_Toc138239808" w:history="1">
            <w:r w:rsidR="008D5FD6" w:rsidRPr="00C5103D">
              <w:rPr>
                <w:rStyle w:val="Hyperlink"/>
                <w:rFonts w:asciiTheme="majorBidi" w:eastAsia="Times New Roman" w:hAnsiTheme="majorBidi"/>
                <w:noProof/>
              </w:rPr>
              <w:t>3.5 Data collection</w:t>
            </w:r>
            <w:r w:rsidR="008D5FD6">
              <w:rPr>
                <w:noProof/>
                <w:webHidden/>
              </w:rPr>
              <w:tab/>
            </w:r>
            <w:r w:rsidR="008D5FD6">
              <w:rPr>
                <w:noProof/>
                <w:webHidden/>
              </w:rPr>
              <w:fldChar w:fldCharType="begin"/>
            </w:r>
            <w:r w:rsidR="008D5FD6">
              <w:rPr>
                <w:noProof/>
                <w:webHidden/>
              </w:rPr>
              <w:instrText xml:space="preserve"> PAGEREF _Toc138239808 \h </w:instrText>
            </w:r>
            <w:r w:rsidR="008D5FD6">
              <w:rPr>
                <w:noProof/>
                <w:webHidden/>
              </w:rPr>
            </w:r>
            <w:r w:rsidR="008D5FD6">
              <w:rPr>
                <w:noProof/>
                <w:webHidden/>
              </w:rPr>
              <w:fldChar w:fldCharType="separate"/>
            </w:r>
            <w:r w:rsidR="008D5FD6">
              <w:rPr>
                <w:noProof/>
                <w:webHidden/>
              </w:rPr>
              <w:t>88</w:t>
            </w:r>
            <w:r w:rsidR="008D5FD6">
              <w:rPr>
                <w:noProof/>
                <w:webHidden/>
              </w:rPr>
              <w:fldChar w:fldCharType="end"/>
            </w:r>
          </w:hyperlink>
        </w:p>
        <w:p w14:paraId="07FAC1C9" w14:textId="59386421" w:rsidR="008D5FD6" w:rsidRDefault="00F53395">
          <w:pPr>
            <w:pStyle w:val="TOC1"/>
            <w:tabs>
              <w:tab w:val="right" w:leader="dot" w:pos="7910"/>
            </w:tabs>
            <w:rPr>
              <w:rFonts w:eastAsiaTheme="minorEastAsia"/>
              <w:noProof/>
              <w:lang w:val="en-US"/>
            </w:rPr>
          </w:pPr>
          <w:hyperlink w:anchor="_Toc138239809" w:history="1">
            <w:r w:rsidR="008D5FD6" w:rsidRPr="00C5103D">
              <w:rPr>
                <w:rStyle w:val="Hyperlink"/>
                <w:rFonts w:asciiTheme="majorBidi" w:eastAsia="Times New Roman" w:hAnsiTheme="majorBidi"/>
                <w:noProof/>
              </w:rPr>
              <w:t>3.6 Statistical data analysis</w:t>
            </w:r>
            <w:r w:rsidR="008D5FD6">
              <w:rPr>
                <w:noProof/>
                <w:webHidden/>
              </w:rPr>
              <w:tab/>
            </w:r>
            <w:r w:rsidR="008D5FD6">
              <w:rPr>
                <w:noProof/>
                <w:webHidden/>
              </w:rPr>
              <w:fldChar w:fldCharType="begin"/>
            </w:r>
            <w:r w:rsidR="008D5FD6">
              <w:rPr>
                <w:noProof/>
                <w:webHidden/>
              </w:rPr>
              <w:instrText xml:space="preserve"> PAGEREF _Toc138239809 \h </w:instrText>
            </w:r>
            <w:r w:rsidR="008D5FD6">
              <w:rPr>
                <w:noProof/>
                <w:webHidden/>
              </w:rPr>
            </w:r>
            <w:r w:rsidR="008D5FD6">
              <w:rPr>
                <w:noProof/>
                <w:webHidden/>
              </w:rPr>
              <w:fldChar w:fldCharType="separate"/>
            </w:r>
            <w:r w:rsidR="008D5FD6">
              <w:rPr>
                <w:noProof/>
                <w:webHidden/>
              </w:rPr>
              <w:t>89</w:t>
            </w:r>
            <w:r w:rsidR="008D5FD6">
              <w:rPr>
                <w:noProof/>
                <w:webHidden/>
              </w:rPr>
              <w:fldChar w:fldCharType="end"/>
            </w:r>
          </w:hyperlink>
        </w:p>
        <w:p w14:paraId="39E8F125" w14:textId="3096A7B8" w:rsidR="008D5FD6" w:rsidRDefault="00F53395">
          <w:pPr>
            <w:pStyle w:val="TOC1"/>
            <w:tabs>
              <w:tab w:val="right" w:leader="dot" w:pos="7910"/>
            </w:tabs>
            <w:rPr>
              <w:rFonts w:eastAsiaTheme="minorEastAsia"/>
              <w:noProof/>
              <w:lang w:val="en-US"/>
            </w:rPr>
          </w:pPr>
          <w:hyperlink w:anchor="_Toc138239810" w:history="1">
            <w:r w:rsidR="008D5FD6" w:rsidRPr="00C5103D">
              <w:rPr>
                <w:rStyle w:val="Hyperlink"/>
                <w:rFonts w:asciiTheme="majorBidi" w:eastAsia="Times New Roman" w:hAnsiTheme="majorBidi"/>
                <w:noProof/>
              </w:rPr>
              <w:t>3.7 Validity and reliably of the research instrument</w:t>
            </w:r>
            <w:r w:rsidR="008D5FD6">
              <w:rPr>
                <w:noProof/>
                <w:webHidden/>
              </w:rPr>
              <w:tab/>
            </w:r>
            <w:r w:rsidR="008D5FD6">
              <w:rPr>
                <w:noProof/>
                <w:webHidden/>
              </w:rPr>
              <w:fldChar w:fldCharType="begin"/>
            </w:r>
            <w:r w:rsidR="008D5FD6">
              <w:rPr>
                <w:noProof/>
                <w:webHidden/>
              </w:rPr>
              <w:instrText xml:space="preserve"> PAGEREF _Toc138239810 \h </w:instrText>
            </w:r>
            <w:r w:rsidR="008D5FD6">
              <w:rPr>
                <w:noProof/>
                <w:webHidden/>
              </w:rPr>
            </w:r>
            <w:r w:rsidR="008D5FD6">
              <w:rPr>
                <w:noProof/>
                <w:webHidden/>
              </w:rPr>
              <w:fldChar w:fldCharType="separate"/>
            </w:r>
            <w:r w:rsidR="008D5FD6">
              <w:rPr>
                <w:noProof/>
                <w:webHidden/>
              </w:rPr>
              <w:t>91</w:t>
            </w:r>
            <w:r w:rsidR="008D5FD6">
              <w:rPr>
                <w:noProof/>
                <w:webHidden/>
              </w:rPr>
              <w:fldChar w:fldCharType="end"/>
            </w:r>
          </w:hyperlink>
        </w:p>
        <w:p w14:paraId="3877E9F7" w14:textId="6B5679CB" w:rsidR="008D5FD6" w:rsidRDefault="00F53395">
          <w:pPr>
            <w:pStyle w:val="TOC1"/>
            <w:tabs>
              <w:tab w:val="right" w:leader="dot" w:pos="7910"/>
            </w:tabs>
            <w:rPr>
              <w:rFonts w:eastAsiaTheme="minorEastAsia"/>
              <w:noProof/>
              <w:lang w:val="en-US"/>
            </w:rPr>
          </w:pPr>
          <w:hyperlink w:anchor="_Toc138239811" w:history="1">
            <w:r w:rsidR="008D5FD6" w:rsidRPr="00C5103D">
              <w:rPr>
                <w:rStyle w:val="Hyperlink"/>
                <w:rFonts w:asciiTheme="majorBidi" w:eastAsia="Times New Roman" w:hAnsiTheme="majorBidi"/>
                <w:noProof/>
              </w:rPr>
              <w:t>3.8 Ethical considerations and limitations</w:t>
            </w:r>
            <w:r w:rsidR="008D5FD6">
              <w:rPr>
                <w:noProof/>
                <w:webHidden/>
              </w:rPr>
              <w:tab/>
            </w:r>
            <w:r w:rsidR="008D5FD6">
              <w:rPr>
                <w:noProof/>
                <w:webHidden/>
              </w:rPr>
              <w:fldChar w:fldCharType="begin"/>
            </w:r>
            <w:r w:rsidR="008D5FD6">
              <w:rPr>
                <w:noProof/>
                <w:webHidden/>
              </w:rPr>
              <w:instrText xml:space="preserve"> PAGEREF _Toc138239811 \h </w:instrText>
            </w:r>
            <w:r w:rsidR="008D5FD6">
              <w:rPr>
                <w:noProof/>
                <w:webHidden/>
              </w:rPr>
            </w:r>
            <w:r w:rsidR="008D5FD6">
              <w:rPr>
                <w:noProof/>
                <w:webHidden/>
              </w:rPr>
              <w:fldChar w:fldCharType="separate"/>
            </w:r>
            <w:r w:rsidR="008D5FD6">
              <w:rPr>
                <w:noProof/>
                <w:webHidden/>
              </w:rPr>
              <w:t>92</w:t>
            </w:r>
            <w:r w:rsidR="008D5FD6">
              <w:rPr>
                <w:noProof/>
                <w:webHidden/>
              </w:rPr>
              <w:fldChar w:fldCharType="end"/>
            </w:r>
          </w:hyperlink>
        </w:p>
        <w:p w14:paraId="6B57742E" w14:textId="4F48EBDB" w:rsidR="008D5FD6" w:rsidRDefault="00F53395">
          <w:pPr>
            <w:pStyle w:val="TOC1"/>
            <w:tabs>
              <w:tab w:val="right" w:leader="dot" w:pos="7910"/>
            </w:tabs>
            <w:rPr>
              <w:rFonts w:eastAsiaTheme="minorEastAsia"/>
              <w:noProof/>
              <w:lang w:val="en-US"/>
            </w:rPr>
          </w:pPr>
          <w:hyperlink w:anchor="_Toc138239812" w:history="1">
            <w:r w:rsidR="008D5FD6" w:rsidRPr="00C5103D">
              <w:rPr>
                <w:rStyle w:val="Hyperlink"/>
                <w:rFonts w:asciiTheme="majorBidi" w:hAnsiTheme="majorBidi"/>
                <w:noProof/>
                <w:lang w:eastAsia="en-GB" w:bidi="en-GB"/>
              </w:rPr>
              <w:t>CHAPTER IV: Results</w:t>
            </w:r>
            <w:r w:rsidR="008D5FD6">
              <w:rPr>
                <w:noProof/>
                <w:webHidden/>
              </w:rPr>
              <w:tab/>
            </w:r>
            <w:r w:rsidR="008D5FD6">
              <w:rPr>
                <w:noProof/>
                <w:webHidden/>
              </w:rPr>
              <w:fldChar w:fldCharType="begin"/>
            </w:r>
            <w:r w:rsidR="008D5FD6">
              <w:rPr>
                <w:noProof/>
                <w:webHidden/>
              </w:rPr>
              <w:instrText xml:space="preserve"> PAGEREF _Toc138239812 \h </w:instrText>
            </w:r>
            <w:r w:rsidR="008D5FD6">
              <w:rPr>
                <w:noProof/>
                <w:webHidden/>
              </w:rPr>
            </w:r>
            <w:r w:rsidR="008D5FD6">
              <w:rPr>
                <w:noProof/>
                <w:webHidden/>
              </w:rPr>
              <w:fldChar w:fldCharType="separate"/>
            </w:r>
            <w:r w:rsidR="008D5FD6">
              <w:rPr>
                <w:noProof/>
                <w:webHidden/>
              </w:rPr>
              <w:t>94</w:t>
            </w:r>
            <w:r w:rsidR="008D5FD6">
              <w:rPr>
                <w:noProof/>
                <w:webHidden/>
              </w:rPr>
              <w:fldChar w:fldCharType="end"/>
            </w:r>
          </w:hyperlink>
        </w:p>
        <w:p w14:paraId="1511058B" w14:textId="09B99966" w:rsidR="008D5FD6" w:rsidRDefault="00F53395">
          <w:pPr>
            <w:pStyle w:val="TOC1"/>
            <w:tabs>
              <w:tab w:val="right" w:leader="dot" w:pos="7910"/>
            </w:tabs>
            <w:rPr>
              <w:rFonts w:eastAsiaTheme="minorEastAsia"/>
              <w:noProof/>
              <w:lang w:val="en-US"/>
            </w:rPr>
          </w:pPr>
          <w:hyperlink w:anchor="_Toc138239813" w:history="1">
            <w:r w:rsidR="008D5FD6" w:rsidRPr="00C5103D">
              <w:rPr>
                <w:rStyle w:val="Hyperlink"/>
                <w:rFonts w:asciiTheme="majorBidi" w:eastAsia="Times New Roman" w:hAnsiTheme="majorBidi"/>
                <w:noProof/>
              </w:rPr>
              <w:t>4.1 Introduction</w:t>
            </w:r>
            <w:r w:rsidR="008D5FD6">
              <w:rPr>
                <w:noProof/>
                <w:webHidden/>
              </w:rPr>
              <w:tab/>
            </w:r>
            <w:r w:rsidR="008D5FD6">
              <w:rPr>
                <w:noProof/>
                <w:webHidden/>
              </w:rPr>
              <w:fldChar w:fldCharType="begin"/>
            </w:r>
            <w:r w:rsidR="008D5FD6">
              <w:rPr>
                <w:noProof/>
                <w:webHidden/>
              </w:rPr>
              <w:instrText xml:space="preserve"> PAGEREF _Toc138239813 \h </w:instrText>
            </w:r>
            <w:r w:rsidR="008D5FD6">
              <w:rPr>
                <w:noProof/>
                <w:webHidden/>
              </w:rPr>
            </w:r>
            <w:r w:rsidR="008D5FD6">
              <w:rPr>
                <w:noProof/>
                <w:webHidden/>
              </w:rPr>
              <w:fldChar w:fldCharType="separate"/>
            </w:r>
            <w:r w:rsidR="008D5FD6">
              <w:rPr>
                <w:noProof/>
                <w:webHidden/>
              </w:rPr>
              <w:t>94</w:t>
            </w:r>
            <w:r w:rsidR="008D5FD6">
              <w:rPr>
                <w:noProof/>
                <w:webHidden/>
              </w:rPr>
              <w:fldChar w:fldCharType="end"/>
            </w:r>
          </w:hyperlink>
        </w:p>
        <w:p w14:paraId="490E70A6" w14:textId="6777A631" w:rsidR="008D5FD6" w:rsidRDefault="00F53395">
          <w:pPr>
            <w:pStyle w:val="TOC1"/>
            <w:tabs>
              <w:tab w:val="right" w:leader="dot" w:pos="7910"/>
            </w:tabs>
            <w:rPr>
              <w:rFonts w:eastAsiaTheme="minorEastAsia"/>
              <w:noProof/>
              <w:lang w:val="en-US"/>
            </w:rPr>
          </w:pPr>
          <w:hyperlink w:anchor="_Toc138239814" w:history="1">
            <w:r w:rsidR="008D5FD6" w:rsidRPr="00C5103D">
              <w:rPr>
                <w:rStyle w:val="Hyperlink"/>
                <w:rFonts w:asciiTheme="majorBidi" w:eastAsia="Times New Roman" w:hAnsiTheme="majorBidi"/>
                <w:noProof/>
              </w:rPr>
              <w:t>4.2 Test of KMO and Multicollinearity</w:t>
            </w:r>
            <w:r w:rsidR="008D5FD6">
              <w:rPr>
                <w:noProof/>
                <w:webHidden/>
              </w:rPr>
              <w:tab/>
            </w:r>
            <w:r w:rsidR="008D5FD6">
              <w:rPr>
                <w:noProof/>
                <w:webHidden/>
              </w:rPr>
              <w:fldChar w:fldCharType="begin"/>
            </w:r>
            <w:r w:rsidR="008D5FD6">
              <w:rPr>
                <w:noProof/>
                <w:webHidden/>
              </w:rPr>
              <w:instrText xml:space="preserve"> PAGEREF _Toc138239814 \h </w:instrText>
            </w:r>
            <w:r w:rsidR="008D5FD6">
              <w:rPr>
                <w:noProof/>
                <w:webHidden/>
              </w:rPr>
            </w:r>
            <w:r w:rsidR="008D5FD6">
              <w:rPr>
                <w:noProof/>
                <w:webHidden/>
              </w:rPr>
              <w:fldChar w:fldCharType="separate"/>
            </w:r>
            <w:r w:rsidR="008D5FD6">
              <w:rPr>
                <w:noProof/>
                <w:webHidden/>
              </w:rPr>
              <w:t>95</w:t>
            </w:r>
            <w:r w:rsidR="008D5FD6">
              <w:rPr>
                <w:noProof/>
                <w:webHidden/>
              </w:rPr>
              <w:fldChar w:fldCharType="end"/>
            </w:r>
          </w:hyperlink>
        </w:p>
        <w:p w14:paraId="4A047143" w14:textId="33FC38AE" w:rsidR="008D5FD6" w:rsidRDefault="00F53395">
          <w:pPr>
            <w:pStyle w:val="TOC1"/>
            <w:tabs>
              <w:tab w:val="right" w:leader="dot" w:pos="7910"/>
            </w:tabs>
            <w:rPr>
              <w:rFonts w:eastAsiaTheme="minorEastAsia"/>
              <w:noProof/>
              <w:lang w:val="en-US"/>
            </w:rPr>
          </w:pPr>
          <w:hyperlink w:anchor="_Toc138239815" w:history="1">
            <w:r w:rsidR="008D5FD6" w:rsidRPr="00C5103D">
              <w:rPr>
                <w:rStyle w:val="Hyperlink"/>
                <w:rFonts w:asciiTheme="majorBidi" w:eastAsia="Times New Roman" w:hAnsiTheme="majorBidi"/>
                <w:noProof/>
              </w:rPr>
              <w:t>4.3 Factor analysis</w:t>
            </w:r>
            <w:r w:rsidR="008D5FD6">
              <w:rPr>
                <w:noProof/>
                <w:webHidden/>
              </w:rPr>
              <w:tab/>
            </w:r>
            <w:r w:rsidR="008D5FD6">
              <w:rPr>
                <w:noProof/>
                <w:webHidden/>
              </w:rPr>
              <w:fldChar w:fldCharType="begin"/>
            </w:r>
            <w:r w:rsidR="008D5FD6">
              <w:rPr>
                <w:noProof/>
                <w:webHidden/>
              </w:rPr>
              <w:instrText xml:space="preserve"> PAGEREF _Toc138239815 \h </w:instrText>
            </w:r>
            <w:r w:rsidR="008D5FD6">
              <w:rPr>
                <w:noProof/>
                <w:webHidden/>
              </w:rPr>
            </w:r>
            <w:r w:rsidR="008D5FD6">
              <w:rPr>
                <w:noProof/>
                <w:webHidden/>
              </w:rPr>
              <w:fldChar w:fldCharType="separate"/>
            </w:r>
            <w:r w:rsidR="008D5FD6">
              <w:rPr>
                <w:noProof/>
                <w:webHidden/>
              </w:rPr>
              <w:t>96</w:t>
            </w:r>
            <w:r w:rsidR="008D5FD6">
              <w:rPr>
                <w:noProof/>
                <w:webHidden/>
              </w:rPr>
              <w:fldChar w:fldCharType="end"/>
            </w:r>
          </w:hyperlink>
        </w:p>
        <w:p w14:paraId="2779F2D4" w14:textId="1D30A07A" w:rsidR="008D5FD6" w:rsidRDefault="00F53395">
          <w:pPr>
            <w:pStyle w:val="TOC1"/>
            <w:tabs>
              <w:tab w:val="right" w:leader="dot" w:pos="7910"/>
            </w:tabs>
            <w:rPr>
              <w:rFonts w:eastAsiaTheme="minorEastAsia"/>
              <w:noProof/>
              <w:lang w:val="en-US"/>
            </w:rPr>
          </w:pPr>
          <w:hyperlink w:anchor="_Toc138239816" w:history="1">
            <w:r w:rsidR="008D5FD6" w:rsidRPr="00C5103D">
              <w:rPr>
                <w:rStyle w:val="Hyperlink"/>
                <w:rFonts w:asciiTheme="majorBidi" w:eastAsia="Times New Roman" w:hAnsiTheme="majorBidi"/>
                <w:noProof/>
                <w:lang w:eastAsia="en-GB" w:bidi="en-GB"/>
              </w:rPr>
              <w:t>4.4 The results</w:t>
            </w:r>
            <w:r w:rsidR="008D5FD6">
              <w:rPr>
                <w:noProof/>
                <w:webHidden/>
              </w:rPr>
              <w:tab/>
            </w:r>
            <w:r w:rsidR="008D5FD6">
              <w:rPr>
                <w:noProof/>
                <w:webHidden/>
              </w:rPr>
              <w:fldChar w:fldCharType="begin"/>
            </w:r>
            <w:r w:rsidR="008D5FD6">
              <w:rPr>
                <w:noProof/>
                <w:webHidden/>
              </w:rPr>
              <w:instrText xml:space="preserve"> PAGEREF _Toc138239816 \h </w:instrText>
            </w:r>
            <w:r w:rsidR="008D5FD6">
              <w:rPr>
                <w:noProof/>
                <w:webHidden/>
              </w:rPr>
            </w:r>
            <w:r w:rsidR="008D5FD6">
              <w:rPr>
                <w:noProof/>
                <w:webHidden/>
              </w:rPr>
              <w:fldChar w:fldCharType="separate"/>
            </w:r>
            <w:r w:rsidR="008D5FD6">
              <w:rPr>
                <w:noProof/>
                <w:webHidden/>
              </w:rPr>
              <w:t>100</w:t>
            </w:r>
            <w:r w:rsidR="008D5FD6">
              <w:rPr>
                <w:noProof/>
                <w:webHidden/>
              </w:rPr>
              <w:fldChar w:fldCharType="end"/>
            </w:r>
          </w:hyperlink>
        </w:p>
        <w:p w14:paraId="0C65808B" w14:textId="01B86F13" w:rsidR="008D5FD6" w:rsidRDefault="00F53395">
          <w:pPr>
            <w:pStyle w:val="TOC2"/>
            <w:tabs>
              <w:tab w:val="right" w:leader="dot" w:pos="7910"/>
            </w:tabs>
            <w:rPr>
              <w:rFonts w:eastAsiaTheme="minorEastAsia"/>
              <w:noProof/>
              <w:lang w:val="en-US"/>
            </w:rPr>
          </w:pPr>
          <w:hyperlink w:anchor="_Toc138239817" w:history="1">
            <w:r w:rsidR="008D5FD6" w:rsidRPr="00C5103D">
              <w:rPr>
                <w:rStyle w:val="Hyperlink"/>
                <w:rFonts w:asciiTheme="majorBidi" w:eastAsia="Times New Roman" w:hAnsiTheme="majorBidi"/>
                <w:noProof/>
              </w:rPr>
              <w:t xml:space="preserve">4.4.1 </w:t>
            </w:r>
            <w:r w:rsidR="008D5FD6" w:rsidRPr="00C5103D">
              <w:rPr>
                <w:rStyle w:val="Hyperlink"/>
                <w:rFonts w:asciiTheme="majorBidi" w:eastAsia="Times New Roman" w:hAnsiTheme="majorBidi"/>
                <w:noProof/>
                <w:lang w:bidi="en-GB"/>
              </w:rPr>
              <w:t>Hypotheses</w:t>
            </w:r>
            <w:r w:rsidR="008D5FD6">
              <w:rPr>
                <w:noProof/>
                <w:webHidden/>
              </w:rPr>
              <w:tab/>
            </w:r>
            <w:r w:rsidR="008D5FD6">
              <w:rPr>
                <w:noProof/>
                <w:webHidden/>
              </w:rPr>
              <w:fldChar w:fldCharType="begin"/>
            </w:r>
            <w:r w:rsidR="008D5FD6">
              <w:rPr>
                <w:noProof/>
                <w:webHidden/>
              </w:rPr>
              <w:instrText xml:space="preserve"> PAGEREF _Toc138239817 \h </w:instrText>
            </w:r>
            <w:r w:rsidR="008D5FD6">
              <w:rPr>
                <w:noProof/>
                <w:webHidden/>
              </w:rPr>
            </w:r>
            <w:r w:rsidR="008D5FD6">
              <w:rPr>
                <w:noProof/>
                <w:webHidden/>
              </w:rPr>
              <w:fldChar w:fldCharType="separate"/>
            </w:r>
            <w:r w:rsidR="008D5FD6">
              <w:rPr>
                <w:noProof/>
                <w:webHidden/>
              </w:rPr>
              <w:t>100</w:t>
            </w:r>
            <w:r w:rsidR="008D5FD6">
              <w:rPr>
                <w:noProof/>
                <w:webHidden/>
              </w:rPr>
              <w:fldChar w:fldCharType="end"/>
            </w:r>
          </w:hyperlink>
        </w:p>
        <w:p w14:paraId="2D00F996" w14:textId="48CAB7CF" w:rsidR="008D5FD6" w:rsidRDefault="00F53395">
          <w:pPr>
            <w:pStyle w:val="TOC1"/>
            <w:tabs>
              <w:tab w:val="right" w:leader="dot" w:pos="7910"/>
            </w:tabs>
            <w:rPr>
              <w:rFonts w:eastAsiaTheme="minorEastAsia"/>
              <w:noProof/>
              <w:lang w:val="en-US"/>
            </w:rPr>
          </w:pPr>
          <w:hyperlink w:anchor="_Toc138239818" w:history="1">
            <w:r w:rsidR="008D5FD6" w:rsidRPr="00C5103D">
              <w:rPr>
                <w:rStyle w:val="Hyperlink"/>
                <w:rFonts w:asciiTheme="majorBidi" w:eastAsia="Times New Roman" w:hAnsiTheme="majorBidi"/>
                <w:noProof/>
              </w:rPr>
              <w:t>4.5 Confirmatory factor analysis</w:t>
            </w:r>
            <w:r w:rsidR="008D5FD6">
              <w:rPr>
                <w:noProof/>
                <w:webHidden/>
              </w:rPr>
              <w:tab/>
            </w:r>
            <w:r w:rsidR="008D5FD6">
              <w:rPr>
                <w:noProof/>
                <w:webHidden/>
              </w:rPr>
              <w:fldChar w:fldCharType="begin"/>
            </w:r>
            <w:r w:rsidR="008D5FD6">
              <w:rPr>
                <w:noProof/>
                <w:webHidden/>
              </w:rPr>
              <w:instrText xml:space="preserve"> PAGEREF _Toc138239818 \h </w:instrText>
            </w:r>
            <w:r w:rsidR="008D5FD6">
              <w:rPr>
                <w:noProof/>
                <w:webHidden/>
              </w:rPr>
            </w:r>
            <w:r w:rsidR="008D5FD6">
              <w:rPr>
                <w:noProof/>
                <w:webHidden/>
              </w:rPr>
              <w:fldChar w:fldCharType="separate"/>
            </w:r>
            <w:r w:rsidR="008D5FD6">
              <w:rPr>
                <w:noProof/>
                <w:webHidden/>
              </w:rPr>
              <w:t>107</w:t>
            </w:r>
            <w:r w:rsidR="008D5FD6">
              <w:rPr>
                <w:noProof/>
                <w:webHidden/>
              </w:rPr>
              <w:fldChar w:fldCharType="end"/>
            </w:r>
          </w:hyperlink>
        </w:p>
        <w:p w14:paraId="1973C5F6" w14:textId="42FA6077" w:rsidR="008D5FD6" w:rsidRDefault="00F53395">
          <w:pPr>
            <w:pStyle w:val="TOC1"/>
            <w:tabs>
              <w:tab w:val="right" w:leader="dot" w:pos="7910"/>
            </w:tabs>
            <w:rPr>
              <w:rFonts w:eastAsiaTheme="minorEastAsia"/>
              <w:noProof/>
              <w:lang w:val="en-US"/>
            </w:rPr>
          </w:pPr>
          <w:hyperlink w:anchor="_Toc138239819" w:history="1">
            <w:r w:rsidR="008D5FD6" w:rsidRPr="00C5103D">
              <w:rPr>
                <w:rStyle w:val="Hyperlink"/>
                <w:rFonts w:asciiTheme="majorBidi" w:eastAsia="Times New Roman" w:hAnsiTheme="majorBidi"/>
                <w:noProof/>
              </w:rPr>
              <w:t>4.6 Structural Equation Modelling (SEM)</w:t>
            </w:r>
            <w:r w:rsidR="008D5FD6">
              <w:rPr>
                <w:noProof/>
                <w:webHidden/>
              </w:rPr>
              <w:tab/>
            </w:r>
            <w:r w:rsidR="008D5FD6">
              <w:rPr>
                <w:noProof/>
                <w:webHidden/>
              </w:rPr>
              <w:fldChar w:fldCharType="begin"/>
            </w:r>
            <w:r w:rsidR="008D5FD6">
              <w:rPr>
                <w:noProof/>
                <w:webHidden/>
              </w:rPr>
              <w:instrText xml:space="preserve"> PAGEREF _Toc138239819 \h </w:instrText>
            </w:r>
            <w:r w:rsidR="008D5FD6">
              <w:rPr>
                <w:noProof/>
                <w:webHidden/>
              </w:rPr>
            </w:r>
            <w:r w:rsidR="008D5FD6">
              <w:rPr>
                <w:noProof/>
                <w:webHidden/>
              </w:rPr>
              <w:fldChar w:fldCharType="separate"/>
            </w:r>
            <w:r w:rsidR="008D5FD6">
              <w:rPr>
                <w:noProof/>
                <w:webHidden/>
              </w:rPr>
              <w:t>113</w:t>
            </w:r>
            <w:r w:rsidR="008D5FD6">
              <w:rPr>
                <w:noProof/>
                <w:webHidden/>
              </w:rPr>
              <w:fldChar w:fldCharType="end"/>
            </w:r>
          </w:hyperlink>
        </w:p>
        <w:p w14:paraId="097E3960" w14:textId="2775A792" w:rsidR="008D5FD6" w:rsidRDefault="00F53395">
          <w:pPr>
            <w:pStyle w:val="TOC1"/>
            <w:tabs>
              <w:tab w:val="right" w:leader="dot" w:pos="7910"/>
            </w:tabs>
            <w:rPr>
              <w:rFonts w:eastAsiaTheme="minorEastAsia"/>
              <w:noProof/>
              <w:lang w:val="en-US"/>
            </w:rPr>
          </w:pPr>
          <w:hyperlink w:anchor="_Toc138239820" w:history="1">
            <w:r w:rsidR="008D5FD6" w:rsidRPr="00C5103D">
              <w:rPr>
                <w:rStyle w:val="Hyperlink"/>
                <w:rFonts w:asciiTheme="majorBidi" w:hAnsiTheme="majorBidi"/>
                <w:noProof/>
                <w:lang w:eastAsia="en-GB" w:bidi="en-GB"/>
              </w:rPr>
              <w:t>CHAPTER – V: Observation, conclusion and recommendations</w:t>
            </w:r>
            <w:r w:rsidR="008D5FD6">
              <w:rPr>
                <w:noProof/>
                <w:webHidden/>
              </w:rPr>
              <w:tab/>
            </w:r>
            <w:r w:rsidR="008D5FD6">
              <w:rPr>
                <w:noProof/>
                <w:webHidden/>
              </w:rPr>
              <w:fldChar w:fldCharType="begin"/>
            </w:r>
            <w:r w:rsidR="008D5FD6">
              <w:rPr>
                <w:noProof/>
                <w:webHidden/>
              </w:rPr>
              <w:instrText xml:space="preserve"> PAGEREF _Toc138239820 \h </w:instrText>
            </w:r>
            <w:r w:rsidR="008D5FD6">
              <w:rPr>
                <w:noProof/>
                <w:webHidden/>
              </w:rPr>
            </w:r>
            <w:r w:rsidR="008D5FD6">
              <w:rPr>
                <w:noProof/>
                <w:webHidden/>
              </w:rPr>
              <w:fldChar w:fldCharType="separate"/>
            </w:r>
            <w:r w:rsidR="008D5FD6">
              <w:rPr>
                <w:noProof/>
                <w:webHidden/>
              </w:rPr>
              <w:t>117</w:t>
            </w:r>
            <w:r w:rsidR="008D5FD6">
              <w:rPr>
                <w:noProof/>
                <w:webHidden/>
              </w:rPr>
              <w:fldChar w:fldCharType="end"/>
            </w:r>
          </w:hyperlink>
        </w:p>
        <w:p w14:paraId="4A6BC488" w14:textId="3A71A869" w:rsidR="008D5FD6" w:rsidRDefault="00F53395">
          <w:pPr>
            <w:pStyle w:val="TOC1"/>
            <w:tabs>
              <w:tab w:val="right" w:leader="dot" w:pos="7910"/>
            </w:tabs>
            <w:rPr>
              <w:rFonts w:eastAsiaTheme="minorEastAsia"/>
              <w:noProof/>
              <w:lang w:val="en-US"/>
            </w:rPr>
          </w:pPr>
          <w:hyperlink w:anchor="_Toc138239821" w:history="1">
            <w:r w:rsidR="008D5FD6" w:rsidRPr="00C5103D">
              <w:rPr>
                <w:rStyle w:val="Hyperlink"/>
                <w:rFonts w:asciiTheme="majorBidi" w:eastAsia="Times New Roman" w:hAnsiTheme="majorBidi"/>
                <w:noProof/>
              </w:rPr>
              <w:t>5.1 Introduction</w:t>
            </w:r>
            <w:r w:rsidR="008D5FD6">
              <w:rPr>
                <w:noProof/>
                <w:webHidden/>
              </w:rPr>
              <w:tab/>
            </w:r>
            <w:r w:rsidR="008D5FD6">
              <w:rPr>
                <w:noProof/>
                <w:webHidden/>
              </w:rPr>
              <w:fldChar w:fldCharType="begin"/>
            </w:r>
            <w:r w:rsidR="008D5FD6">
              <w:rPr>
                <w:noProof/>
                <w:webHidden/>
              </w:rPr>
              <w:instrText xml:space="preserve"> PAGEREF _Toc138239821 \h </w:instrText>
            </w:r>
            <w:r w:rsidR="008D5FD6">
              <w:rPr>
                <w:noProof/>
                <w:webHidden/>
              </w:rPr>
            </w:r>
            <w:r w:rsidR="008D5FD6">
              <w:rPr>
                <w:noProof/>
                <w:webHidden/>
              </w:rPr>
              <w:fldChar w:fldCharType="separate"/>
            </w:r>
            <w:r w:rsidR="008D5FD6">
              <w:rPr>
                <w:noProof/>
                <w:webHidden/>
              </w:rPr>
              <w:t>117</w:t>
            </w:r>
            <w:r w:rsidR="008D5FD6">
              <w:rPr>
                <w:noProof/>
                <w:webHidden/>
              </w:rPr>
              <w:fldChar w:fldCharType="end"/>
            </w:r>
          </w:hyperlink>
        </w:p>
        <w:p w14:paraId="235F7923" w14:textId="7C4CA8B3" w:rsidR="008D5FD6" w:rsidRDefault="00F53395">
          <w:pPr>
            <w:pStyle w:val="TOC1"/>
            <w:tabs>
              <w:tab w:val="right" w:leader="dot" w:pos="7910"/>
            </w:tabs>
            <w:rPr>
              <w:rFonts w:eastAsiaTheme="minorEastAsia"/>
              <w:noProof/>
              <w:lang w:val="en-US"/>
            </w:rPr>
          </w:pPr>
          <w:hyperlink w:anchor="_Toc138239822" w:history="1">
            <w:r w:rsidR="008D5FD6" w:rsidRPr="00C5103D">
              <w:rPr>
                <w:rStyle w:val="Hyperlink"/>
                <w:rFonts w:asciiTheme="majorBidi" w:eastAsia="Times New Roman" w:hAnsiTheme="majorBidi"/>
                <w:noProof/>
              </w:rPr>
              <w:t>5.2 The relationship between school cost and school quality in private schools in Abu Dhabi</w:t>
            </w:r>
            <w:r w:rsidR="008D5FD6">
              <w:rPr>
                <w:noProof/>
                <w:webHidden/>
              </w:rPr>
              <w:tab/>
            </w:r>
            <w:r w:rsidR="008D5FD6">
              <w:rPr>
                <w:noProof/>
                <w:webHidden/>
              </w:rPr>
              <w:fldChar w:fldCharType="begin"/>
            </w:r>
            <w:r w:rsidR="008D5FD6">
              <w:rPr>
                <w:noProof/>
                <w:webHidden/>
              </w:rPr>
              <w:instrText xml:space="preserve"> PAGEREF _Toc138239822 \h </w:instrText>
            </w:r>
            <w:r w:rsidR="008D5FD6">
              <w:rPr>
                <w:noProof/>
                <w:webHidden/>
              </w:rPr>
            </w:r>
            <w:r w:rsidR="008D5FD6">
              <w:rPr>
                <w:noProof/>
                <w:webHidden/>
              </w:rPr>
              <w:fldChar w:fldCharType="separate"/>
            </w:r>
            <w:r w:rsidR="008D5FD6">
              <w:rPr>
                <w:noProof/>
                <w:webHidden/>
              </w:rPr>
              <w:t>117</w:t>
            </w:r>
            <w:r w:rsidR="008D5FD6">
              <w:rPr>
                <w:noProof/>
                <w:webHidden/>
              </w:rPr>
              <w:fldChar w:fldCharType="end"/>
            </w:r>
          </w:hyperlink>
        </w:p>
        <w:p w14:paraId="20B7047D" w14:textId="3A154FFB" w:rsidR="008D5FD6" w:rsidRDefault="00F53395">
          <w:pPr>
            <w:pStyle w:val="TOC1"/>
            <w:tabs>
              <w:tab w:val="left" w:pos="660"/>
              <w:tab w:val="right" w:leader="dot" w:pos="7910"/>
            </w:tabs>
            <w:rPr>
              <w:rFonts w:eastAsiaTheme="minorEastAsia"/>
              <w:noProof/>
              <w:lang w:val="en-US"/>
            </w:rPr>
          </w:pPr>
          <w:hyperlink w:anchor="_Toc138239823" w:history="1">
            <w:r w:rsidR="008D5FD6" w:rsidRPr="00C5103D">
              <w:rPr>
                <w:rStyle w:val="Hyperlink"/>
                <w:rFonts w:asciiTheme="majorBidi" w:eastAsia="Times New Roman" w:hAnsiTheme="majorBidi"/>
                <w:noProof/>
              </w:rPr>
              <w:t>5.3</w:t>
            </w:r>
            <w:r w:rsidR="008D5FD6">
              <w:rPr>
                <w:rFonts w:eastAsiaTheme="minorEastAsia"/>
                <w:noProof/>
                <w:lang w:val="en-US"/>
              </w:rPr>
              <w:tab/>
            </w:r>
            <w:r w:rsidR="008D5FD6" w:rsidRPr="00C5103D">
              <w:rPr>
                <w:rStyle w:val="Hyperlink"/>
                <w:rFonts w:asciiTheme="majorBidi" w:eastAsia="Times New Roman" w:hAnsiTheme="majorBidi"/>
                <w:noProof/>
              </w:rPr>
              <w:t>The relationship between school cost and student achievement in private schools in Abu Dhabi</w:t>
            </w:r>
            <w:r w:rsidR="008D5FD6">
              <w:rPr>
                <w:noProof/>
                <w:webHidden/>
              </w:rPr>
              <w:tab/>
            </w:r>
            <w:r w:rsidR="008D5FD6">
              <w:rPr>
                <w:noProof/>
                <w:webHidden/>
              </w:rPr>
              <w:fldChar w:fldCharType="begin"/>
            </w:r>
            <w:r w:rsidR="008D5FD6">
              <w:rPr>
                <w:noProof/>
                <w:webHidden/>
              </w:rPr>
              <w:instrText xml:space="preserve"> PAGEREF _Toc138239823 \h </w:instrText>
            </w:r>
            <w:r w:rsidR="008D5FD6">
              <w:rPr>
                <w:noProof/>
                <w:webHidden/>
              </w:rPr>
            </w:r>
            <w:r w:rsidR="008D5FD6">
              <w:rPr>
                <w:noProof/>
                <w:webHidden/>
              </w:rPr>
              <w:fldChar w:fldCharType="separate"/>
            </w:r>
            <w:r w:rsidR="008D5FD6">
              <w:rPr>
                <w:noProof/>
                <w:webHidden/>
              </w:rPr>
              <w:t>118</w:t>
            </w:r>
            <w:r w:rsidR="008D5FD6">
              <w:rPr>
                <w:noProof/>
                <w:webHidden/>
              </w:rPr>
              <w:fldChar w:fldCharType="end"/>
            </w:r>
          </w:hyperlink>
        </w:p>
        <w:p w14:paraId="283401E8" w14:textId="37E51A8E" w:rsidR="008D5FD6" w:rsidRDefault="00F53395">
          <w:pPr>
            <w:pStyle w:val="TOC1"/>
            <w:tabs>
              <w:tab w:val="left" w:pos="660"/>
              <w:tab w:val="right" w:leader="dot" w:pos="7910"/>
            </w:tabs>
            <w:rPr>
              <w:rFonts w:eastAsiaTheme="minorEastAsia"/>
              <w:noProof/>
              <w:lang w:val="en-US"/>
            </w:rPr>
          </w:pPr>
          <w:hyperlink w:anchor="_Toc138239824" w:history="1">
            <w:r w:rsidR="008D5FD6" w:rsidRPr="00C5103D">
              <w:rPr>
                <w:rStyle w:val="Hyperlink"/>
                <w:rFonts w:asciiTheme="majorBidi" w:eastAsia="Times New Roman" w:hAnsiTheme="majorBidi"/>
                <w:noProof/>
              </w:rPr>
              <w:t>5.4</w:t>
            </w:r>
            <w:r w:rsidR="008D5FD6">
              <w:rPr>
                <w:rFonts w:eastAsiaTheme="minorEastAsia"/>
                <w:noProof/>
                <w:lang w:val="en-US"/>
              </w:rPr>
              <w:tab/>
            </w:r>
            <w:r w:rsidR="008D5FD6" w:rsidRPr="00C5103D">
              <w:rPr>
                <w:rStyle w:val="Hyperlink"/>
                <w:rFonts w:asciiTheme="majorBidi" w:eastAsia="Times New Roman" w:hAnsiTheme="majorBidi"/>
                <w:noProof/>
              </w:rPr>
              <w:t>The relationship between school quality and students’ achievements in private schools in Abu Dhabi</w:t>
            </w:r>
            <w:r w:rsidR="008D5FD6">
              <w:rPr>
                <w:noProof/>
                <w:webHidden/>
              </w:rPr>
              <w:tab/>
            </w:r>
            <w:r w:rsidR="008D5FD6">
              <w:rPr>
                <w:noProof/>
                <w:webHidden/>
              </w:rPr>
              <w:fldChar w:fldCharType="begin"/>
            </w:r>
            <w:r w:rsidR="008D5FD6">
              <w:rPr>
                <w:noProof/>
                <w:webHidden/>
              </w:rPr>
              <w:instrText xml:space="preserve"> PAGEREF _Toc138239824 \h </w:instrText>
            </w:r>
            <w:r w:rsidR="008D5FD6">
              <w:rPr>
                <w:noProof/>
                <w:webHidden/>
              </w:rPr>
            </w:r>
            <w:r w:rsidR="008D5FD6">
              <w:rPr>
                <w:noProof/>
                <w:webHidden/>
              </w:rPr>
              <w:fldChar w:fldCharType="separate"/>
            </w:r>
            <w:r w:rsidR="008D5FD6">
              <w:rPr>
                <w:noProof/>
                <w:webHidden/>
              </w:rPr>
              <w:t>120</w:t>
            </w:r>
            <w:r w:rsidR="008D5FD6">
              <w:rPr>
                <w:noProof/>
                <w:webHidden/>
              </w:rPr>
              <w:fldChar w:fldCharType="end"/>
            </w:r>
          </w:hyperlink>
        </w:p>
        <w:p w14:paraId="6E39FA98" w14:textId="5A8BF44A" w:rsidR="008D5FD6" w:rsidRDefault="00F53395">
          <w:pPr>
            <w:pStyle w:val="TOC1"/>
            <w:tabs>
              <w:tab w:val="left" w:pos="660"/>
              <w:tab w:val="right" w:leader="dot" w:pos="7910"/>
            </w:tabs>
            <w:rPr>
              <w:rFonts w:eastAsiaTheme="minorEastAsia"/>
              <w:noProof/>
              <w:lang w:val="en-US"/>
            </w:rPr>
          </w:pPr>
          <w:hyperlink w:anchor="_Toc138239825" w:history="1">
            <w:r w:rsidR="008D5FD6" w:rsidRPr="00C5103D">
              <w:rPr>
                <w:rStyle w:val="Hyperlink"/>
                <w:rFonts w:asciiTheme="majorBidi" w:eastAsia="Times New Roman" w:hAnsiTheme="majorBidi"/>
                <w:noProof/>
              </w:rPr>
              <w:t>5.5</w:t>
            </w:r>
            <w:r w:rsidR="008D5FD6">
              <w:rPr>
                <w:rFonts w:eastAsiaTheme="minorEastAsia"/>
                <w:noProof/>
                <w:lang w:val="en-US"/>
              </w:rPr>
              <w:tab/>
            </w:r>
            <w:r w:rsidR="008D5FD6" w:rsidRPr="00C5103D">
              <w:rPr>
                <w:rStyle w:val="Hyperlink"/>
                <w:rFonts w:asciiTheme="majorBidi" w:eastAsia="Times New Roman" w:hAnsiTheme="majorBidi"/>
                <w:noProof/>
              </w:rPr>
              <w:t>School Quality Mediates the Relationship between School cost and students’ Achievement in private schools in Abu Dhabi.</w:t>
            </w:r>
            <w:r w:rsidR="008D5FD6">
              <w:rPr>
                <w:noProof/>
                <w:webHidden/>
              </w:rPr>
              <w:tab/>
            </w:r>
            <w:r w:rsidR="008D5FD6">
              <w:rPr>
                <w:noProof/>
                <w:webHidden/>
              </w:rPr>
              <w:fldChar w:fldCharType="begin"/>
            </w:r>
            <w:r w:rsidR="008D5FD6">
              <w:rPr>
                <w:noProof/>
                <w:webHidden/>
              </w:rPr>
              <w:instrText xml:space="preserve"> PAGEREF _Toc138239825 \h </w:instrText>
            </w:r>
            <w:r w:rsidR="008D5FD6">
              <w:rPr>
                <w:noProof/>
                <w:webHidden/>
              </w:rPr>
            </w:r>
            <w:r w:rsidR="008D5FD6">
              <w:rPr>
                <w:noProof/>
                <w:webHidden/>
              </w:rPr>
              <w:fldChar w:fldCharType="separate"/>
            </w:r>
            <w:r w:rsidR="008D5FD6">
              <w:rPr>
                <w:noProof/>
                <w:webHidden/>
              </w:rPr>
              <w:t>121</w:t>
            </w:r>
            <w:r w:rsidR="008D5FD6">
              <w:rPr>
                <w:noProof/>
                <w:webHidden/>
              </w:rPr>
              <w:fldChar w:fldCharType="end"/>
            </w:r>
          </w:hyperlink>
        </w:p>
        <w:p w14:paraId="414F86D7" w14:textId="7CCB6692" w:rsidR="008D5FD6" w:rsidRDefault="00F53395">
          <w:pPr>
            <w:pStyle w:val="TOC1"/>
            <w:tabs>
              <w:tab w:val="left" w:pos="660"/>
              <w:tab w:val="right" w:leader="dot" w:pos="7910"/>
            </w:tabs>
            <w:rPr>
              <w:rFonts w:eastAsiaTheme="minorEastAsia"/>
              <w:noProof/>
              <w:lang w:val="en-US"/>
            </w:rPr>
          </w:pPr>
          <w:hyperlink w:anchor="_Toc138239826" w:history="1">
            <w:r w:rsidR="008D5FD6" w:rsidRPr="00C5103D">
              <w:rPr>
                <w:rStyle w:val="Hyperlink"/>
                <w:rFonts w:asciiTheme="majorBidi" w:eastAsia="Times New Roman" w:hAnsiTheme="majorBidi"/>
                <w:noProof/>
              </w:rPr>
              <w:t>5.6</w:t>
            </w:r>
            <w:r w:rsidR="008D5FD6">
              <w:rPr>
                <w:rFonts w:eastAsiaTheme="minorEastAsia"/>
                <w:noProof/>
                <w:lang w:val="en-US"/>
              </w:rPr>
              <w:tab/>
            </w:r>
            <w:r w:rsidR="008D5FD6" w:rsidRPr="00C5103D">
              <w:rPr>
                <w:rStyle w:val="Hyperlink"/>
                <w:rFonts w:asciiTheme="majorBidi" w:eastAsia="Times New Roman" w:hAnsiTheme="majorBidi"/>
                <w:noProof/>
              </w:rPr>
              <w:t>Parents’ income moderates the relationship between school cost and students’ achievement in private schools in Abu Dhabi</w:t>
            </w:r>
            <w:r w:rsidR="008D5FD6">
              <w:rPr>
                <w:noProof/>
                <w:webHidden/>
              </w:rPr>
              <w:tab/>
            </w:r>
            <w:r w:rsidR="008D5FD6">
              <w:rPr>
                <w:noProof/>
                <w:webHidden/>
              </w:rPr>
              <w:fldChar w:fldCharType="begin"/>
            </w:r>
            <w:r w:rsidR="008D5FD6">
              <w:rPr>
                <w:noProof/>
                <w:webHidden/>
              </w:rPr>
              <w:instrText xml:space="preserve"> PAGEREF _Toc138239826 \h </w:instrText>
            </w:r>
            <w:r w:rsidR="008D5FD6">
              <w:rPr>
                <w:noProof/>
                <w:webHidden/>
              </w:rPr>
            </w:r>
            <w:r w:rsidR="008D5FD6">
              <w:rPr>
                <w:noProof/>
                <w:webHidden/>
              </w:rPr>
              <w:fldChar w:fldCharType="separate"/>
            </w:r>
            <w:r w:rsidR="008D5FD6">
              <w:rPr>
                <w:noProof/>
                <w:webHidden/>
              </w:rPr>
              <w:t>122</w:t>
            </w:r>
            <w:r w:rsidR="008D5FD6">
              <w:rPr>
                <w:noProof/>
                <w:webHidden/>
              </w:rPr>
              <w:fldChar w:fldCharType="end"/>
            </w:r>
          </w:hyperlink>
        </w:p>
        <w:p w14:paraId="22F4B60E" w14:textId="4371B13E" w:rsidR="008D5FD6" w:rsidRDefault="00F53395">
          <w:pPr>
            <w:pStyle w:val="TOC1"/>
            <w:tabs>
              <w:tab w:val="left" w:pos="660"/>
              <w:tab w:val="right" w:leader="dot" w:pos="7910"/>
            </w:tabs>
            <w:rPr>
              <w:rFonts w:eastAsiaTheme="minorEastAsia"/>
              <w:noProof/>
              <w:lang w:val="en-US"/>
            </w:rPr>
          </w:pPr>
          <w:hyperlink w:anchor="_Toc138239827" w:history="1">
            <w:r w:rsidR="008D5FD6" w:rsidRPr="00C5103D">
              <w:rPr>
                <w:rStyle w:val="Hyperlink"/>
                <w:rFonts w:asciiTheme="majorBidi" w:eastAsia="Times New Roman" w:hAnsiTheme="majorBidi"/>
                <w:noProof/>
              </w:rPr>
              <w:t>5.7</w:t>
            </w:r>
            <w:r w:rsidR="008D5FD6">
              <w:rPr>
                <w:rFonts w:eastAsiaTheme="minorEastAsia"/>
                <w:noProof/>
                <w:lang w:val="en-US"/>
              </w:rPr>
              <w:tab/>
            </w:r>
            <w:r w:rsidR="008D5FD6" w:rsidRPr="00C5103D">
              <w:rPr>
                <w:rStyle w:val="Hyperlink"/>
                <w:rFonts w:asciiTheme="majorBidi" w:eastAsia="Times New Roman" w:hAnsiTheme="majorBidi"/>
                <w:noProof/>
              </w:rPr>
              <w:t>Parents’ Education moderates the relationship between school quality and students’ achievement in private schools in Abu Dhabi.</w:t>
            </w:r>
            <w:r w:rsidR="008D5FD6">
              <w:rPr>
                <w:noProof/>
                <w:webHidden/>
              </w:rPr>
              <w:tab/>
            </w:r>
            <w:r w:rsidR="008D5FD6">
              <w:rPr>
                <w:noProof/>
                <w:webHidden/>
              </w:rPr>
              <w:fldChar w:fldCharType="begin"/>
            </w:r>
            <w:r w:rsidR="008D5FD6">
              <w:rPr>
                <w:noProof/>
                <w:webHidden/>
              </w:rPr>
              <w:instrText xml:space="preserve"> PAGEREF _Toc138239827 \h </w:instrText>
            </w:r>
            <w:r w:rsidR="008D5FD6">
              <w:rPr>
                <w:noProof/>
                <w:webHidden/>
              </w:rPr>
            </w:r>
            <w:r w:rsidR="008D5FD6">
              <w:rPr>
                <w:noProof/>
                <w:webHidden/>
              </w:rPr>
              <w:fldChar w:fldCharType="separate"/>
            </w:r>
            <w:r w:rsidR="008D5FD6">
              <w:rPr>
                <w:noProof/>
                <w:webHidden/>
              </w:rPr>
              <w:t>124</w:t>
            </w:r>
            <w:r w:rsidR="008D5FD6">
              <w:rPr>
                <w:noProof/>
                <w:webHidden/>
              </w:rPr>
              <w:fldChar w:fldCharType="end"/>
            </w:r>
          </w:hyperlink>
        </w:p>
        <w:p w14:paraId="20F909A9" w14:textId="2B8BB93C" w:rsidR="008D5FD6" w:rsidRDefault="00F53395">
          <w:pPr>
            <w:pStyle w:val="TOC1"/>
            <w:tabs>
              <w:tab w:val="right" w:leader="dot" w:pos="7910"/>
            </w:tabs>
            <w:rPr>
              <w:rFonts w:eastAsiaTheme="minorEastAsia"/>
              <w:noProof/>
              <w:lang w:val="en-US"/>
            </w:rPr>
          </w:pPr>
          <w:hyperlink w:anchor="_Toc138239828" w:history="1">
            <w:r w:rsidR="008D5FD6" w:rsidRPr="00C5103D">
              <w:rPr>
                <w:rStyle w:val="Hyperlink"/>
                <w:rFonts w:asciiTheme="majorBidi" w:eastAsia="Times New Roman" w:hAnsiTheme="majorBidi"/>
                <w:noProof/>
              </w:rPr>
              <w:t>5.8 Conclusion</w:t>
            </w:r>
            <w:r w:rsidR="008D5FD6">
              <w:rPr>
                <w:noProof/>
                <w:webHidden/>
              </w:rPr>
              <w:tab/>
            </w:r>
            <w:r w:rsidR="008D5FD6">
              <w:rPr>
                <w:noProof/>
                <w:webHidden/>
              </w:rPr>
              <w:fldChar w:fldCharType="begin"/>
            </w:r>
            <w:r w:rsidR="008D5FD6">
              <w:rPr>
                <w:noProof/>
                <w:webHidden/>
              </w:rPr>
              <w:instrText xml:space="preserve"> PAGEREF _Toc138239828 \h </w:instrText>
            </w:r>
            <w:r w:rsidR="008D5FD6">
              <w:rPr>
                <w:noProof/>
                <w:webHidden/>
              </w:rPr>
            </w:r>
            <w:r w:rsidR="008D5FD6">
              <w:rPr>
                <w:noProof/>
                <w:webHidden/>
              </w:rPr>
              <w:fldChar w:fldCharType="separate"/>
            </w:r>
            <w:r w:rsidR="008D5FD6">
              <w:rPr>
                <w:noProof/>
                <w:webHidden/>
              </w:rPr>
              <w:t>126</w:t>
            </w:r>
            <w:r w:rsidR="008D5FD6">
              <w:rPr>
                <w:noProof/>
                <w:webHidden/>
              </w:rPr>
              <w:fldChar w:fldCharType="end"/>
            </w:r>
          </w:hyperlink>
        </w:p>
        <w:p w14:paraId="0CF45251" w14:textId="369E2FDF" w:rsidR="008D5FD6" w:rsidRDefault="00F53395">
          <w:pPr>
            <w:pStyle w:val="TOC1"/>
            <w:tabs>
              <w:tab w:val="right" w:leader="dot" w:pos="7910"/>
            </w:tabs>
            <w:rPr>
              <w:rFonts w:eastAsiaTheme="minorEastAsia"/>
              <w:noProof/>
              <w:lang w:val="en-US"/>
            </w:rPr>
          </w:pPr>
          <w:hyperlink w:anchor="_Toc138239829" w:history="1">
            <w:r w:rsidR="008D5FD6" w:rsidRPr="00C5103D">
              <w:rPr>
                <w:rStyle w:val="Hyperlink"/>
                <w:rFonts w:asciiTheme="majorBidi" w:eastAsia="Times New Roman" w:hAnsiTheme="majorBidi"/>
                <w:noProof/>
              </w:rPr>
              <w:t>5.9 Recommendations</w:t>
            </w:r>
            <w:r w:rsidR="008D5FD6">
              <w:rPr>
                <w:noProof/>
                <w:webHidden/>
              </w:rPr>
              <w:tab/>
            </w:r>
            <w:r w:rsidR="008D5FD6">
              <w:rPr>
                <w:noProof/>
                <w:webHidden/>
              </w:rPr>
              <w:fldChar w:fldCharType="begin"/>
            </w:r>
            <w:r w:rsidR="008D5FD6">
              <w:rPr>
                <w:noProof/>
                <w:webHidden/>
              </w:rPr>
              <w:instrText xml:space="preserve"> PAGEREF _Toc138239829 \h </w:instrText>
            </w:r>
            <w:r w:rsidR="008D5FD6">
              <w:rPr>
                <w:noProof/>
                <w:webHidden/>
              </w:rPr>
            </w:r>
            <w:r w:rsidR="008D5FD6">
              <w:rPr>
                <w:noProof/>
                <w:webHidden/>
              </w:rPr>
              <w:fldChar w:fldCharType="separate"/>
            </w:r>
            <w:r w:rsidR="008D5FD6">
              <w:rPr>
                <w:noProof/>
                <w:webHidden/>
              </w:rPr>
              <w:t>128</w:t>
            </w:r>
            <w:r w:rsidR="008D5FD6">
              <w:rPr>
                <w:noProof/>
                <w:webHidden/>
              </w:rPr>
              <w:fldChar w:fldCharType="end"/>
            </w:r>
          </w:hyperlink>
        </w:p>
        <w:p w14:paraId="1406B091" w14:textId="119BDA4C" w:rsidR="008D5FD6" w:rsidRDefault="00F53395">
          <w:pPr>
            <w:pStyle w:val="TOC1"/>
            <w:tabs>
              <w:tab w:val="right" w:leader="dot" w:pos="7910"/>
            </w:tabs>
            <w:rPr>
              <w:rFonts w:eastAsiaTheme="minorEastAsia"/>
              <w:noProof/>
              <w:lang w:val="en-US"/>
            </w:rPr>
          </w:pPr>
          <w:hyperlink w:anchor="_Toc138239830" w:history="1">
            <w:r w:rsidR="008D5FD6" w:rsidRPr="00C5103D">
              <w:rPr>
                <w:rStyle w:val="Hyperlink"/>
                <w:rFonts w:asciiTheme="majorBidi" w:hAnsiTheme="majorBidi"/>
                <w:noProof/>
              </w:rPr>
              <w:t>Reference</w:t>
            </w:r>
            <w:r w:rsidR="008D5FD6">
              <w:rPr>
                <w:noProof/>
                <w:webHidden/>
              </w:rPr>
              <w:tab/>
            </w:r>
            <w:r w:rsidR="008D5FD6">
              <w:rPr>
                <w:noProof/>
                <w:webHidden/>
              </w:rPr>
              <w:fldChar w:fldCharType="begin"/>
            </w:r>
            <w:r w:rsidR="008D5FD6">
              <w:rPr>
                <w:noProof/>
                <w:webHidden/>
              </w:rPr>
              <w:instrText xml:space="preserve"> PAGEREF _Toc138239830 \h </w:instrText>
            </w:r>
            <w:r w:rsidR="008D5FD6">
              <w:rPr>
                <w:noProof/>
                <w:webHidden/>
              </w:rPr>
            </w:r>
            <w:r w:rsidR="008D5FD6">
              <w:rPr>
                <w:noProof/>
                <w:webHidden/>
              </w:rPr>
              <w:fldChar w:fldCharType="separate"/>
            </w:r>
            <w:r w:rsidR="008D5FD6">
              <w:rPr>
                <w:noProof/>
                <w:webHidden/>
              </w:rPr>
              <w:t>133</w:t>
            </w:r>
            <w:r w:rsidR="008D5FD6">
              <w:rPr>
                <w:noProof/>
                <w:webHidden/>
              </w:rPr>
              <w:fldChar w:fldCharType="end"/>
            </w:r>
          </w:hyperlink>
        </w:p>
        <w:p w14:paraId="5FB0548F" w14:textId="6E6AC2F6" w:rsidR="008D5FD6" w:rsidRDefault="00F53395">
          <w:pPr>
            <w:pStyle w:val="TOC1"/>
            <w:tabs>
              <w:tab w:val="right" w:leader="dot" w:pos="7910"/>
            </w:tabs>
            <w:rPr>
              <w:rFonts w:eastAsiaTheme="minorEastAsia"/>
              <w:noProof/>
              <w:lang w:val="en-US"/>
            </w:rPr>
          </w:pPr>
          <w:hyperlink w:anchor="_Toc138239831" w:history="1">
            <w:r w:rsidR="008D5FD6" w:rsidRPr="00C5103D">
              <w:rPr>
                <w:rStyle w:val="Hyperlink"/>
                <w:rFonts w:asciiTheme="majorBidi" w:hAnsiTheme="majorBidi"/>
                <w:noProof/>
              </w:rPr>
              <w:t>IRB Form</w:t>
            </w:r>
            <w:r w:rsidR="008D5FD6">
              <w:rPr>
                <w:noProof/>
                <w:webHidden/>
              </w:rPr>
              <w:tab/>
            </w:r>
            <w:r w:rsidR="008D5FD6">
              <w:rPr>
                <w:noProof/>
                <w:webHidden/>
              </w:rPr>
              <w:fldChar w:fldCharType="begin"/>
            </w:r>
            <w:r w:rsidR="008D5FD6">
              <w:rPr>
                <w:noProof/>
                <w:webHidden/>
              </w:rPr>
              <w:instrText xml:space="preserve"> PAGEREF _Toc138239831 \h </w:instrText>
            </w:r>
            <w:r w:rsidR="008D5FD6">
              <w:rPr>
                <w:noProof/>
                <w:webHidden/>
              </w:rPr>
            </w:r>
            <w:r w:rsidR="008D5FD6">
              <w:rPr>
                <w:noProof/>
                <w:webHidden/>
              </w:rPr>
              <w:fldChar w:fldCharType="separate"/>
            </w:r>
            <w:r w:rsidR="008D5FD6">
              <w:rPr>
                <w:noProof/>
                <w:webHidden/>
              </w:rPr>
              <w:t>179</w:t>
            </w:r>
            <w:r w:rsidR="008D5FD6">
              <w:rPr>
                <w:noProof/>
                <w:webHidden/>
              </w:rPr>
              <w:fldChar w:fldCharType="end"/>
            </w:r>
          </w:hyperlink>
        </w:p>
        <w:p w14:paraId="1824C0F4" w14:textId="3E631493" w:rsidR="00B106BF" w:rsidRDefault="00B106BF" w:rsidP="00B106BF">
          <w:pPr>
            <w:pStyle w:val="TOC1"/>
            <w:tabs>
              <w:tab w:val="right" w:leader="dot" w:pos="9016"/>
            </w:tabs>
            <w:spacing w:line="360" w:lineRule="auto"/>
            <w:jc w:val="both"/>
          </w:pPr>
          <w:r w:rsidRPr="00601718">
            <w:rPr>
              <w:rFonts w:asciiTheme="majorBidi" w:hAnsiTheme="majorBidi" w:cstheme="majorBidi"/>
              <w:b/>
              <w:bCs/>
              <w:noProof/>
              <w:sz w:val="24"/>
              <w:szCs w:val="24"/>
            </w:rPr>
            <w:fldChar w:fldCharType="end"/>
          </w:r>
        </w:p>
      </w:sdtContent>
    </w:sdt>
    <w:p w14:paraId="550B04B7" w14:textId="77777777" w:rsidR="00B106BF" w:rsidRDefault="00B106BF" w:rsidP="00B106BF">
      <w:pPr>
        <w:rPr>
          <w:rFonts w:asciiTheme="majorBidi" w:hAnsiTheme="majorBidi" w:cstheme="majorBidi"/>
          <w:sz w:val="24"/>
          <w:szCs w:val="24"/>
          <w:lang w:val="en-US"/>
        </w:rPr>
      </w:pPr>
    </w:p>
    <w:p w14:paraId="22C0C38A" w14:textId="77777777" w:rsidR="00B106BF" w:rsidRDefault="00B106BF" w:rsidP="00B106BF">
      <w:pPr>
        <w:rPr>
          <w:rFonts w:asciiTheme="majorBidi" w:hAnsiTheme="majorBidi" w:cstheme="majorBidi"/>
          <w:sz w:val="24"/>
          <w:szCs w:val="24"/>
          <w:lang w:val="en-US"/>
        </w:rPr>
      </w:pPr>
    </w:p>
    <w:p w14:paraId="581A3D8D" w14:textId="77777777" w:rsidR="00B106BF" w:rsidRDefault="00B106BF" w:rsidP="00B106BF">
      <w:pPr>
        <w:rPr>
          <w:rFonts w:asciiTheme="majorBidi" w:hAnsiTheme="majorBidi" w:cstheme="majorBidi"/>
          <w:sz w:val="24"/>
          <w:szCs w:val="24"/>
          <w:lang w:val="en-US"/>
        </w:rPr>
      </w:pPr>
    </w:p>
    <w:p w14:paraId="01B841D0" w14:textId="77777777" w:rsidR="00B106BF" w:rsidRDefault="00B106BF" w:rsidP="00B106BF">
      <w:pPr>
        <w:rPr>
          <w:rFonts w:asciiTheme="majorBidi" w:hAnsiTheme="majorBidi" w:cstheme="majorBidi"/>
          <w:sz w:val="24"/>
          <w:szCs w:val="24"/>
          <w:lang w:val="en-US"/>
        </w:rPr>
      </w:pPr>
    </w:p>
    <w:p w14:paraId="14C17825" w14:textId="77777777" w:rsidR="00B106BF" w:rsidRDefault="00B106BF" w:rsidP="00B106BF">
      <w:pPr>
        <w:rPr>
          <w:rFonts w:asciiTheme="majorBidi" w:hAnsiTheme="majorBidi" w:cstheme="majorBidi"/>
          <w:sz w:val="24"/>
          <w:szCs w:val="24"/>
          <w:lang w:val="en-US"/>
        </w:rPr>
      </w:pPr>
    </w:p>
    <w:p w14:paraId="5D2AE408" w14:textId="77777777" w:rsidR="00B106BF" w:rsidRDefault="00B106BF" w:rsidP="00B106BF">
      <w:pPr>
        <w:rPr>
          <w:rFonts w:asciiTheme="majorBidi" w:hAnsiTheme="majorBidi" w:cstheme="majorBidi"/>
          <w:sz w:val="24"/>
          <w:szCs w:val="24"/>
          <w:lang w:val="en-US"/>
        </w:rPr>
      </w:pPr>
    </w:p>
    <w:p w14:paraId="517AE76A" w14:textId="77777777" w:rsidR="00B106BF" w:rsidRDefault="00B106BF" w:rsidP="00B106BF">
      <w:pPr>
        <w:rPr>
          <w:rFonts w:asciiTheme="majorBidi" w:hAnsiTheme="majorBidi" w:cstheme="majorBidi"/>
          <w:sz w:val="24"/>
          <w:szCs w:val="24"/>
          <w:lang w:val="en-US"/>
        </w:rPr>
      </w:pPr>
    </w:p>
    <w:p w14:paraId="730CA58C" w14:textId="77777777" w:rsidR="00B106BF" w:rsidRDefault="00B106BF" w:rsidP="00B106BF">
      <w:pPr>
        <w:rPr>
          <w:rFonts w:asciiTheme="majorBidi" w:hAnsiTheme="majorBidi" w:cstheme="majorBidi"/>
          <w:sz w:val="24"/>
          <w:szCs w:val="24"/>
          <w:lang w:val="en-US"/>
        </w:rPr>
      </w:pPr>
    </w:p>
    <w:p w14:paraId="4737D61C" w14:textId="77777777" w:rsidR="001768EC" w:rsidRDefault="001768EC" w:rsidP="00B106BF">
      <w:pPr>
        <w:rPr>
          <w:rFonts w:asciiTheme="majorBidi" w:hAnsiTheme="majorBidi" w:cstheme="majorBidi"/>
          <w:sz w:val="24"/>
          <w:szCs w:val="24"/>
          <w:lang w:val="en-US"/>
        </w:rPr>
      </w:pPr>
    </w:p>
    <w:p w14:paraId="441DB987" w14:textId="77777777" w:rsidR="001768EC" w:rsidRDefault="001768EC" w:rsidP="00B106BF">
      <w:pPr>
        <w:rPr>
          <w:rFonts w:asciiTheme="majorBidi" w:hAnsiTheme="majorBidi" w:cstheme="majorBidi"/>
          <w:sz w:val="24"/>
          <w:szCs w:val="24"/>
          <w:lang w:val="en-US"/>
        </w:rPr>
      </w:pPr>
    </w:p>
    <w:p w14:paraId="43634337" w14:textId="77777777" w:rsidR="001768EC" w:rsidRDefault="001768EC" w:rsidP="00B106BF">
      <w:pPr>
        <w:rPr>
          <w:rFonts w:asciiTheme="majorBidi" w:hAnsiTheme="majorBidi" w:cstheme="majorBidi"/>
          <w:sz w:val="24"/>
          <w:szCs w:val="24"/>
          <w:lang w:val="en-US"/>
        </w:rPr>
      </w:pPr>
    </w:p>
    <w:p w14:paraId="52166048" w14:textId="77777777" w:rsidR="001C03EB" w:rsidRDefault="001C03EB" w:rsidP="00B106BF">
      <w:pPr>
        <w:rPr>
          <w:rFonts w:asciiTheme="majorBidi" w:hAnsiTheme="majorBidi" w:cstheme="majorBidi"/>
          <w:sz w:val="24"/>
          <w:szCs w:val="24"/>
          <w:lang w:val="en-US"/>
        </w:rPr>
      </w:pPr>
    </w:p>
    <w:p w14:paraId="3F78990D" w14:textId="77777777" w:rsidR="001768EC" w:rsidRDefault="001768EC" w:rsidP="00B106BF">
      <w:pPr>
        <w:rPr>
          <w:rFonts w:asciiTheme="majorBidi" w:hAnsiTheme="majorBidi" w:cstheme="majorBidi"/>
          <w:sz w:val="24"/>
          <w:szCs w:val="24"/>
          <w:lang w:val="en-US"/>
        </w:rPr>
      </w:pPr>
    </w:p>
    <w:p w14:paraId="3727CA27" w14:textId="77777777" w:rsidR="00267FFC" w:rsidRDefault="00267FFC" w:rsidP="00B106BF">
      <w:pPr>
        <w:rPr>
          <w:rFonts w:asciiTheme="majorBidi" w:hAnsiTheme="majorBidi" w:cstheme="majorBidi"/>
          <w:sz w:val="24"/>
          <w:szCs w:val="24"/>
          <w:lang w:val="en-US"/>
        </w:rPr>
      </w:pPr>
    </w:p>
    <w:p w14:paraId="27AEB895" w14:textId="77777777" w:rsidR="00267FFC" w:rsidRDefault="00267FFC" w:rsidP="00B106BF">
      <w:pPr>
        <w:rPr>
          <w:rFonts w:asciiTheme="majorBidi" w:hAnsiTheme="majorBidi" w:cstheme="majorBidi"/>
          <w:sz w:val="24"/>
          <w:szCs w:val="24"/>
          <w:lang w:val="en-US"/>
        </w:rPr>
      </w:pPr>
    </w:p>
    <w:p w14:paraId="10945AF9" w14:textId="77777777" w:rsidR="001768EC" w:rsidRDefault="001768EC" w:rsidP="00B106BF">
      <w:pPr>
        <w:rPr>
          <w:rFonts w:asciiTheme="majorBidi" w:hAnsiTheme="majorBidi" w:cstheme="majorBidi"/>
          <w:sz w:val="24"/>
          <w:szCs w:val="24"/>
          <w:lang w:val="en-US"/>
        </w:rPr>
      </w:pPr>
    </w:p>
    <w:p w14:paraId="2672AE5E" w14:textId="77777777" w:rsidR="001768EC" w:rsidRDefault="001768EC" w:rsidP="00B106BF">
      <w:pPr>
        <w:rPr>
          <w:rFonts w:asciiTheme="majorBidi" w:hAnsiTheme="majorBidi" w:cstheme="majorBidi"/>
          <w:sz w:val="24"/>
          <w:szCs w:val="24"/>
          <w:lang w:val="en-US"/>
        </w:rPr>
      </w:pPr>
    </w:p>
    <w:p w14:paraId="18981090" w14:textId="77777777" w:rsidR="00B106BF" w:rsidRPr="003A63BB" w:rsidRDefault="00B106BF" w:rsidP="00B106BF">
      <w:pPr>
        <w:pStyle w:val="Heading1"/>
        <w:spacing w:before="0" w:line="480" w:lineRule="auto"/>
        <w:jc w:val="center"/>
        <w:rPr>
          <w:rFonts w:asciiTheme="majorBidi" w:hAnsiTheme="majorBidi"/>
          <w:color w:val="auto"/>
          <w:lang w:val="en-US"/>
        </w:rPr>
      </w:pPr>
      <w:bookmarkStart w:id="25" w:name="_Toc138239773"/>
      <w:r w:rsidRPr="003A63BB">
        <w:rPr>
          <w:rFonts w:asciiTheme="majorBidi" w:hAnsiTheme="majorBidi"/>
          <w:color w:val="auto"/>
          <w:lang w:val="en-US"/>
        </w:rPr>
        <w:t xml:space="preserve">List of </w:t>
      </w:r>
      <w:r w:rsidR="00105FAF">
        <w:rPr>
          <w:rFonts w:asciiTheme="majorBidi" w:hAnsiTheme="majorBidi"/>
          <w:color w:val="auto"/>
          <w:lang w:val="en-US"/>
        </w:rPr>
        <w:t>t</w:t>
      </w:r>
      <w:r w:rsidRPr="003A63BB">
        <w:rPr>
          <w:rFonts w:asciiTheme="majorBidi" w:hAnsiTheme="majorBidi"/>
          <w:color w:val="auto"/>
          <w:lang w:val="en-US"/>
        </w:rPr>
        <w:t>ables</w:t>
      </w:r>
      <w:bookmarkEnd w:id="25"/>
    </w:p>
    <w:p w14:paraId="1CC01192" w14:textId="6D9A43B6" w:rsidR="00601718" w:rsidRPr="00601718" w:rsidRDefault="00131282" w:rsidP="00601718">
      <w:pPr>
        <w:pStyle w:val="TableofFigures"/>
        <w:tabs>
          <w:tab w:val="right" w:leader="dot" w:pos="7910"/>
        </w:tabs>
        <w:spacing w:line="360" w:lineRule="auto"/>
        <w:rPr>
          <w:rFonts w:asciiTheme="majorBidi" w:eastAsiaTheme="minorEastAsia" w:hAnsiTheme="majorBidi" w:cstheme="majorBidi"/>
          <w:noProof/>
          <w:sz w:val="24"/>
          <w:szCs w:val="24"/>
        </w:rPr>
      </w:pPr>
      <w:r>
        <w:fldChar w:fldCharType="begin"/>
      </w:r>
      <w:r>
        <w:instrText xml:space="preserve"> TOC \h \z \c "Table" </w:instrText>
      </w:r>
      <w:r>
        <w:fldChar w:fldCharType="separate"/>
      </w:r>
      <w:hyperlink w:anchor="_Toc134452485" w:history="1">
        <w:r w:rsidR="00601718" w:rsidRPr="00601718">
          <w:rPr>
            <w:rStyle w:val="Hyperlink"/>
            <w:rFonts w:asciiTheme="majorBidi" w:hAnsiTheme="majorBidi" w:cstheme="majorBidi"/>
            <w:noProof/>
            <w:sz w:val="24"/>
            <w:szCs w:val="24"/>
          </w:rPr>
          <w:t>Table 1:  UAE annual budgets for education</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_Toc134452485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29</w:t>
        </w:r>
        <w:r w:rsidR="00601718" w:rsidRPr="00601718">
          <w:rPr>
            <w:rFonts w:asciiTheme="majorBidi" w:hAnsiTheme="majorBidi" w:cstheme="majorBidi"/>
            <w:noProof/>
            <w:webHidden/>
            <w:sz w:val="24"/>
            <w:szCs w:val="24"/>
          </w:rPr>
          <w:fldChar w:fldCharType="end"/>
        </w:r>
      </w:hyperlink>
    </w:p>
    <w:p w14:paraId="0F6EDCCB" w14:textId="1761BB0B" w:rsidR="00601718" w:rsidRPr="00601718" w:rsidRDefault="00F53395" w:rsidP="00601718">
      <w:pPr>
        <w:pStyle w:val="TableofFigures"/>
        <w:tabs>
          <w:tab w:val="right" w:leader="dot" w:pos="7910"/>
        </w:tabs>
        <w:spacing w:line="360" w:lineRule="auto"/>
        <w:rPr>
          <w:rFonts w:asciiTheme="majorBidi" w:eastAsiaTheme="minorEastAsia" w:hAnsiTheme="majorBidi" w:cstheme="majorBidi"/>
          <w:noProof/>
          <w:sz w:val="24"/>
          <w:szCs w:val="24"/>
        </w:rPr>
      </w:pPr>
      <w:hyperlink w:anchor="_Toc134452486" w:history="1">
        <w:r w:rsidR="00601718" w:rsidRPr="00601718">
          <w:rPr>
            <w:rStyle w:val="Hyperlink"/>
            <w:rFonts w:asciiTheme="majorBidi" w:hAnsiTheme="majorBidi" w:cstheme="majorBidi"/>
            <w:noProof/>
            <w:sz w:val="24"/>
            <w:szCs w:val="24"/>
          </w:rPr>
          <w:t>Table 2: Adams School Quality definition summary, 1997</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_Toc134452486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35</w:t>
        </w:r>
        <w:r w:rsidR="00601718" w:rsidRPr="00601718">
          <w:rPr>
            <w:rFonts w:asciiTheme="majorBidi" w:hAnsiTheme="majorBidi" w:cstheme="majorBidi"/>
            <w:noProof/>
            <w:webHidden/>
            <w:sz w:val="24"/>
            <w:szCs w:val="24"/>
          </w:rPr>
          <w:fldChar w:fldCharType="end"/>
        </w:r>
      </w:hyperlink>
    </w:p>
    <w:p w14:paraId="2B19078D" w14:textId="3E4D7482" w:rsidR="00601718" w:rsidRPr="00601718" w:rsidRDefault="00F53395" w:rsidP="00601718">
      <w:pPr>
        <w:pStyle w:val="TableofFigures"/>
        <w:tabs>
          <w:tab w:val="right" w:leader="dot" w:pos="7910"/>
        </w:tabs>
        <w:spacing w:line="360" w:lineRule="auto"/>
        <w:rPr>
          <w:rFonts w:asciiTheme="majorBidi" w:eastAsiaTheme="minorEastAsia" w:hAnsiTheme="majorBidi" w:cstheme="majorBidi"/>
          <w:noProof/>
          <w:sz w:val="24"/>
          <w:szCs w:val="24"/>
        </w:rPr>
      </w:pPr>
      <w:hyperlink w:anchor="_Toc134452487" w:history="1">
        <w:r w:rsidR="00601718" w:rsidRPr="00601718">
          <w:rPr>
            <w:rStyle w:val="Hyperlink"/>
            <w:rFonts w:asciiTheme="majorBidi" w:hAnsiTheme="majorBidi" w:cstheme="majorBidi"/>
            <w:noProof/>
            <w:sz w:val="24"/>
            <w:szCs w:val="24"/>
          </w:rPr>
          <w:t>Table 3: the respondents’ demographic information</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_Toc134452487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83</w:t>
        </w:r>
        <w:r w:rsidR="00601718" w:rsidRPr="00601718">
          <w:rPr>
            <w:rFonts w:asciiTheme="majorBidi" w:hAnsiTheme="majorBidi" w:cstheme="majorBidi"/>
            <w:noProof/>
            <w:webHidden/>
            <w:sz w:val="24"/>
            <w:szCs w:val="24"/>
          </w:rPr>
          <w:fldChar w:fldCharType="end"/>
        </w:r>
      </w:hyperlink>
    </w:p>
    <w:p w14:paraId="7A4381B6" w14:textId="29F12AA6" w:rsidR="00601718" w:rsidRPr="00601718" w:rsidRDefault="00F53395" w:rsidP="00601718">
      <w:pPr>
        <w:pStyle w:val="TableofFigures"/>
        <w:tabs>
          <w:tab w:val="right" w:leader="dot" w:pos="7910"/>
        </w:tabs>
        <w:spacing w:line="360" w:lineRule="auto"/>
        <w:rPr>
          <w:rFonts w:asciiTheme="majorBidi" w:eastAsiaTheme="minorEastAsia" w:hAnsiTheme="majorBidi" w:cstheme="majorBidi"/>
          <w:noProof/>
          <w:sz w:val="24"/>
          <w:szCs w:val="24"/>
        </w:rPr>
      </w:pPr>
      <w:hyperlink w:anchor="_Toc134452488" w:history="1">
        <w:r w:rsidR="00601718" w:rsidRPr="00601718">
          <w:rPr>
            <w:rStyle w:val="Hyperlink"/>
            <w:rFonts w:asciiTheme="majorBidi" w:hAnsiTheme="majorBidi" w:cstheme="majorBidi"/>
            <w:noProof/>
            <w:sz w:val="24"/>
            <w:szCs w:val="24"/>
          </w:rPr>
          <w:t>Table 4: the respondents’ child school information</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_Toc134452488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84</w:t>
        </w:r>
        <w:r w:rsidR="00601718" w:rsidRPr="00601718">
          <w:rPr>
            <w:rFonts w:asciiTheme="majorBidi" w:hAnsiTheme="majorBidi" w:cstheme="majorBidi"/>
            <w:noProof/>
            <w:webHidden/>
            <w:sz w:val="24"/>
            <w:szCs w:val="24"/>
          </w:rPr>
          <w:fldChar w:fldCharType="end"/>
        </w:r>
      </w:hyperlink>
    </w:p>
    <w:p w14:paraId="0AD42CFD" w14:textId="15076A30" w:rsidR="00601718" w:rsidRPr="00601718" w:rsidRDefault="00F53395" w:rsidP="00601718">
      <w:pPr>
        <w:pStyle w:val="TableofFigures"/>
        <w:tabs>
          <w:tab w:val="right" w:leader="dot" w:pos="7910"/>
        </w:tabs>
        <w:spacing w:line="360" w:lineRule="auto"/>
        <w:rPr>
          <w:rFonts w:asciiTheme="majorBidi" w:eastAsiaTheme="minorEastAsia" w:hAnsiTheme="majorBidi" w:cstheme="majorBidi"/>
          <w:noProof/>
          <w:sz w:val="24"/>
          <w:szCs w:val="24"/>
        </w:rPr>
      </w:pPr>
      <w:hyperlink w:anchor="_Toc134452489" w:history="1">
        <w:r w:rsidR="00601718" w:rsidRPr="00601718">
          <w:rPr>
            <w:rStyle w:val="Hyperlink"/>
            <w:rFonts w:asciiTheme="majorBidi" w:hAnsiTheme="majorBidi" w:cstheme="majorBidi"/>
            <w:noProof/>
            <w:sz w:val="24"/>
            <w:szCs w:val="24"/>
          </w:rPr>
          <w:t>Table 5: Reliability analysis for the study variables</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_Toc134452489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92</w:t>
        </w:r>
        <w:r w:rsidR="00601718" w:rsidRPr="00601718">
          <w:rPr>
            <w:rFonts w:asciiTheme="majorBidi" w:hAnsiTheme="majorBidi" w:cstheme="majorBidi"/>
            <w:noProof/>
            <w:webHidden/>
            <w:sz w:val="24"/>
            <w:szCs w:val="24"/>
          </w:rPr>
          <w:fldChar w:fldCharType="end"/>
        </w:r>
      </w:hyperlink>
    </w:p>
    <w:p w14:paraId="08CEA1C8" w14:textId="68083D3F" w:rsidR="00601718" w:rsidRPr="00601718" w:rsidRDefault="00F53395" w:rsidP="00601718">
      <w:pPr>
        <w:pStyle w:val="TableofFigures"/>
        <w:tabs>
          <w:tab w:val="right" w:leader="dot" w:pos="7910"/>
        </w:tabs>
        <w:spacing w:line="360" w:lineRule="auto"/>
        <w:rPr>
          <w:rFonts w:asciiTheme="majorBidi" w:eastAsiaTheme="minorEastAsia" w:hAnsiTheme="majorBidi" w:cstheme="majorBidi"/>
          <w:noProof/>
          <w:sz w:val="24"/>
          <w:szCs w:val="24"/>
        </w:rPr>
      </w:pPr>
      <w:hyperlink w:anchor="_Toc134452490" w:history="1">
        <w:r w:rsidR="00601718" w:rsidRPr="00601718">
          <w:rPr>
            <w:rStyle w:val="Hyperlink"/>
            <w:rFonts w:asciiTheme="majorBidi" w:hAnsiTheme="majorBidi" w:cstheme="majorBidi"/>
            <w:noProof/>
            <w:sz w:val="24"/>
            <w:szCs w:val="24"/>
          </w:rPr>
          <w:t>Table 6</w:t>
        </w:r>
        <w:r w:rsidR="00601718" w:rsidRPr="00601718">
          <w:rPr>
            <w:rStyle w:val="Hyperlink"/>
            <w:rFonts w:asciiTheme="majorBidi" w:eastAsia="Calibri" w:hAnsiTheme="majorBidi" w:cstheme="majorBidi"/>
            <w:noProof/>
            <w:sz w:val="24"/>
            <w:szCs w:val="24"/>
          </w:rPr>
          <w:t>: MO and Bartlette’s Test</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_Toc134452490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95</w:t>
        </w:r>
        <w:r w:rsidR="00601718" w:rsidRPr="00601718">
          <w:rPr>
            <w:rFonts w:asciiTheme="majorBidi" w:hAnsiTheme="majorBidi" w:cstheme="majorBidi"/>
            <w:noProof/>
            <w:webHidden/>
            <w:sz w:val="24"/>
            <w:szCs w:val="24"/>
          </w:rPr>
          <w:fldChar w:fldCharType="end"/>
        </w:r>
      </w:hyperlink>
    </w:p>
    <w:p w14:paraId="7A212E26" w14:textId="3378A848" w:rsidR="00601718" w:rsidRPr="00601718" w:rsidRDefault="00F53395" w:rsidP="00601718">
      <w:pPr>
        <w:pStyle w:val="TableofFigures"/>
        <w:tabs>
          <w:tab w:val="right" w:leader="dot" w:pos="7910"/>
        </w:tabs>
        <w:spacing w:line="360" w:lineRule="auto"/>
        <w:rPr>
          <w:rFonts w:asciiTheme="majorBidi" w:eastAsiaTheme="minorEastAsia" w:hAnsiTheme="majorBidi" w:cstheme="majorBidi"/>
          <w:noProof/>
          <w:sz w:val="24"/>
          <w:szCs w:val="24"/>
        </w:rPr>
      </w:pPr>
      <w:hyperlink w:anchor="_Toc134452491" w:history="1">
        <w:r w:rsidR="00601718" w:rsidRPr="00601718">
          <w:rPr>
            <w:rStyle w:val="Hyperlink"/>
            <w:rFonts w:asciiTheme="majorBidi" w:hAnsiTheme="majorBidi" w:cstheme="majorBidi"/>
            <w:noProof/>
            <w:sz w:val="24"/>
            <w:szCs w:val="24"/>
          </w:rPr>
          <w:t>Table 7</w:t>
        </w:r>
        <w:r w:rsidR="00601718" w:rsidRPr="00601718">
          <w:rPr>
            <w:rStyle w:val="Hyperlink"/>
            <w:rFonts w:asciiTheme="majorBidi" w:eastAsia="Calibri" w:hAnsiTheme="majorBidi" w:cstheme="majorBidi"/>
            <w:noProof/>
            <w:sz w:val="24"/>
            <w:szCs w:val="24"/>
          </w:rPr>
          <w:t>: Testing Multicollinearity</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_Toc134452491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96</w:t>
        </w:r>
        <w:r w:rsidR="00601718" w:rsidRPr="00601718">
          <w:rPr>
            <w:rFonts w:asciiTheme="majorBidi" w:hAnsiTheme="majorBidi" w:cstheme="majorBidi"/>
            <w:noProof/>
            <w:webHidden/>
            <w:sz w:val="24"/>
            <w:szCs w:val="24"/>
          </w:rPr>
          <w:fldChar w:fldCharType="end"/>
        </w:r>
      </w:hyperlink>
    </w:p>
    <w:p w14:paraId="65F4665B" w14:textId="0CCCA8A7" w:rsidR="00601718" w:rsidRPr="00601718" w:rsidRDefault="00F53395" w:rsidP="00601718">
      <w:pPr>
        <w:pStyle w:val="TableofFigures"/>
        <w:tabs>
          <w:tab w:val="right" w:leader="dot" w:pos="7910"/>
        </w:tabs>
        <w:spacing w:line="360" w:lineRule="auto"/>
        <w:rPr>
          <w:rFonts w:asciiTheme="majorBidi" w:eastAsiaTheme="minorEastAsia" w:hAnsiTheme="majorBidi" w:cstheme="majorBidi"/>
          <w:noProof/>
          <w:sz w:val="24"/>
          <w:szCs w:val="24"/>
        </w:rPr>
      </w:pPr>
      <w:hyperlink w:anchor="_Toc134452492" w:history="1">
        <w:r w:rsidR="00601718" w:rsidRPr="00601718">
          <w:rPr>
            <w:rStyle w:val="Hyperlink"/>
            <w:rFonts w:asciiTheme="majorBidi" w:hAnsiTheme="majorBidi" w:cstheme="majorBidi"/>
            <w:noProof/>
            <w:sz w:val="24"/>
            <w:szCs w:val="24"/>
          </w:rPr>
          <w:t>Table 8: Factor analysis for the quality of school factor</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_Toc134452492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97</w:t>
        </w:r>
        <w:r w:rsidR="00601718" w:rsidRPr="00601718">
          <w:rPr>
            <w:rFonts w:asciiTheme="majorBidi" w:hAnsiTheme="majorBidi" w:cstheme="majorBidi"/>
            <w:noProof/>
            <w:webHidden/>
            <w:sz w:val="24"/>
            <w:szCs w:val="24"/>
          </w:rPr>
          <w:fldChar w:fldCharType="end"/>
        </w:r>
      </w:hyperlink>
    </w:p>
    <w:p w14:paraId="6C07A951" w14:textId="7DDC4916" w:rsidR="00601718" w:rsidRPr="00601718" w:rsidRDefault="00F53395" w:rsidP="00601718">
      <w:pPr>
        <w:pStyle w:val="TableofFigures"/>
        <w:tabs>
          <w:tab w:val="right" w:leader="dot" w:pos="7910"/>
        </w:tabs>
        <w:spacing w:line="360" w:lineRule="auto"/>
        <w:rPr>
          <w:rFonts w:asciiTheme="majorBidi" w:eastAsiaTheme="minorEastAsia" w:hAnsiTheme="majorBidi" w:cstheme="majorBidi"/>
          <w:noProof/>
          <w:sz w:val="24"/>
          <w:szCs w:val="24"/>
        </w:rPr>
      </w:pPr>
      <w:hyperlink w:anchor="_Toc134452493" w:history="1">
        <w:r w:rsidR="00601718" w:rsidRPr="00601718">
          <w:rPr>
            <w:rStyle w:val="Hyperlink"/>
            <w:rFonts w:asciiTheme="majorBidi" w:hAnsiTheme="majorBidi" w:cstheme="majorBidi"/>
            <w:noProof/>
            <w:sz w:val="24"/>
            <w:szCs w:val="24"/>
          </w:rPr>
          <w:t>Table 9: Factor analysis for the cost of school factor</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_Toc134452493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99</w:t>
        </w:r>
        <w:r w:rsidR="00601718" w:rsidRPr="00601718">
          <w:rPr>
            <w:rFonts w:asciiTheme="majorBidi" w:hAnsiTheme="majorBidi" w:cstheme="majorBidi"/>
            <w:noProof/>
            <w:webHidden/>
            <w:sz w:val="24"/>
            <w:szCs w:val="24"/>
          </w:rPr>
          <w:fldChar w:fldCharType="end"/>
        </w:r>
      </w:hyperlink>
    </w:p>
    <w:p w14:paraId="7CF776B8" w14:textId="7CCB192E" w:rsidR="00601718" w:rsidRPr="00601718" w:rsidRDefault="00F53395" w:rsidP="00601718">
      <w:pPr>
        <w:pStyle w:val="TableofFigures"/>
        <w:tabs>
          <w:tab w:val="right" w:leader="dot" w:pos="7910"/>
        </w:tabs>
        <w:spacing w:line="360" w:lineRule="auto"/>
        <w:rPr>
          <w:rFonts w:asciiTheme="majorBidi" w:eastAsiaTheme="minorEastAsia" w:hAnsiTheme="majorBidi" w:cstheme="majorBidi"/>
          <w:noProof/>
          <w:sz w:val="24"/>
          <w:szCs w:val="24"/>
        </w:rPr>
      </w:pPr>
      <w:hyperlink w:anchor="_Toc134452494" w:history="1">
        <w:r w:rsidR="00601718" w:rsidRPr="00601718">
          <w:rPr>
            <w:rStyle w:val="Hyperlink"/>
            <w:rFonts w:asciiTheme="majorBidi" w:hAnsiTheme="majorBidi" w:cstheme="majorBidi"/>
            <w:noProof/>
            <w:sz w:val="24"/>
            <w:szCs w:val="24"/>
          </w:rPr>
          <w:t>Table 10: Association between school cost and school quality</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_Toc134452494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100</w:t>
        </w:r>
        <w:r w:rsidR="00601718" w:rsidRPr="00601718">
          <w:rPr>
            <w:rFonts w:asciiTheme="majorBidi" w:hAnsiTheme="majorBidi" w:cstheme="majorBidi"/>
            <w:noProof/>
            <w:webHidden/>
            <w:sz w:val="24"/>
            <w:szCs w:val="24"/>
          </w:rPr>
          <w:fldChar w:fldCharType="end"/>
        </w:r>
      </w:hyperlink>
    </w:p>
    <w:p w14:paraId="3C925912" w14:textId="5ED0FFE1" w:rsidR="00601718" w:rsidRPr="00601718" w:rsidRDefault="00F53395" w:rsidP="00601718">
      <w:pPr>
        <w:pStyle w:val="TableofFigures"/>
        <w:tabs>
          <w:tab w:val="right" w:leader="dot" w:pos="7910"/>
        </w:tabs>
        <w:spacing w:line="360" w:lineRule="auto"/>
        <w:rPr>
          <w:rFonts w:asciiTheme="majorBidi" w:eastAsiaTheme="minorEastAsia" w:hAnsiTheme="majorBidi" w:cstheme="majorBidi"/>
          <w:noProof/>
          <w:sz w:val="24"/>
          <w:szCs w:val="24"/>
        </w:rPr>
      </w:pPr>
      <w:hyperlink w:anchor="_Toc134452495" w:history="1">
        <w:r w:rsidR="00601718" w:rsidRPr="00601718">
          <w:rPr>
            <w:rStyle w:val="Hyperlink"/>
            <w:rFonts w:asciiTheme="majorBidi" w:hAnsiTheme="majorBidi" w:cstheme="majorBidi"/>
            <w:noProof/>
            <w:sz w:val="24"/>
            <w:szCs w:val="24"/>
          </w:rPr>
          <w:t>Table 11: Linear regression analysis between school cost and school quality</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_Toc134452495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101</w:t>
        </w:r>
        <w:r w:rsidR="00601718" w:rsidRPr="00601718">
          <w:rPr>
            <w:rFonts w:asciiTheme="majorBidi" w:hAnsiTheme="majorBidi" w:cstheme="majorBidi"/>
            <w:noProof/>
            <w:webHidden/>
            <w:sz w:val="24"/>
            <w:szCs w:val="24"/>
          </w:rPr>
          <w:fldChar w:fldCharType="end"/>
        </w:r>
      </w:hyperlink>
    </w:p>
    <w:p w14:paraId="556FD47D" w14:textId="64BCE6A3" w:rsidR="00601718" w:rsidRPr="00601718" w:rsidRDefault="00F53395" w:rsidP="00601718">
      <w:pPr>
        <w:pStyle w:val="TableofFigures"/>
        <w:tabs>
          <w:tab w:val="right" w:leader="dot" w:pos="7910"/>
        </w:tabs>
        <w:spacing w:line="360" w:lineRule="auto"/>
        <w:rPr>
          <w:rFonts w:asciiTheme="majorBidi" w:eastAsiaTheme="minorEastAsia" w:hAnsiTheme="majorBidi" w:cstheme="majorBidi"/>
          <w:noProof/>
          <w:sz w:val="24"/>
          <w:szCs w:val="24"/>
        </w:rPr>
      </w:pPr>
      <w:hyperlink w:anchor="_Toc134452496" w:history="1">
        <w:r w:rsidR="00601718" w:rsidRPr="00601718">
          <w:rPr>
            <w:rStyle w:val="Hyperlink"/>
            <w:rFonts w:asciiTheme="majorBidi" w:hAnsiTheme="majorBidi" w:cstheme="majorBidi"/>
            <w:noProof/>
            <w:sz w:val="24"/>
            <w:szCs w:val="24"/>
          </w:rPr>
          <w:t>Table 12: Association between school cost and students’ achievements</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_Toc134452496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102</w:t>
        </w:r>
        <w:r w:rsidR="00601718" w:rsidRPr="00601718">
          <w:rPr>
            <w:rFonts w:asciiTheme="majorBidi" w:hAnsiTheme="majorBidi" w:cstheme="majorBidi"/>
            <w:noProof/>
            <w:webHidden/>
            <w:sz w:val="24"/>
            <w:szCs w:val="24"/>
          </w:rPr>
          <w:fldChar w:fldCharType="end"/>
        </w:r>
      </w:hyperlink>
    </w:p>
    <w:p w14:paraId="3E37AE28" w14:textId="3FB07CA2" w:rsidR="00601718" w:rsidRPr="00601718" w:rsidRDefault="00F53395" w:rsidP="00601718">
      <w:pPr>
        <w:pStyle w:val="TableofFigures"/>
        <w:tabs>
          <w:tab w:val="right" w:leader="dot" w:pos="7910"/>
        </w:tabs>
        <w:spacing w:line="360" w:lineRule="auto"/>
        <w:rPr>
          <w:rFonts w:asciiTheme="majorBidi" w:eastAsiaTheme="minorEastAsia" w:hAnsiTheme="majorBidi" w:cstheme="majorBidi"/>
          <w:noProof/>
          <w:sz w:val="24"/>
          <w:szCs w:val="24"/>
        </w:rPr>
      </w:pPr>
      <w:hyperlink w:anchor="_Toc134452497" w:history="1">
        <w:r w:rsidR="00601718" w:rsidRPr="00601718">
          <w:rPr>
            <w:rStyle w:val="Hyperlink"/>
            <w:rFonts w:asciiTheme="majorBidi" w:hAnsiTheme="majorBidi" w:cstheme="majorBidi"/>
            <w:noProof/>
            <w:sz w:val="24"/>
            <w:szCs w:val="24"/>
          </w:rPr>
          <w:t>Table 13: Association between school quality and students’ achievement</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_Toc134452497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103</w:t>
        </w:r>
        <w:r w:rsidR="00601718" w:rsidRPr="00601718">
          <w:rPr>
            <w:rFonts w:asciiTheme="majorBidi" w:hAnsiTheme="majorBidi" w:cstheme="majorBidi"/>
            <w:noProof/>
            <w:webHidden/>
            <w:sz w:val="24"/>
            <w:szCs w:val="24"/>
          </w:rPr>
          <w:fldChar w:fldCharType="end"/>
        </w:r>
      </w:hyperlink>
    </w:p>
    <w:p w14:paraId="7920F9D6" w14:textId="2EA29B48" w:rsidR="00601718" w:rsidRPr="00601718" w:rsidRDefault="00F53395" w:rsidP="00601718">
      <w:pPr>
        <w:pStyle w:val="TableofFigures"/>
        <w:tabs>
          <w:tab w:val="right" w:leader="dot" w:pos="7910"/>
        </w:tabs>
        <w:spacing w:line="360" w:lineRule="auto"/>
        <w:rPr>
          <w:rFonts w:asciiTheme="majorBidi" w:eastAsiaTheme="minorEastAsia" w:hAnsiTheme="majorBidi" w:cstheme="majorBidi"/>
          <w:noProof/>
          <w:sz w:val="24"/>
          <w:szCs w:val="24"/>
        </w:rPr>
      </w:pPr>
      <w:hyperlink w:anchor="_Toc134452498" w:history="1">
        <w:r w:rsidR="00601718" w:rsidRPr="00601718">
          <w:rPr>
            <w:rStyle w:val="Hyperlink"/>
            <w:rFonts w:asciiTheme="majorBidi" w:hAnsiTheme="majorBidi" w:cstheme="majorBidi"/>
            <w:noProof/>
            <w:sz w:val="24"/>
            <w:szCs w:val="24"/>
          </w:rPr>
          <w:t>Table 14: School quality as a mediator between school cost and students’ achievement</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_Toc134452498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104</w:t>
        </w:r>
        <w:r w:rsidR="00601718" w:rsidRPr="00601718">
          <w:rPr>
            <w:rFonts w:asciiTheme="majorBidi" w:hAnsiTheme="majorBidi" w:cstheme="majorBidi"/>
            <w:noProof/>
            <w:webHidden/>
            <w:sz w:val="24"/>
            <w:szCs w:val="24"/>
          </w:rPr>
          <w:fldChar w:fldCharType="end"/>
        </w:r>
      </w:hyperlink>
    </w:p>
    <w:p w14:paraId="011D879F" w14:textId="6EC62587" w:rsidR="00601718" w:rsidRPr="00601718" w:rsidRDefault="00F53395" w:rsidP="00601718">
      <w:pPr>
        <w:pStyle w:val="TableofFigures"/>
        <w:tabs>
          <w:tab w:val="right" w:leader="dot" w:pos="7910"/>
        </w:tabs>
        <w:spacing w:line="360" w:lineRule="auto"/>
        <w:rPr>
          <w:rFonts w:asciiTheme="majorBidi" w:eastAsiaTheme="minorEastAsia" w:hAnsiTheme="majorBidi" w:cstheme="majorBidi"/>
          <w:noProof/>
          <w:sz w:val="24"/>
          <w:szCs w:val="24"/>
        </w:rPr>
      </w:pPr>
      <w:hyperlink w:anchor="_Toc134452499" w:history="1">
        <w:r w:rsidR="00601718" w:rsidRPr="00601718">
          <w:rPr>
            <w:rStyle w:val="Hyperlink"/>
            <w:rFonts w:asciiTheme="majorBidi" w:hAnsiTheme="majorBidi" w:cstheme="majorBidi"/>
            <w:noProof/>
            <w:sz w:val="24"/>
            <w:szCs w:val="24"/>
          </w:rPr>
          <w:t>Table 15: Association between school cost, parents’ income and students’ achievement</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_Toc134452499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105</w:t>
        </w:r>
        <w:r w:rsidR="00601718" w:rsidRPr="00601718">
          <w:rPr>
            <w:rFonts w:asciiTheme="majorBidi" w:hAnsiTheme="majorBidi" w:cstheme="majorBidi"/>
            <w:noProof/>
            <w:webHidden/>
            <w:sz w:val="24"/>
            <w:szCs w:val="24"/>
          </w:rPr>
          <w:fldChar w:fldCharType="end"/>
        </w:r>
      </w:hyperlink>
    </w:p>
    <w:p w14:paraId="64E8A26C" w14:textId="22098870" w:rsidR="00601718" w:rsidRPr="00601718" w:rsidRDefault="00F53395" w:rsidP="00601718">
      <w:pPr>
        <w:pStyle w:val="TableofFigures"/>
        <w:tabs>
          <w:tab w:val="right" w:leader="dot" w:pos="7910"/>
        </w:tabs>
        <w:spacing w:line="360" w:lineRule="auto"/>
        <w:rPr>
          <w:rFonts w:asciiTheme="majorBidi" w:eastAsiaTheme="minorEastAsia" w:hAnsiTheme="majorBidi" w:cstheme="majorBidi"/>
          <w:noProof/>
          <w:sz w:val="24"/>
          <w:szCs w:val="24"/>
        </w:rPr>
      </w:pPr>
      <w:hyperlink w:anchor="_Toc134452500" w:history="1">
        <w:r w:rsidR="00601718" w:rsidRPr="00601718">
          <w:rPr>
            <w:rStyle w:val="Hyperlink"/>
            <w:rFonts w:asciiTheme="majorBidi" w:hAnsiTheme="majorBidi" w:cstheme="majorBidi"/>
            <w:noProof/>
            <w:sz w:val="24"/>
            <w:szCs w:val="24"/>
          </w:rPr>
          <w:t>Table 16: Association between school quality, parents’ education and students’ achievement</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_Toc134452500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107</w:t>
        </w:r>
        <w:r w:rsidR="00601718" w:rsidRPr="00601718">
          <w:rPr>
            <w:rFonts w:asciiTheme="majorBidi" w:hAnsiTheme="majorBidi" w:cstheme="majorBidi"/>
            <w:noProof/>
            <w:webHidden/>
            <w:sz w:val="24"/>
            <w:szCs w:val="24"/>
          </w:rPr>
          <w:fldChar w:fldCharType="end"/>
        </w:r>
      </w:hyperlink>
    </w:p>
    <w:p w14:paraId="4BABE3E6" w14:textId="062CFACD" w:rsidR="00601718" w:rsidRPr="00601718" w:rsidRDefault="00F53395" w:rsidP="00601718">
      <w:pPr>
        <w:pStyle w:val="TableofFigures"/>
        <w:tabs>
          <w:tab w:val="right" w:leader="dot" w:pos="7910"/>
        </w:tabs>
        <w:spacing w:line="360" w:lineRule="auto"/>
        <w:rPr>
          <w:rFonts w:asciiTheme="majorBidi" w:eastAsiaTheme="minorEastAsia" w:hAnsiTheme="majorBidi" w:cstheme="majorBidi"/>
          <w:noProof/>
          <w:sz w:val="24"/>
          <w:szCs w:val="24"/>
        </w:rPr>
      </w:pPr>
      <w:hyperlink w:anchor="_Toc134452501" w:history="1">
        <w:r w:rsidR="00601718" w:rsidRPr="00601718">
          <w:rPr>
            <w:rStyle w:val="Hyperlink"/>
            <w:rFonts w:asciiTheme="majorBidi" w:hAnsiTheme="majorBidi" w:cstheme="majorBidi"/>
            <w:noProof/>
            <w:sz w:val="24"/>
            <w:szCs w:val="24"/>
          </w:rPr>
          <w:t xml:space="preserve">Table 17: </w:t>
        </w:r>
        <w:r w:rsidR="00601718" w:rsidRPr="00601718">
          <w:rPr>
            <w:rStyle w:val="Hyperlink"/>
            <w:rFonts w:asciiTheme="majorBidi" w:hAnsiTheme="majorBidi" w:cstheme="majorBidi"/>
            <w:noProof/>
            <w:sz w:val="24"/>
            <w:szCs w:val="24"/>
            <w:lang w:eastAsia="zh-CN"/>
          </w:rPr>
          <w:t>First-order model for c</w:t>
        </w:r>
        <w:r w:rsidR="00601718" w:rsidRPr="00601718">
          <w:rPr>
            <w:rStyle w:val="Hyperlink"/>
            <w:rFonts w:asciiTheme="majorBidi" w:hAnsiTheme="majorBidi" w:cstheme="majorBidi"/>
            <w:noProof/>
            <w:sz w:val="24"/>
            <w:szCs w:val="24"/>
          </w:rPr>
          <w:t>ost school</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_Toc134452501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108</w:t>
        </w:r>
        <w:r w:rsidR="00601718" w:rsidRPr="00601718">
          <w:rPr>
            <w:rFonts w:asciiTheme="majorBidi" w:hAnsiTheme="majorBidi" w:cstheme="majorBidi"/>
            <w:noProof/>
            <w:webHidden/>
            <w:sz w:val="24"/>
            <w:szCs w:val="24"/>
          </w:rPr>
          <w:fldChar w:fldCharType="end"/>
        </w:r>
      </w:hyperlink>
    </w:p>
    <w:p w14:paraId="1C52CB9E" w14:textId="7E3707C7" w:rsidR="00601718" w:rsidRPr="00601718" w:rsidRDefault="00F53395" w:rsidP="00601718">
      <w:pPr>
        <w:pStyle w:val="TableofFigures"/>
        <w:tabs>
          <w:tab w:val="right" w:leader="dot" w:pos="7910"/>
        </w:tabs>
        <w:spacing w:line="360" w:lineRule="auto"/>
        <w:rPr>
          <w:rFonts w:asciiTheme="majorBidi" w:eastAsiaTheme="minorEastAsia" w:hAnsiTheme="majorBidi" w:cstheme="majorBidi"/>
          <w:noProof/>
          <w:sz w:val="24"/>
          <w:szCs w:val="24"/>
        </w:rPr>
      </w:pPr>
      <w:hyperlink w:anchor="_Toc134452502" w:history="1">
        <w:r w:rsidR="00601718" w:rsidRPr="00601718">
          <w:rPr>
            <w:rStyle w:val="Hyperlink"/>
            <w:rFonts w:asciiTheme="majorBidi" w:hAnsiTheme="majorBidi" w:cstheme="majorBidi"/>
            <w:noProof/>
            <w:sz w:val="24"/>
            <w:szCs w:val="24"/>
          </w:rPr>
          <w:t>Table 18</w:t>
        </w:r>
        <w:r w:rsidR="00601718" w:rsidRPr="00601718">
          <w:rPr>
            <w:rStyle w:val="Hyperlink"/>
            <w:rFonts w:asciiTheme="majorBidi" w:eastAsia="Calibri" w:hAnsiTheme="majorBidi" w:cstheme="majorBidi"/>
            <w:noProof/>
            <w:sz w:val="24"/>
            <w:szCs w:val="24"/>
          </w:rPr>
          <w:t xml:space="preserve">: </w:t>
        </w:r>
        <w:r w:rsidR="00601718" w:rsidRPr="00601718">
          <w:rPr>
            <w:rStyle w:val="Hyperlink"/>
            <w:rFonts w:asciiTheme="majorBidi" w:eastAsia="SimSun" w:hAnsiTheme="majorBidi" w:cstheme="majorBidi"/>
            <w:noProof/>
            <w:sz w:val="24"/>
            <w:szCs w:val="24"/>
            <w:lang w:eastAsia="zh-CN"/>
          </w:rPr>
          <w:t>Model fit summary</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_Toc134452502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109</w:t>
        </w:r>
        <w:r w:rsidR="00601718" w:rsidRPr="00601718">
          <w:rPr>
            <w:rFonts w:asciiTheme="majorBidi" w:hAnsiTheme="majorBidi" w:cstheme="majorBidi"/>
            <w:noProof/>
            <w:webHidden/>
            <w:sz w:val="24"/>
            <w:szCs w:val="24"/>
          </w:rPr>
          <w:fldChar w:fldCharType="end"/>
        </w:r>
      </w:hyperlink>
    </w:p>
    <w:p w14:paraId="2F5A36CE" w14:textId="265986DF" w:rsidR="00601718" w:rsidRPr="00601718" w:rsidRDefault="00F53395" w:rsidP="00601718">
      <w:pPr>
        <w:pStyle w:val="TableofFigures"/>
        <w:tabs>
          <w:tab w:val="right" w:leader="dot" w:pos="7910"/>
        </w:tabs>
        <w:spacing w:line="360" w:lineRule="auto"/>
        <w:rPr>
          <w:rFonts w:asciiTheme="majorBidi" w:eastAsiaTheme="minorEastAsia" w:hAnsiTheme="majorBidi" w:cstheme="majorBidi"/>
          <w:noProof/>
          <w:sz w:val="24"/>
          <w:szCs w:val="24"/>
        </w:rPr>
      </w:pPr>
      <w:hyperlink w:anchor="_Toc134452503" w:history="1">
        <w:r w:rsidR="00601718" w:rsidRPr="00601718">
          <w:rPr>
            <w:rStyle w:val="Hyperlink"/>
            <w:rFonts w:asciiTheme="majorBidi" w:hAnsiTheme="majorBidi" w:cstheme="majorBidi"/>
            <w:noProof/>
            <w:sz w:val="24"/>
            <w:szCs w:val="24"/>
          </w:rPr>
          <w:t xml:space="preserve">Table 19: </w:t>
        </w:r>
        <w:r w:rsidR="00601718" w:rsidRPr="00601718">
          <w:rPr>
            <w:rStyle w:val="Hyperlink"/>
            <w:rFonts w:asciiTheme="majorBidi" w:hAnsiTheme="majorBidi" w:cstheme="majorBidi"/>
            <w:noProof/>
            <w:sz w:val="24"/>
            <w:szCs w:val="24"/>
            <w:lang w:eastAsia="zh-CN"/>
          </w:rPr>
          <w:t xml:space="preserve">First-order model for </w:t>
        </w:r>
        <w:r w:rsidR="00601718" w:rsidRPr="00601718">
          <w:rPr>
            <w:rStyle w:val="Hyperlink"/>
            <w:rFonts w:asciiTheme="majorBidi" w:hAnsiTheme="majorBidi" w:cstheme="majorBidi"/>
            <w:noProof/>
            <w:sz w:val="24"/>
            <w:szCs w:val="24"/>
          </w:rPr>
          <w:t>quality of school</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_Toc134452503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110</w:t>
        </w:r>
        <w:r w:rsidR="00601718" w:rsidRPr="00601718">
          <w:rPr>
            <w:rFonts w:asciiTheme="majorBidi" w:hAnsiTheme="majorBidi" w:cstheme="majorBidi"/>
            <w:noProof/>
            <w:webHidden/>
            <w:sz w:val="24"/>
            <w:szCs w:val="24"/>
          </w:rPr>
          <w:fldChar w:fldCharType="end"/>
        </w:r>
      </w:hyperlink>
    </w:p>
    <w:p w14:paraId="32F53E79" w14:textId="451DBDAC" w:rsidR="00601718" w:rsidRPr="00601718" w:rsidRDefault="00F53395" w:rsidP="00601718">
      <w:pPr>
        <w:pStyle w:val="TableofFigures"/>
        <w:tabs>
          <w:tab w:val="right" w:leader="dot" w:pos="7910"/>
        </w:tabs>
        <w:spacing w:line="360" w:lineRule="auto"/>
        <w:rPr>
          <w:rFonts w:asciiTheme="majorBidi" w:eastAsiaTheme="minorEastAsia" w:hAnsiTheme="majorBidi" w:cstheme="majorBidi"/>
          <w:noProof/>
          <w:sz w:val="24"/>
          <w:szCs w:val="24"/>
        </w:rPr>
      </w:pPr>
      <w:hyperlink w:anchor="_Toc134452504" w:history="1">
        <w:r w:rsidR="00601718" w:rsidRPr="00601718">
          <w:rPr>
            <w:rStyle w:val="Hyperlink"/>
            <w:rFonts w:asciiTheme="majorBidi" w:hAnsiTheme="majorBidi" w:cstheme="majorBidi"/>
            <w:noProof/>
            <w:sz w:val="24"/>
            <w:szCs w:val="24"/>
          </w:rPr>
          <w:t>Table 20</w:t>
        </w:r>
        <w:r w:rsidR="00601718" w:rsidRPr="00601718">
          <w:rPr>
            <w:rStyle w:val="Hyperlink"/>
            <w:rFonts w:asciiTheme="majorBidi" w:eastAsia="Calibri" w:hAnsiTheme="majorBidi" w:cstheme="majorBidi"/>
            <w:noProof/>
            <w:sz w:val="24"/>
            <w:szCs w:val="24"/>
          </w:rPr>
          <w:t xml:space="preserve">: </w:t>
        </w:r>
        <w:r w:rsidR="00601718" w:rsidRPr="00601718">
          <w:rPr>
            <w:rStyle w:val="Hyperlink"/>
            <w:rFonts w:asciiTheme="majorBidi" w:eastAsia="SimSun" w:hAnsiTheme="majorBidi" w:cstheme="majorBidi"/>
            <w:noProof/>
            <w:sz w:val="24"/>
            <w:szCs w:val="24"/>
            <w:lang w:eastAsia="zh-CN"/>
          </w:rPr>
          <w:t>Model fit summary</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_Toc134452504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113</w:t>
        </w:r>
        <w:r w:rsidR="00601718" w:rsidRPr="00601718">
          <w:rPr>
            <w:rFonts w:asciiTheme="majorBidi" w:hAnsiTheme="majorBidi" w:cstheme="majorBidi"/>
            <w:noProof/>
            <w:webHidden/>
            <w:sz w:val="24"/>
            <w:szCs w:val="24"/>
          </w:rPr>
          <w:fldChar w:fldCharType="end"/>
        </w:r>
      </w:hyperlink>
    </w:p>
    <w:p w14:paraId="056A864C" w14:textId="2ED57B21" w:rsidR="00601718" w:rsidRPr="00601718" w:rsidRDefault="00F53395" w:rsidP="00601718">
      <w:pPr>
        <w:pStyle w:val="TableofFigures"/>
        <w:tabs>
          <w:tab w:val="right" w:leader="dot" w:pos="7910"/>
        </w:tabs>
        <w:spacing w:line="360" w:lineRule="auto"/>
        <w:rPr>
          <w:rFonts w:asciiTheme="majorBidi" w:eastAsiaTheme="minorEastAsia" w:hAnsiTheme="majorBidi" w:cstheme="majorBidi"/>
          <w:noProof/>
          <w:sz w:val="24"/>
          <w:szCs w:val="24"/>
        </w:rPr>
      </w:pPr>
      <w:hyperlink w:anchor="_Toc134452505" w:history="1">
        <w:r w:rsidR="00601718" w:rsidRPr="00601718">
          <w:rPr>
            <w:rStyle w:val="Hyperlink"/>
            <w:rFonts w:asciiTheme="majorBidi" w:hAnsiTheme="majorBidi" w:cstheme="majorBidi"/>
            <w:noProof/>
            <w:sz w:val="24"/>
            <w:szCs w:val="24"/>
          </w:rPr>
          <w:t>Table 21:</w:t>
        </w:r>
        <w:r w:rsidR="00601718" w:rsidRPr="00601718">
          <w:rPr>
            <w:rStyle w:val="Hyperlink"/>
            <w:rFonts w:asciiTheme="majorBidi" w:eastAsia="Calibri" w:hAnsiTheme="majorBidi" w:cstheme="majorBidi"/>
            <w:iCs/>
            <w:noProof/>
            <w:sz w:val="24"/>
            <w:szCs w:val="24"/>
          </w:rPr>
          <w:t xml:space="preserve"> SEM Model</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_Toc134452505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114</w:t>
        </w:r>
        <w:r w:rsidR="00601718" w:rsidRPr="00601718">
          <w:rPr>
            <w:rFonts w:asciiTheme="majorBidi" w:hAnsiTheme="majorBidi" w:cstheme="majorBidi"/>
            <w:noProof/>
            <w:webHidden/>
            <w:sz w:val="24"/>
            <w:szCs w:val="24"/>
          </w:rPr>
          <w:fldChar w:fldCharType="end"/>
        </w:r>
      </w:hyperlink>
    </w:p>
    <w:p w14:paraId="62AEB905" w14:textId="34D1427F" w:rsidR="00601718" w:rsidRPr="00601718" w:rsidRDefault="00F53395" w:rsidP="00601718">
      <w:pPr>
        <w:pStyle w:val="TableofFigures"/>
        <w:tabs>
          <w:tab w:val="right" w:leader="dot" w:pos="7910"/>
        </w:tabs>
        <w:spacing w:line="360" w:lineRule="auto"/>
        <w:rPr>
          <w:rFonts w:asciiTheme="majorBidi" w:eastAsiaTheme="minorEastAsia" w:hAnsiTheme="majorBidi" w:cstheme="majorBidi"/>
          <w:noProof/>
          <w:sz w:val="24"/>
          <w:szCs w:val="24"/>
        </w:rPr>
      </w:pPr>
      <w:hyperlink w:anchor="_Toc134452506" w:history="1">
        <w:r w:rsidR="00601718" w:rsidRPr="00601718">
          <w:rPr>
            <w:rStyle w:val="Hyperlink"/>
            <w:rFonts w:asciiTheme="majorBidi" w:hAnsiTheme="majorBidi" w:cstheme="majorBidi"/>
            <w:noProof/>
            <w:sz w:val="24"/>
            <w:szCs w:val="24"/>
          </w:rPr>
          <w:t>Table 22</w:t>
        </w:r>
        <w:r w:rsidR="00601718" w:rsidRPr="00601718">
          <w:rPr>
            <w:rStyle w:val="Hyperlink"/>
            <w:rFonts w:asciiTheme="majorBidi" w:eastAsia="Calibri" w:hAnsiTheme="majorBidi" w:cstheme="majorBidi"/>
            <w:noProof/>
            <w:sz w:val="24"/>
            <w:szCs w:val="24"/>
          </w:rPr>
          <w:t xml:space="preserve">: </w:t>
        </w:r>
        <w:r w:rsidR="00601718" w:rsidRPr="00601718">
          <w:rPr>
            <w:rStyle w:val="Hyperlink"/>
            <w:rFonts w:asciiTheme="majorBidi" w:eastAsia="SimSun" w:hAnsiTheme="majorBidi" w:cstheme="majorBidi"/>
            <w:noProof/>
            <w:sz w:val="24"/>
            <w:szCs w:val="24"/>
            <w:lang w:eastAsia="zh-CN"/>
          </w:rPr>
          <w:t>Model fit summary</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_Toc134452506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115</w:t>
        </w:r>
        <w:r w:rsidR="00601718" w:rsidRPr="00601718">
          <w:rPr>
            <w:rFonts w:asciiTheme="majorBidi" w:hAnsiTheme="majorBidi" w:cstheme="majorBidi"/>
            <w:noProof/>
            <w:webHidden/>
            <w:sz w:val="24"/>
            <w:szCs w:val="24"/>
          </w:rPr>
          <w:fldChar w:fldCharType="end"/>
        </w:r>
      </w:hyperlink>
    </w:p>
    <w:p w14:paraId="63FCE37C" w14:textId="741249B6" w:rsidR="00601718" w:rsidRDefault="00F53395" w:rsidP="00601718">
      <w:pPr>
        <w:pStyle w:val="TableofFigures"/>
        <w:tabs>
          <w:tab w:val="right" w:leader="dot" w:pos="7910"/>
        </w:tabs>
        <w:spacing w:line="360" w:lineRule="auto"/>
        <w:rPr>
          <w:rFonts w:eastAsiaTheme="minorEastAsia"/>
          <w:noProof/>
        </w:rPr>
      </w:pPr>
      <w:hyperlink w:anchor="_Toc134452507" w:history="1">
        <w:r w:rsidR="00601718" w:rsidRPr="00601718">
          <w:rPr>
            <w:rStyle w:val="Hyperlink"/>
            <w:rFonts w:asciiTheme="majorBidi" w:hAnsiTheme="majorBidi" w:cstheme="majorBidi"/>
            <w:noProof/>
            <w:sz w:val="24"/>
            <w:szCs w:val="24"/>
          </w:rPr>
          <w:t>Table 23: Summary of findings</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_Toc134452507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116</w:t>
        </w:r>
        <w:r w:rsidR="00601718" w:rsidRPr="00601718">
          <w:rPr>
            <w:rFonts w:asciiTheme="majorBidi" w:hAnsiTheme="majorBidi" w:cstheme="majorBidi"/>
            <w:noProof/>
            <w:webHidden/>
            <w:sz w:val="24"/>
            <w:szCs w:val="24"/>
          </w:rPr>
          <w:fldChar w:fldCharType="end"/>
        </w:r>
      </w:hyperlink>
    </w:p>
    <w:p w14:paraId="77AFF0BF" w14:textId="77777777" w:rsidR="00B106BF" w:rsidRDefault="00131282" w:rsidP="00B106BF">
      <w:r>
        <w:fldChar w:fldCharType="end"/>
      </w:r>
    </w:p>
    <w:p w14:paraId="33B3D463" w14:textId="77777777" w:rsidR="00B106BF" w:rsidRDefault="00B106BF" w:rsidP="00B106BF">
      <w:pPr>
        <w:pStyle w:val="Heading1"/>
        <w:spacing w:before="0" w:line="480" w:lineRule="auto"/>
        <w:jc w:val="center"/>
        <w:rPr>
          <w:rFonts w:asciiTheme="majorBidi" w:hAnsiTheme="majorBidi"/>
          <w:color w:val="auto"/>
          <w:lang w:val="en-US"/>
        </w:rPr>
      </w:pPr>
      <w:bookmarkStart w:id="26" w:name="_Toc138239774"/>
      <w:r w:rsidRPr="00584D6A">
        <w:rPr>
          <w:rFonts w:asciiTheme="majorBidi" w:hAnsiTheme="majorBidi"/>
          <w:color w:val="auto"/>
          <w:lang w:val="en-US"/>
        </w:rPr>
        <w:t xml:space="preserve">List of </w:t>
      </w:r>
      <w:r w:rsidR="00105FAF">
        <w:rPr>
          <w:rFonts w:asciiTheme="majorBidi" w:hAnsiTheme="majorBidi"/>
          <w:color w:val="auto"/>
          <w:lang w:val="en-US"/>
        </w:rPr>
        <w:t>f</w:t>
      </w:r>
      <w:r w:rsidRPr="00584D6A">
        <w:rPr>
          <w:rFonts w:asciiTheme="majorBidi" w:hAnsiTheme="majorBidi"/>
          <w:color w:val="auto"/>
          <w:lang w:val="en-US"/>
        </w:rPr>
        <w:t>igures</w:t>
      </w:r>
      <w:bookmarkEnd w:id="26"/>
    </w:p>
    <w:p w14:paraId="14E79D54" w14:textId="77777777" w:rsidR="00B106BF" w:rsidRPr="00584D6A" w:rsidRDefault="00B106BF" w:rsidP="00B106BF">
      <w:pPr>
        <w:rPr>
          <w:lang w:val="en-US"/>
        </w:rPr>
      </w:pPr>
    </w:p>
    <w:p w14:paraId="148B5E4F" w14:textId="40D080B8" w:rsidR="00601718" w:rsidRPr="00601718" w:rsidRDefault="00016620" w:rsidP="00601718">
      <w:pPr>
        <w:pStyle w:val="TableofFigures"/>
        <w:tabs>
          <w:tab w:val="right" w:leader="dot" w:pos="7910"/>
        </w:tabs>
        <w:spacing w:line="360" w:lineRule="auto"/>
        <w:rPr>
          <w:rFonts w:asciiTheme="majorBidi" w:eastAsiaTheme="minorEastAsia" w:hAnsiTheme="majorBidi" w:cstheme="majorBidi"/>
          <w:noProof/>
          <w:sz w:val="24"/>
          <w:szCs w:val="24"/>
        </w:rPr>
      </w:pPr>
      <w:r w:rsidRPr="00601718">
        <w:rPr>
          <w:rFonts w:asciiTheme="majorBidi" w:hAnsiTheme="majorBidi" w:cstheme="majorBidi"/>
          <w:sz w:val="24"/>
          <w:szCs w:val="24"/>
        </w:rPr>
        <w:fldChar w:fldCharType="begin"/>
      </w:r>
      <w:r w:rsidRPr="00601718">
        <w:rPr>
          <w:rFonts w:asciiTheme="majorBidi" w:hAnsiTheme="majorBidi" w:cstheme="majorBidi"/>
          <w:sz w:val="24"/>
          <w:szCs w:val="24"/>
        </w:rPr>
        <w:instrText xml:space="preserve"> TOC \h \z \c "Figure" </w:instrText>
      </w:r>
      <w:r w:rsidRPr="00601718">
        <w:rPr>
          <w:rFonts w:asciiTheme="majorBidi" w:hAnsiTheme="majorBidi" w:cstheme="majorBidi"/>
          <w:sz w:val="24"/>
          <w:szCs w:val="24"/>
        </w:rPr>
        <w:fldChar w:fldCharType="separate"/>
      </w:r>
      <w:hyperlink w:anchor="_Toc134452508" w:history="1">
        <w:r w:rsidR="00601718" w:rsidRPr="00601718">
          <w:rPr>
            <w:rStyle w:val="Hyperlink"/>
            <w:rFonts w:asciiTheme="majorBidi" w:hAnsiTheme="majorBidi" w:cstheme="majorBidi"/>
            <w:noProof/>
            <w:sz w:val="24"/>
            <w:szCs w:val="24"/>
          </w:rPr>
          <w:t>Figure 1: Conceptual Model of the Study</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_Toc134452508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21</w:t>
        </w:r>
        <w:r w:rsidR="00601718" w:rsidRPr="00601718">
          <w:rPr>
            <w:rFonts w:asciiTheme="majorBidi" w:hAnsiTheme="majorBidi" w:cstheme="majorBidi"/>
            <w:noProof/>
            <w:webHidden/>
            <w:sz w:val="24"/>
            <w:szCs w:val="24"/>
          </w:rPr>
          <w:fldChar w:fldCharType="end"/>
        </w:r>
      </w:hyperlink>
    </w:p>
    <w:p w14:paraId="41ADB86B" w14:textId="42C78E30" w:rsidR="00601718" w:rsidRPr="00601718" w:rsidRDefault="00F53395" w:rsidP="00601718">
      <w:pPr>
        <w:pStyle w:val="TableofFigures"/>
        <w:tabs>
          <w:tab w:val="right" w:leader="dot" w:pos="7910"/>
        </w:tabs>
        <w:spacing w:line="360" w:lineRule="auto"/>
        <w:rPr>
          <w:rFonts w:asciiTheme="majorBidi" w:eastAsiaTheme="minorEastAsia" w:hAnsiTheme="majorBidi" w:cstheme="majorBidi"/>
          <w:noProof/>
          <w:sz w:val="24"/>
          <w:szCs w:val="24"/>
        </w:rPr>
      </w:pPr>
      <w:hyperlink w:anchor="_Toc134452509" w:history="1">
        <w:r w:rsidR="00601718" w:rsidRPr="00601718">
          <w:rPr>
            <w:rStyle w:val="Hyperlink"/>
            <w:rFonts w:asciiTheme="majorBidi" w:hAnsiTheme="majorBidi" w:cstheme="majorBidi"/>
            <w:noProof/>
            <w:sz w:val="24"/>
            <w:szCs w:val="24"/>
          </w:rPr>
          <w:t>Figure 2: Private school with yearly fees (Edarabia, 2021)</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_Toc134452509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30</w:t>
        </w:r>
        <w:r w:rsidR="00601718" w:rsidRPr="00601718">
          <w:rPr>
            <w:rFonts w:asciiTheme="majorBidi" w:hAnsiTheme="majorBidi" w:cstheme="majorBidi"/>
            <w:noProof/>
            <w:webHidden/>
            <w:sz w:val="24"/>
            <w:szCs w:val="24"/>
          </w:rPr>
          <w:fldChar w:fldCharType="end"/>
        </w:r>
      </w:hyperlink>
    </w:p>
    <w:p w14:paraId="4088B1CB" w14:textId="65A01C75" w:rsidR="00601718" w:rsidRPr="00601718" w:rsidRDefault="00F53395" w:rsidP="00601718">
      <w:pPr>
        <w:pStyle w:val="TableofFigures"/>
        <w:tabs>
          <w:tab w:val="right" w:leader="dot" w:pos="7910"/>
        </w:tabs>
        <w:spacing w:line="360" w:lineRule="auto"/>
        <w:rPr>
          <w:rFonts w:asciiTheme="majorBidi" w:eastAsiaTheme="minorEastAsia" w:hAnsiTheme="majorBidi" w:cstheme="majorBidi"/>
          <w:noProof/>
          <w:sz w:val="24"/>
          <w:szCs w:val="24"/>
        </w:rPr>
      </w:pPr>
      <w:hyperlink w:anchor="_Toc134452510" w:history="1">
        <w:r w:rsidR="00601718" w:rsidRPr="00601718">
          <w:rPr>
            <w:rStyle w:val="Hyperlink"/>
            <w:rFonts w:asciiTheme="majorBidi" w:hAnsiTheme="majorBidi" w:cstheme="majorBidi"/>
            <w:noProof/>
            <w:sz w:val="24"/>
            <w:szCs w:val="24"/>
          </w:rPr>
          <w:t>Figure 3:</w:t>
        </w:r>
        <w:r w:rsidR="00601718" w:rsidRPr="00601718">
          <w:rPr>
            <w:rStyle w:val="Hyperlink"/>
            <w:rFonts w:asciiTheme="majorBidi" w:eastAsia="Times New Roman" w:hAnsiTheme="majorBidi" w:cstheme="majorBidi"/>
            <w:noProof/>
            <w:sz w:val="24"/>
            <w:szCs w:val="24"/>
          </w:rPr>
          <w:t xml:space="preserve"> Participants confidence level</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_Toc134452510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82</w:t>
        </w:r>
        <w:r w:rsidR="00601718" w:rsidRPr="00601718">
          <w:rPr>
            <w:rFonts w:asciiTheme="majorBidi" w:hAnsiTheme="majorBidi" w:cstheme="majorBidi"/>
            <w:noProof/>
            <w:webHidden/>
            <w:sz w:val="24"/>
            <w:szCs w:val="24"/>
          </w:rPr>
          <w:fldChar w:fldCharType="end"/>
        </w:r>
      </w:hyperlink>
    </w:p>
    <w:p w14:paraId="5719992D" w14:textId="5A492628" w:rsidR="00601718" w:rsidRPr="00601718" w:rsidRDefault="00F53395" w:rsidP="00601718">
      <w:pPr>
        <w:pStyle w:val="TableofFigures"/>
        <w:tabs>
          <w:tab w:val="right" w:leader="dot" w:pos="7910"/>
        </w:tabs>
        <w:spacing w:line="360" w:lineRule="auto"/>
        <w:rPr>
          <w:rFonts w:asciiTheme="majorBidi" w:eastAsiaTheme="minorEastAsia" w:hAnsiTheme="majorBidi" w:cstheme="majorBidi"/>
          <w:noProof/>
          <w:sz w:val="24"/>
          <w:szCs w:val="24"/>
        </w:rPr>
      </w:pPr>
      <w:hyperlink w:anchor="_Toc134452511" w:history="1">
        <w:r w:rsidR="00601718" w:rsidRPr="00601718">
          <w:rPr>
            <w:rStyle w:val="Hyperlink"/>
            <w:rFonts w:asciiTheme="majorBidi" w:hAnsiTheme="majorBidi" w:cstheme="majorBidi"/>
            <w:noProof/>
            <w:sz w:val="24"/>
            <w:szCs w:val="24"/>
          </w:rPr>
          <w:t>Figure 4</w:t>
        </w:r>
        <w:r w:rsidR="00601718" w:rsidRPr="00601718">
          <w:rPr>
            <w:rStyle w:val="Hyperlink"/>
            <w:rFonts w:asciiTheme="majorBidi" w:eastAsia="Calibri" w:hAnsiTheme="majorBidi" w:cstheme="majorBidi"/>
            <w:iCs/>
            <w:noProof/>
            <w:sz w:val="24"/>
            <w:szCs w:val="24"/>
          </w:rPr>
          <w:t>: First orders model for cost school</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_Toc134452511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108</w:t>
        </w:r>
        <w:r w:rsidR="00601718" w:rsidRPr="00601718">
          <w:rPr>
            <w:rFonts w:asciiTheme="majorBidi" w:hAnsiTheme="majorBidi" w:cstheme="majorBidi"/>
            <w:noProof/>
            <w:webHidden/>
            <w:sz w:val="24"/>
            <w:szCs w:val="24"/>
          </w:rPr>
          <w:fldChar w:fldCharType="end"/>
        </w:r>
      </w:hyperlink>
    </w:p>
    <w:p w14:paraId="0C164AC9" w14:textId="0FF477A0" w:rsidR="00601718" w:rsidRPr="00601718" w:rsidRDefault="00F53395" w:rsidP="00601718">
      <w:pPr>
        <w:pStyle w:val="TableofFigures"/>
        <w:tabs>
          <w:tab w:val="right" w:leader="dot" w:pos="7910"/>
        </w:tabs>
        <w:spacing w:line="360" w:lineRule="auto"/>
        <w:rPr>
          <w:rFonts w:asciiTheme="majorBidi" w:eastAsiaTheme="minorEastAsia" w:hAnsiTheme="majorBidi" w:cstheme="majorBidi"/>
          <w:noProof/>
          <w:sz w:val="24"/>
          <w:szCs w:val="24"/>
        </w:rPr>
      </w:pPr>
      <w:hyperlink w:anchor="_Toc134452512" w:history="1">
        <w:r w:rsidR="00601718" w:rsidRPr="00601718">
          <w:rPr>
            <w:rStyle w:val="Hyperlink"/>
            <w:rFonts w:asciiTheme="majorBidi" w:hAnsiTheme="majorBidi" w:cstheme="majorBidi"/>
            <w:noProof/>
            <w:sz w:val="24"/>
            <w:szCs w:val="24"/>
          </w:rPr>
          <w:t>Figure 5</w:t>
        </w:r>
        <w:r w:rsidR="00601718" w:rsidRPr="00601718">
          <w:rPr>
            <w:rStyle w:val="Hyperlink"/>
            <w:rFonts w:asciiTheme="majorBidi" w:eastAsia="Calibri" w:hAnsiTheme="majorBidi" w:cstheme="majorBidi"/>
            <w:iCs/>
            <w:noProof/>
            <w:sz w:val="24"/>
            <w:szCs w:val="24"/>
          </w:rPr>
          <w:t>: First orders model for quality of school</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_Toc134452512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110</w:t>
        </w:r>
        <w:r w:rsidR="00601718" w:rsidRPr="00601718">
          <w:rPr>
            <w:rFonts w:asciiTheme="majorBidi" w:hAnsiTheme="majorBidi" w:cstheme="majorBidi"/>
            <w:noProof/>
            <w:webHidden/>
            <w:sz w:val="24"/>
            <w:szCs w:val="24"/>
          </w:rPr>
          <w:fldChar w:fldCharType="end"/>
        </w:r>
      </w:hyperlink>
    </w:p>
    <w:p w14:paraId="4E3FC906" w14:textId="375937E2" w:rsidR="00601718" w:rsidRPr="00601718" w:rsidRDefault="00F53395" w:rsidP="00601718">
      <w:pPr>
        <w:pStyle w:val="TableofFigures"/>
        <w:tabs>
          <w:tab w:val="right" w:leader="dot" w:pos="7910"/>
        </w:tabs>
        <w:spacing w:line="360" w:lineRule="auto"/>
        <w:rPr>
          <w:rFonts w:asciiTheme="majorBidi" w:eastAsiaTheme="minorEastAsia" w:hAnsiTheme="majorBidi" w:cstheme="majorBidi"/>
          <w:noProof/>
          <w:sz w:val="24"/>
          <w:szCs w:val="24"/>
        </w:rPr>
      </w:pPr>
      <w:hyperlink w:anchor="_Toc134452513" w:history="1">
        <w:r w:rsidR="00601718" w:rsidRPr="00601718">
          <w:rPr>
            <w:rStyle w:val="Hyperlink"/>
            <w:rFonts w:asciiTheme="majorBidi" w:hAnsiTheme="majorBidi" w:cstheme="majorBidi"/>
            <w:noProof/>
            <w:sz w:val="24"/>
            <w:szCs w:val="24"/>
          </w:rPr>
          <w:t>Figure 6</w:t>
        </w:r>
        <w:r w:rsidR="00601718" w:rsidRPr="00601718">
          <w:rPr>
            <w:rStyle w:val="Hyperlink"/>
            <w:rFonts w:asciiTheme="majorBidi" w:eastAsia="Calibri" w:hAnsiTheme="majorBidi" w:cstheme="majorBidi"/>
            <w:iCs/>
            <w:noProof/>
            <w:sz w:val="24"/>
            <w:szCs w:val="24"/>
          </w:rPr>
          <w:t>: SEM model</w:t>
        </w:r>
        <w:r w:rsidR="00601718" w:rsidRPr="00601718">
          <w:rPr>
            <w:rFonts w:asciiTheme="majorBidi" w:hAnsiTheme="majorBidi" w:cstheme="majorBidi"/>
            <w:noProof/>
            <w:webHidden/>
            <w:sz w:val="24"/>
            <w:szCs w:val="24"/>
          </w:rPr>
          <w:tab/>
        </w:r>
        <w:r w:rsidR="00601718" w:rsidRPr="00601718">
          <w:rPr>
            <w:rFonts w:asciiTheme="majorBidi" w:hAnsiTheme="majorBidi" w:cstheme="majorBidi"/>
            <w:noProof/>
            <w:webHidden/>
            <w:sz w:val="24"/>
            <w:szCs w:val="24"/>
          </w:rPr>
          <w:fldChar w:fldCharType="begin"/>
        </w:r>
        <w:r w:rsidR="00601718" w:rsidRPr="00601718">
          <w:rPr>
            <w:rFonts w:asciiTheme="majorBidi" w:hAnsiTheme="majorBidi" w:cstheme="majorBidi"/>
            <w:noProof/>
            <w:webHidden/>
            <w:sz w:val="24"/>
            <w:szCs w:val="24"/>
          </w:rPr>
          <w:instrText xml:space="preserve"> PAGEREF _Toc134452513 \h </w:instrText>
        </w:r>
        <w:r w:rsidR="00601718" w:rsidRPr="00601718">
          <w:rPr>
            <w:rFonts w:asciiTheme="majorBidi" w:hAnsiTheme="majorBidi" w:cstheme="majorBidi"/>
            <w:noProof/>
            <w:webHidden/>
            <w:sz w:val="24"/>
            <w:szCs w:val="24"/>
          </w:rPr>
        </w:r>
        <w:r w:rsidR="00601718" w:rsidRPr="00601718">
          <w:rPr>
            <w:rFonts w:asciiTheme="majorBidi" w:hAnsiTheme="majorBidi" w:cstheme="majorBidi"/>
            <w:noProof/>
            <w:webHidden/>
            <w:sz w:val="24"/>
            <w:szCs w:val="24"/>
          </w:rPr>
          <w:fldChar w:fldCharType="separate"/>
        </w:r>
        <w:r w:rsidR="00BA0BED">
          <w:rPr>
            <w:rFonts w:asciiTheme="majorBidi" w:hAnsiTheme="majorBidi" w:cstheme="majorBidi"/>
            <w:noProof/>
            <w:webHidden/>
            <w:sz w:val="24"/>
            <w:szCs w:val="24"/>
          </w:rPr>
          <w:t>114</w:t>
        </w:r>
        <w:r w:rsidR="00601718" w:rsidRPr="00601718">
          <w:rPr>
            <w:rFonts w:asciiTheme="majorBidi" w:hAnsiTheme="majorBidi" w:cstheme="majorBidi"/>
            <w:noProof/>
            <w:webHidden/>
            <w:sz w:val="24"/>
            <w:szCs w:val="24"/>
          </w:rPr>
          <w:fldChar w:fldCharType="end"/>
        </w:r>
      </w:hyperlink>
    </w:p>
    <w:p w14:paraId="000FDA61" w14:textId="77777777" w:rsidR="00B106BF" w:rsidRPr="00601718" w:rsidRDefault="00016620" w:rsidP="00601718">
      <w:pPr>
        <w:spacing w:line="360" w:lineRule="auto"/>
        <w:rPr>
          <w:rFonts w:asciiTheme="majorBidi" w:hAnsiTheme="majorBidi" w:cstheme="majorBidi"/>
          <w:sz w:val="24"/>
          <w:szCs w:val="24"/>
          <w:lang w:val="en-US"/>
        </w:rPr>
      </w:pPr>
      <w:r w:rsidRPr="00601718">
        <w:rPr>
          <w:rFonts w:asciiTheme="majorBidi" w:hAnsiTheme="majorBidi" w:cstheme="majorBidi"/>
          <w:sz w:val="24"/>
          <w:szCs w:val="24"/>
          <w:lang w:val="en-US"/>
        </w:rPr>
        <w:fldChar w:fldCharType="end"/>
      </w:r>
    </w:p>
    <w:p w14:paraId="7B395DA1" w14:textId="77777777" w:rsidR="00B106BF" w:rsidRDefault="00B106BF" w:rsidP="00B106BF">
      <w:pPr>
        <w:rPr>
          <w:rFonts w:asciiTheme="majorBidi" w:hAnsiTheme="majorBidi" w:cstheme="majorBidi"/>
          <w:sz w:val="24"/>
          <w:szCs w:val="24"/>
          <w:lang w:val="en-US"/>
        </w:rPr>
      </w:pPr>
    </w:p>
    <w:p w14:paraId="62C9D1A3" w14:textId="77777777" w:rsidR="00B106BF" w:rsidRDefault="00B106BF" w:rsidP="00B106BF">
      <w:pPr>
        <w:rPr>
          <w:rFonts w:asciiTheme="majorBidi" w:hAnsiTheme="majorBidi" w:cstheme="majorBidi"/>
          <w:sz w:val="24"/>
          <w:szCs w:val="24"/>
          <w:lang w:val="en-US"/>
        </w:rPr>
      </w:pPr>
    </w:p>
    <w:p w14:paraId="737C5445" w14:textId="77777777" w:rsidR="00B106BF" w:rsidRDefault="00B106BF" w:rsidP="00B106BF">
      <w:pPr>
        <w:rPr>
          <w:rFonts w:asciiTheme="majorBidi" w:hAnsiTheme="majorBidi" w:cstheme="majorBidi"/>
          <w:sz w:val="24"/>
          <w:szCs w:val="24"/>
          <w:lang w:val="en-US"/>
        </w:rPr>
      </w:pPr>
    </w:p>
    <w:p w14:paraId="03B9D727" w14:textId="77777777" w:rsidR="00B106BF" w:rsidRDefault="00B106BF" w:rsidP="00B106BF">
      <w:pPr>
        <w:rPr>
          <w:rFonts w:asciiTheme="majorBidi" w:hAnsiTheme="majorBidi" w:cstheme="majorBidi"/>
          <w:sz w:val="24"/>
          <w:szCs w:val="24"/>
          <w:lang w:val="en-US"/>
        </w:rPr>
      </w:pPr>
    </w:p>
    <w:p w14:paraId="0B7F9EDB" w14:textId="77777777" w:rsidR="00B106BF" w:rsidRDefault="00B106BF" w:rsidP="00B106BF">
      <w:pPr>
        <w:rPr>
          <w:rFonts w:asciiTheme="majorBidi" w:hAnsiTheme="majorBidi" w:cstheme="majorBidi"/>
          <w:sz w:val="24"/>
          <w:szCs w:val="24"/>
          <w:lang w:val="en-US"/>
        </w:rPr>
      </w:pPr>
    </w:p>
    <w:p w14:paraId="39FDE710" w14:textId="77777777" w:rsidR="00B106BF" w:rsidRDefault="00B106BF" w:rsidP="00B106BF">
      <w:pPr>
        <w:rPr>
          <w:rFonts w:asciiTheme="majorBidi" w:hAnsiTheme="majorBidi" w:cstheme="majorBidi"/>
          <w:sz w:val="24"/>
          <w:szCs w:val="24"/>
          <w:lang w:val="en-US"/>
        </w:rPr>
      </w:pPr>
    </w:p>
    <w:p w14:paraId="5C9630CB" w14:textId="77777777" w:rsidR="00B106BF" w:rsidRDefault="00B106BF" w:rsidP="00B106BF">
      <w:pPr>
        <w:rPr>
          <w:rFonts w:asciiTheme="majorBidi" w:hAnsiTheme="majorBidi" w:cstheme="majorBidi"/>
          <w:sz w:val="24"/>
          <w:szCs w:val="24"/>
          <w:lang w:val="en-US"/>
        </w:rPr>
      </w:pPr>
    </w:p>
    <w:p w14:paraId="08DACFBD" w14:textId="77777777" w:rsidR="00440AC0" w:rsidRDefault="00440AC0" w:rsidP="00B106BF">
      <w:pPr>
        <w:rPr>
          <w:lang w:val="en-US"/>
        </w:rPr>
        <w:sectPr w:rsidR="00440AC0" w:rsidSect="00BB6978">
          <w:footerReference w:type="default" r:id="rId26"/>
          <w:pgSz w:w="12240" w:h="15840"/>
          <w:pgMar w:top="1418" w:right="2160" w:bottom="1800" w:left="2160" w:header="720" w:footer="720" w:gutter="0"/>
          <w:pgNumType w:fmt="lowerRoman"/>
          <w:cols w:space="720"/>
          <w:docGrid w:linePitch="360"/>
        </w:sectPr>
      </w:pPr>
    </w:p>
    <w:p w14:paraId="4D604007" w14:textId="77777777" w:rsidR="00161F8B" w:rsidRPr="00BB6978" w:rsidRDefault="00161F8B" w:rsidP="00161F8B">
      <w:pPr>
        <w:pStyle w:val="Heading1"/>
        <w:jc w:val="center"/>
        <w:rPr>
          <w:rFonts w:asciiTheme="majorBidi" w:hAnsiTheme="majorBidi"/>
          <w:b w:val="0"/>
          <w:bCs w:val="0"/>
          <w:color w:val="auto"/>
          <w:lang w:eastAsia="en-GB" w:bidi="en-GB"/>
        </w:rPr>
      </w:pPr>
      <w:bookmarkStart w:id="27" w:name="_Toc64369108"/>
      <w:bookmarkStart w:id="28" w:name="_Toc96103726"/>
      <w:bookmarkStart w:id="29" w:name="_Toc138239775"/>
      <w:bookmarkEnd w:id="21"/>
      <w:r w:rsidRPr="00BB6978">
        <w:rPr>
          <w:rFonts w:asciiTheme="majorBidi" w:hAnsiTheme="majorBidi"/>
          <w:color w:val="auto"/>
          <w:lang w:eastAsia="en-GB" w:bidi="en-GB"/>
        </w:rPr>
        <w:t>CHAPTER I – Introduction</w:t>
      </w:r>
      <w:bookmarkEnd w:id="27"/>
      <w:bookmarkEnd w:id="28"/>
      <w:bookmarkEnd w:id="29"/>
    </w:p>
    <w:p w14:paraId="0085397E" w14:textId="77777777" w:rsidR="00C27B4B" w:rsidRPr="00BB6978" w:rsidRDefault="00C27B4B" w:rsidP="00B91029">
      <w:pPr>
        <w:pStyle w:val="Heading1"/>
        <w:numPr>
          <w:ilvl w:val="1"/>
          <w:numId w:val="5"/>
        </w:numPr>
        <w:tabs>
          <w:tab w:val="num" w:pos="360"/>
        </w:tabs>
        <w:ind w:left="0" w:firstLine="0"/>
        <w:rPr>
          <w:rFonts w:asciiTheme="majorBidi" w:eastAsia="Times New Roman" w:hAnsiTheme="majorBidi"/>
          <w:b w:val="0"/>
          <w:bCs w:val="0"/>
          <w:color w:val="auto"/>
          <w:sz w:val="24"/>
          <w:szCs w:val="24"/>
        </w:rPr>
      </w:pPr>
      <w:bookmarkStart w:id="30" w:name="_Toc138239776"/>
      <w:bookmarkStart w:id="31" w:name="_Toc64369112"/>
      <w:bookmarkStart w:id="32" w:name="_Toc96103731"/>
      <w:r w:rsidRPr="00BB6978">
        <w:rPr>
          <w:rFonts w:asciiTheme="majorBidi" w:eastAsia="Times New Roman" w:hAnsiTheme="majorBidi"/>
          <w:color w:val="auto"/>
          <w:sz w:val="24"/>
          <w:szCs w:val="24"/>
        </w:rPr>
        <w:t>Introduction</w:t>
      </w:r>
      <w:bookmarkEnd w:id="30"/>
    </w:p>
    <w:p w14:paraId="11FB4E4C" w14:textId="77777777" w:rsidR="00C27B4B" w:rsidRPr="00BB6978" w:rsidRDefault="00C27B4B" w:rsidP="00C27B4B"/>
    <w:p w14:paraId="70F783F0" w14:textId="77777777" w:rsidR="00C27B4B" w:rsidRPr="00BB6978" w:rsidRDefault="00C27B4B" w:rsidP="00C27B4B">
      <w:pPr>
        <w:autoSpaceDE w:val="0"/>
        <w:autoSpaceDN w:val="0"/>
        <w:adjustRightInd w:val="0"/>
        <w:spacing w:after="68" w:line="480" w:lineRule="auto"/>
        <w:ind w:firstLine="357"/>
        <w:jc w:val="both"/>
        <w:rPr>
          <w:rFonts w:ascii="Times New Roman" w:eastAsia="Times New Roman" w:hAnsi="Times New Roman" w:cs="Times New Roman"/>
          <w:sz w:val="24"/>
          <w:szCs w:val="24"/>
        </w:rPr>
      </w:pPr>
      <w:bookmarkStart w:id="33" w:name="_Toc64369109"/>
      <w:bookmarkStart w:id="34" w:name="_Toc96103728"/>
      <w:r w:rsidRPr="00BB6978">
        <w:rPr>
          <w:rFonts w:ascii="Times New Roman" w:eastAsia="Times New Roman" w:hAnsi="Times New Roman" w:cs="Times New Roman"/>
          <w:sz w:val="24"/>
          <w:szCs w:val="24"/>
        </w:rPr>
        <w:t xml:space="preserve">This study examines the relationship between school cost, school quality, and student achievements in private schools in the United Arab Emirates from the parents’ perspectives. Furthermore, this study explores the impact of some socioeconomic factors as moderators (parents’ </w:t>
      </w:r>
      <w:r w:rsidR="00D637C1" w:rsidRPr="00BB6978">
        <w:rPr>
          <w:rFonts w:ascii="Times New Roman" w:eastAsia="Times New Roman" w:hAnsi="Times New Roman" w:cs="Times New Roman"/>
          <w:sz w:val="24"/>
          <w:szCs w:val="24"/>
        </w:rPr>
        <w:t>in</w:t>
      </w:r>
      <w:r w:rsidRPr="00BB6978">
        <w:rPr>
          <w:rFonts w:ascii="Times New Roman" w:eastAsia="Times New Roman" w:hAnsi="Times New Roman" w:cs="Times New Roman"/>
          <w:sz w:val="24"/>
          <w:szCs w:val="24"/>
        </w:rPr>
        <w:t>come</w:t>
      </w:r>
      <w:r w:rsidR="00D637C1" w:rsidRPr="00BB6978">
        <w:rPr>
          <w:rFonts w:ascii="Times New Roman" w:eastAsia="Times New Roman" w:hAnsi="Times New Roman" w:cs="Times New Roman"/>
          <w:sz w:val="24"/>
          <w:szCs w:val="24"/>
        </w:rPr>
        <w:t xml:space="preserve"> and </w:t>
      </w:r>
      <w:r w:rsidRPr="00BB6978">
        <w:rPr>
          <w:rFonts w:ascii="Times New Roman" w:eastAsia="Times New Roman" w:hAnsi="Times New Roman" w:cs="Times New Roman"/>
          <w:sz w:val="24"/>
          <w:szCs w:val="24"/>
        </w:rPr>
        <w:t>education) on the strength and direction of this relationship. This introductory chapter provides a brief overview of education in the UAE; it outlines the problem statement, the study's rationale, purpose, objectives, research questions, and significance. Finally, definitions of key terms and the organization of the study are presented.</w:t>
      </w:r>
    </w:p>
    <w:p w14:paraId="628D7AB8" w14:textId="77777777" w:rsidR="00C27B4B" w:rsidRPr="00BB6978" w:rsidRDefault="00C27B4B" w:rsidP="00B91029">
      <w:pPr>
        <w:pStyle w:val="Heading1"/>
        <w:numPr>
          <w:ilvl w:val="1"/>
          <w:numId w:val="5"/>
        </w:numPr>
        <w:jc w:val="both"/>
        <w:rPr>
          <w:rFonts w:asciiTheme="majorBidi" w:eastAsia="Times New Roman" w:hAnsiTheme="majorBidi"/>
          <w:color w:val="auto"/>
          <w:sz w:val="24"/>
          <w:szCs w:val="24"/>
        </w:rPr>
      </w:pPr>
      <w:bookmarkStart w:id="35" w:name="_Toc138239777"/>
      <w:bookmarkEnd w:id="33"/>
      <w:bookmarkEnd w:id="34"/>
      <w:r w:rsidRPr="00BB6978">
        <w:rPr>
          <w:rFonts w:asciiTheme="majorBidi" w:eastAsia="Times New Roman" w:hAnsiTheme="majorBidi"/>
          <w:color w:val="auto"/>
          <w:sz w:val="24"/>
          <w:szCs w:val="24"/>
        </w:rPr>
        <w:t>The Relationship between School Cost and Quality</w:t>
      </w:r>
      <w:bookmarkEnd w:id="35"/>
      <w:r w:rsidRPr="00BB6978">
        <w:rPr>
          <w:rFonts w:asciiTheme="majorBidi" w:eastAsia="Times New Roman" w:hAnsiTheme="majorBidi"/>
          <w:color w:val="auto"/>
          <w:sz w:val="24"/>
          <w:szCs w:val="24"/>
        </w:rPr>
        <w:t xml:space="preserve"> </w:t>
      </w:r>
    </w:p>
    <w:p w14:paraId="68A9D60F" w14:textId="77777777" w:rsidR="00834997" w:rsidRPr="00BB6978" w:rsidRDefault="00834997" w:rsidP="00834997">
      <w:pPr>
        <w:rPr>
          <w:sz w:val="6"/>
          <w:szCs w:val="6"/>
        </w:rPr>
      </w:pPr>
    </w:p>
    <w:p w14:paraId="5685E8E5" w14:textId="2A3D9B42" w:rsidR="0054784E" w:rsidRPr="00BB6978" w:rsidRDefault="0054784E" w:rsidP="0054784E">
      <w:pPr>
        <w:autoSpaceDE w:val="0"/>
        <w:autoSpaceDN w:val="0"/>
        <w:adjustRightInd w:val="0"/>
        <w:spacing w:after="68" w:line="480" w:lineRule="auto"/>
        <w:ind w:firstLine="360"/>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 xml:space="preserve">Private schools are independently funded and primarily rely on fees paid by parents for their revenue (Akaguri, 2014). The costs of private schools vary based on factors such as region, </w:t>
      </w:r>
      <w:r w:rsidR="00E419C9" w:rsidRPr="00BB6978">
        <w:rPr>
          <w:rFonts w:ascii="Times New Roman" w:eastAsia="Times New Roman" w:hAnsi="Times New Roman" w:cs="Times New Roman"/>
          <w:sz w:val="24"/>
          <w:szCs w:val="24"/>
        </w:rPr>
        <w:t>neighbourhood</w:t>
      </w:r>
      <w:r w:rsidRPr="00BB6978">
        <w:rPr>
          <w:rFonts w:ascii="Times New Roman" w:eastAsia="Times New Roman" w:hAnsi="Times New Roman" w:cs="Times New Roman"/>
          <w:sz w:val="24"/>
          <w:szCs w:val="24"/>
        </w:rPr>
        <w:t>, competitive advantages, and perceived quality of provided services, which are mainly evaluated based on infrastructure and teaching quality (Day et al., 2014). As such, in developing countries, the cost of private education is a significant consideration for parents when choosing a school for their children (Akaguri, 2014; Heyneman &amp; Stern, 2014; Rose, 2009).</w:t>
      </w:r>
      <w:bookmarkStart w:id="36" w:name="_Hlk137914510"/>
      <w:r w:rsidR="00073A16" w:rsidRPr="00BB6978">
        <w:rPr>
          <w:rFonts w:ascii="Times New Roman" w:eastAsia="Times New Roman" w:hAnsi="Times New Roman" w:cs="Times New Roman"/>
          <w:sz w:val="24"/>
          <w:szCs w:val="24"/>
        </w:rPr>
        <w:t xml:space="preserve"> </w:t>
      </w:r>
      <w:bookmarkEnd w:id="36"/>
      <w:r w:rsidR="000978C0" w:rsidRPr="00BB6978">
        <w:rPr>
          <w:rFonts w:ascii="Times New Roman" w:eastAsia="Times New Roman" w:hAnsi="Times New Roman" w:cs="Times New Roman"/>
          <w:sz w:val="24"/>
          <w:szCs w:val="24"/>
        </w:rPr>
        <w:t>While several factors come into play when parents choose a school in different contexts, such as the number of children and income levels, research has consistently shown that highly educated parents are more willing to invest greater sums in their children's education (Rowe &amp; Perry, 2020).</w:t>
      </w:r>
      <w:r w:rsidR="000978C0" w:rsidRPr="00BB6978">
        <w:rPr>
          <w:rFonts w:ascii="Söhne" w:hAnsi="Söhne"/>
          <w:shd w:val="clear" w:color="auto" w:fill="F7F7F8"/>
        </w:rPr>
        <w:t xml:space="preserve"> </w:t>
      </w:r>
      <w:r w:rsidR="000978C0" w:rsidRPr="00BB6978">
        <w:rPr>
          <w:rFonts w:ascii="Times New Roman" w:eastAsia="Times New Roman" w:hAnsi="Times New Roman" w:cs="Times New Roman"/>
          <w:sz w:val="24"/>
          <w:szCs w:val="24"/>
        </w:rPr>
        <w:t xml:space="preserve">Moreover, despite the considerable financial burden private education places on most families, parents demonstrate a willingness to pay even higher amounts to ensure their children receive a quality education </w:t>
      </w:r>
      <w:r w:rsidRPr="00BB6978">
        <w:rPr>
          <w:rFonts w:ascii="Times New Roman" w:eastAsia="Times New Roman" w:hAnsi="Times New Roman" w:cs="Times New Roman"/>
          <w:sz w:val="24"/>
          <w:szCs w:val="24"/>
        </w:rPr>
        <w:t>(Härmä, 2011; Lewin, 2007; Nishimura &amp; Yamano, 2013; Woodhead et al., 2013).</w:t>
      </w:r>
    </w:p>
    <w:p w14:paraId="6A448529" w14:textId="77777777" w:rsidR="0054784E" w:rsidRPr="00BB6978" w:rsidRDefault="0054784E" w:rsidP="0054784E">
      <w:pPr>
        <w:autoSpaceDE w:val="0"/>
        <w:autoSpaceDN w:val="0"/>
        <w:adjustRightInd w:val="0"/>
        <w:spacing w:after="68" w:line="480" w:lineRule="auto"/>
        <w:ind w:firstLine="360"/>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Parents generally believe that private schools provide more personalized and differentiated instruction due to small class sizes and a reasonable teacher-student ratio (Akaguri, 2014). Additionally, Day et al. (2014) assert that teachers in private schools are more accountable, have fewer absences, and are more engaged due to closer supervision from the school administration and easy communication with parents. The consistent demand for private schools is due to their demonstrated achievement in mathematics and language compared to government schools, supporting an increased role for private education in developing countries (Alderman et al., 2001). Many countries have experienced significant growth in private education (Akaguri, 2014; Day et al., 2014; Härmä, 2013; Tooley &amp; Dixon, 2006).</w:t>
      </w:r>
    </w:p>
    <w:p w14:paraId="61B56C48" w14:textId="77777777" w:rsidR="0054784E" w:rsidRPr="00BB6978" w:rsidRDefault="0054784E" w:rsidP="0054784E">
      <w:pPr>
        <w:autoSpaceDE w:val="0"/>
        <w:autoSpaceDN w:val="0"/>
        <w:adjustRightInd w:val="0"/>
        <w:spacing w:after="68" w:line="480" w:lineRule="auto"/>
        <w:ind w:firstLine="360"/>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 xml:space="preserve">Private schools are typically sought after in areas where public schools are unavailable or underperforming, often serving disadvantaged communities. However, in the UAE, expats opt for private schools due to the unavailability of public schooling options. Additionally, private school fees in the CGC are considerably higher compared to other countries globally. </w:t>
      </w:r>
    </w:p>
    <w:p w14:paraId="0807DFB3" w14:textId="77777777" w:rsidR="0054784E" w:rsidRPr="00BB6978" w:rsidRDefault="0054784E" w:rsidP="0054784E">
      <w:pPr>
        <w:autoSpaceDE w:val="0"/>
        <w:autoSpaceDN w:val="0"/>
        <w:adjustRightInd w:val="0"/>
        <w:spacing w:after="68" w:line="480" w:lineRule="auto"/>
        <w:ind w:firstLine="360"/>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Many parents tend to prefer enrolling their children in private schools for various reasons. Private schools are held accountable to parents as they have the option to move their children to other private or public schools if they are dissatisfied with the education provided (Härmä, 2013; Tooley &amp; Dixon, 2006). Additionally, parents often associate strict discipline more with private schools than government schools (Oketch et al., 2010). Although these factors serve as proxies for quality, they are significant pieces of information that parents consider when making decisions.</w:t>
      </w:r>
    </w:p>
    <w:p w14:paraId="311D8BD4" w14:textId="77777777" w:rsidR="00C27B4B" w:rsidRPr="00BB6978" w:rsidRDefault="00C27B4B" w:rsidP="00B91029">
      <w:pPr>
        <w:pStyle w:val="Heading1"/>
        <w:numPr>
          <w:ilvl w:val="1"/>
          <w:numId w:val="5"/>
        </w:numPr>
        <w:rPr>
          <w:rFonts w:asciiTheme="majorBidi" w:eastAsia="Times New Roman" w:hAnsiTheme="majorBidi"/>
          <w:color w:val="auto"/>
          <w:sz w:val="24"/>
          <w:szCs w:val="24"/>
        </w:rPr>
      </w:pPr>
      <w:bookmarkStart w:id="37" w:name="_Toc138239778"/>
      <w:r w:rsidRPr="00BB6978">
        <w:rPr>
          <w:rFonts w:asciiTheme="majorBidi" w:eastAsia="Times New Roman" w:hAnsiTheme="majorBidi"/>
          <w:color w:val="auto"/>
          <w:sz w:val="24"/>
          <w:szCs w:val="24"/>
        </w:rPr>
        <w:t>School Cost and Quality and its Relation to Students’ Achievement</w:t>
      </w:r>
      <w:bookmarkEnd w:id="37"/>
    </w:p>
    <w:p w14:paraId="558A0786" w14:textId="77777777" w:rsidR="00834997" w:rsidRPr="00BB6978" w:rsidRDefault="00834997" w:rsidP="00834997">
      <w:pPr>
        <w:rPr>
          <w:sz w:val="6"/>
          <w:szCs w:val="6"/>
        </w:rPr>
      </w:pPr>
    </w:p>
    <w:p w14:paraId="2B4F92C5" w14:textId="734CD015" w:rsidR="00D8751E" w:rsidRPr="00BB6978" w:rsidRDefault="00D8751E" w:rsidP="00D363DA">
      <w:pPr>
        <w:spacing w:line="480" w:lineRule="auto"/>
        <w:ind w:firstLine="360"/>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Theoretically, socioeconomic factors play a significant role in students’ academic enactment</w:t>
      </w:r>
      <w:r w:rsidR="000978C0" w:rsidRPr="00BB6978">
        <w:rPr>
          <w:rFonts w:ascii="Times New Roman" w:eastAsia="Times New Roman" w:hAnsi="Times New Roman" w:cs="Times New Roman"/>
          <w:sz w:val="24"/>
          <w:szCs w:val="24"/>
        </w:rPr>
        <w:t xml:space="preserve"> (</w:t>
      </w:r>
      <w:r w:rsidR="000978C0" w:rsidRPr="00BB6978">
        <w:rPr>
          <w:rFonts w:ascii="Times New Roman" w:hAnsi="Times New Roman" w:cs="Times New Roman"/>
          <w:sz w:val="24"/>
          <w:szCs w:val="24"/>
        </w:rPr>
        <w:t>Liu et al., 2020)</w:t>
      </w:r>
      <w:r w:rsidR="000978C0" w:rsidRPr="00BB6978">
        <w:rPr>
          <w:rFonts w:ascii="Times New Roman" w:eastAsia="Times New Roman" w:hAnsi="Times New Roman" w:cs="Times New Roman"/>
          <w:sz w:val="24"/>
          <w:szCs w:val="24"/>
        </w:rPr>
        <w:t>.</w:t>
      </w:r>
      <w:r w:rsidRPr="00BB6978">
        <w:rPr>
          <w:rFonts w:ascii="Times New Roman" w:eastAsia="Times New Roman" w:hAnsi="Times New Roman" w:cs="Times New Roman"/>
          <w:sz w:val="24"/>
          <w:szCs w:val="24"/>
        </w:rPr>
        <w:t xml:space="preserve"> These factors are usually measured by education, occupation, and the family’s monthly income against the country’s living standards. (Kumaravel Udayakumar, 2022). For many people, education is an effective mechanism of change and development. From their point of view, it supports the economy of an individual, which as a result, will affect the whole status of the social community (Bandyopadhyay et al., 2021; Tilak, 2021). In the same vein, scholars revealed that education significantly reduces socioeconomic inequalities in developing countries (Karlidag et al., 2020; Okoro, 2020). Thus, parents essentially recognize the importance of school quality in terms of student achievement and teaching. Some parents put much stress on other components to be available when registering their children in private schools, such as curriculum and resources, discipline, and building facilities. Some other parents focus on English as a medium in the classroom (Piper &amp; Mugenda, 2013). Therefore, parents appeared to be motivated more by school quality considerations. However, they are still discouraged by the principal issue of cost</w:t>
      </w:r>
      <w:r w:rsidRPr="00BB6978">
        <w:rPr>
          <w:rFonts w:ascii="Georgia" w:hAnsi="Georgia"/>
        </w:rPr>
        <w:t xml:space="preserve"> (</w:t>
      </w:r>
      <w:r w:rsidRPr="00BB6978">
        <w:rPr>
          <w:rFonts w:ascii="Times New Roman" w:eastAsia="Times New Roman" w:hAnsi="Times New Roman" w:cs="Times New Roman"/>
          <w:sz w:val="24"/>
          <w:szCs w:val="24"/>
        </w:rPr>
        <w:t>Ainsworth et al., 2020), who revealed how these perceptions were related to the parents’ decision-making when they were more thoughtful about school quality concerns or costs.</w:t>
      </w:r>
      <w:r w:rsidRPr="00BB6978">
        <w:t xml:space="preserve"> </w:t>
      </w:r>
      <w:r w:rsidRPr="00BB6978">
        <w:rPr>
          <w:rFonts w:ascii="Times New Roman" w:eastAsia="Times New Roman" w:hAnsi="Times New Roman" w:cs="Times New Roman"/>
          <w:sz w:val="24"/>
          <w:szCs w:val="24"/>
        </w:rPr>
        <w:t>Recently, there has been significant variation in the supply of resources among private schools which determines the fees charged and the quality among these schools</w:t>
      </w:r>
      <w:r w:rsidR="00064030" w:rsidRPr="00BB6978">
        <w:rPr>
          <w:rFonts w:ascii="Times New Roman" w:eastAsia="Times New Roman" w:hAnsi="Times New Roman" w:cs="Times New Roman"/>
          <w:sz w:val="24"/>
          <w:szCs w:val="24"/>
        </w:rPr>
        <w:t xml:space="preserve"> (</w:t>
      </w:r>
      <w:r w:rsidR="00064030" w:rsidRPr="00BB6978">
        <w:rPr>
          <w:rFonts w:ascii="Times New Roman" w:hAnsi="Times New Roman" w:cs="Times New Roman"/>
          <w:sz w:val="24"/>
          <w:szCs w:val="24"/>
        </w:rPr>
        <w:t>Spaull, 2019)</w:t>
      </w:r>
      <w:r w:rsidR="00064030" w:rsidRPr="00BB6978">
        <w:rPr>
          <w:rFonts w:ascii="Times New Roman" w:eastAsia="Times New Roman" w:hAnsi="Times New Roman" w:cs="Times New Roman"/>
          <w:sz w:val="24"/>
          <w:szCs w:val="24"/>
        </w:rPr>
        <w:t>.</w:t>
      </w:r>
      <w:r w:rsidR="00064030" w:rsidRPr="00BB6978">
        <w:rPr>
          <w:rFonts w:ascii="Georgia" w:hAnsi="Georgia"/>
        </w:rPr>
        <w:t xml:space="preserve"> </w:t>
      </w:r>
      <w:r w:rsidRPr="00BB6978">
        <w:rPr>
          <w:rFonts w:ascii="Georgia" w:hAnsi="Georgia"/>
        </w:rPr>
        <w:t xml:space="preserve"> </w:t>
      </w:r>
      <w:r w:rsidRPr="00BB6978">
        <w:rPr>
          <w:rFonts w:ascii="Times New Roman" w:eastAsia="Times New Roman" w:hAnsi="Times New Roman" w:cs="Times New Roman"/>
          <w:sz w:val="24"/>
          <w:szCs w:val="24"/>
        </w:rPr>
        <w:t xml:space="preserve">A plethora of literature has investigated the parent inclinations for school features, like quality (Abdulkadiroğlu et al., 2020; Ainsworth et al., 2020; Campos &amp; Kearns, 2021). Sometimes the quality of high-status private schools is the same as, and even better than, high-quality public schools, leading families to compete severely for these private schools even if paying high school tuition fees (Ainsworth et al., 2020; Campos &amp; Kearns, 2021). </w:t>
      </w:r>
      <w:r w:rsidR="00064030" w:rsidRPr="00BB6978">
        <w:rPr>
          <w:rFonts w:ascii="Times New Roman" w:eastAsia="Times New Roman" w:hAnsi="Times New Roman" w:cs="Times New Roman"/>
          <w:sz w:val="24"/>
          <w:szCs w:val="24"/>
        </w:rPr>
        <w:t xml:space="preserve">Although some studies (e.g., Hill &amp; Taylor, 2004) indicated that parent income did not influence children’s academic achievement much, others (e.g., Gobena, 2018) found that </w:t>
      </w:r>
      <w:r w:rsidRPr="00BB6978">
        <w:rPr>
          <w:rFonts w:ascii="Times New Roman" w:eastAsia="Times New Roman" w:hAnsi="Times New Roman" w:cs="Times New Roman"/>
          <w:sz w:val="24"/>
          <w:szCs w:val="24"/>
        </w:rPr>
        <w:t>educated parents can encourage their children’s academic achievement through monitoring and regular supervision, while non-educated parents have limited contributions to their children’s academic achievements (Gobena, 2018). Thus, the influence of socioeconomic factors is relatively varied, which makes it a good area of study in the UAE context, mainly when it is investigated in terms of the quality and cost the private schools.</w:t>
      </w:r>
    </w:p>
    <w:p w14:paraId="26BE6968" w14:textId="77777777" w:rsidR="00C27B4B" w:rsidRPr="00BB6978" w:rsidRDefault="00C27B4B" w:rsidP="00C27B4B">
      <w:pPr>
        <w:pStyle w:val="Heading1"/>
        <w:rPr>
          <w:rFonts w:asciiTheme="majorBidi" w:eastAsia="Times New Roman" w:hAnsiTheme="majorBidi"/>
          <w:color w:val="auto"/>
          <w:sz w:val="24"/>
          <w:szCs w:val="24"/>
        </w:rPr>
      </w:pPr>
      <w:bookmarkStart w:id="38" w:name="_Toc138239779"/>
      <w:r w:rsidRPr="00BB6978">
        <w:rPr>
          <w:rFonts w:asciiTheme="majorBidi" w:eastAsia="Times New Roman" w:hAnsiTheme="majorBidi"/>
          <w:color w:val="auto"/>
          <w:sz w:val="24"/>
          <w:szCs w:val="24"/>
        </w:rPr>
        <w:t>1.4 Socio-Economic Factors and School Quality, Cost, and Students’ Achievement</w:t>
      </w:r>
      <w:bookmarkEnd w:id="38"/>
    </w:p>
    <w:p w14:paraId="71DE8C73" w14:textId="77777777" w:rsidR="00C27B4B" w:rsidRPr="00BB6978" w:rsidRDefault="00C27B4B" w:rsidP="00C27B4B">
      <w:pPr>
        <w:rPr>
          <w:sz w:val="6"/>
          <w:szCs w:val="6"/>
        </w:rPr>
      </w:pPr>
    </w:p>
    <w:p w14:paraId="01BF1789" w14:textId="77777777" w:rsidR="00C27B4B" w:rsidRPr="00BB6978" w:rsidRDefault="00C27B4B" w:rsidP="00C27B4B">
      <w:pPr>
        <w:spacing w:line="480" w:lineRule="auto"/>
        <w:ind w:firstLine="550"/>
        <w:jc w:val="both"/>
        <w:rPr>
          <w:rFonts w:asciiTheme="majorBidi" w:hAnsiTheme="majorBidi" w:cstheme="majorBidi"/>
          <w:sz w:val="24"/>
          <w:szCs w:val="24"/>
        </w:rPr>
      </w:pPr>
      <w:r w:rsidRPr="00BB6978">
        <w:rPr>
          <w:rFonts w:asciiTheme="majorBidi" w:hAnsiTheme="majorBidi" w:cstheme="majorBidi"/>
          <w:sz w:val="24"/>
          <w:szCs w:val="24"/>
        </w:rPr>
        <w:t xml:space="preserve">Research shows that school quality and socio-economic factors significantly impact students’ academic achievement (Gemici et al., 2013; Gonski et al., 2011; Lim et al., 2014; Perry &amp; McConney, 2010; Watson &amp; Ryan, 2010). For example, Lim et al. (2014) investigated the interaction between school quality and students’ socio-economic status and how it affects their academic achievement. They revealed that schools with high academic quality significantly impact students’ academic achievement, especially those who are low achievers, regardless of their socio-economic status. However, low-quality schools significantly impact students’ academic achievement, especially those with high socio-economic status. This could be attributed to the belief that students from high socio-economic status can pay for low-quality schools to complete their academic requirements. Unlike Lim’s et al. study, which addressed the relationship between school quality, students’ socioeconomic status, and academic achievement from high school students’ perspectives, the current study addresses the same notion from the parents’ perspectives in addition to the school cost as a new variable to understand this relationship. On the contrary, Abenawe (2022) reached a different conclusion based on the students’ and teachers’ perspectives. He revealed that the relationship between socio-economic status and school quality regarding the quality of the learning environment and students’ performance was not statistically confirmed. This implies no association between families’ socio-economic status and their children’s academic achievement. In addition to that, Abenawe (2022) investigated the direct relationship between school quality and students’ academic achievement. He concluded that there is a negative relationship between both variables, which means the higher the quality learning environment in the school, the lower the total grades; thus, better performance will be shown. However, the lower the school quality, the higher the total grades; thus, poor performance will be shown, which is also confirmed by Lim et al. (2014). </w:t>
      </w:r>
    </w:p>
    <w:p w14:paraId="1AF68AB5" w14:textId="77777777" w:rsidR="00C27B4B" w:rsidRPr="00BB6978" w:rsidRDefault="00C32BA9" w:rsidP="00D35529">
      <w:pPr>
        <w:spacing w:after="0" w:line="480" w:lineRule="auto"/>
        <w:ind w:firstLine="550"/>
        <w:jc w:val="both"/>
        <w:rPr>
          <w:rFonts w:asciiTheme="majorBidi" w:hAnsiTheme="majorBidi" w:cstheme="majorBidi"/>
          <w:sz w:val="24"/>
          <w:szCs w:val="24"/>
        </w:rPr>
      </w:pPr>
      <w:r w:rsidRPr="00BB6978">
        <w:rPr>
          <w:rFonts w:asciiTheme="majorBidi" w:hAnsiTheme="majorBidi" w:cstheme="majorBidi"/>
          <w:sz w:val="24"/>
          <w:szCs w:val="24"/>
        </w:rPr>
        <w:t xml:space="preserve">Studies have approached the relationship between school cost and socio-economic status and achievement from various angles. Declercq and Verboven (2015) focused on higher education and found that disadvantaged students' preferences and abilities have a greater impact on their enrolment decisions than cost sensitivity. In contrast, Greenwald et al. (1996) discovered that higher spending on learning resources leads to better student outcomes, which can affect school costs. Kapinga (2014) explored the link between parents' socio-economic status and academic achievement from different perspectives, including parents', teachers', and </w:t>
      </w:r>
      <w:r w:rsidR="00D35529" w:rsidRPr="00BB6978">
        <w:rPr>
          <w:rFonts w:asciiTheme="majorBidi" w:hAnsiTheme="majorBidi" w:cstheme="majorBidi"/>
          <w:sz w:val="24"/>
          <w:szCs w:val="24"/>
        </w:rPr>
        <w:t>students</w:t>
      </w:r>
      <w:r w:rsidRPr="00BB6978">
        <w:rPr>
          <w:rFonts w:asciiTheme="majorBidi" w:hAnsiTheme="majorBidi" w:cstheme="majorBidi"/>
          <w:sz w:val="24"/>
          <w:szCs w:val="24"/>
        </w:rPr>
        <w:t>. The findings indicated a strong connection between parents' socio-economic status and student academic achievement, with school fees being one of the factors contributing to students' dropout rates, particularly among secondary school students.</w:t>
      </w:r>
      <w:r w:rsidR="00D35529" w:rsidRPr="00BB6978">
        <w:rPr>
          <w:rFonts w:asciiTheme="majorBidi" w:hAnsiTheme="majorBidi" w:cstheme="majorBidi"/>
          <w:sz w:val="24"/>
          <w:szCs w:val="24"/>
        </w:rPr>
        <w:t xml:space="preserve"> </w:t>
      </w:r>
      <w:r w:rsidR="00C27B4B" w:rsidRPr="00BB6978">
        <w:rPr>
          <w:rFonts w:asciiTheme="majorBidi" w:hAnsiTheme="majorBidi" w:cstheme="majorBidi"/>
          <w:sz w:val="24"/>
          <w:szCs w:val="24"/>
        </w:rPr>
        <w:t>Within the same line, a direct relationship between parents’ socio-economic status and students’ academic achievement was also investigated by Udayakumar et al. (2022) from the high school students’ perspectives. They revealed that parents’ educational level and occupation, especially the mothers, considerably impact their children’s academic achievement. At the same time, the family’s income negatively affects students’ academic achievement. However, the school types, costs, and resources strongly affect high school students’ academic achievement. Based on that, there is still a paucity of research regarding how school cost is associated with the students’ academic achievement and how this relationship is affected by parents’ socio-economic status, which is the purpose of this study.</w:t>
      </w:r>
    </w:p>
    <w:p w14:paraId="7F341479" w14:textId="77777777" w:rsidR="00D363DA" w:rsidRPr="00BB6978" w:rsidRDefault="00D363DA" w:rsidP="00D35529">
      <w:pPr>
        <w:spacing w:after="0" w:line="480" w:lineRule="auto"/>
        <w:ind w:firstLine="550"/>
        <w:jc w:val="both"/>
        <w:rPr>
          <w:rFonts w:asciiTheme="majorBidi" w:hAnsiTheme="majorBidi" w:cstheme="majorBidi"/>
          <w:sz w:val="24"/>
          <w:szCs w:val="24"/>
        </w:rPr>
      </w:pPr>
    </w:p>
    <w:p w14:paraId="53D69C0D" w14:textId="77777777" w:rsidR="00C27B4B" w:rsidRPr="00BB6978" w:rsidRDefault="00C27B4B" w:rsidP="001B453A">
      <w:pPr>
        <w:pStyle w:val="Heading1"/>
        <w:numPr>
          <w:ilvl w:val="1"/>
          <w:numId w:val="9"/>
        </w:numPr>
        <w:rPr>
          <w:rFonts w:asciiTheme="majorBidi" w:eastAsia="Times New Roman" w:hAnsiTheme="majorBidi"/>
          <w:color w:val="auto"/>
          <w:sz w:val="24"/>
          <w:szCs w:val="24"/>
        </w:rPr>
      </w:pPr>
      <w:bookmarkStart w:id="39" w:name="_Toc138239780"/>
      <w:r w:rsidRPr="00BB6978">
        <w:rPr>
          <w:rFonts w:asciiTheme="majorBidi" w:eastAsia="Times New Roman" w:hAnsiTheme="majorBidi"/>
          <w:color w:val="auto"/>
          <w:sz w:val="24"/>
          <w:szCs w:val="24"/>
        </w:rPr>
        <w:t>A General Overview of the UAE Education System</w:t>
      </w:r>
      <w:bookmarkEnd w:id="39"/>
    </w:p>
    <w:p w14:paraId="6B2D7E7B" w14:textId="77777777" w:rsidR="00834997" w:rsidRPr="00BB6978" w:rsidRDefault="00834997" w:rsidP="00834997">
      <w:pPr>
        <w:pStyle w:val="ListParagraph"/>
        <w:ind w:left="360"/>
        <w:rPr>
          <w:sz w:val="8"/>
          <w:szCs w:val="8"/>
        </w:rPr>
      </w:pPr>
    </w:p>
    <w:p w14:paraId="4B5A13C4" w14:textId="4495DC08" w:rsidR="00C27B4B" w:rsidRPr="00BB6978" w:rsidRDefault="00C27B4B" w:rsidP="00834997">
      <w:pPr>
        <w:spacing w:after="68" w:line="480" w:lineRule="auto"/>
        <w:ind w:firstLine="360"/>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To evolve the United Arab Emirates (UAE) into a knowledge-based economy in line with its 2030 Economic Vision, the Abu Dhabi Department of Education and Knowledge (ADEK) is working to build an innovative and world-class educational system that helps prepare internationally competitive students to overcome future challenges (ADEK, n.d.-a). Nations always consider education to be one of their highest priorities. It attracts some of the highest investments globally and can advance the prosperity and development of countries</w:t>
      </w:r>
      <w:r w:rsidR="00965918" w:rsidRPr="00BB6978">
        <w:rPr>
          <w:rFonts w:ascii="Times New Roman" w:eastAsia="Calibri" w:hAnsi="Times New Roman" w:cs="Times New Roman"/>
          <w:sz w:val="24"/>
          <w:szCs w:val="24"/>
        </w:rPr>
        <w:t xml:space="preserve"> (</w:t>
      </w:r>
      <w:r w:rsidR="00965918" w:rsidRPr="00BB6978">
        <w:rPr>
          <w:rFonts w:ascii="Times New Roman" w:hAnsi="Times New Roman" w:cs="Times New Roman"/>
          <w:sz w:val="26"/>
          <w:szCs w:val="26"/>
          <w:lang/>
        </w:rPr>
        <w:t>Alshamsi, 2018)</w:t>
      </w:r>
      <w:r w:rsidR="00965918" w:rsidRPr="00BB6978">
        <w:rPr>
          <w:rFonts w:ascii="Times New Roman" w:eastAsia="Calibri" w:hAnsi="Times New Roman" w:cs="Times New Roman"/>
          <w:sz w:val="24"/>
          <w:szCs w:val="24"/>
        </w:rPr>
        <w:t>.</w:t>
      </w:r>
      <w:r w:rsidRPr="00BB6978">
        <w:rPr>
          <w:rFonts w:ascii="Times New Roman" w:eastAsia="Calibri" w:hAnsi="Times New Roman" w:cs="Times New Roman"/>
          <w:sz w:val="24"/>
          <w:szCs w:val="24"/>
        </w:rPr>
        <w:t xml:space="preserve"> Based on that, the UAE pursues an internationalization strategy that many experts consider one of the most influential and competent educational strategies. This has enabled the country to become one of the world's most admired education hubs</w:t>
      </w:r>
      <w:r w:rsidR="00965918" w:rsidRPr="00BB6978">
        <w:rPr>
          <w:rFonts w:ascii="Times New Roman" w:eastAsia="Calibri" w:hAnsi="Times New Roman" w:cs="Times New Roman"/>
          <w:sz w:val="24"/>
          <w:szCs w:val="24"/>
        </w:rPr>
        <w:t xml:space="preserve"> (Barnawi, 2017; Siemund et al., 2021). </w:t>
      </w:r>
      <w:r w:rsidRPr="00BB6978">
        <w:rPr>
          <w:rFonts w:ascii="Times New Roman" w:eastAsia="Calibri" w:hAnsi="Times New Roman" w:cs="Times New Roman"/>
          <w:sz w:val="24"/>
          <w:szCs w:val="24"/>
        </w:rPr>
        <w:t xml:space="preserve"> A comparative study conducted by the British Council involving 38 different education systems ranked the UAE among the top countries in terms of regulatory frameworks for recognition procedures for international accreditation, openness to transnational education, and student mobility (Ilieva et al., 2017). Indeed, the UAE has continued to witness significant increases in the number of international students over the past few years</w:t>
      </w:r>
      <w:r w:rsidR="00965918" w:rsidRPr="00BB6978">
        <w:rPr>
          <w:rFonts w:ascii="Times New Roman" w:eastAsia="Calibri" w:hAnsi="Times New Roman" w:cs="Times New Roman"/>
          <w:sz w:val="24"/>
          <w:szCs w:val="24"/>
        </w:rPr>
        <w:t xml:space="preserve"> (De Bel-Air, 2015).</w:t>
      </w:r>
    </w:p>
    <w:p w14:paraId="59B5335F" w14:textId="480C3DEB" w:rsidR="00C27B4B" w:rsidRPr="00BB6978" w:rsidRDefault="00C27B4B" w:rsidP="00C134C7">
      <w:pPr>
        <w:spacing w:after="68" w:line="480" w:lineRule="auto"/>
        <w:ind w:firstLine="357"/>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To elaborate more on the Emirati education system, the K-12 education sector is managed by the emirate and federal levels. Public schools are fully funded and managed by the government. The Ministry of Education (MoE) regulates and operates all public schools in the country. Access to public schools is for UAE nationals and some Arab students at no cost</w:t>
      </w:r>
      <w:r w:rsidR="00965918" w:rsidRPr="00BB6978">
        <w:rPr>
          <w:rFonts w:ascii="Times New Roman" w:eastAsia="Calibri" w:hAnsi="Times New Roman" w:cs="Times New Roman"/>
          <w:sz w:val="24"/>
          <w:szCs w:val="24"/>
        </w:rPr>
        <w:t xml:space="preserve"> (Kippels &amp; Ridge, 2019).</w:t>
      </w:r>
      <w:r w:rsidR="00965918" w:rsidRPr="00BB6978">
        <w:rPr>
          <w:rFonts w:ascii="Arial" w:hAnsi="Arial" w:cs="Arial"/>
          <w:sz w:val="20"/>
          <w:szCs w:val="20"/>
          <w:shd w:val="clear" w:color="auto" w:fill="FFFFFF"/>
        </w:rPr>
        <w:t xml:space="preserve"> </w:t>
      </w:r>
      <w:r w:rsidRPr="00BB6978">
        <w:rPr>
          <w:rFonts w:ascii="Times New Roman" w:eastAsia="Calibri" w:hAnsi="Times New Roman" w:cs="Times New Roman"/>
          <w:sz w:val="24"/>
          <w:szCs w:val="24"/>
        </w:rPr>
        <w:t xml:space="preserve"> The Arabic subjects' curriculum is fully designed in-house, while English, math, and sciences follow the English curriculum</w:t>
      </w:r>
      <w:r w:rsidR="00965918" w:rsidRPr="00BB6978">
        <w:rPr>
          <w:rFonts w:ascii="Times New Roman" w:eastAsia="Calibri" w:hAnsi="Times New Roman" w:cs="Times New Roman"/>
          <w:sz w:val="24"/>
          <w:szCs w:val="24"/>
        </w:rPr>
        <w:t xml:space="preserve"> (Al-Issa &amp; Dahan, 2011). </w:t>
      </w:r>
      <w:r w:rsidRPr="00BB6978">
        <w:rPr>
          <w:rFonts w:ascii="Times New Roman" w:eastAsia="Calibri" w:hAnsi="Times New Roman" w:cs="Times New Roman"/>
          <w:sz w:val="24"/>
          <w:szCs w:val="24"/>
        </w:rPr>
        <w:t xml:space="preserve"> Private schools are for-profit organizations that cater to all nationalities and are available in all seven emirates. The MoE also regulates private schools in four emirates: Ajman, Fujairah, Ras Al Khaimah, and Um Al Quwain. Meanwhile, the respective emirates regulate private schools in the emirates of Abu Dhabi, Dubai, and Sharjah</w:t>
      </w:r>
      <w:r w:rsidR="00965918" w:rsidRPr="00BB6978">
        <w:rPr>
          <w:rFonts w:ascii="Times New Roman" w:eastAsia="Calibri" w:hAnsi="Times New Roman" w:cs="Times New Roman"/>
          <w:sz w:val="24"/>
          <w:szCs w:val="24"/>
        </w:rPr>
        <w:t xml:space="preserve"> (O’Sullivan, 2015). </w:t>
      </w:r>
      <w:r w:rsidRPr="00BB6978">
        <w:rPr>
          <w:rFonts w:ascii="Times New Roman" w:eastAsia="Calibri" w:hAnsi="Times New Roman" w:cs="Times New Roman"/>
          <w:sz w:val="24"/>
          <w:szCs w:val="24"/>
        </w:rPr>
        <w:t xml:space="preserve"> The government has strategically planned to raise its upper-secondary graduation rate to more than 98% (WENR, 2018). Due to the demand and opportunities, there have been increased investments in private K-12 schooling and increased interest from parents who believe it can offer better education quality and student outcomes. Thus, substantial efforts are underway toward developing the private education system in Abu Dhabi</w:t>
      </w:r>
      <w:r w:rsidR="00965918" w:rsidRPr="00BB6978">
        <w:rPr>
          <w:rFonts w:ascii="Times New Roman" w:eastAsia="Calibri" w:hAnsi="Times New Roman" w:cs="Times New Roman"/>
          <w:sz w:val="24"/>
          <w:szCs w:val="24"/>
        </w:rPr>
        <w:t xml:space="preserve"> (Gallagher, 2019). </w:t>
      </w:r>
      <w:r w:rsidRPr="00BB6978">
        <w:rPr>
          <w:rFonts w:ascii="Times New Roman" w:eastAsia="Calibri" w:hAnsi="Times New Roman" w:cs="Times New Roman"/>
          <w:sz w:val="24"/>
          <w:szCs w:val="24"/>
        </w:rPr>
        <w:t xml:space="preserve"> However, determining the "best schools" remains challenging because the interests and needs of parents and children vary due to their personal requirements, views, experience, and culture. Most evaluations done by parents thus tend to have substantial subjectivity (Which school advisor, 2020).</w:t>
      </w:r>
    </w:p>
    <w:p w14:paraId="1780B64E" w14:textId="77777777" w:rsidR="00C27B4B" w:rsidRPr="00BB6978" w:rsidRDefault="00C27B4B" w:rsidP="00C27B4B">
      <w:pPr>
        <w:spacing w:after="68" w:line="480" w:lineRule="auto"/>
        <w:ind w:firstLine="357"/>
        <w:jc w:val="both"/>
        <w:rPr>
          <w:rFonts w:ascii="Times New Roman" w:eastAsia="Times New Roman" w:hAnsi="Times New Roman" w:cs="Times New Roman"/>
          <w:sz w:val="24"/>
          <w:szCs w:val="24"/>
        </w:rPr>
      </w:pPr>
      <w:bookmarkStart w:id="40" w:name="_Toc64369111"/>
      <w:bookmarkStart w:id="41" w:name="_Toc96103730"/>
      <w:r w:rsidRPr="00BB6978">
        <w:rPr>
          <w:rFonts w:ascii="Times New Roman" w:eastAsia="Times New Roman" w:hAnsi="Times New Roman" w:cs="Times New Roman"/>
          <w:sz w:val="24"/>
          <w:szCs w:val="24"/>
        </w:rPr>
        <w:t xml:space="preserve">The United Arab Emirates’ educational system is relatively young, only going back more than 50 years. Only a few schools were founded in the 1950s. Nevertheless, a school-building program initiated by the government in the 1960s and 1970s expanded and transformed the education system. Today, the UAE's education system bears a close semblance to the U.S. education system, for instance, a K-12 school system. Primary and secondary education in the UAE is universal, and all children from age 6 to the completion of grade 12 are legally mandated to attend school (Kamal &amp; Trines, 2018). </w:t>
      </w:r>
    </w:p>
    <w:p w14:paraId="3FDE8C4D" w14:textId="77777777" w:rsidR="00C27B4B" w:rsidRPr="00BB6978" w:rsidRDefault="00C27B4B" w:rsidP="00C27B4B">
      <w:pPr>
        <w:spacing w:after="68" w:line="480" w:lineRule="auto"/>
        <w:ind w:firstLine="357"/>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Over time, the UAE has witnessed significant increases in K-12 private schools. As of January 2018, the country had 624 international (private) schools with approximately 627,800 students, up from 548 schools in 2016 (Kamal and Trines, 2018). Out of the seven emirates, Dubai has the highest share of private schools, with one public school for every two private schools. Abu Dhabi comes next with almost one private school for every public school (Gallagher, 2019).</w:t>
      </w:r>
    </w:p>
    <w:p w14:paraId="57B94821" w14:textId="50A2D0F3" w:rsidR="00C27B4B" w:rsidRPr="00BB6978" w:rsidRDefault="00C27B4B" w:rsidP="00C27B4B">
      <w:pPr>
        <w:autoSpaceDE w:val="0"/>
        <w:autoSpaceDN w:val="0"/>
        <w:adjustRightInd w:val="0"/>
        <w:spacing w:after="68" w:line="480" w:lineRule="auto"/>
        <w:ind w:firstLine="357"/>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Public school teachers are both internationally and locally sourced. In the 2017/2018 academic year, approximately 23,100 teachers instructed approximately 287,700 learners (Ministry of Education, 2019). This number has remained relatively consistent over the years, with an equal number of expatriate and local teachers. For instance, the MOE reported 11,965 expatriate and 11,813 local teachers in public schools in the 2014/2015 academic year. However, this ratio differs across the emirates. A higher proportion of expatriate teachers work in Abu Dhabi, Al Dhafra, and Al Ain than in Fujairah and Ras Al Khaimah. Perhaps the differences in numbers can be justified by the UAE's policy of hiring native English-speaking teachers to focus on major subjects such as English, science, and mathematics in the public schools of Abu Dhabi</w:t>
      </w:r>
      <w:r w:rsidR="006371EF" w:rsidRPr="00BB6978">
        <w:rPr>
          <w:rFonts w:ascii="Times New Roman" w:eastAsia="Times New Roman" w:hAnsi="Times New Roman" w:cs="Times New Roman"/>
          <w:sz w:val="24"/>
          <w:szCs w:val="24"/>
        </w:rPr>
        <w:t xml:space="preserve"> (Teach Away, 2023).</w:t>
      </w:r>
    </w:p>
    <w:p w14:paraId="7A10F1E0" w14:textId="606180F0" w:rsidR="00C27B4B" w:rsidRPr="00BB6978" w:rsidRDefault="00C27B4B" w:rsidP="00C27B4B">
      <w:pPr>
        <w:autoSpaceDE w:val="0"/>
        <w:autoSpaceDN w:val="0"/>
        <w:adjustRightInd w:val="0"/>
        <w:spacing w:after="68" w:line="480" w:lineRule="auto"/>
        <w:ind w:firstLine="357"/>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 xml:space="preserve">According to PricewaterhouseCoopers's (PWC) reports, the UAE's primary and secondary educational systems are classified among the top 20 in the world. The country has oscillated between the 16 and 17 positions in the Global Competitiveness Index Rankings. Within the Arab world, UAE's education sector is the most competitive. PWC reports that the country's Program for International Student Assessment (PISA) rankings for 2012-2015 improved for Mathematics but decreased for Science and Reading. Meanwhile, according to the </w:t>
      </w:r>
      <w:r w:rsidRPr="00BB6978">
        <w:rPr>
          <w:rFonts w:ascii="Times New Roman" w:hAnsi="Times New Roman" w:cs="Times New Roman"/>
          <w:sz w:val="24"/>
          <w:szCs w:val="24"/>
        </w:rPr>
        <w:t>Trends in Global Mathematics and Science Study</w:t>
      </w:r>
      <w:r w:rsidRPr="00BB6978">
        <w:rPr>
          <w:rFonts w:ascii="Times New Roman" w:eastAsia="Times New Roman" w:hAnsi="Times New Roman" w:cs="Times New Roman"/>
          <w:sz w:val="24"/>
          <w:szCs w:val="24"/>
        </w:rPr>
        <w:t xml:space="preserve"> (TIMSS), the country's Science and Mathematics scores improved (Jeffery et al., 2019). Overall, these improvements result from the many years of investment in quality improvement programs by the UAE government. Economic projections indicate that the UAE's education system will contribute immensely to the country's economic growth. The improved PISA and TIMSS rankings demonstrate that the country is on the right track. As positive education outcomes are associated with economic growth, UAE will undoubtedly start reaping the benefits of its investment over the coming years</w:t>
      </w:r>
      <w:r w:rsidR="006371EF" w:rsidRPr="00BB6978">
        <w:rPr>
          <w:rFonts w:ascii="Times New Roman" w:eastAsia="Times New Roman" w:hAnsi="Times New Roman" w:cs="Times New Roman"/>
          <w:sz w:val="24"/>
          <w:szCs w:val="24"/>
        </w:rPr>
        <w:t xml:space="preserve"> (Parcero &amp; Ryan, 2017).</w:t>
      </w:r>
    </w:p>
    <w:p w14:paraId="771C210C" w14:textId="77777777" w:rsidR="00C27B4B" w:rsidRPr="00BB6978" w:rsidRDefault="00C27B4B" w:rsidP="00C27B4B">
      <w:pPr>
        <w:pStyle w:val="Heading2"/>
        <w:rPr>
          <w:rFonts w:asciiTheme="majorBidi" w:eastAsia="Times New Roman" w:hAnsiTheme="majorBidi"/>
          <w:color w:val="auto"/>
          <w:sz w:val="24"/>
          <w:szCs w:val="24"/>
        </w:rPr>
      </w:pPr>
      <w:bookmarkStart w:id="42" w:name="_Toc138239781"/>
      <w:r w:rsidRPr="00BB6978">
        <w:rPr>
          <w:rFonts w:asciiTheme="majorBidi" w:eastAsia="Times New Roman" w:hAnsiTheme="majorBidi"/>
          <w:color w:val="auto"/>
          <w:sz w:val="24"/>
          <w:szCs w:val="24"/>
        </w:rPr>
        <w:t>1.5.1 Private Schooling in Abu Dhabi</w:t>
      </w:r>
      <w:bookmarkEnd w:id="40"/>
      <w:bookmarkEnd w:id="41"/>
      <w:bookmarkEnd w:id="42"/>
    </w:p>
    <w:p w14:paraId="0D2CC12C" w14:textId="77777777" w:rsidR="00C27B4B" w:rsidRPr="00BB6978" w:rsidRDefault="00C27B4B" w:rsidP="00C27B4B">
      <w:pPr>
        <w:rPr>
          <w:sz w:val="12"/>
          <w:szCs w:val="12"/>
        </w:rPr>
      </w:pPr>
    </w:p>
    <w:p w14:paraId="08FB798C" w14:textId="77777777" w:rsidR="00C27B4B" w:rsidRPr="00BB6978" w:rsidRDefault="00C27B4B" w:rsidP="00C27B4B">
      <w:pPr>
        <w:autoSpaceDE w:val="0"/>
        <w:autoSpaceDN w:val="0"/>
        <w:adjustRightInd w:val="0"/>
        <w:spacing w:after="68" w:line="480" w:lineRule="auto"/>
        <w:ind w:firstLine="360"/>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In September 2005, the ruler of Abu Dhabi, His Highness Sheikh Khalifa bin Zayed Al Nahyan, founded the Abu Dhabi Education Council (ADEC) through Law No. 24 of 2005. Then, in 2017, Law No. 9 of 2018 was passed to change its name to the Department of Education and Knowledge (ADEK, n.d.-a)</w:t>
      </w:r>
      <w:r w:rsidRPr="00BB6978">
        <w:t xml:space="preserve">. </w:t>
      </w:r>
    </w:p>
    <w:p w14:paraId="3272AB0E" w14:textId="627E7803" w:rsidR="00C27B4B" w:rsidRPr="00BB6978" w:rsidRDefault="00C27B4B" w:rsidP="00C27B4B">
      <w:pPr>
        <w:autoSpaceDE w:val="0"/>
        <w:autoSpaceDN w:val="0"/>
        <w:adjustRightInd w:val="0"/>
        <w:spacing w:after="68" w:line="480" w:lineRule="auto"/>
        <w:ind w:firstLine="360"/>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ADEK is responsible for developing and setting necessary policies to regulate the private school sector. It also monitors the progress and development of students and evaluates the efficiency and education system quality in private sector schools</w:t>
      </w:r>
      <w:r w:rsidR="00C96B9E" w:rsidRPr="00BB6978">
        <w:rPr>
          <w:rFonts w:ascii="Times New Roman" w:eastAsia="Times New Roman" w:hAnsi="Times New Roman" w:cs="Times New Roman"/>
          <w:sz w:val="24"/>
          <w:szCs w:val="24"/>
        </w:rPr>
        <w:t xml:space="preserve"> (Gallagher, 2019).</w:t>
      </w:r>
    </w:p>
    <w:p w14:paraId="7418FE97" w14:textId="77777777" w:rsidR="00C27B4B" w:rsidRPr="00BB6978" w:rsidRDefault="00C27B4B" w:rsidP="00C27B4B">
      <w:pPr>
        <w:autoSpaceDE w:val="0"/>
        <w:autoSpaceDN w:val="0"/>
        <w:adjustRightInd w:val="0"/>
        <w:spacing w:after="68" w:line="480" w:lineRule="auto"/>
        <w:ind w:firstLine="360"/>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 xml:space="preserve">Abu Dhabi is the capital of the UAE and the largest emirate by area and population. It has three districts: Abu Dhabi, Al Ain, and Al Dhafra. It has 251 public and 263 private schools. Most private schools are in the centre of the emirate, followed by Al Ain and Al Dhafra (ADEK, n.d.-b). 65% of students are enrolled in private schools in Abu Dhabi, with the number of private schools expected to increase in the coming years </w:t>
      </w:r>
      <w:r w:rsidRPr="00BB6978">
        <w:rPr>
          <w:rFonts w:ascii="Times New Roman" w:eastAsia="Times New Roman" w:hAnsi="Times New Roman" w:cs="Times New Roman"/>
          <w:sz w:val="24"/>
          <w:szCs w:val="24"/>
        </w:rPr>
        <w:fldChar w:fldCharType="begin" w:fldLock="1"/>
      </w:r>
      <w:r w:rsidRPr="00BB6978">
        <w:rPr>
          <w:rFonts w:ascii="Times New Roman" w:eastAsia="Times New Roman" w:hAnsi="Times New Roman" w:cs="Times New Roman"/>
          <w:sz w:val="24"/>
          <w:szCs w:val="24"/>
        </w:rPr>
        <w:instrText>ADDIN CSL_CITATION {"citationItems":[{"id":"ITEM-1","itemData":{"author":[{"dropping-particle":"","family":"Hoteit","given":"Leila","non-dropping-particle":"","parse-names":false,"suffix":""},{"dropping-particle":"","family":"Hachem","given":"Maya","non-dropping-particle":"El","parse-names":false,"suffix":""},{"dropping-particle":"","family":"Erker","given":"Patrick C.","non-dropping-particle":"","parse-names":false,"suffix":""},{"dropping-particle":"","family":"Farah","given":"Serene","non-dropping-particle":"","parse-names":false,"suffix":""}],"id":"ITEM-1","issued":{"date-parts":[["2017"]]},"page":"1-10","title":"Where to ivest now in GCC private education","type":"article-journal"},"uris":["http://www.mendeley.com/documents/?uuid=1d93a0cf-b077-4de2-9db7-79faa6373d81"]}],"mendeley":{"formattedCitation":"(Hoteit, El Hachem, Erker, &amp; Farah, 2017)","plainTextFormattedCitation":"(Hoteit, El Hachem, Erker, &amp; Farah, 2017)","previouslyFormattedCitation":"(Hoteit, El Hachem, Erker, &amp; Farah, 2017)"},"properties":{"noteIndex":0},"schema":"https://github.com/citation-style-language/schema/raw/master/csl-citation.json"}</w:instrText>
      </w:r>
      <w:r w:rsidRPr="00BB6978">
        <w:rPr>
          <w:rFonts w:ascii="Times New Roman" w:eastAsia="Times New Roman" w:hAnsi="Times New Roman" w:cs="Times New Roman"/>
          <w:sz w:val="24"/>
          <w:szCs w:val="24"/>
        </w:rPr>
        <w:fldChar w:fldCharType="separate"/>
      </w:r>
      <w:r w:rsidRPr="00BB6978">
        <w:rPr>
          <w:rFonts w:ascii="Times New Roman" w:eastAsia="Times New Roman" w:hAnsi="Times New Roman" w:cs="Times New Roman"/>
          <w:sz w:val="24"/>
          <w:szCs w:val="24"/>
        </w:rPr>
        <w:t>(Badri &amp; Khaili, 2014; Hoteit, El Hachem, Erker, &amp; Farah, 2018; Gallagher, 2019 )</w:t>
      </w:r>
      <w:r w:rsidRPr="00BB6978">
        <w:rPr>
          <w:rFonts w:ascii="Times New Roman" w:eastAsia="Times New Roman" w:hAnsi="Times New Roman" w:cs="Times New Roman"/>
          <w:sz w:val="24"/>
          <w:szCs w:val="24"/>
        </w:rPr>
        <w:fldChar w:fldCharType="end"/>
      </w:r>
      <w:r w:rsidRPr="00BB6978">
        <w:rPr>
          <w:rFonts w:ascii="Times New Roman" w:eastAsia="Times New Roman" w:hAnsi="Times New Roman" w:cs="Times New Roman"/>
          <w:sz w:val="24"/>
          <w:szCs w:val="24"/>
        </w:rPr>
        <w:t>.</w:t>
      </w:r>
    </w:p>
    <w:p w14:paraId="7DEBE422" w14:textId="7ECB7F2C" w:rsidR="00C27B4B" w:rsidRPr="00BB6978" w:rsidRDefault="00C27B4B" w:rsidP="00C96B9E">
      <w:pPr>
        <w:autoSpaceDE w:val="0"/>
        <w:autoSpaceDN w:val="0"/>
        <w:adjustRightInd w:val="0"/>
        <w:spacing w:after="68" w:line="480" w:lineRule="auto"/>
        <w:ind w:firstLine="360"/>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UAE's private K-12 school market is considered one of the most mature markets in the Gulf Cooperation Council (GCC) bloc. It is also lauded for being highly consolidated, thus attracting positive speculative prospects. Nevertheless, many opportunities for market growth exist</w:t>
      </w:r>
      <w:r w:rsidR="00C96B9E" w:rsidRPr="00BB6978">
        <w:rPr>
          <w:rFonts w:ascii="Times New Roman" w:eastAsia="Times New Roman" w:hAnsi="Times New Roman" w:cs="Times New Roman"/>
          <w:sz w:val="24"/>
          <w:szCs w:val="24"/>
        </w:rPr>
        <w:t xml:space="preserve"> (Gallagher, 2019). </w:t>
      </w:r>
      <w:r w:rsidRPr="00BB6978">
        <w:rPr>
          <w:rFonts w:ascii="Times New Roman" w:eastAsia="Times New Roman" w:hAnsi="Times New Roman" w:cs="Times New Roman"/>
          <w:sz w:val="24"/>
          <w:szCs w:val="24"/>
        </w:rPr>
        <w:t>Mordor Intelligence (2020) noted that the country's private education sector could grow at 5% annually during the forecast period. This is due to the increasing shifts from public to private schools, improved quality of education, rising enrolment rates, and increasing expatriate population</w:t>
      </w:r>
      <w:r w:rsidR="00C96B9E" w:rsidRPr="00BB6978">
        <w:rPr>
          <w:rFonts w:ascii="Times New Roman" w:eastAsia="Times New Roman" w:hAnsi="Times New Roman" w:cs="Times New Roman"/>
          <w:sz w:val="24"/>
          <w:szCs w:val="24"/>
        </w:rPr>
        <w:t xml:space="preserve"> (Mordor Intelligence, 2020).</w:t>
      </w:r>
    </w:p>
    <w:p w14:paraId="5D9BE12A" w14:textId="5879657A" w:rsidR="00C27B4B" w:rsidRPr="00BB6978" w:rsidRDefault="00D35529" w:rsidP="00C27B4B">
      <w:pPr>
        <w:autoSpaceDE w:val="0"/>
        <w:autoSpaceDN w:val="0"/>
        <w:adjustRightInd w:val="0"/>
        <w:spacing w:after="68" w:line="480" w:lineRule="auto"/>
        <w:ind w:firstLine="360"/>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Fourteen</w:t>
      </w:r>
      <w:r w:rsidR="00C27B4B" w:rsidRPr="00BB6978">
        <w:rPr>
          <w:rFonts w:ascii="Times New Roman" w:eastAsia="Times New Roman" w:hAnsi="Times New Roman" w:cs="Times New Roman"/>
          <w:sz w:val="24"/>
          <w:szCs w:val="24"/>
        </w:rPr>
        <w:t xml:space="preserve"> international curricula are offered in Abu Dhabi's private schools, with the most common curricula being from UK, followed by the US and India</w:t>
      </w:r>
      <w:r w:rsidR="00C96B9E" w:rsidRPr="00BB6978">
        <w:rPr>
          <w:rFonts w:ascii="Times New Roman" w:eastAsia="Times New Roman" w:hAnsi="Times New Roman" w:cs="Times New Roman"/>
          <w:sz w:val="24"/>
          <w:szCs w:val="24"/>
        </w:rPr>
        <w:t xml:space="preserve"> (Gobert, 2019). </w:t>
      </w:r>
      <w:r w:rsidR="00C27B4B" w:rsidRPr="00BB6978">
        <w:rPr>
          <w:rFonts w:ascii="Times New Roman" w:eastAsia="Times New Roman" w:hAnsi="Times New Roman" w:cs="Times New Roman"/>
          <w:sz w:val="24"/>
          <w:szCs w:val="24"/>
        </w:rPr>
        <w:t xml:space="preserve">Notably, the number of International Baccalaureate (IB) curriculum private schools is increasing, besides those from French, Canadian, German, Philippine, and Japanese. Currently, 48 private schools in Abu Dhabi are offering the UAE National Curriculum (Which school advisor, 2020). Despite their differing curricula, all private schools follow the ADEK's regulations. </w:t>
      </w:r>
    </w:p>
    <w:p w14:paraId="4019E8FE" w14:textId="2CD2DA24" w:rsidR="00C27B4B" w:rsidRPr="00BB6978" w:rsidRDefault="00C27B4B" w:rsidP="00C27B4B">
      <w:pPr>
        <w:autoSpaceDE w:val="0"/>
        <w:autoSpaceDN w:val="0"/>
        <w:adjustRightInd w:val="0"/>
        <w:spacing w:after="68" w:line="480" w:lineRule="auto"/>
        <w:ind w:firstLine="360"/>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ADEK's main role is developing the educational system in the emirate. One of its priorities is to create an attractive education space that allows the city to be one of the pioneers in preparing internationally competitive students. Finally, it seeks to promote the quality of Abu Dhabi education</w:t>
      </w:r>
      <w:r w:rsidR="001F021F" w:rsidRPr="00BB6978">
        <w:rPr>
          <w:rFonts w:ascii="Times New Roman" w:eastAsia="Times New Roman" w:hAnsi="Times New Roman" w:cs="Times New Roman"/>
          <w:sz w:val="24"/>
          <w:szCs w:val="24"/>
        </w:rPr>
        <w:t xml:space="preserve"> (ADEK, 2023). </w:t>
      </w:r>
      <w:r w:rsidRPr="00BB6978">
        <w:rPr>
          <w:rFonts w:ascii="Times New Roman" w:eastAsia="Times New Roman" w:hAnsi="Times New Roman" w:cs="Times New Roman"/>
          <w:sz w:val="24"/>
          <w:szCs w:val="24"/>
        </w:rPr>
        <w:t xml:space="preserve">To achieve its goals, ADEK formed a detailed, and systematic inspection program, called the Irtiqaa Program, whereby ADEK inspectors visit each school biannually and inspected according to a specific set of criteria. Overall, the aim is to improve schools’ educational performance </w:t>
      </w:r>
      <w:r w:rsidR="001F021F" w:rsidRPr="00BB6978">
        <w:rPr>
          <w:rFonts w:ascii="Times New Roman" w:eastAsia="Times New Roman" w:hAnsi="Times New Roman" w:cs="Times New Roman"/>
          <w:sz w:val="24"/>
          <w:szCs w:val="24"/>
        </w:rPr>
        <w:t>(</w:t>
      </w:r>
      <w:r w:rsidR="001F021F" w:rsidRPr="00BB6978">
        <w:rPr>
          <w:rFonts w:ascii="Times New Roman" w:eastAsia="Times New Roman" w:hAnsi="Times New Roman" w:cs="Times New Roman"/>
          <w:sz w:val="24"/>
          <w:szCs w:val="24"/>
          <w:lang w:val="en-US"/>
        </w:rPr>
        <w:t>Irtiqaa Program</w:t>
      </w:r>
      <w:r w:rsidR="001F021F" w:rsidRPr="00BB6978">
        <w:rPr>
          <w:rFonts w:ascii="Times New Roman" w:eastAsia="Times New Roman" w:hAnsi="Times New Roman" w:cs="Times New Roman"/>
          <w:sz w:val="24"/>
          <w:szCs w:val="24"/>
        </w:rPr>
        <w:t xml:space="preserve">, 2023). </w:t>
      </w:r>
      <w:r w:rsidRPr="00BB6978">
        <w:rPr>
          <w:rFonts w:ascii="Times New Roman" w:eastAsia="Times New Roman" w:hAnsi="Times New Roman" w:cs="Times New Roman"/>
          <w:sz w:val="24"/>
          <w:szCs w:val="24"/>
        </w:rPr>
        <w:t xml:space="preserve">All inspection reports are then published online on the department website. </w:t>
      </w:r>
    </w:p>
    <w:p w14:paraId="3D0C1EDB" w14:textId="505478E7" w:rsidR="00C27B4B" w:rsidRPr="00BB6978" w:rsidRDefault="00C27B4B" w:rsidP="00C27B4B">
      <w:pPr>
        <w:autoSpaceDE w:val="0"/>
        <w:autoSpaceDN w:val="0"/>
        <w:adjustRightInd w:val="0"/>
        <w:spacing w:after="68" w:line="480" w:lineRule="auto"/>
        <w:ind w:firstLine="360"/>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 xml:space="preserve">There are six main criteria of evaluation: students’ outcomes, students’ personal and social improvement, teaching and assessment quality, curriculum quality, students’ well-being and safety, and school leadership. After their evaluation, each school is assigned one of the following six ranks from highest to lowest: Outstanding, Very Good, Good, Acceptable, Weak, and Very Weak </w:t>
      </w:r>
      <w:r w:rsidR="001F021F" w:rsidRPr="00BB6978">
        <w:rPr>
          <w:rFonts w:ascii="Times New Roman" w:eastAsia="Times New Roman" w:hAnsi="Times New Roman" w:cs="Times New Roman"/>
          <w:sz w:val="24"/>
          <w:szCs w:val="24"/>
        </w:rPr>
        <w:t>(</w:t>
      </w:r>
      <w:r w:rsidR="001F021F" w:rsidRPr="00BB6978">
        <w:rPr>
          <w:rFonts w:ascii="Times New Roman" w:eastAsia="Times New Roman" w:hAnsi="Times New Roman" w:cs="Times New Roman"/>
          <w:sz w:val="24"/>
          <w:szCs w:val="24"/>
          <w:lang w:val="en-US"/>
        </w:rPr>
        <w:t>Irtiqaa Program</w:t>
      </w:r>
      <w:r w:rsidR="001F021F" w:rsidRPr="00BB6978">
        <w:rPr>
          <w:rFonts w:ascii="Times New Roman" w:eastAsia="Times New Roman" w:hAnsi="Times New Roman" w:cs="Times New Roman"/>
          <w:sz w:val="24"/>
          <w:szCs w:val="24"/>
        </w:rPr>
        <w:t>, 2023).</w:t>
      </w:r>
      <w:r w:rsidRPr="00BB6978">
        <w:rPr>
          <w:rFonts w:ascii="Times New Roman" w:eastAsia="Times New Roman" w:hAnsi="Times New Roman" w:cs="Times New Roman"/>
          <w:sz w:val="24"/>
          <w:szCs w:val="24"/>
        </w:rPr>
        <w:t xml:space="preserve"> Each category has a specific meaning. Outstanding means that the quality of the school performance significantly goes beyond the expectations of the defined criteria. Very Good indicates performance that is above expectations. Good demonstrates performance that is in line with expectations. ADEK anticipates that all schools must be at this level. Next, Acceptable indicates performance that meets the minimum level of quality required. Finally, Weak and Very Weak indicate that performance is below and well below expectations, respectively. Overall, the inspection review structure is mainly designed to check that all aspects of a school's educational facilities are fully covered </w:t>
      </w:r>
      <w:r w:rsidR="001F021F" w:rsidRPr="00BB6978">
        <w:rPr>
          <w:rFonts w:ascii="Times New Roman" w:eastAsia="Times New Roman" w:hAnsi="Times New Roman" w:cs="Times New Roman"/>
          <w:sz w:val="24"/>
          <w:szCs w:val="24"/>
        </w:rPr>
        <w:t>(</w:t>
      </w:r>
      <w:r w:rsidR="001F021F" w:rsidRPr="00BB6978">
        <w:rPr>
          <w:rFonts w:ascii="Times New Roman" w:eastAsia="Times New Roman" w:hAnsi="Times New Roman" w:cs="Times New Roman"/>
          <w:sz w:val="24"/>
          <w:szCs w:val="24"/>
          <w:lang w:val="en-US"/>
        </w:rPr>
        <w:t>Irtiqaa Program</w:t>
      </w:r>
      <w:r w:rsidR="001F021F" w:rsidRPr="00BB6978">
        <w:rPr>
          <w:rFonts w:ascii="Times New Roman" w:eastAsia="Times New Roman" w:hAnsi="Times New Roman" w:cs="Times New Roman"/>
          <w:sz w:val="24"/>
          <w:szCs w:val="24"/>
        </w:rPr>
        <w:t>, 2023).</w:t>
      </w:r>
    </w:p>
    <w:p w14:paraId="15089572" w14:textId="77777777" w:rsidR="00161F8B" w:rsidRPr="00BB6978" w:rsidRDefault="00161F8B" w:rsidP="00161F8B">
      <w:pPr>
        <w:pStyle w:val="Heading1"/>
        <w:rPr>
          <w:rFonts w:asciiTheme="majorBidi" w:eastAsia="Times New Roman" w:hAnsiTheme="majorBidi"/>
          <w:b w:val="0"/>
          <w:bCs w:val="0"/>
          <w:color w:val="auto"/>
          <w:sz w:val="24"/>
          <w:szCs w:val="24"/>
        </w:rPr>
      </w:pPr>
      <w:bookmarkStart w:id="43" w:name="_Toc138239782"/>
      <w:r w:rsidRPr="00BB6978">
        <w:rPr>
          <w:rFonts w:asciiTheme="majorBidi" w:eastAsia="Times New Roman" w:hAnsiTheme="majorBidi"/>
          <w:color w:val="auto"/>
          <w:sz w:val="24"/>
          <w:szCs w:val="24"/>
        </w:rPr>
        <w:t>1.</w:t>
      </w:r>
      <w:r w:rsidR="00C27B4B" w:rsidRPr="00BB6978">
        <w:rPr>
          <w:rFonts w:asciiTheme="majorBidi" w:eastAsia="Times New Roman" w:hAnsiTheme="majorBidi"/>
          <w:color w:val="auto"/>
          <w:sz w:val="24"/>
          <w:szCs w:val="24"/>
        </w:rPr>
        <w:t>6</w:t>
      </w:r>
      <w:r w:rsidRPr="00BB6978">
        <w:rPr>
          <w:rFonts w:asciiTheme="majorBidi" w:eastAsia="Times New Roman" w:hAnsiTheme="majorBidi"/>
          <w:color w:val="auto"/>
          <w:sz w:val="24"/>
          <w:szCs w:val="24"/>
        </w:rPr>
        <w:t xml:space="preserve"> </w:t>
      </w:r>
      <w:bookmarkEnd w:id="31"/>
      <w:bookmarkEnd w:id="32"/>
      <w:r w:rsidR="00F2285D" w:rsidRPr="00BB6978">
        <w:rPr>
          <w:rFonts w:asciiTheme="majorBidi" w:eastAsia="Times New Roman" w:hAnsiTheme="majorBidi"/>
          <w:color w:val="auto"/>
          <w:sz w:val="24"/>
          <w:szCs w:val="24"/>
        </w:rPr>
        <w:t xml:space="preserve">Problem </w:t>
      </w:r>
      <w:r w:rsidR="00105FAF" w:rsidRPr="00BB6978">
        <w:rPr>
          <w:rFonts w:asciiTheme="majorBidi" w:eastAsia="Times New Roman" w:hAnsiTheme="majorBidi"/>
          <w:color w:val="auto"/>
          <w:sz w:val="24"/>
          <w:szCs w:val="24"/>
        </w:rPr>
        <w:t>s</w:t>
      </w:r>
      <w:r w:rsidR="00F2285D" w:rsidRPr="00BB6978">
        <w:rPr>
          <w:rFonts w:asciiTheme="majorBidi" w:eastAsia="Times New Roman" w:hAnsiTheme="majorBidi"/>
          <w:color w:val="auto"/>
          <w:sz w:val="24"/>
          <w:szCs w:val="24"/>
        </w:rPr>
        <w:t>tatement</w:t>
      </w:r>
      <w:bookmarkEnd w:id="43"/>
      <w:r w:rsidRPr="00BB6978">
        <w:rPr>
          <w:rFonts w:asciiTheme="majorBidi" w:eastAsia="Times New Roman" w:hAnsiTheme="majorBidi"/>
          <w:color w:val="auto"/>
          <w:sz w:val="24"/>
          <w:szCs w:val="24"/>
        </w:rPr>
        <w:t xml:space="preserve"> </w:t>
      </w:r>
    </w:p>
    <w:p w14:paraId="055A00BF" w14:textId="77777777" w:rsidR="00161F8B" w:rsidRPr="00BB6978" w:rsidRDefault="00161F8B" w:rsidP="00161F8B">
      <w:pPr>
        <w:autoSpaceDE w:val="0"/>
        <w:autoSpaceDN w:val="0"/>
        <w:adjustRightInd w:val="0"/>
        <w:jc w:val="both"/>
        <w:rPr>
          <w:rFonts w:ascii="Times New Roman" w:eastAsia="Calibri" w:hAnsi="Times New Roman" w:cs="Times New Roman"/>
        </w:rPr>
      </w:pPr>
    </w:p>
    <w:p w14:paraId="68DB5A0E" w14:textId="77777777" w:rsidR="008A65EA" w:rsidRPr="00BB6978" w:rsidRDefault="008A65EA" w:rsidP="008A65EA">
      <w:pPr>
        <w:autoSpaceDE w:val="0"/>
        <w:autoSpaceDN w:val="0"/>
        <w:adjustRightInd w:val="0"/>
        <w:spacing w:after="68" w:line="480" w:lineRule="auto"/>
        <w:ind w:firstLine="357"/>
        <w:jc w:val="both"/>
        <w:rPr>
          <w:rFonts w:ascii="Times New Roman" w:eastAsia="Calibri" w:hAnsi="Times New Roman" w:cs="Times New Roman"/>
          <w:sz w:val="24"/>
          <w:szCs w:val="24"/>
        </w:rPr>
      </w:pPr>
      <w:bookmarkStart w:id="44" w:name="_Toc64369113"/>
      <w:bookmarkStart w:id="45" w:name="_Toc96103732"/>
      <w:r w:rsidRPr="00BB6978">
        <w:rPr>
          <w:rFonts w:ascii="Times New Roman" w:eastAsia="Calibri" w:hAnsi="Times New Roman" w:cs="Times New Roman"/>
          <w:sz w:val="24"/>
          <w:szCs w:val="24"/>
        </w:rPr>
        <w:t xml:space="preserve">In line with its 2030 Economic Vision, the Abu Dhabi government started implementing an ambitious program of educational reforms in 2005. The government's aim was to develop an educational system that could support other sectors and address deficiencies in the quality of the education offered by schools. The first priority of the reform was to ensure that private school quality met international standards. The second priority was providing students with affordable and reasonably priced choices of high-quality private education. This is particularly important, as ADEC (2008) found that many expatriates in Abu Dhabi simply cannot afford private schooling. Furthermore, the tuition fees of the private schools in Abu Dhabi takes up a major proportion of family income (Badri, &amp; Khaili, 2014). </w:t>
      </w:r>
    </w:p>
    <w:p w14:paraId="421AAD8B" w14:textId="0541C338" w:rsidR="008A65EA" w:rsidRPr="00BB6978" w:rsidRDefault="008A65EA" w:rsidP="008A65EA">
      <w:pPr>
        <w:autoSpaceDE w:val="0"/>
        <w:autoSpaceDN w:val="0"/>
        <w:adjustRightInd w:val="0"/>
        <w:spacing w:after="68" w:line="480" w:lineRule="auto"/>
        <w:ind w:firstLine="357"/>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UAE is considered to have the most advanced education sector in GCC with a mature market of private institutions. Private schools dominate K-12 education in the country and the demand for them is increasing. For instance, by 2022, 150 more schools will be needed</w:t>
      </w:r>
      <w:r w:rsidR="001F021F" w:rsidRPr="00BB6978">
        <w:rPr>
          <w:rFonts w:ascii="Times New Roman" w:eastAsia="Calibri" w:hAnsi="Times New Roman" w:cs="Times New Roman"/>
          <w:sz w:val="24"/>
          <w:szCs w:val="24"/>
        </w:rPr>
        <w:t xml:space="preserve"> </w:t>
      </w:r>
      <w:r w:rsidR="001F021F" w:rsidRPr="00BB6978">
        <w:rPr>
          <w:rFonts w:asciiTheme="majorBidi" w:hAnsiTheme="majorBidi" w:cstheme="majorBidi"/>
          <w:sz w:val="24"/>
          <w:szCs w:val="24"/>
          <w:shd w:val="clear" w:color="auto" w:fill="FFFFFF"/>
        </w:rPr>
        <w:t>(</w:t>
      </w:r>
      <w:r w:rsidR="001F021F" w:rsidRPr="00BB6978">
        <w:rPr>
          <w:rFonts w:asciiTheme="majorBidi" w:eastAsia="Calibri" w:hAnsiTheme="majorBidi" w:cstheme="majorBidi"/>
          <w:sz w:val="24"/>
          <w:szCs w:val="24"/>
        </w:rPr>
        <w:t>B</w:t>
      </w:r>
      <w:r w:rsidR="001F021F" w:rsidRPr="00BB6978">
        <w:rPr>
          <w:rFonts w:ascii="Times New Roman" w:eastAsia="Calibri" w:hAnsi="Times New Roman" w:cs="Times New Roman"/>
          <w:sz w:val="24"/>
          <w:szCs w:val="24"/>
        </w:rPr>
        <w:t xml:space="preserve">oston Consulting Group (BCG), 2018). </w:t>
      </w:r>
      <w:r w:rsidRPr="00BB6978">
        <w:rPr>
          <w:rFonts w:ascii="Times New Roman" w:eastAsia="Calibri" w:hAnsi="Times New Roman" w:cs="Times New Roman"/>
          <w:sz w:val="24"/>
          <w:szCs w:val="24"/>
        </w:rPr>
        <w:t xml:space="preserve"> However, there are growing concerns about the cost and quality of the private education among parents and authorities. For instance, the cost of education to parents from primary to university levels is expected to be approximately $99,378 </w:t>
      </w:r>
      <w:r w:rsidRPr="00BB6978">
        <w:rPr>
          <w:rFonts w:ascii="Times New Roman" w:eastAsia="Calibri" w:hAnsi="Times New Roman" w:cs="Times New Roman"/>
          <w:sz w:val="24"/>
          <w:szCs w:val="24"/>
        </w:rPr>
        <w:fldChar w:fldCharType="begin" w:fldLock="1"/>
      </w:r>
      <w:r w:rsidRPr="00BB6978">
        <w:rPr>
          <w:rFonts w:ascii="Times New Roman" w:eastAsia="Calibri" w:hAnsi="Times New Roman" w:cs="Times New Roman"/>
          <w:sz w:val="24"/>
          <w:szCs w:val="24"/>
        </w:rPr>
        <w:instrText>ADDIN CSL_CITATION {"citationItems":[{"id":"ITEM-1","itemData":{"id":"ITEM-1","issued":{"date-parts":[["2018"]]},"page":"1-100","title":"GCC Education Industry | November 13 , 2018 GCC Education Industry | November 13 , 2018","type":"article-journal"},"uris":["http://www.mendeley.com/documents/?uuid=d9881196-0a54-4cdd-acd4-74832a8d668a"]}],"mendeley":{"formattedCitation":"(“GCC Education Industry | November 13 , 2018 GCC Education Industry | November 13 , 2018,” 2018)","manualFormatting":"(“GCC Education Industry, 2018)","plainTextFormattedCitation":"(“GCC Education Industry | November 13 , 2018 GCC Education Industry | November 13 , 2018,” 2018)","previouslyFormattedCitation":"(“GCC Education Industry | November 13 , 2018 GCC Education Industry | November 13 , 2018,” 2018)"},"properties":{"noteIndex":0},"schema":"https://github.com/citation-style-language/schema/raw/master/csl-citation.json"}</w:instrText>
      </w:r>
      <w:r w:rsidRPr="00BB6978">
        <w:rPr>
          <w:rFonts w:ascii="Times New Roman" w:eastAsia="Calibri" w:hAnsi="Times New Roman" w:cs="Times New Roman"/>
          <w:sz w:val="24"/>
          <w:szCs w:val="24"/>
        </w:rPr>
        <w:fldChar w:fldCharType="separate"/>
      </w:r>
      <w:r w:rsidRPr="00BB6978">
        <w:rPr>
          <w:rFonts w:ascii="Times New Roman" w:eastAsia="Calibri" w:hAnsi="Times New Roman" w:cs="Times New Roman"/>
          <w:sz w:val="24"/>
          <w:szCs w:val="24"/>
        </w:rPr>
        <w:t>(GCC Education Industry, 2018)</w:t>
      </w:r>
      <w:r w:rsidRPr="00BB6978">
        <w:rPr>
          <w:rFonts w:ascii="Times New Roman" w:eastAsia="Calibri" w:hAnsi="Times New Roman" w:cs="Times New Roman"/>
          <w:sz w:val="24"/>
          <w:szCs w:val="24"/>
        </w:rPr>
        <w:fldChar w:fldCharType="end"/>
      </w:r>
      <w:r w:rsidRPr="00BB6978">
        <w:rPr>
          <w:rFonts w:ascii="Times New Roman" w:eastAsia="Calibri" w:hAnsi="Times New Roman" w:cs="Times New Roman"/>
          <w:sz w:val="24"/>
          <w:szCs w:val="24"/>
        </w:rPr>
        <w:t xml:space="preserve">. A recent survey showed that </w:t>
      </w:r>
      <w:r w:rsidR="00C76A57" w:rsidRPr="00BB6978">
        <w:rPr>
          <w:rFonts w:ascii="Times New Roman" w:eastAsia="Calibri" w:hAnsi="Times New Roman" w:cs="Times New Roman"/>
          <w:sz w:val="24"/>
          <w:szCs w:val="24"/>
        </w:rPr>
        <w:t>school fees are the biggest financial concern for almost half of UAE parents</w:t>
      </w:r>
      <w:r w:rsidRPr="00BB6978">
        <w:rPr>
          <w:rFonts w:ascii="Times New Roman" w:eastAsia="Calibri" w:hAnsi="Times New Roman" w:cs="Times New Roman"/>
          <w:sz w:val="24"/>
          <w:szCs w:val="24"/>
        </w:rPr>
        <w:t xml:space="preserve"> </w:t>
      </w:r>
      <w:r w:rsidRPr="00BB6978">
        <w:rPr>
          <w:rFonts w:ascii="Times New Roman" w:eastAsia="Calibri" w:hAnsi="Times New Roman" w:cs="Times New Roman"/>
          <w:sz w:val="24"/>
          <w:szCs w:val="24"/>
        </w:rPr>
        <w:fldChar w:fldCharType="begin" w:fldLock="1"/>
      </w:r>
      <w:r w:rsidRPr="00BB6978">
        <w:rPr>
          <w:rFonts w:ascii="Times New Roman" w:eastAsia="Calibri" w:hAnsi="Times New Roman" w:cs="Times New Roman"/>
          <w:sz w:val="24"/>
          <w:szCs w:val="24"/>
        </w:rPr>
        <w:instrText>ADDIN CSL_CITATION {"citationItems":[{"id":"ITEM-1","itemData":{"URL":"https://mena.yougov.com/en/news/2019/02/04/three-four-uae-parents-think-their-childs-school-p/","accessed":{"date-parts":[["2020","1","7"]]},"author":[{"dropping-particle":"","family":"McLaren","given":"","non-dropping-particle":"","parse-names":false,"suffix":""},{"dropping-particle":"","family":"Kerry","given":"","non-dropping-particle":"","parse-names":false,"suffix":""}],"id":"ITEM-1","issued":{"date-parts":[["2018"]]},"title":"YouGov | Three in four UAE parents think their child’s school provides value for money","type":"webpage"},"uris":["http://www.mendeley.com/documents/?uuid=92729e79-eb33-3140-81da-abd7160e5226"]}],"mendeley":{"formattedCitation":"(McLaren &amp; Kerry, 2018)","plainTextFormattedCitation":"(McLaren &amp; Kerry, 2018)","previouslyFormattedCitation":"(McLaren &amp; Kerry, 2018)"},"properties":{"noteIndex":0},"schema":"https://github.com/citation-style-language/schema/raw/master/csl-citation.json"}</w:instrText>
      </w:r>
      <w:r w:rsidRPr="00BB6978">
        <w:rPr>
          <w:rFonts w:ascii="Times New Roman" w:eastAsia="Calibri" w:hAnsi="Times New Roman" w:cs="Times New Roman"/>
          <w:sz w:val="24"/>
          <w:szCs w:val="24"/>
        </w:rPr>
        <w:fldChar w:fldCharType="separate"/>
      </w:r>
      <w:r w:rsidRPr="00BB6978">
        <w:rPr>
          <w:rFonts w:ascii="Times New Roman" w:eastAsia="Calibri" w:hAnsi="Times New Roman" w:cs="Times New Roman"/>
          <w:sz w:val="24"/>
          <w:szCs w:val="24"/>
        </w:rPr>
        <w:t>(</w:t>
      </w:r>
      <w:r w:rsidR="00C76A57" w:rsidRPr="00BB6978">
        <w:rPr>
          <w:rFonts w:ascii="Times New Roman" w:eastAsia="Calibri" w:hAnsi="Times New Roman" w:cs="Times New Roman"/>
          <w:sz w:val="24"/>
          <w:szCs w:val="24"/>
        </w:rPr>
        <w:t>Hoppe</w:t>
      </w:r>
      <w:r w:rsidRPr="00BB6978">
        <w:rPr>
          <w:rFonts w:ascii="Times New Roman" w:eastAsia="Calibri" w:hAnsi="Times New Roman" w:cs="Times New Roman"/>
          <w:sz w:val="24"/>
          <w:szCs w:val="24"/>
        </w:rPr>
        <w:t>, 20</w:t>
      </w:r>
      <w:r w:rsidR="00C76A57" w:rsidRPr="00BB6978">
        <w:rPr>
          <w:rFonts w:ascii="Times New Roman" w:eastAsia="Calibri" w:hAnsi="Times New Roman" w:cs="Times New Roman"/>
          <w:sz w:val="24"/>
          <w:szCs w:val="24"/>
        </w:rPr>
        <w:t>22</w:t>
      </w:r>
      <w:r w:rsidRPr="00BB6978">
        <w:rPr>
          <w:rFonts w:ascii="Times New Roman" w:eastAsia="Calibri" w:hAnsi="Times New Roman" w:cs="Times New Roman"/>
          <w:sz w:val="24"/>
          <w:szCs w:val="24"/>
        </w:rPr>
        <w:t>)</w:t>
      </w:r>
      <w:r w:rsidRPr="00BB6978">
        <w:rPr>
          <w:rFonts w:ascii="Times New Roman" w:eastAsia="Calibri" w:hAnsi="Times New Roman" w:cs="Times New Roman"/>
          <w:sz w:val="24"/>
          <w:szCs w:val="24"/>
        </w:rPr>
        <w:fldChar w:fldCharType="end"/>
      </w:r>
      <w:r w:rsidRPr="00BB6978">
        <w:rPr>
          <w:rFonts w:ascii="Times New Roman" w:eastAsia="Calibri" w:hAnsi="Times New Roman" w:cs="Times New Roman"/>
          <w:sz w:val="24"/>
          <w:szCs w:val="24"/>
        </w:rPr>
        <w:t>. Moreover, parents feel that even though school fees are high, the quality is not as expected.</w:t>
      </w:r>
      <w:r w:rsidRPr="00BB6978">
        <w:rPr>
          <w:rFonts w:ascii="Times New Roman" w:eastAsia="Times New Roman" w:hAnsi="Times New Roman" w:cs="Times New Roman"/>
          <w:sz w:val="24"/>
          <w:szCs w:val="24"/>
        </w:rPr>
        <w:t xml:space="preserve"> </w:t>
      </w:r>
      <w:r w:rsidRPr="00BB6978">
        <w:rPr>
          <w:rFonts w:ascii="Times New Roman" w:eastAsia="Calibri" w:hAnsi="Times New Roman" w:cs="Times New Roman"/>
          <w:sz w:val="24"/>
          <w:szCs w:val="24"/>
        </w:rPr>
        <w:t xml:space="preserve">ADEK has now started publishing parents’ surveys on their </w:t>
      </w:r>
      <w:r w:rsidR="00CD4088" w:rsidRPr="00BB6978">
        <w:rPr>
          <w:rFonts w:ascii="Times New Roman" w:eastAsia="Calibri" w:hAnsi="Times New Roman" w:cs="Times New Roman"/>
          <w:sz w:val="24"/>
          <w:szCs w:val="24"/>
        </w:rPr>
        <w:t xml:space="preserve">official </w:t>
      </w:r>
      <w:r w:rsidRPr="00BB6978">
        <w:rPr>
          <w:rFonts w:ascii="Times New Roman" w:eastAsia="Calibri" w:hAnsi="Times New Roman" w:cs="Times New Roman"/>
          <w:sz w:val="24"/>
          <w:szCs w:val="24"/>
        </w:rPr>
        <w:t>website. In these surveys, parents score schools on the following criteria: parents' overall impression, quality of learning, academic achievement, school safety, parental engagement, school code of conduct, school health, and school leadership. ADEK relates parents' scores for all schools with a complete inspection rating of the same level and delivers a detailed analysis of parents' responses under each criterion</w:t>
      </w:r>
      <w:r w:rsidR="001F021F" w:rsidRPr="00BB6978">
        <w:rPr>
          <w:rFonts w:ascii="Times New Roman" w:eastAsia="Calibri" w:hAnsi="Times New Roman" w:cs="Times New Roman"/>
          <w:sz w:val="24"/>
          <w:szCs w:val="24"/>
        </w:rPr>
        <w:t xml:space="preserve"> (Gallagher, 2019).</w:t>
      </w:r>
    </w:p>
    <w:p w14:paraId="14807AE6" w14:textId="198674C8" w:rsidR="008A65EA" w:rsidRPr="00BB6978" w:rsidRDefault="008A65EA" w:rsidP="008A65EA">
      <w:pPr>
        <w:autoSpaceDE w:val="0"/>
        <w:autoSpaceDN w:val="0"/>
        <w:adjustRightInd w:val="0"/>
        <w:spacing w:after="68" w:line="480" w:lineRule="auto"/>
        <w:ind w:firstLine="357"/>
        <w:jc w:val="both"/>
        <w:rPr>
          <w:rFonts w:ascii="Times New Roman" w:eastAsia="Calibri" w:hAnsi="Times New Roman" w:cs="Times New Roman"/>
          <w:sz w:val="24"/>
          <w:szCs w:val="24"/>
        </w:rPr>
      </w:pPr>
      <w:r w:rsidRPr="00BB6978">
        <w:rPr>
          <w:rFonts w:ascii="Times New Roman" w:eastAsia="Times New Roman" w:hAnsi="Times New Roman" w:cs="Times New Roman"/>
          <w:sz w:val="24"/>
          <w:szCs w:val="24"/>
        </w:rPr>
        <w:t>A closer look at the ADEK published school inspection reports shows that access to outstanding schools costs $14,900 on average, while access to very good schools costs $12,300 on average. Generally, it is assumed that private schools with high quality charge high tuition fees</w:t>
      </w:r>
      <w:r w:rsidR="001F021F" w:rsidRPr="00BB6978">
        <w:rPr>
          <w:rFonts w:ascii="Times New Roman" w:eastAsia="Times New Roman" w:hAnsi="Times New Roman" w:cs="Times New Roman"/>
          <w:sz w:val="24"/>
          <w:szCs w:val="24"/>
        </w:rPr>
        <w:t xml:space="preserve"> (Which school advisor, 2020). </w:t>
      </w:r>
      <w:r w:rsidRPr="00BB6978">
        <w:rPr>
          <w:rFonts w:ascii="Times New Roman" w:eastAsia="Times New Roman" w:hAnsi="Times New Roman" w:cs="Times New Roman"/>
          <w:sz w:val="24"/>
          <w:szCs w:val="24"/>
        </w:rPr>
        <w:t xml:space="preserve">However, many schools that charge high tuition fees are ranked good or less, suggesting a low correlation between price and quality. However, a recent UAE focused study using PISA 2018 scores showed that the higher the school rank, the higher the students’ outcomes in the assessment </w:t>
      </w:r>
      <w:r w:rsidRPr="00BB6978">
        <w:rPr>
          <w:rFonts w:ascii="Times New Roman" w:eastAsia="Times New Roman" w:hAnsi="Times New Roman" w:cs="Times New Roman"/>
          <w:sz w:val="24"/>
          <w:szCs w:val="24"/>
        </w:rPr>
        <w:fldChar w:fldCharType="begin" w:fldLock="1"/>
      </w:r>
      <w:r w:rsidRPr="00BB6978">
        <w:rPr>
          <w:rFonts w:ascii="Times New Roman" w:eastAsia="Times New Roman" w:hAnsi="Times New Roman" w:cs="Times New Roman"/>
          <w:sz w:val="24"/>
          <w:szCs w:val="24"/>
        </w:rPr>
        <w:instrText>ADDIN CSL_CITATION {"citationItems":[{"id":"ITEM-1","itemData":{"author":[{"dropping-particle":"","family":"Summaries","given":"Combined Executive","non-dropping-particle":"","parse-names":false,"suffix":""}],"id":"ITEM-1","issued":{"date-parts":[["2018"]]},"title":"PISA 2018 Results","type":"article-journal","volume":"I"},"uris":["http://www.mendeley.com/documents/?uuid=3a13a29d-ca74-4216-ade7-49ac5f383995"]}],"mendeley":{"formattedCitation":"(Summaries, 2018)","plainTextFormattedCitation":"(Summaries, 2018)","previouslyFormattedCitation":"(Summaries, 2018)"},"properties":{"noteIndex":0},"schema":"https://github.com/citation-style-language/schema/raw/master/csl-citation.json"}</w:instrText>
      </w:r>
      <w:r w:rsidRPr="00BB6978">
        <w:rPr>
          <w:rFonts w:ascii="Times New Roman" w:eastAsia="Times New Roman" w:hAnsi="Times New Roman" w:cs="Times New Roman"/>
          <w:sz w:val="24"/>
          <w:szCs w:val="24"/>
        </w:rPr>
        <w:fldChar w:fldCharType="separate"/>
      </w:r>
      <w:r w:rsidRPr="00BB6978">
        <w:rPr>
          <w:rFonts w:ascii="Times New Roman" w:eastAsia="Times New Roman" w:hAnsi="Times New Roman" w:cs="Times New Roman"/>
          <w:sz w:val="24"/>
          <w:szCs w:val="24"/>
        </w:rPr>
        <w:t>(Summaries, 201</w:t>
      </w:r>
      <w:r w:rsidR="006459F0" w:rsidRPr="00BB6978">
        <w:rPr>
          <w:rFonts w:ascii="Times New Roman" w:eastAsia="Times New Roman" w:hAnsi="Times New Roman" w:cs="Times New Roman"/>
          <w:sz w:val="24"/>
          <w:szCs w:val="24"/>
        </w:rPr>
        <w:t>9</w:t>
      </w:r>
      <w:r w:rsidRPr="00BB6978">
        <w:rPr>
          <w:rFonts w:ascii="Times New Roman" w:eastAsia="Times New Roman" w:hAnsi="Times New Roman" w:cs="Times New Roman"/>
          <w:sz w:val="24"/>
          <w:szCs w:val="24"/>
        </w:rPr>
        <w:t>)</w:t>
      </w:r>
      <w:r w:rsidRPr="00BB6978">
        <w:rPr>
          <w:rFonts w:ascii="Times New Roman" w:eastAsia="Times New Roman" w:hAnsi="Times New Roman" w:cs="Times New Roman"/>
          <w:sz w:val="24"/>
          <w:szCs w:val="24"/>
        </w:rPr>
        <w:fldChar w:fldCharType="end"/>
      </w:r>
      <w:r w:rsidRPr="00BB6978">
        <w:rPr>
          <w:rFonts w:ascii="Times New Roman" w:eastAsia="Times New Roman" w:hAnsi="Times New Roman" w:cs="Times New Roman"/>
          <w:sz w:val="24"/>
          <w:szCs w:val="24"/>
        </w:rPr>
        <w:t>.</w:t>
      </w:r>
      <w:bookmarkStart w:id="46" w:name="_Hlk68707369"/>
      <w:r w:rsidRPr="00BB6978">
        <w:rPr>
          <w:rFonts w:ascii="Times New Roman" w:eastAsia="Times New Roman" w:hAnsi="Times New Roman" w:cs="Times New Roman"/>
          <w:sz w:val="24"/>
          <w:szCs w:val="24"/>
        </w:rPr>
        <w:t xml:space="preserve"> These differing observations raise the question of the relationship between school quality, school cost, and student achievement.</w:t>
      </w:r>
      <w:bookmarkEnd w:id="46"/>
    </w:p>
    <w:p w14:paraId="1FF79562" w14:textId="7F6BEBA9" w:rsidR="008A65EA" w:rsidRPr="00BB6978" w:rsidRDefault="008A65EA" w:rsidP="008A65EA">
      <w:pPr>
        <w:autoSpaceDE w:val="0"/>
        <w:autoSpaceDN w:val="0"/>
        <w:adjustRightInd w:val="0"/>
        <w:spacing w:after="68" w:line="480" w:lineRule="auto"/>
        <w:ind w:firstLine="357"/>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The quality of K-12 education, cost of education, private schooling systems, and student achievements have been extensively discussed in the literature across the world</w:t>
      </w:r>
      <w:r w:rsidR="001F021F" w:rsidRPr="00BB6978">
        <w:rPr>
          <w:rFonts w:ascii="Times New Roman" w:eastAsia="Times New Roman" w:hAnsi="Times New Roman" w:cs="Times New Roman"/>
          <w:sz w:val="24"/>
          <w:szCs w:val="24"/>
        </w:rPr>
        <w:t xml:space="preserve"> (</w:t>
      </w:r>
      <w:r w:rsidR="001F021F" w:rsidRPr="00BB6978">
        <w:rPr>
          <w:rFonts w:ascii="Times New Roman" w:eastAsia="Times New Roman" w:hAnsi="Times New Roman" w:cs="Times New Roman"/>
          <w:sz w:val="24"/>
          <w:szCs w:val="24"/>
          <w:lang w:val="en-US"/>
        </w:rPr>
        <w:t xml:space="preserve">Gopalan et al, 2020; Guo et al., 2019; Surur et al., 2020; </w:t>
      </w:r>
      <w:r w:rsidR="001F021F" w:rsidRPr="00BB6978">
        <w:rPr>
          <w:rFonts w:ascii="Times New Roman" w:eastAsia="Calibri" w:hAnsi="Times New Roman" w:cs="Times New Roman"/>
          <w:lang w:val="en-US"/>
        </w:rPr>
        <w:t>Zhang &amp; Bray, 2020</w:t>
      </w:r>
      <w:r w:rsidR="001F021F" w:rsidRPr="00BB6978">
        <w:rPr>
          <w:rFonts w:ascii="Times New Roman" w:eastAsia="Times New Roman" w:hAnsi="Times New Roman" w:cs="Times New Roman"/>
          <w:sz w:val="24"/>
          <w:szCs w:val="24"/>
        </w:rPr>
        <w:t xml:space="preserve">). </w:t>
      </w:r>
      <w:r w:rsidR="00276B94" w:rsidRPr="00BB6978">
        <w:rPr>
          <w:rFonts w:ascii="Times New Roman" w:eastAsia="Times New Roman" w:hAnsi="Times New Roman" w:cs="Times New Roman"/>
          <w:sz w:val="24"/>
          <w:szCs w:val="24"/>
        </w:rPr>
        <w:t>There have been limited studies on the correlation between quality and student achievement in higher education in the UAE. It is imperative to conduct research from the parents' perspectives on the quality, cost, and students' achievement in high schools (Rhinesmith, 2017), particularly in a context as unique as Abu Dhabi Emirate, with its diverse society, various curriculums, and high cost of living (Gallagher, 2019; Shomotova &amp; Karabchuk, 2022).</w:t>
      </w:r>
    </w:p>
    <w:p w14:paraId="782AA38B" w14:textId="77777777" w:rsidR="00161F8B" w:rsidRPr="00BB6978" w:rsidRDefault="00161F8B" w:rsidP="00161F8B">
      <w:pPr>
        <w:pStyle w:val="Heading1"/>
        <w:rPr>
          <w:rFonts w:asciiTheme="majorBidi" w:eastAsia="Times New Roman" w:hAnsiTheme="majorBidi"/>
          <w:b w:val="0"/>
          <w:bCs w:val="0"/>
          <w:color w:val="auto"/>
          <w:sz w:val="24"/>
          <w:szCs w:val="24"/>
        </w:rPr>
      </w:pPr>
      <w:bookmarkStart w:id="47" w:name="_Toc138239783"/>
      <w:r w:rsidRPr="00BB6978">
        <w:rPr>
          <w:rFonts w:asciiTheme="majorBidi" w:eastAsia="Times New Roman" w:hAnsiTheme="majorBidi"/>
          <w:color w:val="auto"/>
          <w:sz w:val="24"/>
          <w:szCs w:val="24"/>
        </w:rPr>
        <w:t>1.</w:t>
      </w:r>
      <w:r w:rsidR="00C27B4B" w:rsidRPr="00BB6978">
        <w:rPr>
          <w:rFonts w:asciiTheme="majorBidi" w:eastAsia="Times New Roman" w:hAnsiTheme="majorBidi"/>
          <w:color w:val="auto"/>
          <w:sz w:val="24"/>
          <w:szCs w:val="24"/>
        </w:rPr>
        <w:t>7</w:t>
      </w:r>
      <w:r w:rsidRPr="00BB6978">
        <w:rPr>
          <w:rFonts w:asciiTheme="majorBidi" w:eastAsia="Times New Roman" w:hAnsiTheme="majorBidi"/>
          <w:color w:val="auto"/>
          <w:sz w:val="24"/>
          <w:szCs w:val="24"/>
        </w:rPr>
        <w:t xml:space="preserve"> Need &amp; justification of the study</w:t>
      </w:r>
      <w:bookmarkEnd w:id="44"/>
      <w:bookmarkEnd w:id="45"/>
      <w:bookmarkEnd w:id="47"/>
    </w:p>
    <w:p w14:paraId="16D10EA0" w14:textId="77777777" w:rsidR="00161F8B" w:rsidRPr="00BB6978" w:rsidRDefault="00161F8B" w:rsidP="00161F8B"/>
    <w:p w14:paraId="6D2ABECE" w14:textId="77777777" w:rsidR="005D590C" w:rsidRPr="00BB6978" w:rsidRDefault="005D590C" w:rsidP="005D590C">
      <w:pPr>
        <w:autoSpaceDE w:val="0"/>
        <w:autoSpaceDN w:val="0"/>
        <w:adjustRightInd w:val="0"/>
        <w:spacing w:after="68" w:line="480" w:lineRule="auto"/>
        <w:ind w:firstLine="357"/>
        <w:jc w:val="both"/>
        <w:rPr>
          <w:rFonts w:ascii="Times New Roman" w:eastAsia="Times New Roman" w:hAnsi="Times New Roman" w:cs="Times New Roman"/>
          <w:sz w:val="24"/>
          <w:szCs w:val="24"/>
        </w:rPr>
      </w:pPr>
      <w:bookmarkStart w:id="48" w:name="_Toc64369114"/>
      <w:bookmarkStart w:id="49" w:name="_Toc96103733"/>
      <w:r w:rsidRPr="00BB6978">
        <w:rPr>
          <w:rFonts w:ascii="Times New Roman" w:eastAsia="Times New Roman" w:hAnsi="Times New Roman" w:cs="Times New Roman"/>
          <w:sz w:val="24"/>
          <w:szCs w:val="24"/>
        </w:rPr>
        <w:t xml:space="preserve">Education is now considered a consumer service that follows business operating modules </w:t>
      </w:r>
      <w:r w:rsidRPr="00BB6978">
        <w:rPr>
          <w:rFonts w:ascii="Times New Roman" w:eastAsia="Times New Roman" w:hAnsi="Times New Roman" w:cs="Times New Roman"/>
          <w:sz w:val="24"/>
          <w:szCs w:val="24"/>
        </w:rPr>
        <w:fldChar w:fldCharType="begin" w:fldLock="1"/>
      </w:r>
      <w:r w:rsidRPr="00BB6978">
        <w:rPr>
          <w:rFonts w:ascii="Times New Roman" w:eastAsia="Times New Roman" w:hAnsi="Times New Roman" w:cs="Times New Roman"/>
          <w:sz w:val="24"/>
          <w:szCs w:val="24"/>
        </w:rPr>
        <w:instrText>ADDIN CSL_CITATION {"citationItems":[{"id":"ITEM-1","itemData":{"DOI":"10.1002/ajs4.38","ISSN":"18394655","abstract":"The distribution of school funding has been a controversial topic for decades particularly since the Australian Government introduced a new funding model for private schools in the late 1990s. Recent research shows that changes in the funding of private schools have encouraged growth in the number of private schools allowing parents with the financial means to select from an increasing range of options for their children. For this article, I conduct analyses of data from the 2003 cohort of the Longitudinal Surveys of Australian Youth project to examine differences in the outcomes of students according to the type of school attended. The results presented in this article show that students with highly educated parents were more likely than other students to attend independent schools. After controlling for the level of economic, social and cultural status of the school population, type of school attended was not associated with academic achievement, as measured by the Programme for International Student Assessment tests. Furthermore, there was no statistically significant association between type of school attended and employment status, occupation or earnings at age 24, net of level of educational attainment.","author":[{"dropping-particle":"","family":"Chesters","given":"Jenny","non-dropping-particle":"","parse-names":false,"suffix":""}],"container-title":"Australian Journal of Social Issues","id":"ITEM-1","issue":"2","issued":{"date-parts":[["2018"]]},"page":"139-157","title":"The marketisation of education in Australia: Does investment in private schooling improve post-school outcomes?","type":"article-journal","volume":"53"},"uris":["http://www.mendeley.com/documents/?uuid=bac3c0de-ed10-4244-86e6-4dbb048b8efd"]}],"mendeley":{"formattedCitation":"(Chesters, 2018)","plainTextFormattedCitation":"(Chesters, 2018)","previouslyFormattedCitation":"(Chesters, 2018)"},"properties":{"noteIndex":0},"schema":"https://github.com/citation-style-language/schema/raw/master/csl-citation.json"}</w:instrText>
      </w:r>
      <w:r w:rsidRPr="00BB6978">
        <w:rPr>
          <w:rFonts w:ascii="Times New Roman" w:eastAsia="Times New Roman" w:hAnsi="Times New Roman" w:cs="Times New Roman"/>
          <w:sz w:val="24"/>
          <w:szCs w:val="24"/>
        </w:rPr>
        <w:fldChar w:fldCharType="separate"/>
      </w:r>
      <w:r w:rsidRPr="00BB6978">
        <w:rPr>
          <w:rFonts w:ascii="Times New Roman" w:eastAsia="Times New Roman" w:hAnsi="Times New Roman" w:cs="Times New Roman"/>
          <w:sz w:val="24"/>
          <w:szCs w:val="24"/>
        </w:rPr>
        <w:t>(Chesters, 2018)</w:t>
      </w:r>
      <w:r w:rsidRPr="00BB6978">
        <w:rPr>
          <w:rFonts w:ascii="Times New Roman" w:eastAsia="Times New Roman" w:hAnsi="Times New Roman" w:cs="Times New Roman"/>
          <w:sz w:val="24"/>
          <w:szCs w:val="24"/>
        </w:rPr>
        <w:fldChar w:fldCharType="end"/>
      </w:r>
      <w:r w:rsidRPr="00BB6978">
        <w:rPr>
          <w:rFonts w:ascii="Times New Roman" w:eastAsia="Times New Roman" w:hAnsi="Times New Roman" w:cs="Times New Roman"/>
          <w:sz w:val="24"/>
          <w:szCs w:val="24"/>
        </w:rPr>
        <w:t xml:space="preserve">. The global education market was worth $4.4 trillion in 2013, with steady growth expected </w:t>
      </w:r>
      <w:r w:rsidRPr="00BB6978">
        <w:rPr>
          <w:rFonts w:ascii="Times New Roman" w:eastAsia="Times New Roman" w:hAnsi="Times New Roman" w:cs="Times New Roman"/>
          <w:sz w:val="24"/>
          <w:szCs w:val="24"/>
        </w:rPr>
        <w:fldChar w:fldCharType="begin" w:fldLock="1"/>
      </w:r>
      <w:r w:rsidRPr="00BB6978">
        <w:rPr>
          <w:rFonts w:ascii="Times New Roman" w:eastAsia="Times New Roman" w:hAnsi="Times New Roman" w:cs="Times New Roman"/>
          <w:sz w:val="24"/>
          <w:szCs w:val="24"/>
        </w:rPr>
        <w:instrText>ADDIN CSL_CITATION {"citationItems":[{"id":"ITEM-1","itemData":{"URL":"https://www.washingtonpost.com/news/answer-sheet/wp/2013/02/09/global-education-market-reaches-4-4-trillion-and-is-growing/","accessed":{"date-parts":[["2020","1","9"]]},"author":[{"dropping-particle":"","family":"Valerie Strauss","given":"","non-dropping-particle":"","parse-names":false,"suffix":""}],"id":"ITEM-1","issued":{"date-parts":[["2013"]]},"title":"Global education market reaches $4.4 trillion — and is growing - The Washington Post","type":"webpage"},"uris":["http://www.mendeley.com/documents/?uuid=b14a281e-4622-3806-8bbf-29de41c2de73"]}],"mendeley":{"formattedCitation":"(Valerie Strauss, 2013)","plainTextFormattedCitation":"(Valerie Strauss, 2013)","previouslyFormattedCitation":"(Valerie Strauss, 2013)"},"properties":{"noteIndex":0},"schema":"https://github.com/citation-style-language/schema/raw/master/csl-citation.json"}</w:instrText>
      </w:r>
      <w:r w:rsidRPr="00BB6978">
        <w:rPr>
          <w:rFonts w:ascii="Times New Roman" w:eastAsia="Times New Roman" w:hAnsi="Times New Roman" w:cs="Times New Roman"/>
          <w:sz w:val="24"/>
          <w:szCs w:val="24"/>
        </w:rPr>
        <w:fldChar w:fldCharType="separate"/>
      </w:r>
      <w:r w:rsidRPr="00BB6978">
        <w:rPr>
          <w:rFonts w:ascii="Times New Roman" w:eastAsia="Times New Roman" w:hAnsi="Times New Roman" w:cs="Times New Roman"/>
          <w:sz w:val="24"/>
          <w:szCs w:val="24"/>
        </w:rPr>
        <w:t>(Strauss, 2013)</w:t>
      </w:r>
      <w:r w:rsidRPr="00BB6978">
        <w:rPr>
          <w:rFonts w:ascii="Times New Roman" w:eastAsia="Times New Roman" w:hAnsi="Times New Roman" w:cs="Times New Roman"/>
          <w:sz w:val="24"/>
          <w:szCs w:val="24"/>
        </w:rPr>
        <w:fldChar w:fldCharType="end"/>
      </w:r>
      <w:r w:rsidRPr="00BB6978">
        <w:rPr>
          <w:rFonts w:ascii="Times New Roman" w:eastAsia="Times New Roman" w:hAnsi="Times New Roman" w:cs="Times New Roman"/>
          <w:sz w:val="24"/>
          <w:szCs w:val="24"/>
        </w:rPr>
        <w:t xml:space="preserve">. The K-12 education market specifically is expected to reach $5 trillion by 2030 </w:t>
      </w:r>
      <w:r w:rsidRPr="00BB6978">
        <w:rPr>
          <w:rFonts w:ascii="Times New Roman" w:eastAsia="Times New Roman" w:hAnsi="Times New Roman" w:cs="Times New Roman"/>
          <w:sz w:val="24"/>
          <w:szCs w:val="24"/>
        </w:rPr>
        <w:fldChar w:fldCharType="begin" w:fldLock="1"/>
      </w:r>
      <w:r w:rsidRPr="00BB6978">
        <w:rPr>
          <w:rFonts w:ascii="Times New Roman" w:eastAsia="Times New Roman" w:hAnsi="Times New Roman" w:cs="Times New Roman"/>
          <w:sz w:val="24"/>
          <w:szCs w:val="24"/>
        </w:rPr>
        <w:instrText>ADDIN CSL_CITATION {"citationItems":[{"id":"ITEM-1","itemData":{"URL":"https://www.holoniq.com/2030/10-trillion-global-education-market/","accessed":{"date-parts":[["2020","1","9"]]},"id":"ITEM-1","issued":{"date-parts":[["0"]]},"title":"$10 Trillion Global Education Market in 2030 – HolonIQ","type":"webpage"},"uris":["http://www.mendeley.com/documents/?uuid=016c2ddd-0ce0-3e24-8b2e-e58ba263ffab"]}],"mendeley":{"formattedCitation":"(“$10 Trillion Global Education Market in 2030 – HolonIQ,” n.d.)","plainTextFormattedCitation":"(“$10 Trillion Global Education Market in 2030 – HolonIQ,” n.d.)","previouslyFormattedCitation":"(“$10 Trillion Global Education Market in 2030 – HolonIQ,” n.d.)"},"properties":{"noteIndex":0},"schema":"https://github.com/citation-style-language/schema/raw/master/csl-citation.json"}</w:instrText>
      </w:r>
      <w:r w:rsidRPr="00BB6978">
        <w:rPr>
          <w:rFonts w:ascii="Times New Roman" w:eastAsia="Times New Roman" w:hAnsi="Times New Roman" w:cs="Times New Roman"/>
          <w:sz w:val="24"/>
          <w:szCs w:val="24"/>
        </w:rPr>
        <w:fldChar w:fldCharType="separate"/>
      </w:r>
      <w:r w:rsidRPr="00BB6978">
        <w:rPr>
          <w:rFonts w:ascii="Times New Roman" w:eastAsia="Times New Roman" w:hAnsi="Times New Roman" w:cs="Times New Roman"/>
          <w:sz w:val="24"/>
          <w:szCs w:val="24"/>
        </w:rPr>
        <w:t>(</w:t>
      </w:r>
      <w:r w:rsidR="00C719D9" w:rsidRPr="00BB6978">
        <w:rPr>
          <w:rFonts w:ascii="Times New Roman" w:eastAsia="Times New Roman" w:hAnsi="Times New Roman" w:cs="Times New Roman"/>
          <w:sz w:val="24"/>
          <w:szCs w:val="24"/>
        </w:rPr>
        <w:t>Spies, &amp; Brothers, 2018</w:t>
      </w:r>
      <w:r w:rsidRPr="00BB6978">
        <w:rPr>
          <w:rFonts w:ascii="Times New Roman" w:eastAsia="Times New Roman" w:hAnsi="Times New Roman" w:cs="Times New Roman"/>
          <w:sz w:val="24"/>
          <w:szCs w:val="24"/>
        </w:rPr>
        <w:t>)</w:t>
      </w:r>
      <w:r w:rsidRPr="00BB6978">
        <w:rPr>
          <w:rFonts w:ascii="Times New Roman" w:eastAsia="Times New Roman" w:hAnsi="Times New Roman" w:cs="Times New Roman"/>
          <w:sz w:val="24"/>
          <w:szCs w:val="24"/>
        </w:rPr>
        <w:fldChar w:fldCharType="end"/>
      </w:r>
      <w:r w:rsidRPr="00BB6978">
        <w:rPr>
          <w:rFonts w:ascii="Times New Roman" w:eastAsia="Times New Roman" w:hAnsi="Times New Roman" w:cs="Times New Roman"/>
          <w:sz w:val="24"/>
          <w:szCs w:val="24"/>
        </w:rPr>
        <w:t xml:space="preserve">. In the UAE, the private K-12 education market was valued at $4.4 billion in 2017 and is expected to grow to $7.1 billion by 2023. Despite this growth, the supply of affordable private schools in the whole GCC region is low </w:t>
      </w:r>
      <w:r w:rsidRPr="00BB6978">
        <w:rPr>
          <w:rFonts w:ascii="Times New Roman" w:eastAsia="Times New Roman" w:hAnsi="Times New Roman" w:cs="Times New Roman"/>
          <w:sz w:val="24"/>
          <w:szCs w:val="24"/>
        </w:rPr>
        <w:fldChar w:fldCharType="begin" w:fldLock="1"/>
      </w:r>
      <w:r w:rsidRPr="00BB6978">
        <w:rPr>
          <w:rFonts w:ascii="Times New Roman" w:eastAsia="Times New Roman" w:hAnsi="Times New Roman" w:cs="Times New Roman"/>
          <w:sz w:val="24"/>
          <w:szCs w:val="24"/>
        </w:rPr>
        <w:instrText>ADDIN CSL_CITATION {"citationItems":[{"id":"ITEM-1","itemData":{"id":"ITEM-1","issued":{"date-parts":[["2018"]]},"page":"1-100","title":"GCC Education Industry | November 13 , 2018 GCC Education Industry | November 13 , 2018","type":"article-journal"},"uris":["http://www.mendeley.com/documents/?uuid=d9881196-0a54-4cdd-acd4-74832a8d668a"]}],"mendeley":{"formattedCitation":"(“GCC Education Industry | November 13 , 2018 GCC Education Industry | November 13 , 2018,” 2018)","manualFormatting":"(“GCC Education Industry, 2018)","plainTextFormattedCitation":"(“GCC Education Industry | November 13 , 2018 GCC Education Industry | November 13 , 2018,” 2018)","previouslyFormattedCitation":"(“GCC Education Industry | November 13 , 2018 GCC Education Industry | November 13 , 2018,” 2018)"},"properties":{"noteIndex":0},"schema":"https://github.com/citation-style-language/schema/raw/master/csl-citation.json"}</w:instrText>
      </w:r>
      <w:r w:rsidRPr="00BB6978">
        <w:rPr>
          <w:rFonts w:ascii="Times New Roman" w:eastAsia="Times New Roman" w:hAnsi="Times New Roman" w:cs="Times New Roman"/>
          <w:sz w:val="24"/>
          <w:szCs w:val="24"/>
        </w:rPr>
        <w:fldChar w:fldCharType="separate"/>
      </w:r>
      <w:r w:rsidRPr="00BB6978">
        <w:rPr>
          <w:rFonts w:ascii="Times New Roman" w:eastAsia="Times New Roman" w:hAnsi="Times New Roman" w:cs="Times New Roman"/>
          <w:sz w:val="24"/>
          <w:szCs w:val="24"/>
        </w:rPr>
        <w:t>( Hoteit et al., 2018;GCC Education Industry, 2018)</w:t>
      </w:r>
      <w:r w:rsidRPr="00BB6978">
        <w:rPr>
          <w:rFonts w:ascii="Times New Roman" w:eastAsia="Times New Roman" w:hAnsi="Times New Roman" w:cs="Times New Roman"/>
          <w:sz w:val="24"/>
          <w:szCs w:val="24"/>
        </w:rPr>
        <w:fldChar w:fldCharType="end"/>
      </w:r>
      <w:r w:rsidRPr="00BB6978">
        <w:rPr>
          <w:rFonts w:ascii="Times New Roman" w:eastAsia="Times New Roman" w:hAnsi="Times New Roman" w:cs="Times New Roman"/>
          <w:sz w:val="24"/>
          <w:szCs w:val="24"/>
        </w:rPr>
        <w:t xml:space="preserve">. For instance, there is an oversupply of schools with high fees in the Abu Dhabi emirate, but not enough schools with low and medium fees. Consequently, many schools with high fees have implemented different strategies to attract and retain students, such as loyalty programs and reducing fees by almost 33% </w:t>
      </w:r>
      <w:r w:rsidRPr="00BB6978">
        <w:rPr>
          <w:rFonts w:ascii="Times New Roman" w:eastAsia="Times New Roman" w:hAnsi="Times New Roman" w:cs="Times New Roman"/>
          <w:sz w:val="24"/>
          <w:szCs w:val="24"/>
        </w:rPr>
        <w:fldChar w:fldCharType="begin" w:fldLock="1"/>
      </w:r>
      <w:r w:rsidRPr="00BB6978">
        <w:rPr>
          <w:rFonts w:ascii="Times New Roman" w:eastAsia="Times New Roman" w:hAnsi="Times New Roman" w:cs="Times New Roman"/>
          <w:sz w:val="24"/>
          <w:szCs w:val="24"/>
        </w:rPr>
        <w:instrText>ADDIN CSL_CITATION {"citationItems":[{"id":"ITEM-1","itemData":{"author":[{"dropping-particle":"","family":"Hoteit","given":"Leila","non-dropping-particle":"","parse-names":false,"suffix":""},{"dropping-particle":"","family":"Hachem","given":"Maya","non-dropping-particle":"El","parse-names":false,"suffix":""},{"dropping-particle":"","family":"Erker","given":"Patrick C.","non-dropping-particle":"","parse-names":false,"suffix":""},{"dropping-particle":"","family":"Farah","given":"Serene","non-dropping-particle":"","parse-names":false,"suffix":""}],"id":"ITEM-1","issued":{"date-parts":[["2017"]]},"page":"1-10","title":"Where to ivest now in GCC private education","type":"article-journal"},"uris":["http://www.mendeley.com/documents/?uuid=1d93a0cf-b077-4de2-9db7-79faa6373d81"]}],"mendeley":{"formattedCitation":"(Hoteit et al., 2017)","plainTextFormattedCitation":"(Hoteit et al., 2017)","previouslyFormattedCitation":"(Hoteit et al., 2017)"},"properties":{"noteIndex":0},"schema":"https://github.com/citation-style-language/schema/raw/master/csl-citation.json"}</w:instrText>
      </w:r>
      <w:r w:rsidRPr="00BB6978">
        <w:rPr>
          <w:rFonts w:ascii="Times New Roman" w:eastAsia="Times New Roman" w:hAnsi="Times New Roman" w:cs="Times New Roman"/>
          <w:sz w:val="24"/>
          <w:szCs w:val="24"/>
        </w:rPr>
        <w:fldChar w:fldCharType="separate"/>
      </w:r>
      <w:r w:rsidRPr="00BB6978">
        <w:rPr>
          <w:rFonts w:ascii="Times New Roman" w:eastAsia="Times New Roman" w:hAnsi="Times New Roman" w:cs="Times New Roman"/>
          <w:sz w:val="24"/>
          <w:szCs w:val="24"/>
        </w:rPr>
        <w:t>(Hoteit et al., 201</w:t>
      </w:r>
      <w:r w:rsidR="00C719D9" w:rsidRPr="00BB6978">
        <w:rPr>
          <w:rFonts w:ascii="Times New Roman" w:eastAsia="Times New Roman" w:hAnsi="Times New Roman" w:cs="Times New Roman"/>
          <w:sz w:val="24"/>
          <w:szCs w:val="24"/>
        </w:rPr>
        <w:t>8</w:t>
      </w:r>
      <w:r w:rsidRPr="00BB6978">
        <w:rPr>
          <w:rFonts w:ascii="Times New Roman" w:eastAsia="Times New Roman" w:hAnsi="Times New Roman" w:cs="Times New Roman"/>
          <w:sz w:val="24"/>
          <w:szCs w:val="24"/>
        </w:rPr>
        <w:t>)</w:t>
      </w:r>
      <w:r w:rsidRPr="00BB6978">
        <w:rPr>
          <w:rFonts w:ascii="Times New Roman" w:eastAsia="Times New Roman" w:hAnsi="Times New Roman" w:cs="Times New Roman"/>
          <w:sz w:val="24"/>
          <w:szCs w:val="24"/>
        </w:rPr>
        <w:fldChar w:fldCharType="end"/>
      </w:r>
      <w:r w:rsidRPr="00BB6978">
        <w:rPr>
          <w:rFonts w:ascii="Times New Roman" w:eastAsia="Times New Roman" w:hAnsi="Times New Roman" w:cs="Times New Roman"/>
          <w:sz w:val="24"/>
          <w:szCs w:val="24"/>
        </w:rPr>
        <w:t xml:space="preserve">. Considering the demand, in December 2018, ADEK declared the opening of 10 new private schools over the coming three years that will offer affordable fee structures </w:t>
      </w:r>
      <w:r w:rsidRPr="00BB6978">
        <w:rPr>
          <w:rFonts w:ascii="Times New Roman" w:eastAsia="Times New Roman" w:hAnsi="Times New Roman" w:cs="Times New Roman"/>
          <w:sz w:val="24"/>
          <w:szCs w:val="24"/>
        </w:rPr>
        <w:fldChar w:fldCharType="begin" w:fldLock="1"/>
      </w:r>
      <w:r w:rsidRPr="00BB6978">
        <w:rPr>
          <w:rFonts w:ascii="Times New Roman" w:eastAsia="Times New Roman" w:hAnsi="Times New Roman" w:cs="Times New Roman"/>
          <w:sz w:val="24"/>
          <w:szCs w:val="24"/>
        </w:rPr>
        <w:instrText>ADDIN CSL_CITATION {"citationItems":[{"id":"ITEM-1","itemData":{"author":[{"dropping-particle":"","family":"Ismail","given":"Sebugwaawo","non-dropping-particle":"","parse-names":false,"suffix":""}],"container-title":"Khaleej Times","id":"ITEM-1","issued":{"date-parts":[["2018"]]},"title":"10 new affordable schools to be opened in Abu Dhabi in 3 years - News | Khaleej Times","type":"article-newspaper"},"uris":["http://www.mendeley.com/documents/?uuid=fb37f9fe-4ac1-3a9d-a458-0437aa286047"]}],"mendeley":{"formattedCitation":"(Ismail, 2018)","plainTextFormattedCitation":"(Ismail, 2018)","previouslyFormattedCitation":"(Ismail, 2018)"},"properties":{"noteIndex":0},"schema":"https://github.com/citation-style-language/schema/raw/master/csl-citation.json"}</w:instrText>
      </w:r>
      <w:r w:rsidRPr="00BB6978">
        <w:rPr>
          <w:rFonts w:ascii="Times New Roman" w:eastAsia="Times New Roman" w:hAnsi="Times New Roman" w:cs="Times New Roman"/>
          <w:sz w:val="24"/>
          <w:szCs w:val="24"/>
        </w:rPr>
        <w:fldChar w:fldCharType="separate"/>
      </w:r>
      <w:r w:rsidRPr="00BB6978">
        <w:rPr>
          <w:rFonts w:ascii="Times New Roman" w:eastAsia="Times New Roman" w:hAnsi="Times New Roman" w:cs="Times New Roman"/>
          <w:sz w:val="24"/>
          <w:szCs w:val="24"/>
        </w:rPr>
        <w:t>(Ismail, 2018)</w:t>
      </w:r>
      <w:r w:rsidRPr="00BB6978">
        <w:rPr>
          <w:rFonts w:ascii="Times New Roman" w:eastAsia="Times New Roman" w:hAnsi="Times New Roman" w:cs="Times New Roman"/>
          <w:sz w:val="24"/>
          <w:szCs w:val="24"/>
        </w:rPr>
        <w:fldChar w:fldCharType="end"/>
      </w:r>
      <w:r w:rsidRPr="00BB6978">
        <w:rPr>
          <w:rFonts w:ascii="Times New Roman" w:eastAsia="Times New Roman" w:hAnsi="Times New Roman" w:cs="Times New Roman"/>
          <w:sz w:val="24"/>
          <w:szCs w:val="24"/>
        </w:rPr>
        <w:t xml:space="preserve">. Yet, the fees of these new schools are going to range from $5,500 to $9,500 per year, which is not affordable for many families in Abu Dhabi. </w:t>
      </w:r>
    </w:p>
    <w:p w14:paraId="1BE6C4E6" w14:textId="77777777" w:rsidR="005D590C" w:rsidRPr="00BB6978" w:rsidRDefault="005D590C" w:rsidP="005D590C">
      <w:pPr>
        <w:autoSpaceDE w:val="0"/>
        <w:autoSpaceDN w:val="0"/>
        <w:adjustRightInd w:val="0"/>
        <w:spacing w:after="68" w:line="480" w:lineRule="auto"/>
        <w:ind w:firstLine="357"/>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 xml:space="preserve">Both the private school tuition fees and student enrolment rate in Abu Dhabi are expected to increase 4% each year. However, as employers are less willing to provide education allowances, enrolment in schools with high (medium) fees will likely decrease (increase) </w:t>
      </w:r>
      <w:r w:rsidRPr="00BB6978">
        <w:rPr>
          <w:rFonts w:ascii="Times New Roman" w:eastAsia="Times New Roman" w:hAnsi="Times New Roman" w:cs="Times New Roman"/>
          <w:sz w:val="24"/>
          <w:szCs w:val="24"/>
        </w:rPr>
        <w:fldChar w:fldCharType="begin" w:fldLock="1"/>
      </w:r>
      <w:r w:rsidRPr="00BB6978">
        <w:rPr>
          <w:rFonts w:ascii="Times New Roman" w:eastAsia="Times New Roman" w:hAnsi="Times New Roman" w:cs="Times New Roman"/>
          <w:sz w:val="24"/>
          <w:szCs w:val="24"/>
        </w:rPr>
        <w:instrText>ADDIN CSL_CITATION {"citationItems":[{"id":"ITEM-1","itemData":{"author":[{"dropping-particle":"","family":"Hoteit","given":"Leila","non-dropping-particle":"","parse-names":false,"suffix":""},{"dropping-particle":"","family":"Hachem","given":"Maya","non-dropping-particle":"El","parse-names":false,"suffix":""},{"dropping-particle":"","family":"Erker","given":"Patrick C.","non-dropping-particle":"","parse-names":false,"suffix":""},{"dropping-particle":"","family":"Farah","given":"Serene","non-dropping-particle":"","parse-names":false,"suffix":""}],"id":"ITEM-1","issued":{"date-parts":[["2017"]]},"page":"1-10","title":"Where to ivest now in GCC private education","type":"article-journal"},"uris":["http://www.mendeley.com/documents/?uuid=1d93a0cf-b077-4de2-9db7-79faa6373d81"]}],"mendeley":{"formattedCitation":"(Hoteit et al., 2017)","plainTextFormattedCitation":"(Hoteit et al., 2017)","previouslyFormattedCitation":"(Hoteit et al., 2017)"},"properties":{"noteIndex":0},"schema":"https://github.com/citation-style-language/schema/raw/master/csl-citation.json"}</w:instrText>
      </w:r>
      <w:r w:rsidRPr="00BB6978">
        <w:rPr>
          <w:rFonts w:ascii="Times New Roman" w:eastAsia="Times New Roman" w:hAnsi="Times New Roman" w:cs="Times New Roman"/>
          <w:sz w:val="24"/>
          <w:szCs w:val="24"/>
        </w:rPr>
        <w:fldChar w:fldCharType="separate"/>
      </w:r>
      <w:r w:rsidRPr="00BB6978">
        <w:rPr>
          <w:rFonts w:ascii="Times New Roman" w:eastAsia="Times New Roman" w:hAnsi="Times New Roman" w:cs="Times New Roman"/>
          <w:sz w:val="24"/>
          <w:szCs w:val="24"/>
        </w:rPr>
        <w:t>(Hoteit et al., 201</w:t>
      </w:r>
      <w:r w:rsidR="00C719D9" w:rsidRPr="00BB6978">
        <w:rPr>
          <w:rFonts w:ascii="Times New Roman" w:eastAsia="Times New Roman" w:hAnsi="Times New Roman" w:cs="Times New Roman"/>
          <w:sz w:val="24"/>
          <w:szCs w:val="24"/>
        </w:rPr>
        <w:t>8</w:t>
      </w:r>
      <w:r w:rsidRPr="00BB6978">
        <w:rPr>
          <w:rFonts w:ascii="Times New Roman" w:eastAsia="Times New Roman" w:hAnsi="Times New Roman" w:cs="Times New Roman"/>
          <w:sz w:val="24"/>
          <w:szCs w:val="24"/>
        </w:rPr>
        <w:t>)</w:t>
      </w:r>
      <w:r w:rsidRPr="00BB6978">
        <w:rPr>
          <w:rFonts w:ascii="Times New Roman" w:eastAsia="Times New Roman" w:hAnsi="Times New Roman" w:cs="Times New Roman"/>
          <w:sz w:val="24"/>
          <w:szCs w:val="24"/>
        </w:rPr>
        <w:fldChar w:fldCharType="end"/>
      </w:r>
      <w:r w:rsidRPr="00BB6978">
        <w:rPr>
          <w:rFonts w:ascii="Times New Roman" w:eastAsia="Times New Roman" w:hAnsi="Times New Roman" w:cs="Times New Roman"/>
          <w:sz w:val="24"/>
          <w:szCs w:val="24"/>
        </w:rPr>
        <w:t>.</w:t>
      </w:r>
    </w:p>
    <w:p w14:paraId="7F1C59EF" w14:textId="77777777" w:rsidR="005D590C" w:rsidRPr="00BB6978" w:rsidRDefault="005D590C" w:rsidP="005D590C">
      <w:pPr>
        <w:autoSpaceDE w:val="0"/>
        <w:autoSpaceDN w:val="0"/>
        <w:adjustRightInd w:val="0"/>
        <w:spacing w:after="68" w:line="480" w:lineRule="auto"/>
        <w:ind w:firstLine="357"/>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Policy makers, school investors, and parents are major stakeholders in private school education; however, each has their own specific aims. Policy makers often want to ensure that the country provides sufficient and efficient quality education that is accessible to all learners. School investors aim to improve school performance to increase their return on investment. Parents are looking for affordable high-quality education for their children. Given these differing, which may sometimes be contrary to each other, one question naturally arises: Can we provide high quality education that leads to high student achievement while controlling costs?</w:t>
      </w:r>
    </w:p>
    <w:p w14:paraId="7DB3105E" w14:textId="77777777" w:rsidR="005D590C" w:rsidRPr="00BB6978" w:rsidRDefault="005D590C" w:rsidP="005D590C">
      <w:pPr>
        <w:autoSpaceDE w:val="0"/>
        <w:autoSpaceDN w:val="0"/>
        <w:adjustRightInd w:val="0"/>
        <w:spacing w:after="68" w:line="480" w:lineRule="auto"/>
        <w:ind w:firstLine="357"/>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 xml:space="preserve">Many studies have examined the relationship between school resources and student achievement in various contexts </w:t>
      </w:r>
      <w:r w:rsidRPr="00BB6978">
        <w:rPr>
          <w:rFonts w:ascii="Times New Roman" w:eastAsia="Times New Roman" w:hAnsi="Times New Roman" w:cs="Times New Roman"/>
          <w:sz w:val="24"/>
          <w:szCs w:val="24"/>
        </w:rPr>
        <w:fldChar w:fldCharType="begin" w:fldLock="1"/>
      </w:r>
      <w:r w:rsidRPr="00BB6978">
        <w:rPr>
          <w:rFonts w:ascii="Times New Roman" w:eastAsia="Times New Roman" w:hAnsi="Times New Roman" w:cs="Times New Roman"/>
          <w:sz w:val="24"/>
          <w:szCs w:val="24"/>
        </w:rPr>
        <w:instrText>ADDIN CSL_CITATION {"citationItems":[{"id":"ITEM-1","itemData":{"DOI":"10.1080/09243450903255482","ISSN":"09243453","abstract":"The \"mushrooming\" of private schools for low-income families has been widely noted in the literature; however, very little is known about the quality of these schools. This research explored the relative quality of private unaided (recognised and unrecognised) and government schools in low-income areas of Hyderabad, India. A preliminary census to locate unrecognised private schools - not on official lists - was conducted. Data were collected on achievement and background variables for 3,910 pupils from a stratified random sample of schools. Using multilevel modelling shows that pupils in private unrecognised and recognised schools, when controlled for age, pupil's IQ, and class average IQ, achieve higher scores in mathematics and English than equivalent pupils in government schools. There is no significant difference between private and government schools in pupil achievement in Urdu. The achievement advantage for private schools did not arise because of greater resources available, at least in terms of per pupil teacher salaries. © 2010 Taylor &amp; Francis.","author":[{"dropping-particle":"","family":"Tooley","given":"James","non-dropping-particle":"","parse-names":false,"suffix":""},{"dropping-particle":"","family":"Dixon","given":"Pauline","non-dropping-particle":"","parse-names":false,"suffix":""},{"dropping-particle":"","family":"Shamsan","given":"Yarim","non-dropping-particle":"","parse-names":false,"suffix":""},{"dropping-particle":"","family":"Schagen","given":"Ian","non-dropping-particle":"","parse-names":false,"suffix":""}],"container-title":"School Effectiveness and School Improvement","id":"ITEM-1","issue":"2","issued":{"date-parts":[["2010"]]},"page":"117-144","title":"The relative quality and cost-effectiveness of private and public schools for low-income families: A case study in a developing country","type":"article-journal","volume":"21"},"uris":["http://www.mendeley.com/documents/?uuid=0a60f4bc-29ec-4664-91a9-a9ec923c6177"]}],"mendeley":{"formattedCitation":"(Tooley, Dixon, Shamsan, &amp; Schagen, 2010)","plainTextFormattedCitation":"(Tooley, Dixon, Shamsan, &amp; Schagen, 2010)","previouslyFormattedCitation":"(Tooley, Dixon, Shamsan, &amp; Schagen, 2010)"},"properties":{"noteIndex":0},"schema":"https://github.com/citation-style-language/schema/raw/master/csl-citation.json"}</w:instrText>
      </w:r>
      <w:r w:rsidRPr="00BB6978">
        <w:rPr>
          <w:rFonts w:ascii="Times New Roman" w:eastAsia="Times New Roman" w:hAnsi="Times New Roman" w:cs="Times New Roman"/>
          <w:sz w:val="24"/>
          <w:szCs w:val="24"/>
        </w:rPr>
        <w:fldChar w:fldCharType="separate"/>
      </w:r>
      <w:r w:rsidRPr="00BB6978">
        <w:rPr>
          <w:rFonts w:ascii="Times New Roman" w:eastAsia="Times New Roman" w:hAnsi="Times New Roman" w:cs="Times New Roman"/>
          <w:sz w:val="24"/>
          <w:szCs w:val="24"/>
        </w:rPr>
        <w:t>(Tooley, Dixon, Shamsan, &amp; Schagen, 2010)</w:t>
      </w:r>
      <w:r w:rsidRPr="00BB6978">
        <w:rPr>
          <w:rFonts w:ascii="Times New Roman" w:eastAsia="Times New Roman" w:hAnsi="Times New Roman" w:cs="Times New Roman"/>
          <w:sz w:val="24"/>
          <w:szCs w:val="24"/>
        </w:rPr>
        <w:fldChar w:fldCharType="end"/>
      </w:r>
      <w:r w:rsidRPr="00BB6978">
        <w:rPr>
          <w:rFonts w:ascii="Times New Roman" w:eastAsia="Times New Roman" w:hAnsi="Times New Roman" w:cs="Times New Roman"/>
          <w:sz w:val="24"/>
          <w:szCs w:val="24"/>
        </w:rPr>
        <w:t xml:space="preserve">. For instance, some have examined low cost private schools (LCPS) or low fees private schools (LFPS) in developing countries. These are schools that provide affordable education services for poorer students. Others have examined public versus private school cost or achievement </w:t>
      </w:r>
      <w:r w:rsidRPr="00BB6978">
        <w:rPr>
          <w:rFonts w:ascii="Times New Roman" w:eastAsia="Times New Roman" w:hAnsi="Times New Roman" w:cs="Times New Roman"/>
          <w:sz w:val="24"/>
          <w:szCs w:val="24"/>
        </w:rPr>
        <w:fldChar w:fldCharType="begin" w:fldLock="1"/>
      </w:r>
      <w:r w:rsidRPr="00BB6978">
        <w:rPr>
          <w:rFonts w:ascii="Times New Roman" w:eastAsia="Times New Roman" w:hAnsi="Times New Roman" w:cs="Times New Roman"/>
          <w:sz w:val="24"/>
          <w:szCs w:val="24"/>
        </w:rPr>
        <w:instrText>ADDIN CSL_CITATION {"citationItems":[{"id":"ITEM-1","itemData":{"DOI":"10.11218/ojjams.25.183","ISSN":"09131442","abstract":"We apply propensity score matching to the estimation of the disparity in school effectiveness between the privately owned, privately funded school sector and the public one in a sample of 25 countries in Europe, America and Asia. This technique allows us to distinguish between school choice and school effectiveness processes and thus, to account for selectivity induced variation in school effectiveness. We find two broad patterns of private independent school choice: the choice as a social class reproduction choice; and the choice of an outsider's for a good-equipped school. As regards school effectiveness, our results show that, after controlling for selectivity and school choice processes, the initial higher reading scores of students in private-independent schools become comparable to those public schools students in a majority of countries. However, in a few countries average reading scores remain higher in the private independent sector even after introducing controls for school choice induced selectivity. The opposite pattern, namely of higher average reading scores in the public sector has also been found in four countries.","author":[{"dropping-particle":"","family":"Dronkers","given":"Jaap","non-dropping-particle":"","parse-names":false,"suffix":""},{"dropping-particle":"","family":"Avram","given":"Silvia","non-dropping-particle":"","parse-names":false,"suffix":""}],"container-title":"Sociological Theory and Methods","id":"ITEM-1","issue":"2","issued":{"date-parts":[["2010"]]},"page":"183-205","title":"A cross-national analysis of the relations between school choice and effectiveness differences between private-independent and public schools","type":"article-journal","volume":"25"},"uris":["http://www.mendeley.com/documents/?uuid=2b88be9d-abe7-4558-809c-015c819599df"]},{"id":"ITEM-2","itemData":{"DOI":"10.2307/2112546","abstract":"This study compares mean 2003 National Assessment of Educational Progress (NAEP) reading and mathematics scores of public and private schools in 4th and 8th grades, statistically controlling for individual student characteristics (such as gender, race/ethnicity, disability status, identification as an English language learner) and school characteristics (such as school size, location, and the composition of the student body). In grades 4 and 8, using unadjusted mean scores, students in private schools scored significantly higher than students in public schools for both reading and mathematics. But when school means were adjusted in the HLM analysis, the average for public schools was significantly higher than the average for private schools for grade 4 mathematics and not significantly different for reading. At grade 8, the average for private schools was significantly higher than the average for public schools in reading but not significantly different for mathematics. Comparisons were also carried out between types of sectarian schools. In grade 4, Catholic and Lutheran schools were compared separately to public schools. For both reading and mathematics, the results were similar to those based on all private schools. In grade 8, Catholic, Lutheran, and Conservative Christian schools were each compared to public schools. For Catholic and Lutheran schools for both reading and mathematics, the results were again similar to those based on all private schools. For Conservative Christian schools, the average adjusted school mean in reading was not significantly different from that of public schools. In mathematics, the average adjusted school mean for Conservative Christian schools was significantly lower than that of public schools. Citation: Braun, H., Jenkins, F., and Grigg, W. (2006). Comparing Private Schools and Public Schools Using Hierarchical Linear Modeling (NCES 2006-461). U.S. Department of Education, National Center for Education Statistics, Institute of Education Sciences. Washington, DC: U.S. Government Printing Office.","author":[{"dropping-particle":"","family":"Braun, H., Jenkins, F., and Grigg","given":"W.","non-dropping-particle":"","parse-names":false,"suffix":""}],"container-title":"Statistics","id":"ITEM-2","issued":{"date-parts":[["2006"]]},"page":"66","title":"Comparing Private Schools and Public Schools Using Hierarchical Linear Modeling","type":"article-journal"},"uris":["http://www.mendeley.com/documents/?uuid=7e8e97fb-605e-4578-9342-ad8ed2c9403d"]},{"id":"ITEM-3","itemData":{"abstract":"This analysis of US mathematics achievement finds that, after accounting for the fact that private schools serve more advantaged populations, public schools perform remarkably well, often outscoring private and charter schools. Recent debates have highlighted the issue of school sector as an important consideration in student academic achievement. In 2004, a report contending that charter school students scored lower than students in public schools was fiercely contested. Other studies were then released to demonstrate that charter schools produce greater gains in student learning. Similarly, studies of students using vouchers to attend private schools have ignited heated debates about whether or not these programs boost student achievement, especially for poor and minority students. Common wisdom and past research holds that private schools achieve better academic results. Assumptions of the superiority of private-style organizational models are reflected in voucher and charter programs, and in the choice provisions of the No Child Left Behind Act. According to this thinking, schools in the choice-based independent sector are the best model for improving achievement in public schools. Market-oriented school choice reforms are premised on the idea that, by positioning parents as the driving force in the quest for quality, schools will be forced to improve when faced with competition from higher performing rivals. However, new results from a study of a large, comprehensive dataset on US student achievement seriously challenge assumptions of private school superiority overall, and find substantial differences between different types of private schools. Based on the 2003 National Assessment of Educational Progress (NAEP) mathematics exam, this analysis compares achievement in public, charter, and different types of private schools. When compared with other subjects (like reading, for instance), math is more heavily influenced by school than home experiences, so studying math achievement provides clearer insights into the relative performance of different types of schools. The 2003 NAEP samples are over ten times larger than in any previous NAEP administration, providing achievement and student, teacher, and administrator survey data on over 190,000 4th graders (up from 13,855 in 2000) in 7485 schools, and more than 153,000 8th graders (up from 15,930 in 2000) in 6092 schools. Earlier studies of charter schools based on these data were disputed because rese…","author":[{"dropping-particle":"","family":"Lubienski","given":"C","non-dropping-particle":"","parse-names":false,"suffix":""},{"dropping-particle":"","family":"Lubienski","given":"ST","non-dropping-particle":"","parse-names":false,"suffix":""}],"container-title":"Public Choice","id":"ITEM-3","issued":{"date-parts":[["2006"]]},"page":"1-48","title":"Charter, Private, Public Schools and Academic Achievement: New evidence from NAEP Mathematics Data 1","type":"article-journal"},"uris":["http://www.mendeley.com/documents/?uuid=6cfe943b-7a8b-4d00-8bb9-3ddccd329041"]}],"mendeley":{"formattedCitation":"(Braun, H., Jenkins, F., and Grigg, 2006; Dronkers &amp; Avram, 2010; Lubienski &amp; Lubienski, 2006)","plainTextFormattedCitation":"(Braun, H., Jenkins, F., and Grigg, 2006; Dronkers &amp; Avram, 2010; Lubienski &amp; Lubienski, 2006)","previouslyFormattedCitation":"(Braun, H., Jenkins, F., and Grigg, 2006; Dronkers &amp; Avram, 2010; Lubienski &amp; Lubienski, 2006)"},"properties":{"noteIndex":0},"schema":"https://github.com/citation-style-language/schema/raw/master/csl-citation.json"}</w:instrText>
      </w:r>
      <w:r w:rsidRPr="00BB6978">
        <w:rPr>
          <w:rFonts w:ascii="Times New Roman" w:eastAsia="Times New Roman" w:hAnsi="Times New Roman" w:cs="Times New Roman"/>
          <w:sz w:val="24"/>
          <w:szCs w:val="24"/>
        </w:rPr>
        <w:fldChar w:fldCharType="separate"/>
      </w:r>
      <w:r w:rsidRPr="00BB6978">
        <w:rPr>
          <w:rFonts w:ascii="Times New Roman" w:eastAsia="Times New Roman" w:hAnsi="Times New Roman" w:cs="Times New Roman"/>
          <w:sz w:val="24"/>
          <w:szCs w:val="24"/>
        </w:rPr>
        <w:t>(Braun, , Jenkins, , and Grigg, 2006;Dronkers &amp; Avram, 2010;Lubienski &amp; Lubienski, 2006)</w:t>
      </w:r>
      <w:r w:rsidRPr="00BB6978">
        <w:rPr>
          <w:rFonts w:ascii="Times New Roman" w:eastAsia="Times New Roman" w:hAnsi="Times New Roman" w:cs="Times New Roman"/>
          <w:sz w:val="24"/>
          <w:szCs w:val="24"/>
        </w:rPr>
        <w:fldChar w:fldCharType="end"/>
      </w:r>
      <w:r w:rsidRPr="00BB6978">
        <w:rPr>
          <w:rFonts w:ascii="Times New Roman" w:eastAsia="Times New Roman" w:hAnsi="Times New Roman" w:cs="Times New Roman"/>
          <w:sz w:val="24"/>
          <w:szCs w:val="24"/>
        </w:rPr>
        <w:t>, and school quality factors that lead to student achievement </w:t>
      </w:r>
      <w:r w:rsidRPr="00BB6978">
        <w:rPr>
          <w:rFonts w:ascii="Times New Roman" w:eastAsia="Times New Roman" w:hAnsi="Times New Roman" w:cs="Times New Roman"/>
          <w:sz w:val="24"/>
          <w:szCs w:val="24"/>
        </w:rPr>
        <w:fldChar w:fldCharType="begin" w:fldLock="1"/>
      </w:r>
      <w:r w:rsidRPr="00BB6978">
        <w:rPr>
          <w:rFonts w:ascii="Times New Roman" w:eastAsia="Times New Roman" w:hAnsi="Times New Roman" w:cs="Times New Roman"/>
          <w:sz w:val="24"/>
          <w:szCs w:val="24"/>
        </w:rPr>
        <w:instrText>ADDIN CSL_CITATION {"citationItems":[{"id":"ITEM-1","itemData":{"DOI":"10.18844/cerj.v7i4.2717","abstract":"Institutions seek out the best teachers, because quality teaching is an important factor in student achievement. It is related to the knowledge, beliefs, attitudes and dispositions that teachers bring into their profession. The South East European University strives for the highest quality in every faculty and department and sees quality improvement as an individual and collective responsibility. The university supports effective staff performance through announced and unannounced observations, student and staff evaluations, and internal and external opportunities for professional development and training. This study explores teacher and student perspectives on issues related to the teacher’s effectiveness, role and impact on student achievement. Language teachers are found to encourage interaction in the classroom, have a positive attitude towards changes and are open to new teaching situations. Based on the observations, quality teaching depends on knowledge of subject matter and teaching skills—factors that have a positive impact on students’ academic achievement.\r Keywords: SEEU, quality teaching, teacher qualities, student achievement.","author":[{"dropping-particle":"","family":"Xhaferi","given":"Brikena","non-dropping-particle":"","parse-names":false,"suffix":""}],"container-title":"Contemporary Educational Researches Journal","id":"ITEM-1","issue":"4","issued":{"date-parts":[["2017"]]},"page":"150-157","title":"The impact of quality teaching on student achievement","type":"article-journal","volume":"7"},"uris":["http://www.mendeley.com/documents/?uuid=3a2ffc76-1a0f-4da7-a0d6-b24d6dc06819"]},{"id":"ITEM-2","itemData":{"DOI":"10.14507/epaa.v8n1.2000","ISSN":"10682341","abstract":"Using data from a 50-state survey of policies, state case study analyses, the 1993-94 Schools and Staffing Surveys (SASS), and the National Assessment of Educational Progress (NAEP), this study examines the ways in which teacher qualifications and other school inputs are related to student achievement across states. The findings of both the qualitative and quantitative analyses suggest that policy investments in the quality of teachers may be related to improvements in student performance. Quantitative analyses indicate that measures of teacher preparation and certification are by far the strongest correlates of student achievement in reading and mathematics, both before and after controlling for student poverty and language status. State policy surveys and case study data are used to evaluate policies that influence the overall level of teacher qualifications within and across states. This analysis suggests that policies adopted by states regarding teacher education, licensing, hiring, and professional development may make an important difference in the qualifications and capacities that teachers bring to their work. The implications for state efforts to enhance quality and equity in public education are discussed.","author":[{"dropping-particle":"","family":"Darling-Hammond","given":"Linda","non-dropping-particle":"","parse-names":false,"suffix":""}],"container-title":"Education Policy Analysis Archives","id":"ITEM-2","issue":"1","issued":{"date-parts":[["2000"]]},"page":"1-44","title":"Teacher quality and student achievement: A review of state policy evidence","type":"article-journal","volume":"8"},"uris":["http://www.mendeley.com/documents/?uuid=2d8df4a7-b2c4-45c8-9205-583cc7744dd9"]},{"id":"ITEM-3","itemData":{"abstract":"El estudio proporcionó un modelo de ecuación estructural multigrupo (SEM) de las opiniones de los líderes escolares sobre las características de los maestros, padres y estudiantes relacionadas con el desempeño de los estudiantes en la evaluación de ciencia y matemáticas de TIMSS 2015 para estudiantes de 4º y 8º grado en los Estados Unidos. Emiratos Árabes (EAU). Para ambos grupos de alumnos, se utilizaron para el análisis los ítems del cuestionario escolar sobre la percepción de los maestros, padres y alumnos de los líderes escolares (13 ítems). El análisis empleó el análisis factorial exploratorio (EPT) y el análisis factorial confirmatorio (CFA) para construir los modelos. Ambos modelos proporcionaron estadísticas de ajuste aceptables con varias, pero diferentes rutas significativas. Los modelos SEM tanto de los estudiantes de Grado 4 como de Grado 8 casi se replican entre sí. Los resultados apuntaron a la importancia de las actitudes y el comportamiento de los maestros, padres y estudiantes. Hubo caminos significativos de maestros a estudiantes, de padres a estudiantes y de puntajes de TIMSS, y de estudiantes a puntajes de TIMSS. El impacto directo de la construcción de los padres en las puntuaciones de TIMSS se elaboró ​​cuidadosamente.","author":[{"dropping-particle":"","family":"Masood A., Badri. Guang, Yang. Yousef, Al Sheryani. Asma","given":"Al Rashedi.","non-dropping-particle":"","parse-names":false,"suffix":""},{"dropping-particle":"","family":"Badri","given":"Masood A.","non-dropping-particle":"","parse-names":false,"suffix":""},{"dropping-particle":"Al","family":"Sheryani","given":"Yousef","non-dropping-particle":"","parse-names":false,"suffix":""},{"dropping-particle":"","family":"Yang","given":"Guang","non-dropping-particle":"","parse-names":false,"suffix":""},{"dropping-particle":"Al","family":"Rashedi","given":"Asma","non-dropping-particle":"","parse-names":false,"suffix":""},{"dropping-particle":"Al","family":"Sumaiti","given":"Rabaa","non-dropping-particle":"","parse-names":false,"suffix":""},{"dropping-particle":"Al","family":"Mazroui","given":"Karima","non-dropping-particle":"","parse-names":false,"suffix":""}],"container-title":"International Journal on Engineering, Science and Technology","id":"ITEM-3","issue":"1","issued":{"date-parts":[["2019"]]},"page":"22-37","title":"The Effects of Teachers’, Parents’, and Students’ Attitudes and Behavior on 4th and 8th Graders’ Science/math Achievements: A model of School Leaders’ Perspectives","type":"article-journal","volume":"1"},"uris":["http://www.mendeley.com/documents/?uuid=b5a53833-8ff4-4af8-95eb-ca38f97422dd"]}],"mendeley":{"formattedCitation":"(Darling-Hammond, 2000; Masood A., Badri. Guang, Yang. Yousef, Al Sheryani. Asma et al., 2019; Xhaferi, 2017)","plainTextFormattedCitation":"(Darling-Hammond, 2000; Masood A., Badri. Guang, Yang. Yousef, Al Sheryani. Asma et al., 2019; Xhaferi, 2017)","previouslyFormattedCitation":"(Darling-Hammond, 2000; Masood A., Badri. Guang, Yang. Yousef, Al Sheryani. Asma et al., 2019; Xhaferi, 2017)"},"properties":{"noteIndex":0},"schema":"https://github.com/citation-style-language/schema/raw/master/csl-citation.json"}</w:instrText>
      </w:r>
      <w:r w:rsidRPr="00BB6978">
        <w:rPr>
          <w:rFonts w:ascii="Times New Roman" w:eastAsia="Times New Roman" w:hAnsi="Times New Roman" w:cs="Times New Roman"/>
          <w:sz w:val="24"/>
          <w:szCs w:val="24"/>
        </w:rPr>
        <w:fldChar w:fldCharType="separate"/>
      </w:r>
      <w:r w:rsidRPr="00BB6978">
        <w:rPr>
          <w:rFonts w:ascii="Times New Roman" w:eastAsia="Times New Roman" w:hAnsi="Times New Roman" w:cs="Times New Roman"/>
          <w:sz w:val="24"/>
          <w:szCs w:val="24"/>
        </w:rPr>
        <w:t>(Darling-Hammond, 2000;Badri</w:t>
      </w:r>
      <w:r w:rsidR="00537FCE" w:rsidRPr="00BB6978">
        <w:rPr>
          <w:rFonts w:ascii="Times New Roman" w:eastAsia="Times New Roman" w:hAnsi="Times New Roman" w:cs="Times New Roman"/>
          <w:sz w:val="24"/>
          <w:szCs w:val="24"/>
        </w:rPr>
        <w:t xml:space="preserve">, Alsheryani, Yang, Alrashedi, alsumaiti &amp; almazroui </w:t>
      </w:r>
      <w:r w:rsidRPr="00BB6978">
        <w:rPr>
          <w:rFonts w:ascii="Times New Roman" w:eastAsia="Times New Roman" w:hAnsi="Times New Roman" w:cs="Times New Roman"/>
          <w:sz w:val="24"/>
          <w:szCs w:val="24"/>
        </w:rPr>
        <w:t>,2019; Xhaferi, 2017)</w:t>
      </w:r>
      <w:r w:rsidRPr="00BB6978">
        <w:rPr>
          <w:rFonts w:ascii="Times New Roman" w:eastAsia="Times New Roman" w:hAnsi="Times New Roman" w:cs="Times New Roman"/>
          <w:sz w:val="24"/>
          <w:szCs w:val="24"/>
        </w:rPr>
        <w:fldChar w:fldCharType="end"/>
      </w:r>
      <w:r w:rsidRPr="00BB6978">
        <w:rPr>
          <w:rFonts w:ascii="Times New Roman" w:eastAsia="Times New Roman" w:hAnsi="Times New Roman" w:cs="Times New Roman"/>
          <w:sz w:val="24"/>
          <w:szCs w:val="24"/>
        </w:rPr>
        <w:t>. However, to the best of our knowledge, none have tested these variables together. Moreover, research does not consider how both school quality and student achievement vary by schools of different costs in wealthy countries, such as UAE.</w:t>
      </w:r>
    </w:p>
    <w:p w14:paraId="0DDAB3A5" w14:textId="1A2A8115" w:rsidR="00F9262F" w:rsidRPr="00BB6978" w:rsidRDefault="00F9262F" w:rsidP="005D590C">
      <w:pPr>
        <w:autoSpaceDE w:val="0"/>
        <w:autoSpaceDN w:val="0"/>
        <w:adjustRightInd w:val="0"/>
        <w:spacing w:after="68" w:line="480" w:lineRule="auto"/>
        <w:ind w:firstLine="357"/>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Moreover, addressing this point from the parents’ perspective is significant in the private education decision making process as conformed by several studies (</w:t>
      </w:r>
      <w:r w:rsidRPr="00BB6978">
        <w:rPr>
          <w:rStyle w:val="contentpasted6"/>
          <w:rFonts w:asciiTheme="majorBidi" w:eastAsia="Times New Roman" w:hAnsiTheme="majorBidi" w:cstheme="majorBidi"/>
          <w:sz w:val="24"/>
          <w:szCs w:val="24"/>
          <w:shd w:val="clear" w:color="auto" w:fill="FFFFFF"/>
        </w:rPr>
        <w:t xml:space="preserve">Anastasiou &amp; Papagianni, 2020; </w:t>
      </w:r>
      <w:r w:rsidRPr="00BB6978">
        <w:rPr>
          <w:rStyle w:val="contentpasted5"/>
          <w:rFonts w:asciiTheme="majorBidi" w:eastAsia="Times New Roman" w:hAnsiTheme="majorBidi"/>
          <w:sz w:val="24"/>
          <w:szCs w:val="24"/>
          <w:shd w:val="clear" w:color="auto" w:fill="FFFFFF"/>
        </w:rPr>
        <w:t xml:space="preserve">Brajša-Žganec, 2019; </w:t>
      </w:r>
      <w:r w:rsidRPr="00BB6978">
        <w:rPr>
          <w:rStyle w:val="contentpasted3"/>
          <w:rFonts w:asciiTheme="majorBidi" w:eastAsia="Times New Roman" w:hAnsiTheme="majorBidi" w:cstheme="majorBidi"/>
          <w:sz w:val="24"/>
          <w:szCs w:val="24"/>
          <w:shd w:val="clear" w:color="auto" w:fill="FFFFFF"/>
        </w:rPr>
        <w:t xml:space="preserve">Hoover-Dempsey et al., 2005; </w:t>
      </w:r>
      <w:r w:rsidRPr="00BB6978">
        <w:rPr>
          <w:rStyle w:val="contentpasted0"/>
          <w:rFonts w:asciiTheme="majorBidi" w:eastAsia="Times New Roman" w:hAnsiTheme="majorBidi" w:cstheme="majorBidi"/>
          <w:szCs w:val="24"/>
          <w:shd w:val="clear" w:color="auto" w:fill="FFFFFF"/>
        </w:rPr>
        <w:t xml:space="preserve">Hornby &amp; Lafaele, 2011; </w:t>
      </w:r>
      <w:r w:rsidRPr="00BB6978">
        <w:rPr>
          <w:rStyle w:val="contentpasted1"/>
          <w:rFonts w:asciiTheme="majorBidi" w:eastAsia="Times New Roman" w:hAnsiTheme="majorBidi"/>
          <w:sz w:val="24"/>
          <w:szCs w:val="24"/>
          <w:shd w:val="clear" w:color="auto" w:fill="FFFFFF"/>
        </w:rPr>
        <w:t xml:space="preserve">Jeynes, 2005; </w:t>
      </w:r>
      <w:r w:rsidRPr="00BB6978">
        <w:rPr>
          <w:rStyle w:val="contentpasted2"/>
          <w:rFonts w:asciiTheme="majorBidi" w:eastAsia="Times New Roman" w:hAnsiTheme="majorBidi" w:cstheme="majorBidi"/>
          <w:sz w:val="24"/>
          <w:szCs w:val="24"/>
          <w:shd w:val="clear" w:color="auto" w:fill="FFFFFF"/>
        </w:rPr>
        <w:t xml:space="preserve">Jones, 2019; </w:t>
      </w:r>
      <w:r w:rsidRPr="00BB6978">
        <w:rPr>
          <w:rStyle w:val="contentpasted4"/>
          <w:rFonts w:asciiTheme="majorBidi" w:eastAsia="Times New Roman" w:hAnsiTheme="majorBidi" w:cstheme="majorBidi"/>
          <w:sz w:val="24"/>
          <w:szCs w:val="24"/>
          <w:shd w:val="clear" w:color="auto" w:fill="FFFFFF"/>
        </w:rPr>
        <w:t>Thomas et al., 2020).</w:t>
      </w:r>
    </w:p>
    <w:p w14:paraId="5987F1BD" w14:textId="77777777" w:rsidR="005D590C" w:rsidRPr="00BB6978" w:rsidRDefault="005D590C" w:rsidP="005D590C">
      <w:pPr>
        <w:autoSpaceDE w:val="0"/>
        <w:autoSpaceDN w:val="0"/>
        <w:adjustRightInd w:val="0"/>
        <w:spacing w:after="68" w:line="480" w:lineRule="auto"/>
        <w:ind w:firstLine="357"/>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 xml:space="preserve">UAE has a unique context, with 9.6 million people from more than 200 nationalities. UAE citizens comprise only approximately 11% of the country's population and live in harmony together with other people </w:t>
      </w:r>
      <w:r w:rsidRPr="00BB6978">
        <w:rPr>
          <w:rFonts w:ascii="Times New Roman" w:eastAsia="Times New Roman" w:hAnsi="Times New Roman" w:cs="Times New Roman"/>
          <w:sz w:val="24"/>
          <w:szCs w:val="24"/>
        </w:rPr>
        <w:fldChar w:fldCharType="begin" w:fldLock="1"/>
      </w:r>
      <w:r w:rsidRPr="00BB6978">
        <w:rPr>
          <w:rFonts w:ascii="Times New Roman" w:eastAsia="Times New Roman" w:hAnsi="Times New Roman" w:cs="Times New Roman"/>
          <w:sz w:val="24"/>
          <w:szCs w:val="24"/>
        </w:rPr>
        <w:instrText>ADDIN CSL_CITATION {"citationItems":[{"id":"ITEM-1","itemData":{"URL":"https://data.worldbank.org/country/united-arab-emirates","accessed":{"date-parts":[["2020","1","10"]]},"container-title":"World Bank","id":"ITEM-1","issued":{"date-parts":[["2019"]]},"title":"United Arab Emirates | Data","type":"webpage"},"uris":["http://www.mendeley.com/documents/?uuid=dfde13b7-341f-3e05-be67-04d5c103d76d"]}],"mendeley":{"formattedCitation":"(“United Arab Emirates | Data,” 2019)","plainTextFormattedCitation":"(“United Arab Emirates | Data,” 2019)","previouslyFormattedCitation":"(“United Arab Emirates | Data,” 2019)"},"properties":{"noteIndex":0},"schema":"https://github.com/citation-style-language/schema/raw/master/csl-citation.json"}</w:instrText>
      </w:r>
      <w:r w:rsidRPr="00BB6978">
        <w:rPr>
          <w:rFonts w:ascii="Times New Roman" w:eastAsia="Times New Roman" w:hAnsi="Times New Roman" w:cs="Times New Roman"/>
          <w:sz w:val="24"/>
          <w:szCs w:val="24"/>
        </w:rPr>
        <w:fldChar w:fldCharType="separate"/>
      </w:r>
      <w:r w:rsidRPr="00BB6978">
        <w:rPr>
          <w:rFonts w:ascii="Times New Roman" w:eastAsia="Times New Roman" w:hAnsi="Times New Roman" w:cs="Times New Roman"/>
          <w:sz w:val="24"/>
          <w:szCs w:val="24"/>
        </w:rPr>
        <w:t>(The World Bank, 2021)</w:t>
      </w:r>
      <w:r w:rsidRPr="00BB6978">
        <w:rPr>
          <w:rFonts w:ascii="Times New Roman" w:eastAsia="Times New Roman" w:hAnsi="Times New Roman" w:cs="Times New Roman"/>
          <w:sz w:val="24"/>
          <w:szCs w:val="24"/>
        </w:rPr>
        <w:fldChar w:fldCharType="end"/>
      </w:r>
      <w:r w:rsidRPr="00BB6978">
        <w:rPr>
          <w:rFonts w:ascii="Times New Roman" w:eastAsia="Times New Roman" w:hAnsi="Times New Roman" w:cs="Times New Roman"/>
          <w:sz w:val="24"/>
          <w:szCs w:val="24"/>
        </w:rPr>
        <w:t xml:space="preserve">. The country has more than 1,559 schools and 1 million students. Of these, 643 schools are private serving approximately 810,000 student. The majority of private school students are expats </w:t>
      </w:r>
      <w:r w:rsidRPr="00BB6978">
        <w:rPr>
          <w:rFonts w:ascii="Times New Roman" w:eastAsia="Times New Roman" w:hAnsi="Times New Roman" w:cs="Times New Roman"/>
          <w:sz w:val="24"/>
          <w:szCs w:val="24"/>
        </w:rPr>
        <w:fldChar w:fldCharType="begin" w:fldLock="1"/>
      </w:r>
      <w:r w:rsidRPr="00BB6978">
        <w:rPr>
          <w:rFonts w:ascii="Times New Roman" w:eastAsia="Times New Roman" w:hAnsi="Times New Roman" w:cs="Times New Roman"/>
          <w:sz w:val="24"/>
          <w:szCs w:val="24"/>
        </w:rPr>
        <w:instrText>ADDIN CSL_CITATION {"citationItems":[{"id":"ITEM-1","itemData":{"URL":"https://www.moe.gov.ae/En/OpenData/pages/home.aspx","accessed":{"date-parts":[["2020","1","10"]]},"id":"ITEM-1","issued":{"date-parts":[["0"]]},"title":"Open Data","type":"webpage"},"uris":["http://www.mendeley.com/documents/?uuid=c07cd2f0-be36-30ef-846f-1ab4ffae9c62"]}],"mendeley":{"formattedCitation":"(“Open Data,” n.d.)","plainTextFormattedCitation":"(“Open Data,” n.d.)","previouslyFormattedCitation":"(“Open Data,” n.d.)"},"properties":{"noteIndex":0},"schema":"https://github.com/citation-style-language/schema/raw/master/csl-citation.json"}</w:instrText>
      </w:r>
      <w:r w:rsidRPr="00BB6978">
        <w:rPr>
          <w:rFonts w:ascii="Times New Roman" w:eastAsia="Times New Roman" w:hAnsi="Times New Roman" w:cs="Times New Roman"/>
          <w:sz w:val="24"/>
          <w:szCs w:val="24"/>
        </w:rPr>
        <w:fldChar w:fldCharType="separate"/>
      </w:r>
      <w:r w:rsidRPr="00BB6978">
        <w:rPr>
          <w:rFonts w:ascii="Times New Roman" w:eastAsia="Times New Roman" w:hAnsi="Times New Roman" w:cs="Times New Roman"/>
          <w:sz w:val="24"/>
          <w:szCs w:val="24"/>
        </w:rPr>
        <w:t>(</w:t>
      </w:r>
      <w:r w:rsidR="004B6AEE" w:rsidRPr="00BB6978">
        <w:rPr>
          <w:rFonts w:ascii="Times New Roman" w:eastAsia="Times New Roman" w:hAnsi="Times New Roman" w:cs="Times New Roman"/>
          <w:sz w:val="24"/>
          <w:szCs w:val="24"/>
        </w:rPr>
        <w:t>M</w:t>
      </w:r>
      <w:r w:rsidR="006459F0" w:rsidRPr="00BB6978">
        <w:rPr>
          <w:rFonts w:ascii="Times New Roman" w:eastAsia="Times New Roman" w:hAnsi="Times New Roman" w:cs="Times New Roman"/>
          <w:sz w:val="24"/>
          <w:szCs w:val="24"/>
        </w:rPr>
        <w:t xml:space="preserve">inistry of </w:t>
      </w:r>
      <w:r w:rsidR="004B6AEE" w:rsidRPr="00BB6978">
        <w:rPr>
          <w:rFonts w:ascii="Times New Roman" w:eastAsia="Times New Roman" w:hAnsi="Times New Roman" w:cs="Times New Roman"/>
          <w:sz w:val="24"/>
          <w:szCs w:val="24"/>
        </w:rPr>
        <w:t>E</w:t>
      </w:r>
      <w:r w:rsidR="006459F0" w:rsidRPr="00BB6978">
        <w:rPr>
          <w:rFonts w:ascii="Times New Roman" w:eastAsia="Times New Roman" w:hAnsi="Times New Roman" w:cs="Times New Roman"/>
          <w:sz w:val="24"/>
          <w:szCs w:val="24"/>
        </w:rPr>
        <w:t>ducation</w:t>
      </w:r>
      <w:r w:rsidR="004B6AEE" w:rsidRPr="00BB6978">
        <w:rPr>
          <w:rFonts w:ascii="Times New Roman" w:eastAsia="Times New Roman" w:hAnsi="Times New Roman" w:cs="Times New Roman"/>
          <w:sz w:val="24"/>
          <w:szCs w:val="24"/>
        </w:rPr>
        <w:t>, 2019</w:t>
      </w:r>
      <w:r w:rsidRPr="00BB6978">
        <w:rPr>
          <w:rFonts w:ascii="Times New Roman" w:eastAsia="Times New Roman" w:hAnsi="Times New Roman" w:cs="Times New Roman"/>
          <w:sz w:val="24"/>
          <w:szCs w:val="24"/>
        </w:rPr>
        <w:t>)</w:t>
      </w:r>
      <w:r w:rsidRPr="00BB6978">
        <w:rPr>
          <w:rFonts w:ascii="Times New Roman" w:eastAsia="Times New Roman" w:hAnsi="Times New Roman" w:cs="Times New Roman"/>
          <w:sz w:val="24"/>
          <w:szCs w:val="24"/>
        </w:rPr>
        <w:fldChar w:fldCharType="end"/>
      </w:r>
      <w:r w:rsidRPr="00BB6978">
        <w:rPr>
          <w:rFonts w:ascii="Times New Roman" w:eastAsia="Times New Roman" w:hAnsi="Times New Roman" w:cs="Times New Roman"/>
          <w:sz w:val="24"/>
          <w:szCs w:val="24"/>
        </w:rPr>
        <w:t xml:space="preserve">. Students from certain nationalities prefer certain types of curriculum </w:t>
      </w:r>
      <w:r w:rsidRPr="00BB6978">
        <w:rPr>
          <w:rFonts w:ascii="Times New Roman" w:eastAsia="Times New Roman" w:hAnsi="Times New Roman" w:cs="Times New Roman"/>
          <w:sz w:val="24"/>
          <w:szCs w:val="24"/>
        </w:rPr>
        <w:fldChar w:fldCharType="begin" w:fldLock="1"/>
      </w:r>
      <w:r w:rsidRPr="00BB6978">
        <w:rPr>
          <w:rFonts w:ascii="Times New Roman" w:eastAsia="Times New Roman" w:hAnsi="Times New Roman" w:cs="Times New Roman"/>
          <w:sz w:val="24"/>
          <w:szCs w:val="24"/>
        </w:rPr>
        <w:instrText>ADDIN CSL_CITATION {"citationItems":[{"id":"ITEM-1","itemData":{"DOI":"10.1186/s40723-018-0056-z","ISSN":"22886729","abstract":"This study analyzed the structural relationships between the important constructs of school, home and family, and the happiness of Abu Dhabi school children. Survey data were collected from students in schools in the three regions of Abu Dhabi. The final dataset from 14,837 students was analyzed. Structural equation modeling (SEM) and MANOVA were employed in the study. SEM examined the association between latent constructs. For SEM, goodness of fit indices for the hypothetical model were good, and all paths were significant. The model incorporating both indirect and direct impact of home-related variables, such as how much fun did one have with their family, how did the family members get along, and how much time parents spent with their children, on the happiness of Abu Dhabi school children is valid. MANOVA showed that for all constructs, significant differences existed with regard to student gender, grade level, school location, school type, and nationality.","author":[{"dropping-particle":"","family":"Badri","given":"Masood","non-dropping-particle":"","parse-names":false,"suffix":""},{"dropping-particle":"","family":"Nuaimi","given":"Ali","non-dropping-particle":"Al","parse-names":false,"suffix":""},{"dropping-particle":"","family":"Guang","given":"Yang","non-dropping-particle":"","parse-names":false,"suffix":""},{"dropping-particle":"","family":"Sheryani","given":"Yousef","non-dropping-particle":"Al","parse-names":false,"suffix":""},{"dropping-particle":"","family":"Rashedi","given":"Asma","non-dropping-particle":"Al","parse-names":false,"suffix":""}],"container-title":"International Journal of Child Care and Education Policy","id":"ITEM-1","issue":"1","issued":{"date-parts":[["2018"]]},"publisher":"Springer Singapore","title":"The effects of home and school on children’s happiness: a structural equation model","type":"article-journal","volume":"12"},"uris":["http://www.mendeley.com/documents/?uuid=8e6f3aca-0c36-469d-9284-df8c7aa3403c"]}],"mendeley":{"formattedCitation":"(Badri, Al Nuaimi, Guang, Al Sheryani, &amp; Al Rashedi, 2018)","plainTextFormattedCitation":"(Badri, Al Nuaimi, Guang, Al Sheryani, &amp; Al Rashedi, 2018)","previouslyFormattedCitation":"(Badri, Al Nuaimi, Guang, Al Sheryani, &amp; Al Rashedi, 2018)"},"properties":{"noteIndex":0},"schema":"https://github.com/citation-style-language/schema/raw/master/csl-citation.json"}</w:instrText>
      </w:r>
      <w:r w:rsidRPr="00BB6978">
        <w:rPr>
          <w:rFonts w:ascii="Times New Roman" w:eastAsia="Times New Roman" w:hAnsi="Times New Roman" w:cs="Times New Roman"/>
          <w:sz w:val="24"/>
          <w:szCs w:val="24"/>
        </w:rPr>
        <w:fldChar w:fldCharType="separate"/>
      </w:r>
      <w:r w:rsidRPr="00BB6978">
        <w:rPr>
          <w:rFonts w:ascii="Times New Roman" w:eastAsia="Times New Roman" w:hAnsi="Times New Roman" w:cs="Times New Roman"/>
          <w:sz w:val="24"/>
          <w:szCs w:val="24"/>
        </w:rPr>
        <w:t>(Badri et al.,  2018)</w:t>
      </w:r>
      <w:r w:rsidRPr="00BB6978">
        <w:rPr>
          <w:rFonts w:ascii="Times New Roman" w:eastAsia="Times New Roman" w:hAnsi="Times New Roman" w:cs="Times New Roman"/>
          <w:sz w:val="24"/>
          <w:szCs w:val="24"/>
        </w:rPr>
        <w:fldChar w:fldCharType="end"/>
      </w:r>
      <w:r w:rsidRPr="00BB6978">
        <w:rPr>
          <w:rFonts w:ascii="Times New Roman" w:eastAsia="Times New Roman" w:hAnsi="Times New Roman" w:cs="Times New Roman"/>
          <w:sz w:val="24"/>
          <w:szCs w:val="24"/>
        </w:rPr>
        <w:t xml:space="preserve">. Public schools, which are free, are only accessible to UAE citizens, leaving expats with no other option than sending their children to private schools </w:t>
      </w:r>
      <w:r w:rsidRPr="00BB6978">
        <w:rPr>
          <w:rFonts w:ascii="Times New Roman" w:eastAsia="Times New Roman" w:hAnsi="Times New Roman" w:cs="Times New Roman"/>
          <w:sz w:val="24"/>
          <w:szCs w:val="24"/>
        </w:rPr>
        <w:fldChar w:fldCharType="begin" w:fldLock="1"/>
      </w:r>
      <w:r w:rsidRPr="00BB6978">
        <w:rPr>
          <w:rFonts w:ascii="Times New Roman" w:eastAsia="Times New Roman" w:hAnsi="Times New Roman" w:cs="Times New Roman"/>
          <w:sz w:val="24"/>
          <w:szCs w:val="24"/>
        </w:rPr>
        <w:instrText>ADDIN CSL_CITATION {"citationItems":[{"id":"ITEM-1","itemData":{"DOI":"10.18275/fire201603021076","ISSN":"2326-3873","abstract":"In the face of rising demand for private schooling in the United Arab Emirates (UAE) and Qatar, a lack of affordable schooling options, monopolistic behavior of private education providers, and unpredictable government regulations have created a complex and unequal education sector. This research employs a mixed methods comparative approach to explore the ways in which private education providers navigate the regulatory schooling environments and assess the impact on education stakeholders in the UAE and Qatar. The study finds that there are considerable socioeconomic differences in terms of who has access to schooling and that a growing for-profit education sector may be deepening existing inequities in both countries, leaving poorer expatriate families only able to access low-quality education or in the worst cases, unable to access education at all. The promise of non-profit providers as a viable alternative to ensure access is explored.","author":[{"dropping-particle":"","family":"Ridge","given":"Natasha Y","non-dropping-particle":"","parse-names":false,"suffix":""},{"dropping-particle":"","family":"Shami","given":"Soha","non-dropping-particle":"","parse-names":false,"suffix":""},{"dropping-particle":"","family":"Kippels","given":"Susan M.","non-dropping-particle":"","parse-names":false,"suffix":""}],"container-title":"FIRE: Forum for International Research in Education","id":"ITEM-1","issue":"2","issued":{"date-parts":[["2018"]]},"title":"Private Education in the Absence of a Public Option: The Cases of the United Arab Emirates and Qatar","type":"article-journal","volume":"3"},"uris":["http://www.mendeley.com/documents/?uuid=2fd319db-6ae7-4c12-844f-f5070fca6a8e"]}],"mendeley":{"formattedCitation":"(Ridge, Shami, &amp; Kippels, 2018)","plainTextFormattedCitation":"(Ridge, Shami, &amp; Kippels, 2018)","previouslyFormattedCitation":"(Ridge, Shami, &amp; Kippels, 2018)"},"properties":{"noteIndex":0},"schema":"https://github.com/citation-style-language/schema/raw/master/csl-citation.json"}</w:instrText>
      </w:r>
      <w:r w:rsidRPr="00BB6978">
        <w:rPr>
          <w:rFonts w:ascii="Times New Roman" w:eastAsia="Times New Roman" w:hAnsi="Times New Roman" w:cs="Times New Roman"/>
          <w:sz w:val="24"/>
          <w:szCs w:val="24"/>
        </w:rPr>
        <w:fldChar w:fldCharType="separate"/>
      </w:r>
      <w:r w:rsidRPr="00BB6978">
        <w:rPr>
          <w:rFonts w:ascii="Times New Roman" w:eastAsia="Times New Roman" w:hAnsi="Times New Roman" w:cs="Times New Roman"/>
          <w:sz w:val="24"/>
          <w:szCs w:val="24"/>
        </w:rPr>
        <w:t>(Ridge, Shami, &amp; Kippels, 2018)</w:t>
      </w:r>
      <w:r w:rsidRPr="00BB6978">
        <w:rPr>
          <w:rFonts w:ascii="Times New Roman" w:eastAsia="Times New Roman" w:hAnsi="Times New Roman" w:cs="Times New Roman"/>
          <w:sz w:val="24"/>
          <w:szCs w:val="24"/>
        </w:rPr>
        <w:fldChar w:fldCharType="end"/>
      </w:r>
      <w:r w:rsidRPr="00BB6978">
        <w:rPr>
          <w:rFonts w:ascii="Times New Roman" w:eastAsia="Times New Roman" w:hAnsi="Times New Roman" w:cs="Times New Roman"/>
          <w:sz w:val="24"/>
          <w:szCs w:val="24"/>
        </w:rPr>
        <w:t>.</w:t>
      </w:r>
    </w:p>
    <w:p w14:paraId="4F51C8C9" w14:textId="77777777" w:rsidR="005D590C" w:rsidRPr="00BB6978" w:rsidRDefault="005D590C" w:rsidP="005D590C">
      <w:pPr>
        <w:autoSpaceDE w:val="0"/>
        <w:autoSpaceDN w:val="0"/>
        <w:adjustRightInd w:val="0"/>
        <w:spacing w:after="68" w:line="480" w:lineRule="auto"/>
        <w:ind w:firstLine="357"/>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 xml:space="preserve">Generally, parents </w:t>
      </w:r>
      <w:r w:rsidR="00DA711E" w:rsidRPr="00BB6978">
        <w:rPr>
          <w:rFonts w:ascii="Times New Roman" w:eastAsia="Times New Roman" w:hAnsi="Times New Roman" w:cs="Times New Roman"/>
          <w:sz w:val="24"/>
          <w:szCs w:val="24"/>
        </w:rPr>
        <w:t>enrol</w:t>
      </w:r>
      <w:r w:rsidRPr="00BB6978">
        <w:rPr>
          <w:rFonts w:ascii="Times New Roman" w:eastAsia="Times New Roman" w:hAnsi="Times New Roman" w:cs="Times New Roman"/>
          <w:sz w:val="24"/>
          <w:szCs w:val="24"/>
        </w:rPr>
        <w:t xml:space="preserve"> their children in private schools in search of better quality of education than public schools </w:t>
      </w:r>
      <w:r w:rsidRPr="00BB6978">
        <w:rPr>
          <w:rFonts w:ascii="Times New Roman" w:eastAsia="Times New Roman" w:hAnsi="Times New Roman" w:cs="Times New Roman"/>
          <w:sz w:val="24"/>
          <w:szCs w:val="24"/>
        </w:rPr>
        <w:fldChar w:fldCharType="begin" w:fldLock="1"/>
      </w:r>
      <w:r w:rsidRPr="00BB6978">
        <w:rPr>
          <w:rFonts w:ascii="Times New Roman" w:eastAsia="Times New Roman" w:hAnsi="Times New Roman" w:cs="Times New Roman"/>
          <w:sz w:val="24"/>
          <w:szCs w:val="24"/>
        </w:rPr>
        <w:instrText>ADDIN CSL_CITATION {"citationItems":[{"id":"ITEM-1","itemData":{"DOI":"10.1016/j.sbspro.2014.10.058","ISSN":"18770428","abstract":"This research examines the factors considered by parents when deciding to enroll their children in private schools. Based on literature review, some eight factors have been identified, but this research only deals with four. According to the data analysis, parents part emphasizing on the importance of private schools' syllabus, schools' environment and facilities when selecting to enroll their children in private schools. The academic performance of the school was placed third in preference, with fourth factor considered being the quality teachers that the school possessed. The research was conducted by using quantitative approaches and carried out via structural self–administrated closed-ended questionnaires through questionnaire survey method.","author":[{"dropping-particle":"","family":"Yaacob","given":"Noor Alyani","non-dropping-particle":"","parse-names":false,"suffix":""},{"dropping-particle":"","family":"Osman","given":"Mariana Mohamed","non-dropping-particle":"","parse-names":false,"suffix":""},{"dropping-particle":"","family":"Bachok","given":"Syahirah","non-dropping-particle":"","parse-names":false,"suffix":""}],"container-title":"Procedia - Social and Behavioral Sciences","id":"ITEM-1","issued":{"date-parts":[["2014"]]},"page":"242-253","publisher":"Elsevier B.V.","title":"Factors Influencing Parents’ Decision in Choosing Private Schools","type":"article-journal","volume":"153"},"uris":["http://www.mendeley.com/documents/?uuid=cf94ed8e-9345-4fa7-9350-c2a8186a981e"]},{"id":"ITEM-2","itemData":{"author":[{"dropping-particle":"","family":"Davis","given":"Ava M.","non-dropping-particle":"","parse-names":false,"suffix":""}],"container-title":"Electronic These &amp; Dissertations","id":"ITEM-2","issued":{"date-parts":[["2011"]]},"page":"382","title":"Why Do Parents Choose To Send Their Children To Private","type":"article-journal"},"uris":["http://www.mendeley.com/documents/?uuid=9486e297-fbf6-451a-9c50-577eface674d"]}],"mendeley":{"formattedCitation":"(Davis, 2011; Yaacob, Osman, &amp; Bachok, 2014)","plainTextFormattedCitation":"(Davis, 2011; Yaacob, Osman, &amp; Bachok, 2014)","previouslyFormattedCitation":"(Davis, 2011; Yaacob, Osman, &amp; Bachok, 2014)"},"properties":{"noteIndex":0},"schema":"https://github.com/citation-style-language/schema/raw/master/csl-citation.json"}</w:instrText>
      </w:r>
      <w:r w:rsidRPr="00BB6978">
        <w:rPr>
          <w:rFonts w:ascii="Times New Roman" w:eastAsia="Times New Roman" w:hAnsi="Times New Roman" w:cs="Times New Roman"/>
          <w:sz w:val="24"/>
          <w:szCs w:val="24"/>
        </w:rPr>
        <w:fldChar w:fldCharType="separate"/>
      </w:r>
      <w:r w:rsidRPr="00BB6978">
        <w:rPr>
          <w:rFonts w:ascii="Times New Roman" w:eastAsia="Times New Roman" w:hAnsi="Times New Roman" w:cs="Times New Roman"/>
          <w:sz w:val="24"/>
          <w:szCs w:val="24"/>
        </w:rPr>
        <w:t>(Davis, 2011; Yaacob, Osman, &amp; Bachok, 2014)</w:t>
      </w:r>
      <w:r w:rsidRPr="00BB6978">
        <w:rPr>
          <w:rFonts w:ascii="Times New Roman" w:eastAsia="Times New Roman" w:hAnsi="Times New Roman" w:cs="Times New Roman"/>
          <w:sz w:val="24"/>
          <w:szCs w:val="24"/>
        </w:rPr>
        <w:fldChar w:fldCharType="end"/>
      </w:r>
      <w:r w:rsidRPr="00BB6978">
        <w:rPr>
          <w:rFonts w:ascii="Times New Roman" w:eastAsia="Times New Roman" w:hAnsi="Times New Roman" w:cs="Times New Roman"/>
          <w:sz w:val="24"/>
          <w:szCs w:val="24"/>
        </w:rPr>
        <w:t xml:space="preserve">. However, evidence shows that after controlling for family background, students’ results are not affected by school type </w:t>
      </w:r>
      <w:r w:rsidRPr="00BB6978">
        <w:rPr>
          <w:rFonts w:ascii="Times New Roman" w:eastAsia="Times New Roman" w:hAnsi="Times New Roman" w:cs="Times New Roman"/>
          <w:sz w:val="24"/>
          <w:szCs w:val="24"/>
        </w:rPr>
        <w:fldChar w:fldCharType="begin" w:fldLock="1"/>
      </w:r>
      <w:r w:rsidRPr="00BB6978">
        <w:rPr>
          <w:rFonts w:ascii="Times New Roman" w:eastAsia="Times New Roman" w:hAnsi="Times New Roman" w:cs="Times New Roman"/>
          <w:sz w:val="24"/>
          <w:szCs w:val="24"/>
        </w:rPr>
        <w:instrText>ADDIN CSL_CITATION {"citationItems":[{"id":"ITEM-1","itemData":{"DOI":"10.1002/ajs4.38","ISSN":"18394655","abstract":"The distribution of school funding has been a controversial topic for decades particularly since the Australian Government introduced a new funding model for private schools in the late 1990s. Recent research shows that changes in the funding of private schools have encouraged growth in the number of private schools allowing parents with the financial means to select from an increasing range of options for their children. For this article, I conduct analyses of data from the 2003 cohort of the Longitudinal Surveys of Australian Youth project to examine differences in the outcomes of students according to the type of school attended. The results presented in this article show that students with highly educated parents were more likely than other students to attend independent schools. After controlling for the level of economic, social and cultural status of the school population, type of school attended was not associated with academic achievement, as measured by the Programme for International Student Assessment tests. Furthermore, there was no statistically significant association between type of school attended and employment status, occupation or earnings at age 24, net of level of educational attainment.","author":[{"dropping-particle":"","family":"Chesters","given":"Jenny","non-dropping-particle":"","parse-names":false,"suffix":""}],"container-title":"Australian Journal of Social Issues","id":"ITEM-1","issue":"2","issued":{"date-parts":[["2018"]]},"page":"139-157","title":"The marketisation of education in Australia: Does investment in private schooling improve post-school outcomes?","type":"article-journal","volume":"53"},"uris":["http://www.mendeley.com/documents/?uuid=bac3c0de-ed10-4244-86e6-4dbb048b8efd"]}],"mendeley":{"formattedCitation":"(Chesters, 2018)","manualFormatting":"( Braun, Jenkins, and Grigg, 2006; Lubienski and Lubienski, 2006; Chesters, 2018)","plainTextFormattedCitation":"(Chesters, 2018)","previouslyFormattedCitation":"(Chesters, 2018)"},"properties":{"noteIndex":0},"schema":"https://github.com/citation-style-language/schema/raw/master/csl-citation.json"}</w:instrText>
      </w:r>
      <w:r w:rsidRPr="00BB6978">
        <w:rPr>
          <w:rFonts w:ascii="Times New Roman" w:eastAsia="Times New Roman" w:hAnsi="Times New Roman" w:cs="Times New Roman"/>
          <w:sz w:val="24"/>
          <w:szCs w:val="24"/>
        </w:rPr>
        <w:fldChar w:fldCharType="separate"/>
      </w:r>
      <w:r w:rsidRPr="00BB6978">
        <w:rPr>
          <w:rFonts w:ascii="Times New Roman" w:eastAsia="Times New Roman" w:hAnsi="Times New Roman" w:cs="Times New Roman"/>
          <w:sz w:val="24"/>
          <w:szCs w:val="24"/>
        </w:rPr>
        <w:t>( Braun, Jenkins, &amp; Grigg, 2006; Lubienski &amp; Lubienski, 2006; Chesters, 2018)</w:t>
      </w:r>
      <w:r w:rsidRPr="00BB6978">
        <w:rPr>
          <w:rFonts w:ascii="Times New Roman" w:eastAsia="Times New Roman" w:hAnsi="Times New Roman" w:cs="Times New Roman"/>
          <w:sz w:val="24"/>
          <w:szCs w:val="24"/>
        </w:rPr>
        <w:fldChar w:fldCharType="end"/>
      </w:r>
      <w:r w:rsidRPr="00BB6978">
        <w:rPr>
          <w:rFonts w:ascii="Times New Roman" w:eastAsia="Times New Roman" w:hAnsi="Times New Roman" w:cs="Times New Roman"/>
          <w:sz w:val="24"/>
          <w:szCs w:val="24"/>
        </w:rPr>
        <w:t xml:space="preserve">. </w:t>
      </w:r>
    </w:p>
    <w:p w14:paraId="0F909ACB" w14:textId="77777777" w:rsidR="005D590C" w:rsidRPr="00BB6978" w:rsidRDefault="005D590C" w:rsidP="005D590C">
      <w:pPr>
        <w:autoSpaceDE w:val="0"/>
        <w:autoSpaceDN w:val="0"/>
        <w:adjustRightInd w:val="0"/>
        <w:spacing w:after="68" w:line="480" w:lineRule="auto"/>
        <w:ind w:firstLine="357"/>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Currently, several reports and research studies in the UAE context have examined outstanding schools and high student achievements (Badri et al.,</w:t>
      </w:r>
      <w:r w:rsidRPr="00BB6978">
        <w:rPr>
          <w:rFonts w:ascii="Times New Roman" w:eastAsia="Times New Roman" w:hAnsi="Times New Roman" w:cs="Times New Roman"/>
          <w:sz w:val="24"/>
          <w:szCs w:val="24"/>
        </w:rPr>
        <w:fldChar w:fldCharType="begin" w:fldLock="1"/>
      </w:r>
      <w:r w:rsidRPr="00BB6978">
        <w:rPr>
          <w:rFonts w:ascii="Times New Roman" w:eastAsia="Times New Roman" w:hAnsi="Times New Roman" w:cs="Times New Roman"/>
          <w:sz w:val="24"/>
          <w:szCs w:val="24"/>
        </w:rPr>
        <w:instrText>ADDIN CSL_CITATION {"citationItems":[{"id":"ITEM-1","itemData":{"abstract":"El estudio proporcionó un modelo de ecuación estructural multigrupo (SEM) de las opiniones de los líderes escolares sobre las características de los maestros, padres y estudiantes relacionadas con el desempeño de los estudiantes en la evaluación de ciencia y matemáticas de TIMSS 2015 para estudiantes de 4º y 8º grado en los Estados Unidos. Emiratos Árabes (EAU). Para ambos grupos de alumnos, se utilizaron para el análisis los ítems del cuestionario escolar sobre la percepción de los maestros, padres y alumnos de los líderes escolares (13 ítems). El análisis empleó el análisis factorial exploratorio (EPT) y el análisis factorial confirmatorio (CFA) para construir los modelos. Ambos modelos proporcionaron estadísticas de ajuste aceptables con varias, pero diferentes rutas significativas. Los modelos SEM tanto de los estudiantes de Grado 4 como de Grado 8 casi se replican entre sí. Los resultados apuntaron a la importancia de las actitudes y el comportamiento de los maestros, padres y estudiantes. Hubo caminos significativos de maestros a estudiantes, de padres a estudiantes y de puntajes de TIMSS, y de estudiantes a puntajes de TIMSS. El impacto directo de la construcción de los padres en las puntuaciones de TIMSS se elaboró ​​cuidadosamente.","author":[{"dropping-particle":"","family":"Masood A., Badri. Guang, Yang. Yousef, Al Sheryani. Asma","given":"Al Rashedi.","non-dropping-particle":"","parse-names":false,"suffix":""},{"dropping-particle":"","family":"Badri","given":"Masood A.","non-dropping-particle":"","parse-names":false,"suffix":""},{"dropping-particle":"Al","family":"Sheryani","given":"Yousef","non-dropping-particle":"","parse-names":false,"suffix":""},{"dropping-particle":"","family":"Yang","given":"Guang","non-dropping-particle":"","parse-names":false,"suffix":""},{"dropping-particle":"Al","family":"Rashedi","given":"Asma","non-dropping-particle":"","parse-names":false,"suffix":""},{"dropping-particle":"Al","family":"Sumaiti","given":"Rabaa","non-dropping-particle":"","parse-names":false,"suffix":""},{"dropping-particle":"Al","family":"Mazroui","given":"Karima","non-dropping-particle":"","parse-names":false,"suffix":""}],"container-title":"International Journal on Engineering, Science and Technology","id":"ITEM-1","issue":"1","issued":{"date-parts":[["2019"]]},"page":"22-37","title":"The Effects of Teachers’, Parents’, and Students’ Attitudes and Behavior on 4th and 8th Graders’ Science/math Achievements: A model of School Leaders’ Perspectives","type":"article-journal","volume":"1"},"uris":["http://www.mendeley.com/documents/?uuid=b5a53833-8ff4-4af8-95eb-ca38f97422dd"]}],"mendeley":{"formattedCitation":"(Masood A., Badri. Guang, Yang. Yousef, Al Sheryani. Asma et al., 2019)","plainTextFormattedCitation":"(Masood A., Badri. Guang, Yang. Yousef, Al Sheryani. Asma et al., 2019)","previouslyFormattedCitation":"(Masood A., Badri. Guang, Yang. Yousef, Al Sheryani. Asma et al., 2019)"},"properties":{"noteIndex":0},"schema":"https://github.com/citation-style-language/schema/raw/master/csl-citation.json"}</w:instrText>
      </w:r>
      <w:r w:rsidRPr="00BB6978">
        <w:rPr>
          <w:rFonts w:ascii="Times New Roman" w:eastAsia="Times New Roman" w:hAnsi="Times New Roman" w:cs="Times New Roman"/>
          <w:sz w:val="24"/>
          <w:szCs w:val="24"/>
        </w:rPr>
        <w:fldChar w:fldCharType="separate"/>
      </w:r>
      <w:r w:rsidRPr="00BB6978">
        <w:rPr>
          <w:rFonts w:ascii="Times New Roman" w:eastAsia="Times New Roman" w:hAnsi="Times New Roman" w:cs="Times New Roman"/>
          <w:sz w:val="24"/>
          <w:szCs w:val="24"/>
        </w:rPr>
        <w:t xml:space="preserve"> 2019)</w:t>
      </w:r>
      <w:r w:rsidRPr="00BB6978">
        <w:rPr>
          <w:rFonts w:ascii="Times New Roman" w:eastAsia="Times New Roman" w:hAnsi="Times New Roman" w:cs="Times New Roman"/>
          <w:sz w:val="24"/>
          <w:szCs w:val="24"/>
        </w:rPr>
        <w:fldChar w:fldCharType="end"/>
      </w:r>
      <w:r w:rsidRPr="00BB6978">
        <w:rPr>
          <w:rFonts w:ascii="Times New Roman" w:eastAsia="Times New Roman" w:hAnsi="Times New Roman" w:cs="Times New Roman"/>
          <w:sz w:val="24"/>
          <w:szCs w:val="24"/>
        </w:rPr>
        <w:t>. However, not many have asked: What is the relation between school quality, school cost, and students’ achievements? What role does socio-economic status (SES) play in these relationships?</w:t>
      </w:r>
    </w:p>
    <w:p w14:paraId="398F1412" w14:textId="77777777" w:rsidR="00C27B4B" w:rsidRPr="00BB6978" w:rsidRDefault="005D590C" w:rsidP="00613343">
      <w:pPr>
        <w:autoSpaceDE w:val="0"/>
        <w:autoSpaceDN w:val="0"/>
        <w:adjustRightInd w:val="0"/>
        <w:spacing w:after="68" w:line="480" w:lineRule="auto"/>
        <w:ind w:firstLine="357"/>
        <w:jc w:val="both"/>
        <w:rPr>
          <w:rFonts w:ascii="Times New Roman" w:eastAsia="Calibri" w:hAnsi="Times New Roman" w:cs="Times New Roman"/>
          <w:sz w:val="24"/>
          <w:szCs w:val="24"/>
        </w:rPr>
      </w:pPr>
      <w:bookmarkStart w:id="50" w:name="_Hlk73051260"/>
      <w:r w:rsidRPr="00BB6978">
        <w:rPr>
          <w:rFonts w:ascii="Times New Roman" w:eastAsia="Times New Roman" w:hAnsi="Times New Roman" w:cs="Times New Roman"/>
          <w:sz w:val="24"/>
          <w:szCs w:val="24"/>
        </w:rPr>
        <w:t xml:space="preserve">Some recent studies in the UAE have highlighted the considerable importance of socio-economic factors in education access and outcomes. Buckner et al. (2018) showcased a strong evidence that low-income students performed much worse than their </w:t>
      </w:r>
      <w:r w:rsidRPr="00BB6978">
        <w:rPr>
          <w:rFonts w:ascii="Times New Roman" w:eastAsia="Calibri" w:hAnsi="Times New Roman" w:cs="Times New Roman"/>
          <w:sz w:val="24"/>
          <w:szCs w:val="24"/>
        </w:rPr>
        <w:t xml:space="preserve">higher income peers. </w:t>
      </w:r>
      <w:r w:rsidRPr="00BB6978">
        <w:rPr>
          <w:rFonts w:ascii="Times New Roman" w:eastAsia="Calibri" w:hAnsi="Times New Roman" w:cs="Times New Roman"/>
          <w:sz w:val="24"/>
          <w:szCs w:val="24"/>
        </w:rPr>
        <w:fldChar w:fldCharType="begin" w:fldLock="1"/>
      </w:r>
      <w:r w:rsidRPr="00BB6978">
        <w:rPr>
          <w:rFonts w:ascii="Times New Roman" w:eastAsia="Calibri" w:hAnsi="Times New Roman" w:cs="Times New Roman"/>
          <w:sz w:val="24"/>
          <w:szCs w:val="24"/>
        </w:rPr>
        <w:instrText>ADDIN CSL_CITATION {"citationItems":[{"id":"ITEM-1","itemData":{"DOI":"10.18275/fire201603021076","ISSN":"2326-3873","abstract":"In the face of rising demand for private schooling in the United Arab Emirates (UAE) and Qatar, a lack of affordable schooling options, monopolistic behavior of private education providers, and unpredictable government regulations have created a complex and unequal education sector. This research employs a mixed methods comparative approach to explore the ways in which private education providers navigate the regulatory schooling environments and assess the impact on education stakeholders in the UAE and Qatar. The study finds that there are considerable socioeconomic differences in terms of who has access to schooling and that a growing for-profit education sector may be deepening existing inequities in both countries, leaving poorer expatriate families only able to access low-quality education or in the worst cases, unable to access education at all. The promise of non-profit providers as a viable alternative to ensure access is explored.","author":[{"dropping-particle":"","family":"Ridge","given":"Natasha Y","non-dropping-particle":"","parse-names":false,"suffix":""},{"dropping-particle":"","family":"Shami","given":"Soha","non-dropping-particle":"","parse-names":false,"suffix":""},{"dropping-particle":"","family":"Kippels","given":"Susan M.","non-dropping-particle":"","parse-names":false,"suffix":""}],"container-title":"FIRE: Forum for International Research in Education","id":"ITEM-1","issue":"2","issued":{"date-parts":[["2018"]]},"title":"Private Education in the Absence of a Public Option: The Cases of the United Arab Emirates and Qatar","type":"article-journal","volume":"3"},"uris":["http://www.mendeley.com/documents/?uuid=2fd319db-6ae7-4c12-844f-f5070fca6a8e"]}],"mendeley":{"formattedCitation":"(Ridge et al., 2018)","manualFormatting":"Ridge et al., 2018","plainTextFormattedCitation":"(Ridge et al., 2018)","previouslyFormattedCitation":"(Ridge et al., 2018)"},"properties":{"noteIndex":0},"schema":"https://github.com/citation-style-language/schema/raw/master/csl-citation.json"}</w:instrText>
      </w:r>
      <w:r w:rsidRPr="00BB6978">
        <w:rPr>
          <w:rFonts w:ascii="Times New Roman" w:eastAsia="Calibri" w:hAnsi="Times New Roman" w:cs="Times New Roman"/>
          <w:sz w:val="24"/>
          <w:szCs w:val="24"/>
        </w:rPr>
        <w:fldChar w:fldCharType="separate"/>
      </w:r>
      <w:r w:rsidRPr="00BB6978">
        <w:rPr>
          <w:rFonts w:ascii="Times New Roman" w:eastAsia="Calibri" w:hAnsi="Times New Roman" w:cs="Times New Roman"/>
          <w:sz w:val="24"/>
          <w:szCs w:val="24"/>
        </w:rPr>
        <w:t>Ridge et al. (2018</w:t>
      </w:r>
      <w:r w:rsidRPr="00BB6978">
        <w:rPr>
          <w:rFonts w:ascii="Times New Roman" w:eastAsia="Calibri" w:hAnsi="Times New Roman" w:cs="Times New Roman"/>
          <w:sz w:val="24"/>
          <w:szCs w:val="24"/>
        </w:rPr>
        <w:fldChar w:fldCharType="end"/>
      </w:r>
      <w:r w:rsidRPr="00BB6978">
        <w:rPr>
          <w:rFonts w:ascii="Times New Roman" w:eastAsia="Calibri" w:hAnsi="Times New Roman" w:cs="Times New Roman"/>
          <w:sz w:val="24"/>
          <w:szCs w:val="24"/>
        </w:rPr>
        <w:t xml:space="preserve">) emphasized that poorer families can only access low quality education. Private schools in a wealthy country like the UAE serve different families with different income </w:t>
      </w:r>
      <w:r w:rsidRPr="00BB6978">
        <w:rPr>
          <w:rFonts w:ascii="Times New Roman" w:eastAsia="Calibri" w:hAnsi="Times New Roman" w:cs="Times New Roman"/>
          <w:sz w:val="24"/>
          <w:szCs w:val="24"/>
        </w:rPr>
        <w:fldChar w:fldCharType="begin" w:fldLock="1"/>
      </w:r>
      <w:r w:rsidRPr="00BB6978">
        <w:rPr>
          <w:rFonts w:ascii="Times New Roman" w:eastAsia="Calibri" w:hAnsi="Times New Roman" w:cs="Times New Roman"/>
          <w:sz w:val="24"/>
          <w:szCs w:val="24"/>
        </w:rPr>
        <w:instrText>ADDIN CSL_CITATION {"citationItems":[{"id":"ITEM-1","itemData":{"author":[{"dropping-particle":"","family":"Tong","given":"Qingxia","non-dropping-particle":"","parse-names":false,"suffix":""}],"id":"ITEM-1","issued":{"date-parts":[["2010"]]},"title":"Wages in the United Arab Emirates","type":"article-journal"},"uris":["http://www.mendeley.com/documents/?uuid=a90b86c3-0864-43e5-a1bf-25cfdae9e2cf"]}],"mendeley":{"formattedCitation":"(Tong, 2010)","plainTextFormattedCitation":"(Tong, 2010)","previouslyFormattedCitation":"(Tong, 2010)"},"properties":{"noteIndex":0},"schema":"https://github.com/citation-style-language/schema/raw/master/csl-citation.json"}</w:instrText>
      </w:r>
      <w:r w:rsidRPr="00BB6978">
        <w:rPr>
          <w:rFonts w:ascii="Times New Roman" w:eastAsia="Calibri" w:hAnsi="Times New Roman" w:cs="Times New Roman"/>
          <w:sz w:val="24"/>
          <w:szCs w:val="24"/>
        </w:rPr>
        <w:fldChar w:fldCharType="separate"/>
      </w:r>
      <w:r w:rsidRPr="00BB6978">
        <w:rPr>
          <w:rFonts w:ascii="Times New Roman" w:eastAsia="Calibri" w:hAnsi="Times New Roman" w:cs="Times New Roman"/>
          <w:sz w:val="24"/>
          <w:szCs w:val="24"/>
        </w:rPr>
        <w:t>(Tong, 2010)</w:t>
      </w:r>
      <w:r w:rsidRPr="00BB6978">
        <w:rPr>
          <w:rFonts w:ascii="Times New Roman" w:eastAsia="Calibri" w:hAnsi="Times New Roman" w:cs="Times New Roman"/>
          <w:sz w:val="24"/>
          <w:szCs w:val="24"/>
        </w:rPr>
        <w:fldChar w:fldCharType="end"/>
      </w:r>
      <w:r w:rsidRPr="00BB6978">
        <w:rPr>
          <w:rFonts w:ascii="Times New Roman" w:eastAsia="Calibri" w:hAnsi="Times New Roman" w:cs="Times New Roman"/>
          <w:sz w:val="24"/>
          <w:szCs w:val="24"/>
        </w:rPr>
        <w:t>. Therefore, looking at the role of SES can help in better understanding the relationships of interest.</w:t>
      </w:r>
      <w:bookmarkEnd w:id="50"/>
    </w:p>
    <w:p w14:paraId="4101C477" w14:textId="77777777" w:rsidR="00161F8B" w:rsidRPr="00BB6978" w:rsidRDefault="00161F8B" w:rsidP="00161F8B">
      <w:pPr>
        <w:pStyle w:val="Heading1"/>
        <w:rPr>
          <w:rFonts w:asciiTheme="majorBidi" w:eastAsia="Times New Roman" w:hAnsiTheme="majorBidi"/>
          <w:b w:val="0"/>
          <w:bCs w:val="0"/>
          <w:color w:val="auto"/>
          <w:sz w:val="24"/>
          <w:szCs w:val="24"/>
        </w:rPr>
      </w:pPr>
      <w:bookmarkStart w:id="51" w:name="_Toc138239784"/>
      <w:r w:rsidRPr="00BB6978">
        <w:rPr>
          <w:rFonts w:asciiTheme="majorBidi" w:eastAsia="Times New Roman" w:hAnsiTheme="majorBidi"/>
          <w:color w:val="auto"/>
          <w:sz w:val="24"/>
          <w:szCs w:val="24"/>
        </w:rPr>
        <w:t>1.</w:t>
      </w:r>
      <w:r w:rsidR="00C27B4B" w:rsidRPr="00BB6978">
        <w:rPr>
          <w:rFonts w:asciiTheme="majorBidi" w:eastAsia="Times New Roman" w:hAnsiTheme="majorBidi"/>
          <w:color w:val="auto"/>
          <w:sz w:val="24"/>
          <w:szCs w:val="24"/>
        </w:rPr>
        <w:t>8</w:t>
      </w:r>
      <w:r w:rsidRPr="00BB6978">
        <w:rPr>
          <w:rFonts w:asciiTheme="majorBidi" w:eastAsia="Times New Roman" w:hAnsiTheme="majorBidi"/>
          <w:color w:val="auto"/>
          <w:sz w:val="24"/>
          <w:szCs w:val="24"/>
        </w:rPr>
        <w:t xml:space="preserve"> Research aims &amp; objectives</w:t>
      </w:r>
      <w:bookmarkEnd w:id="48"/>
      <w:bookmarkEnd w:id="49"/>
      <w:bookmarkEnd w:id="51"/>
      <w:r w:rsidRPr="00BB6978">
        <w:rPr>
          <w:rFonts w:asciiTheme="majorBidi" w:eastAsia="Times New Roman" w:hAnsiTheme="majorBidi"/>
          <w:color w:val="auto"/>
          <w:sz w:val="24"/>
          <w:szCs w:val="24"/>
        </w:rPr>
        <w:t xml:space="preserve"> </w:t>
      </w:r>
    </w:p>
    <w:p w14:paraId="7BDADF78" w14:textId="77777777" w:rsidR="00161F8B" w:rsidRPr="00BB6978" w:rsidRDefault="00161F8B" w:rsidP="00161F8B">
      <w:pPr>
        <w:autoSpaceDE w:val="0"/>
        <w:autoSpaceDN w:val="0"/>
        <w:adjustRightInd w:val="0"/>
        <w:spacing w:after="68" w:line="240" w:lineRule="auto"/>
        <w:jc w:val="both"/>
        <w:rPr>
          <w:rFonts w:ascii="Times New Roman" w:eastAsia="Times New Roman" w:hAnsi="Times New Roman" w:cs="Times New Roman"/>
          <w:sz w:val="24"/>
          <w:szCs w:val="24"/>
        </w:rPr>
      </w:pPr>
    </w:p>
    <w:p w14:paraId="16BC016C" w14:textId="3DFDE843" w:rsidR="00D363DA" w:rsidRPr="00BB6978" w:rsidRDefault="0021671C" w:rsidP="0021671C">
      <w:pPr>
        <w:autoSpaceDE w:val="0"/>
        <w:autoSpaceDN w:val="0"/>
        <w:adjustRightInd w:val="0"/>
        <w:spacing w:after="68" w:line="480" w:lineRule="auto"/>
        <w:ind w:firstLine="360"/>
        <w:jc w:val="both"/>
        <w:rPr>
          <w:rFonts w:ascii="Times New Roman" w:eastAsia="Times New Roman" w:hAnsi="Times New Roman" w:cs="Times New Roman"/>
          <w:sz w:val="24"/>
          <w:szCs w:val="24"/>
        </w:rPr>
      </w:pPr>
      <w:bookmarkStart w:id="52" w:name="_Toc64369115"/>
      <w:bookmarkStart w:id="53" w:name="_Toc96103734"/>
      <w:r w:rsidRPr="00BB6978">
        <w:rPr>
          <w:rFonts w:ascii="Times New Roman" w:eastAsia="Times New Roman" w:hAnsi="Times New Roman" w:cs="Times New Roman"/>
          <w:sz w:val="24"/>
          <w:szCs w:val="24"/>
        </w:rPr>
        <w:t xml:space="preserve">This study aims to examine the relationships between school cost, school quality, and students’ achievements in private schools in Abu Dhabi. </w:t>
      </w:r>
      <w:r w:rsidR="00F9262F" w:rsidRPr="00BB6978">
        <w:rPr>
          <w:rFonts w:ascii="Times New Roman" w:eastAsia="Times New Roman" w:hAnsi="Times New Roman" w:cs="Times New Roman"/>
          <w:sz w:val="24"/>
          <w:szCs w:val="24"/>
        </w:rPr>
        <w:t>By considering the perspectives of parents and incorporating their income and educational level, a holistic comprehension of the mediating and moderating relationships can be attained. This approach will provide insights into the potential influence of these factors on the connections between variables, thereby shedding light on their interrelationships.</w:t>
      </w:r>
    </w:p>
    <w:p w14:paraId="458F4568" w14:textId="77777777" w:rsidR="00D363DA" w:rsidRPr="00BB6978" w:rsidRDefault="00D363DA" w:rsidP="0021671C">
      <w:pPr>
        <w:autoSpaceDE w:val="0"/>
        <w:autoSpaceDN w:val="0"/>
        <w:adjustRightInd w:val="0"/>
        <w:spacing w:after="68" w:line="480" w:lineRule="auto"/>
        <w:ind w:firstLine="360"/>
        <w:jc w:val="both"/>
        <w:rPr>
          <w:rFonts w:ascii="Times New Roman" w:eastAsia="Times New Roman" w:hAnsi="Times New Roman" w:cs="Times New Roman"/>
          <w:sz w:val="24"/>
          <w:szCs w:val="24"/>
        </w:rPr>
      </w:pPr>
    </w:p>
    <w:p w14:paraId="246670F6" w14:textId="77777777" w:rsidR="0021671C" w:rsidRPr="00BB6978" w:rsidRDefault="0021671C" w:rsidP="0021671C">
      <w:pPr>
        <w:autoSpaceDE w:val="0"/>
        <w:autoSpaceDN w:val="0"/>
        <w:adjustRightInd w:val="0"/>
        <w:spacing w:after="68" w:line="480" w:lineRule="auto"/>
        <w:ind w:firstLine="360"/>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The research objectives are as follows:</w:t>
      </w:r>
    </w:p>
    <w:p w14:paraId="09086077" w14:textId="77777777" w:rsidR="0021671C" w:rsidRPr="00BB6978" w:rsidRDefault="0021671C" w:rsidP="00B91029">
      <w:pPr>
        <w:numPr>
          <w:ilvl w:val="0"/>
          <w:numId w:val="3"/>
        </w:numPr>
        <w:autoSpaceDE w:val="0"/>
        <w:autoSpaceDN w:val="0"/>
        <w:adjustRightInd w:val="0"/>
        <w:spacing w:after="68" w:line="480" w:lineRule="auto"/>
        <w:ind w:left="714" w:hanging="357"/>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To investigate the relationship between school cost and school quality</w:t>
      </w:r>
      <w:r w:rsidR="00AC5F28" w:rsidRPr="00BB6978">
        <w:rPr>
          <w:rFonts w:ascii="Times New Roman" w:eastAsia="Times New Roman" w:hAnsi="Times New Roman" w:cs="Times New Roman"/>
          <w:sz w:val="24"/>
          <w:szCs w:val="24"/>
        </w:rPr>
        <w:t xml:space="preserve"> in private schools in Abu Dhabi.</w:t>
      </w:r>
    </w:p>
    <w:p w14:paraId="21697991" w14:textId="77777777" w:rsidR="0021671C" w:rsidRPr="00BB6978" w:rsidRDefault="0021671C" w:rsidP="00B91029">
      <w:pPr>
        <w:numPr>
          <w:ilvl w:val="0"/>
          <w:numId w:val="3"/>
        </w:numPr>
        <w:autoSpaceDE w:val="0"/>
        <w:autoSpaceDN w:val="0"/>
        <w:adjustRightInd w:val="0"/>
        <w:spacing w:after="68" w:line="480" w:lineRule="auto"/>
        <w:ind w:left="714" w:hanging="357"/>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To investigate the relationship between school cost and students’ achievements</w:t>
      </w:r>
      <w:r w:rsidR="00AC5F28" w:rsidRPr="00BB6978">
        <w:rPr>
          <w:rFonts w:ascii="Times New Roman" w:eastAsia="Times New Roman" w:hAnsi="Times New Roman" w:cs="Times New Roman"/>
          <w:sz w:val="24"/>
          <w:szCs w:val="24"/>
        </w:rPr>
        <w:t xml:space="preserve"> in private schools in Abu Dhabi.</w:t>
      </w:r>
    </w:p>
    <w:p w14:paraId="66697C53" w14:textId="77777777" w:rsidR="0021671C" w:rsidRPr="00BB6978" w:rsidRDefault="0021671C" w:rsidP="00B91029">
      <w:pPr>
        <w:numPr>
          <w:ilvl w:val="0"/>
          <w:numId w:val="3"/>
        </w:numPr>
        <w:autoSpaceDE w:val="0"/>
        <w:autoSpaceDN w:val="0"/>
        <w:adjustRightInd w:val="0"/>
        <w:spacing w:after="68" w:line="480" w:lineRule="auto"/>
        <w:ind w:left="714" w:hanging="357"/>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To investigate the relationship between school quality and students’ achievements</w:t>
      </w:r>
      <w:r w:rsidR="00AC5F28" w:rsidRPr="00BB6978">
        <w:rPr>
          <w:rFonts w:ascii="Times New Roman" w:eastAsia="Times New Roman" w:hAnsi="Times New Roman" w:cs="Times New Roman"/>
          <w:sz w:val="24"/>
          <w:szCs w:val="24"/>
        </w:rPr>
        <w:t xml:space="preserve"> in private schools in Abu Dhabi.</w:t>
      </w:r>
    </w:p>
    <w:p w14:paraId="77D37562" w14:textId="77777777" w:rsidR="00C27B4B" w:rsidRPr="00BB6978" w:rsidRDefault="0021671C" w:rsidP="00B91029">
      <w:pPr>
        <w:numPr>
          <w:ilvl w:val="0"/>
          <w:numId w:val="3"/>
        </w:numPr>
        <w:autoSpaceDE w:val="0"/>
        <w:autoSpaceDN w:val="0"/>
        <w:adjustRightInd w:val="0"/>
        <w:spacing w:after="68" w:line="480" w:lineRule="auto"/>
        <w:ind w:left="714" w:hanging="357"/>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 xml:space="preserve">To examine the </w:t>
      </w:r>
      <w:r w:rsidR="00C27B4B" w:rsidRPr="00BB6978">
        <w:rPr>
          <w:rFonts w:ascii="Times New Roman" w:eastAsia="Times New Roman" w:hAnsi="Times New Roman" w:cs="Times New Roman"/>
          <w:sz w:val="24"/>
          <w:szCs w:val="24"/>
        </w:rPr>
        <w:t>mediation relationship of school quality between school cost and students’ achievement</w:t>
      </w:r>
      <w:r w:rsidR="00AC5F28" w:rsidRPr="00BB6978">
        <w:rPr>
          <w:rFonts w:ascii="Times New Roman" w:eastAsia="Times New Roman" w:hAnsi="Times New Roman" w:cs="Times New Roman"/>
          <w:sz w:val="24"/>
          <w:szCs w:val="24"/>
        </w:rPr>
        <w:t xml:space="preserve"> in private schools in Abu Dhabi.</w:t>
      </w:r>
    </w:p>
    <w:p w14:paraId="064B2CC3" w14:textId="77777777" w:rsidR="0021671C" w:rsidRPr="00BB6978" w:rsidRDefault="00C27B4B" w:rsidP="00B91029">
      <w:pPr>
        <w:numPr>
          <w:ilvl w:val="0"/>
          <w:numId w:val="3"/>
        </w:numPr>
        <w:autoSpaceDE w:val="0"/>
        <w:autoSpaceDN w:val="0"/>
        <w:adjustRightInd w:val="0"/>
        <w:spacing w:after="68" w:line="480" w:lineRule="auto"/>
        <w:ind w:left="714" w:hanging="357"/>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To examine the moderation relationship of parents’ income between school cost and students’ achievement</w:t>
      </w:r>
      <w:r w:rsidR="00AC5F28" w:rsidRPr="00BB6978">
        <w:rPr>
          <w:rFonts w:ascii="Times New Roman" w:eastAsia="Times New Roman" w:hAnsi="Times New Roman" w:cs="Times New Roman"/>
          <w:sz w:val="24"/>
          <w:szCs w:val="24"/>
        </w:rPr>
        <w:t xml:space="preserve"> in private schools in Abu Dhabi</w:t>
      </w:r>
    </w:p>
    <w:p w14:paraId="0D00E792" w14:textId="77777777" w:rsidR="00C27B4B" w:rsidRPr="00BB6978" w:rsidRDefault="00C27B4B" w:rsidP="00B91029">
      <w:pPr>
        <w:numPr>
          <w:ilvl w:val="0"/>
          <w:numId w:val="3"/>
        </w:numPr>
        <w:autoSpaceDE w:val="0"/>
        <w:autoSpaceDN w:val="0"/>
        <w:adjustRightInd w:val="0"/>
        <w:spacing w:after="68" w:line="480" w:lineRule="auto"/>
        <w:ind w:left="714" w:hanging="357"/>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To examine the moderation relationship of parents’ education between school quality and students’ achievement</w:t>
      </w:r>
      <w:r w:rsidR="00AC5F28" w:rsidRPr="00BB6978">
        <w:rPr>
          <w:rFonts w:ascii="Times New Roman" w:eastAsia="Times New Roman" w:hAnsi="Times New Roman" w:cs="Times New Roman"/>
          <w:sz w:val="24"/>
          <w:szCs w:val="24"/>
        </w:rPr>
        <w:t xml:space="preserve"> in private schools in Abu Dhabi</w:t>
      </w:r>
      <w:r w:rsidR="00271AB8" w:rsidRPr="00BB6978">
        <w:rPr>
          <w:rFonts w:ascii="Times New Roman" w:eastAsia="Times New Roman" w:hAnsi="Times New Roman" w:cs="Times New Roman"/>
          <w:sz w:val="24"/>
          <w:szCs w:val="24"/>
        </w:rPr>
        <w:t xml:space="preserve">. </w:t>
      </w:r>
    </w:p>
    <w:p w14:paraId="76C07E63" w14:textId="77777777" w:rsidR="00161F8B" w:rsidRPr="00BB6978" w:rsidRDefault="00161F8B" w:rsidP="00161F8B">
      <w:pPr>
        <w:pStyle w:val="Heading1"/>
        <w:rPr>
          <w:rFonts w:asciiTheme="majorBidi" w:eastAsia="Times New Roman" w:hAnsiTheme="majorBidi"/>
          <w:b w:val="0"/>
          <w:bCs w:val="0"/>
          <w:color w:val="auto"/>
          <w:sz w:val="24"/>
          <w:szCs w:val="24"/>
        </w:rPr>
      </w:pPr>
      <w:bookmarkStart w:id="54" w:name="_Toc138239785"/>
      <w:r w:rsidRPr="00BB6978">
        <w:rPr>
          <w:rFonts w:asciiTheme="majorBidi" w:eastAsia="Times New Roman" w:hAnsiTheme="majorBidi"/>
          <w:color w:val="auto"/>
          <w:sz w:val="24"/>
          <w:szCs w:val="24"/>
        </w:rPr>
        <w:t>1.</w:t>
      </w:r>
      <w:r w:rsidR="00271AB8" w:rsidRPr="00BB6978">
        <w:rPr>
          <w:rFonts w:asciiTheme="majorBidi" w:eastAsia="Times New Roman" w:hAnsiTheme="majorBidi"/>
          <w:color w:val="auto"/>
          <w:sz w:val="24"/>
          <w:szCs w:val="24"/>
        </w:rPr>
        <w:t>9</w:t>
      </w:r>
      <w:r w:rsidRPr="00BB6978">
        <w:rPr>
          <w:rFonts w:asciiTheme="majorBidi" w:eastAsia="Times New Roman" w:hAnsiTheme="majorBidi"/>
          <w:color w:val="auto"/>
          <w:sz w:val="24"/>
          <w:szCs w:val="24"/>
        </w:rPr>
        <w:t xml:space="preserve"> Research questions</w:t>
      </w:r>
      <w:bookmarkEnd w:id="52"/>
      <w:bookmarkEnd w:id="53"/>
      <w:bookmarkEnd w:id="54"/>
    </w:p>
    <w:p w14:paraId="51BD9E90" w14:textId="77777777" w:rsidR="00161F8B" w:rsidRPr="00BB6978" w:rsidRDefault="00161F8B" w:rsidP="00161F8B"/>
    <w:p w14:paraId="7278EB3A" w14:textId="77777777" w:rsidR="00F93EE4" w:rsidRPr="00BB6978" w:rsidRDefault="00271AB8" w:rsidP="00C134C7">
      <w:pPr>
        <w:autoSpaceDE w:val="0"/>
        <w:autoSpaceDN w:val="0"/>
        <w:adjustRightInd w:val="0"/>
        <w:spacing w:after="68" w:line="480" w:lineRule="auto"/>
        <w:ind w:firstLine="360"/>
        <w:jc w:val="both"/>
        <w:rPr>
          <w:rFonts w:ascii="Times New Roman" w:eastAsia="Times New Roman" w:hAnsi="Times New Roman" w:cs="Times New Roman"/>
          <w:sz w:val="24"/>
          <w:szCs w:val="24"/>
        </w:rPr>
      </w:pPr>
      <w:bookmarkStart w:id="55" w:name="_Toc64369116"/>
      <w:bookmarkStart w:id="56" w:name="_Toc96103735"/>
      <w:r w:rsidRPr="00BB6978">
        <w:rPr>
          <w:rFonts w:ascii="Times New Roman" w:eastAsia="Times New Roman" w:hAnsi="Times New Roman" w:cs="Times New Roman"/>
          <w:sz w:val="24"/>
          <w:szCs w:val="24"/>
        </w:rPr>
        <w:t>Based on the research aim and objectives, t</w:t>
      </w:r>
      <w:r w:rsidR="00F93EE4" w:rsidRPr="00BB6978">
        <w:rPr>
          <w:rFonts w:ascii="Times New Roman" w:eastAsia="Times New Roman" w:hAnsi="Times New Roman" w:cs="Times New Roman"/>
          <w:sz w:val="24"/>
          <w:szCs w:val="24"/>
        </w:rPr>
        <w:t xml:space="preserve">his study was guided by the following </w:t>
      </w:r>
      <w:r w:rsidRPr="00BB6978">
        <w:rPr>
          <w:rFonts w:ascii="Times New Roman" w:eastAsia="Times New Roman" w:hAnsi="Times New Roman" w:cs="Times New Roman"/>
          <w:sz w:val="24"/>
          <w:szCs w:val="24"/>
        </w:rPr>
        <w:t xml:space="preserve">six </w:t>
      </w:r>
      <w:r w:rsidR="00F93EE4" w:rsidRPr="00BB6978">
        <w:rPr>
          <w:rFonts w:ascii="Times New Roman" w:eastAsia="Times New Roman" w:hAnsi="Times New Roman" w:cs="Times New Roman"/>
          <w:sz w:val="24"/>
          <w:szCs w:val="24"/>
        </w:rPr>
        <w:t>research questions:</w:t>
      </w:r>
    </w:p>
    <w:p w14:paraId="23E50602" w14:textId="77777777" w:rsidR="001D6A30" w:rsidRPr="00BB6978" w:rsidRDefault="001D6A30" w:rsidP="00B91029">
      <w:pPr>
        <w:numPr>
          <w:ilvl w:val="0"/>
          <w:numId w:val="4"/>
        </w:numPr>
        <w:autoSpaceDE w:val="0"/>
        <w:autoSpaceDN w:val="0"/>
        <w:adjustRightInd w:val="0"/>
        <w:spacing w:after="68" w:line="360" w:lineRule="auto"/>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What is the relationship between school cost and school quality in private schools in Abu Dhabi?</w:t>
      </w:r>
    </w:p>
    <w:p w14:paraId="242450F9" w14:textId="77777777" w:rsidR="001D6A30" w:rsidRPr="00BB6978" w:rsidRDefault="001D6A30" w:rsidP="00B91029">
      <w:pPr>
        <w:numPr>
          <w:ilvl w:val="0"/>
          <w:numId w:val="4"/>
        </w:numPr>
        <w:autoSpaceDE w:val="0"/>
        <w:autoSpaceDN w:val="0"/>
        <w:adjustRightInd w:val="0"/>
        <w:spacing w:after="68" w:line="360" w:lineRule="auto"/>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What is the relationship between school costs and students’ achievements in private schools in Abu Dhabi?</w:t>
      </w:r>
    </w:p>
    <w:p w14:paraId="2043168F" w14:textId="77777777" w:rsidR="001D6A30" w:rsidRPr="00BB6978" w:rsidRDefault="001D6A30" w:rsidP="00B91029">
      <w:pPr>
        <w:numPr>
          <w:ilvl w:val="0"/>
          <w:numId w:val="4"/>
        </w:numPr>
        <w:autoSpaceDE w:val="0"/>
        <w:autoSpaceDN w:val="0"/>
        <w:adjustRightInd w:val="0"/>
        <w:spacing w:after="68" w:line="360" w:lineRule="auto"/>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What is the relationship between school quality and students’ achievements in private schools in Abu Dhabi?</w:t>
      </w:r>
    </w:p>
    <w:p w14:paraId="48C524F8" w14:textId="77777777" w:rsidR="001D6A30" w:rsidRPr="00BB6978" w:rsidRDefault="001D6A30" w:rsidP="00B91029">
      <w:pPr>
        <w:numPr>
          <w:ilvl w:val="0"/>
          <w:numId w:val="4"/>
        </w:numPr>
        <w:autoSpaceDE w:val="0"/>
        <w:autoSpaceDN w:val="0"/>
        <w:adjustRightInd w:val="0"/>
        <w:spacing w:after="68" w:line="360" w:lineRule="auto"/>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 xml:space="preserve">Does the school quality mediate the relationship between school cost and students’ achievement in private schools in Abu Dhabi? </w:t>
      </w:r>
    </w:p>
    <w:p w14:paraId="4E2820B3" w14:textId="77777777" w:rsidR="001D6A30" w:rsidRPr="00BB6978" w:rsidRDefault="001D6A30" w:rsidP="00B91029">
      <w:pPr>
        <w:numPr>
          <w:ilvl w:val="0"/>
          <w:numId w:val="4"/>
        </w:numPr>
        <w:autoSpaceDE w:val="0"/>
        <w:autoSpaceDN w:val="0"/>
        <w:adjustRightInd w:val="0"/>
        <w:spacing w:after="68" w:line="360" w:lineRule="auto"/>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 xml:space="preserve">Does parents’ income moderate the relationship between school cost and students’ achievement in private schools in Abu Dhabi? </w:t>
      </w:r>
    </w:p>
    <w:p w14:paraId="747B4E5D" w14:textId="77777777" w:rsidR="001D6A30" w:rsidRPr="00BB6978" w:rsidRDefault="001D6A30" w:rsidP="00B91029">
      <w:pPr>
        <w:numPr>
          <w:ilvl w:val="0"/>
          <w:numId w:val="4"/>
        </w:numPr>
        <w:autoSpaceDE w:val="0"/>
        <w:autoSpaceDN w:val="0"/>
        <w:adjustRightInd w:val="0"/>
        <w:spacing w:after="68" w:line="360" w:lineRule="auto"/>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 xml:space="preserve">Does parents’ education moderate the relationship between school quality and students’ achievement in private schools in Abu Dhabi? </w:t>
      </w:r>
    </w:p>
    <w:p w14:paraId="397A2FBC" w14:textId="77777777" w:rsidR="001D6A30" w:rsidRPr="00BB6978" w:rsidRDefault="001D6A30" w:rsidP="00752BED">
      <w:pPr>
        <w:pStyle w:val="Heading1"/>
        <w:rPr>
          <w:rFonts w:asciiTheme="majorBidi" w:eastAsia="Times New Roman" w:hAnsiTheme="majorBidi"/>
          <w:color w:val="auto"/>
          <w:sz w:val="24"/>
          <w:szCs w:val="24"/>
        </w:rPr>
      </w:pPr>
      <w:bookmarkStart w:id="57" w:name="_Toc138239786"/>
      <w:r w:rsidRPr="00BB6978">
        <w:rPr>
          <w:rFonts w:asciiTheme="majorBidi" w:eastAsia="Times New Roman" w:hAnsiTheme="majorBidi"/>
          <w:color w:val="auto"/>
          <w:sz w:val="24"/>
          <w:szCs w:val="24"/>
        </w:rPr>
        <w:t>1.</w:t>
      </w:r>
      <w:r w:rsidR="00271AB8" w:rsidRPr="00BB6978">
        <w:rPr>
          <w:rFonts w:asciiTheme="majorBidi" w:eastAsia="Times New Roman" w:hAnsiTheme="majorBidi"/>
          <w:color w:val="auto"/>
          <w:sz w:val="24"/>
          <w:szCs w:val="24"/>
        </w:rPr>
        <w:t>10</w:t>
      </w:r>
      <w:r w:rsidR="00752BED" w:rsidRPr="00BB6978">
        <w:rPr>
          <w:rFonts w:asciiTheme="majorBidi" w:eastAsia="Times New Roman" w:hAnsiTheme="majorBidi"/>
          <w:color w:val="auto"/>
          <w:sz w:val="24"/>
          <w:szCs w:val="24"/>
        </w:rPr>
        <w:t xml:space="preserve"> Research Hypotheses</w:t>
      </w:r>
      <w:bookmarkEnd w:id="57"/>
    </w:p>
    <w:p w14:paraId="1F861325" w14:textId="77777777" w:rsidR="00D363DA" w:rsidRPr="00BB6978" w:rsidRDefault="00D363DA" w:rsidP="00D363DA"/>
    <w:p w14:paraId="75992FBB" w14:textId="77777777" w:rsidR="001D6A30" w:rsidRPr="00BB6978" w:rsidRDefault="001D6A30" w:rsidP="00C134C7">
      <w:pPr>
        <w:autoSpaceDE w:val="0"/>
        <w:autoSpaceDN w:val="0"/>
        <w:adjustRightInd w:val="0"/>
        <w:spacing w:after="68" w:line="480" w:lineRule="auto"/>
        <w:ind w:firstLine="426"/>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Based on</w:t>
      </w:r>
      <w:r w:rsidR="00752BED" w:rsidRPr="00BB6978">
        <w:rPr>
          <w:rFonts w:ascii="Times New Roman" w:eastAsia="Times New Roman" w:hAnsi="Times New Roman" w:cs="Times New Roman"/>
          <w:sz w:val="24"/>
          <w:szCs w:val="24"/>
        </w:rPr>
        <w:t xml:space="preserve"> research questions, </w:t>
      </w:r>
      <w:r w:rsidR="00645BCD" w:rsidRPr="00BB6978">
        <w:rPr>
          <w:rFonts w:ascii="Times New Roman" w:eastAsia="Times New Roman" w:hAnsi="Times New Roman" w:cs="Times New Roman"/>
          <w:sz w:val="24"/>
          <w:szCs w:val="24"/>
        </w:rPr>
        <w:t xml:space="preserve">the conceptual model is structured as shown in Figure 1, and thus </w:t>
      </w:r>
      <w:r w:rsidR="00752BED" w:rsidRPr="00BB6978">
        <w:rPr>
          <w:rFonts w:ascii="Times New Roman" w:eastAsia="Times New Roman" w:hAnsi="Times New Roman" w:cs="Times New Roman"/>
          <w:sz w:val="24"/>
          <w:szCs w:val="24"/>
        </w:rPr>
        <w:t>the study</w:t>
      </w:r>
      <w:r w:rsidRPr="00BB6978">
        <w:rPr>
          <w:rFonts w:ascii="Times New Roman" w:eastAsia="Times New Roman" w:hAnsi="Times New Roman" w:cs="Times New Roman"/>
          <w:sz w:val="24"/>
          <w:szCs w:val="24"/>
        </w:rPr>
        <w:t xml:space="preserve"> hypotheses were formed</w:t>
      </w:r>
      <w:r w:rsidR="00271AB8" w:rsidRPr="00BB6978">
        <w:rPr>
          <w:rFonts w:ascii="Times New Roman" w:eastAsia="Times New Roman" w:hAnsi="Times New Roman" w:cs="Times New Roman"/>
          <w:sz w:val="24"/>
          <w:szCs w:val="24"/>
        </w:rPr>
        <w:t xml:space="preserve"> as follows</w:t>
      </w:r>
      <w:r w:rsidRPr="00BB6978">
        <w:rPr>
          <w:rFonts w:ascii="Times New Roman" w:eastAsia="Times New Roman" w:hAnsi="Times New Roman" w:cs="Times New Roman"/>
          <w:sz w:val="24"/>
          <w:szCs w:val="24"/>
        </w:rPr>
        <w:t>:</w:t>
      </w:r>
    </w:p>
    <w:p w14:paraId="10C9091B" w14:textId="77777777" w:rsidR="001D6A30" w:rsidRPr="00BB6978" w:rsidRDefault="001D6A30" w:rsidP="001D6A30">
      <w:pPr>
        <w:spacing w:before="240" w:after="200" w:line="276" w:lineRule="auto"/>
        <w:ind w:left="426" w:hanging="426"/>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H</w:t>
      </w:r>
      <w:r w:rsidRPr="00BB6978">
        <w:rPr>
          <w:rFonts w:ascii="Times New Roman" w:eastAsia="Calibri" w:hAnsi="Times New Roman" w:cs="Times New Roman"/>
          <w:sz w:val="24"/>
          <w:szCs w:val="24"/>
          <w:vertAlign w:val="subscript"/>
        </w:rPr>
        <w:t>1</w:t>
      </w:r>
      <w:r w:rsidRPr="00BB6978">
        <w:rPr>
          <w:rFonts w:ascii="Times New Roman" w:eastAsia="Calibri" w:hAnsi="Times New Roman" w:cs="Times New Roman"/>
          <w:sz w:val="24"/>
          <w:szCs w:val="24"/>
        </w:rPr>
        <w:t>: There is a positive relationship between school cost and school quality in private schools in Abu Dhabi.</w:t>
      </w:r>
    </w:p>
    <w:p w14:paraId="0B6F0124" w14:textId="77777777" w:rsidR="001D6A30" w:rsidRPr="00BB6978" w:rsidRDefault="001D6A30" w:rsidP="001D6A30">
      <w:pPr>
        <w:spacing w:before="240" w:after="200" w:line="276" w:lineRule="auto"/>
        <w:ind w:left="426" w:hanging="426"/>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H</w:t>
      </w:r>
      <w:r w:rsidRPr="00BB6978">
        <w:rPr>
          <w:rFonts w:ascii="Times New Roman" w:eastAsia="Calibri" w:hAnsi="Times New Roman" w:cs="Times New Roman"/>
          <w:sz w:val="24"/>
          <w:szCs w:val="24"/>
          <w:vertAlign w:val="subscript"/>
        </w:rPr>
        <w:t>2</w:t>
      </w:r>
      <w:r w:rsidRPr="00BB6978">
        <w:rPr>
          <w:rFonts w:ascii="Times New Roman" w:eastAsia="Calibri" w:hAnsi="Times New Roman" w:cs="Times New Roman"/>
          <w:sz w:val="24"/>
          <w:szCs w:val="24"/>
        </w:rPr>
        <w:t>: There is a positive relationship between school cost and students’ achievements in private schools in Abu Dhabi.</w:t>
      </w:r>
    </w:p>
    <w:p w14:paraId="3C8B7BA0" w14:textId="77777777" w:rsidR="001D6A30" w:rsidRPr="00BB6978" w:rsidRDefault="001D6A30" w:rsidP="001D6A30">
      <w:pPr>
        <w:spacing w:before="240" w:after="200" w:line="276" w:lineRule="auto"/>
        <w:ind w:left="426" w:hanging="426"/>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H</w:t>
      </w:r>
      <w:r w:rsidRPr="00BB6978">
        <w:rPr>
          <w:rFonts w:ascii="Times New Roman" w:eastAsia="Calibri" w:hAnsi="Times New Roman" w:cs="Times New Roman"/>
          <w:sz w:val="24"/>
          <w:szCs w:val="24"/>
          <w:vertAlign w:val="subscript"/>
        </w:rPr>
        <w:t>3</w:t>
      </w:r>
      <w:r w:rsidRPr="00BB6978">
        <w:rPr>
          <w:rFonts w:ascii="Times New Roman" w:eastAsia="Calibri" w:hAnsi="Times New Roman" w:cs="Times New Roman"/>
          <w:sz w:val="24"/>
          <w:szCs w:val="24"/>
        </w:rPr>
        <w:t>: There is a positive relationship between school quality and students’ achievement in private schools in Abu Dhabi.</w:t>
      </w:r>
    </w:p>
    <w:p w14:paraId="4E126FC8" w14:textId="77777777" w:rsidR="001D6A30" w:rsidRPr="00BB6978" w:rsidRDefault="001D6A30" w:rsidP="001D6A30">
      <w:pPr>
        <w:spacing w:before="240" w:after="200" w:line="276" w:lineRule="auto"/>
        <w:ind w:left="426" w:hanging="426"/>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H</w:t>
      </w:r>
      <w:r w:rsidRPr="00BB6978">
        <w:rPr>
          <w:rFonts w:ascii="Times New Roman" w:eastAsia="Calibri" w:hAnsi="Times New Roman" w:cs="Times New Roman"/>
          <w:sz w:val="24"/>
          <w:szCs w:val="24"/>
          <w:vertAlign w:val="subscript"/>
        </w:rPr>
        <w:t xml:space="preserve">4: </w:t>
      </w:r>
      <w:r w:rsidRPr="00BB6978">
        <w:rPr>
          <w:rFonts w:ascii="Times New Roman" w:eastAsia="Calibri" w:hAnsi="Times New Roman" w:cs="Times New Roman"/>
          <w:sz w:val="24"/>
          <w:szCs w:val="24"/>
        </w:rPr>
        <w:t>School quality mediates the relationship between school cost and students’ achievement in private schools in Abu Dhabi.</w:t>
      </w:r>
    </w:p>
    <w:p w14:paraId="34573083" w14:textId="77777777" w:rsidR="001D6A30" w:rsidRPr="00BB6978" w:rsidRDefault="001D6A30" w:rsidP="001D6A30">
      <w:pPr>
        <w:spacing w:before="240" w:after="200" w:line="360" w:lineRule="auto"/>
        <w:ind w:left="426" w:hanging="426"/>
        <w:jc w:val="both"/>
        <w:rPr>
          <w:rFonts w:ascii="Times New Roman" w:eastAsia="Calibri" w:hAnsi="Times New Roman" w:cs="Times New Roman"/>
          <w:sz w:val="24"/>
          <w:szCs w:val="24"/>
          <w:lang w:val="en-US"/>
        </w:rPr>
      </w:pPr>
      <w:r w:rsidRPr="00BB6978">
        <w:rPr>
          <w:rFonts w:ascii="Times New Roman" w:eastAsia="Calibri" w:hAnsi="Times New Roman" w:cs="Times New Roman"/>
          <w:sz w:val="24"/>
          <w:szCs w:val="24"/>
        </w:rPr>
        <w:t>H</w:t>
      </w:r>
      <w:r w:rsidRPr="00BB6978">
        <w:rPr>
          <w:rFonts w:ascii="Times New Roman" w:eastAsia="Calibri" w:hAnsi="Times New Roman" w:cs="Times New Roman"/>
          <w:sz w:val="24"/>
          <w:szCs w:val="24"/>
          <w:vertAlign w:val="subscript"/>
        </w:rPr>
        <w:t xml:space="preserve">5: </w:t>
      </w:r>
      <w:r w:rsidRPr="00BB6978">
        <w:rPr>
          <w:rFonts w:ascii="Times New Roman" w:eastAsia="Calibri" w:hAnsi="Times New Roman" w:cs="Times New Roman"/>
          <w:sz w:val="24"/>
          <w:szCs w:val="24"/>
        </w:rPr>
        <w:t xml:space="preserve">Parents’ income moderates the relationship between school cost and students’ achievements in private schools in Abu Dhabi. </w:t>
      </w:r>
    </w:p>
    <w:p w14:paraId="0FECD7CD" w14:textId="77777777" w:rsidR="001D6A30" w:rsidRPr="00BB6978" w:rsidRDefault="001D6A30" w:rsidP="001D6A30">
      <w:pPr>
        <w:spacing w:before="240" w:after="200" w:line="276" w:lineRule="auto"/>
        <w:ind w:left="426" w:hanging="426"/>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H</w:t>
      </w:r>
      <w:r w:rsidRPr="00BB6978">
        <w:rPr>
          <w:rFonts w:ascii="Times New Roman" w:eastAsia="Calibri" w:hAnsi="Times New Roman" w:cs="Times New Roman"/>
          <w:sz w:val="24"/>
          <w:szCs w:val="24"/>
          <w:vertAlign w:val="subscript"/>
        </w:rPr>
        <w:t xml:space="preserve">6: </w:t>
      </w:r>
      <w:r w:rsidRPr="00BB6978">
        <w:rPr>
          <w:rFonts w:ascii="Times New Roman" w:eastAsia="Calibri" w:hAnsi="Times New Roman" w:cs="Times New Roman"/>
          <w:sz w:val="24"/>
          <w:szCs w:val="24"/>
        </w:rPr>
        <w:t>Parents’ education moderates the relationship between school quality and students’ achievements in private schools in Abu Dhabi.</w:t>
      </w:r>
    </w:p>
    <w:p w14:paraId="0C1F8E85" w14:textId="77777777" w:rsidR="00875969" w:rsidRPr="00BB6978" w:rsidRDefault="00875969" w:rsidP="00613343">
      <w:pPr>
        <w:spacing w:before="240" w:after="200" w:line="276" w:lineRule="auto"/>
        <w:jc w:val="both"/>
        <w:rPr>
          <w:rFonts w:ascii="Times New Roman" w:eastAsia="Calibri" w:hAnsi="Times New Roman" w:cs="Times New Roman"/>
          <w:sz w:val="24"/>
          <w:szCs w:val="24"/>
          <w:lang w:val="en-US"/>
        </w:rPr>
      </w:pPr>
    </w:p>
    <w:p w14:paraId="31AB3CE3" w14:textId="77777777" w:rsidR="00D363DA" w:rsidRPr="00BB6978" w:rsidRDefault="00D363DA" w:rsidP="00613343">
      <w:pPr>
        <w:spacing w:before="240" w:after="200" w:line="276" w:lineRule="auto"/>
        <w:jc w:val="both"/>
        <w:rPr>
          <w:rFonts w:ascii="Times New Roman" w:eastAsia="Calibri" w:hAnsi="Times New Roman" w:cs="Times New Roman"/>
          <w:sz w:val="24"/>
          <w:szCs w:val="24"/>
          <w:lang w:val="en-US"/>
        </w:rPr>
      </w:pPr>
    </w:p>
    <w:p w14:paraId="114BAFA0" w14:textId="77777777" w:rsidR="00D363DA" w:rsidRPr="00BB6978" w:rsidRDefault="00D363DA" w:rsidP="00613343">
      <w:pPr>
        <w:spacing w:before="240" w:after="200" w:line="276" w:lineRule="auto"/>
        <w:jc w:val="both"/>
        <w:rPr>
          <w:rFonts w:ascii="Times New Roman" w:eastAsia="Calibri" w:hAnsi="Times New Roman" w:cs="Times New Roman"/>
          <w:sz w:val="24"/>
          <w:szCs w:val="24"/>
          <w:lang w:val="en-US"/>
        </w:rPr>
      </w:pPr>
    </w:p>
    <w:p w14:paraId="1F9D5AD4" w14:textId="77777777" w:rsidR="00D363DA" w:rsidRPr="00BB6978" w:rsidRDefault="00D363DA" w:rsidP="00613343">
      <w:pPr>
        <w:spacing w:before="240" w:after="200" w:line="276" w:lineRule="auto"/>
        <w:jc w:val="both"/>
        <w:rPr>
          <w:rFonts w:ascii="Times New Roman" w:eastAsia="Calibri" w:hAnsi="Times New Roman" w:cs="Times New Roman"/>
          <w:sz w:val="24"/>
          <w:szCs w:val="24"/>
          <w:lang w:val="en-US"/>
        </w:rPr>
      </w:pPr>
    </w:p>
    <w:p w14:paraId="72B2385A" w14:textId="77777777" w:rsidR="00D363DA" w:rsidRPr="00BB6978" w:rsidRDefault="00D363DA" w:rsidP="00613343">
      <w:pPr>
        <w:spacing w:before="240" w:after="200" w:line="276" w:lineRule="auto"/>
        <w:jc w:val="both"/>
        <w:rPr>
          <w:rFonts w:ascii="Times New Roman" w:eastAsia="Calibri" w:hAnsi="Times New Roman" w:cs="Times New Roman"/>
          <w:sz w:val="24"/>
          <w:szCs w:val="24"/>
          <w:lang w:val="en-US"/>
        </w:rPr>
      </w:pPr>
    </w:p>
    <w:p w14:paraId="3A28BD85" w14:textId="77777777" w:rsidR="00645BCD" w:rsidRPr="00BB6978" w:rsidRDefault="007F58DC" w:rsidP="007F58DC">
      <w:pPr>
        <w:pStyle w:val="Caption"/>
      </w:pPr>
      <w:bookmarkStart w:id="58" w:name="_Toc134452508"/>
      <w:r w:rsidRPr="00BB6978">
        <w:t xml:space="preserve">Figure </w:t>
      </w:r>
      <w:r w:rsidRPr="00BB6978">
        <w:fldChar w:fldCharType="begin"/>
      </w:r>
      <w:r w:rsidRPr="00BB6978">
        <w:instrText xml:space="preserve"> SEQ Figure \* ARABIC </w:instrText>
      </w:r>
      <w:r w:rsidRPr="00BB6978">
        <w:fldChar w:fldCharType="separate"/>
      </w:r>
      <w:r w:rsidR="00016620" w:rsidRPr="00BB6978">
        <w:rPr>
          <w:noProof/>
        </w:rPr>
        <w:t>1</w:t>
      </w:r>
      <w:r w:rsidRPr="00BB6978">
        <w:rPr>
          <w:noProof/>
        </w:rPr>
        <w:fldChar w:fldCharType="end"/>
      </w:r>
      <w:r w:rsidR="00645BCD" w:rsidRPr="00BB6978">
        <w:t>: Conceptual Model of the Study</w:t>
      </w:r>
      <w:bookmarkEnd w:id="58"/>
    </w:p>
    <w:p w14:paraId="47FB75A7" w14:textId="77777777" w:rsidR="00645BCD" w:rsidRPr="00BB6978" w:rsidRDefault="00645BCD" w:rsidP="00645BCD">
      <w:pPr>
        <w:spacing w:before="240" w:after="200" w:line="276" w:lineRule="auto"/>
        <w:ind w:left="426" w:hanging="426"/>
        <w:jc w:val="center"/>
        <w:rPr>
          <w:rFonts w:ascii="Times New Roman" w:eastAsia="Calibri" w:hAnsi="Times New Roman" w:cs="Times New Roman"/>
          <w:sz w:val="24"/>
          <w:szCs w:val="24"/>
          <w:lang w:val="en-US"/>
        </w:rPr>
      </w:pPr>
      <w:r w:rsidRPr="00BB6978">
        <w:rPr>
          <w:noProof/>
          <w:lang w:val="en-US"/>
        </w:rPr>
        <w:drawing>
          <wp:inline distT="0" distB="0" distL="0" distR="0" wp14:anchorId="214FCB6B" wp14:editId="0D3B82D8">
            <wp:extent cx="3854450" cy="2520950"/>
            <wp:effectExtent l="19050" t="19050" r="12700" b="12700"/>
            <wp:docPr id="838475643" name="Picture 1" descr="Image pre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review"/>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854450" cy="2520950"/>
                    </a:xfrm>
                    <a:prstGeom prst="rect">
                      <a:avLst/>
                    </a:prstGeom>
                    <a:noFill/>
                    <a:ln>
                      <a:solidFill>
                        <a:schemeClr val="tx1"/>
                      </a:solidFill>
                    </a:ln>
                  </pic:spPr>
                </pic:pic>
              </a:graphicData>
            </a:graphic>
          </wp:inline>
        </w:drawing>
      </w:r>
    </w:p>
    <w:p w14:paraId="14DD5572" w14:textId="77777777" w:rsidR="00161F8B" w:rsidRPr="00BB6978" w:rsidRDefault="00161F8B" w:rsidP="001709D8">
      <w:pPr>
        <w:pStyle w:val="Heading1"/>
        <w:rPr>
          <w:rFonts w:asciiTheme="majorBidi" w:eastAsia="Times New Roman" w:hAnsiTheme="majorBidi"/>
          <w:color w:val="auto"/>
          <w:sz w:val="24"/>
          <w:szCs w:val="24"/>
        </w:rPr>
      </w:pPr>
      <w:bookmarkStart w:id="59" w:name="_Toc138239787"/>
      <w:r w:rsidRPr="00BB6978">
        <w:rPr>
          <w:rFonts w:asciiTheme="majorBidi" w:eastAsia="Times New Roman" w:hAnsiTheme="majorBidi"/>
          <w:color w:val="auto"/>
          <w:sz w:val="24"/>
          <w:szCs w:val="24"/>
        </w:rPr>
        <w:t>1.</w:t>
      </w:r>
      <w:r w:rsidR="001709D8" w:rsidRPr="00BB6978">
        <w:rPr>
          <w:rFonts w:asciiTheme="majorBidi" w:eastAsia="Times New Roman" w:hAnsiTheme="majorBidi"/>
          <w:color w:val="auto"/>
          <w:sz w:val="24"/>
          <w:szCs w:val="24"/>
        </w:rPr>
        <w:t>11</w:t>
      </w:r>
      <w:r w:rsidRPr="00BB6978">
        <w:rPr>
          <w:rFonts w:asciiTheme="majorBidi" w:eastAsia="Times New Roman" w:hAnsiTheme="majorBidi"/>
          <w:color w:val="auto"/>
          <w:sz w:val="24"/>
          <w:szCs w:val="24"/>
        </w:rPr>
        <w:t xml:space="preserve"> Research </w:t>
      </w:r>
      <w:r w:rsidR="00105FAF" w:rsidRPr="00BB6978">
        <w:rPr>
          <w:rFonts w:asciiTheme="majorBidi" w:eastAsia="Times New Roman" w:hAnsiTheme="majorBidi"/>
          <w:color w:val="auto"/>
          <w:sz w:val="24"/>
          <w:szCs w:val="24"/>
        </w:rPr>
        <w:t>s</w:t>
      </w:r>
      <w:r w:rsidRPr="00BB6978">
        <w:rPr>
          <w:rFonts w:asciiTheme="majorBidi" w:eastAsia="Times New Roman" w:hAnsiTheme="majorBidi"/>
          <w:color w:val="auto"/>
          <w:sz w:val="24"/>
          <w:szCs w:val="24"/>
        </w:rPr>
        <w:t>ignificance</w:t>
      </w:r>
      <w:bookmarkEnd w:id="55"/>
      <w:bookmarkEnd w:id="56"/>
      <w:bookmarkEnd w:id="59"/>
    </w:p>
    <w:p w14:paraId="0A23BEB9" w14:textId="77777777" w:rsidR="00161F8B" w:rsidRPr="00BB6978" w:rsidRDefault="00161F8B" w:rsidP="00161F8B"/>
    <w:p w14:paraId="18587D8D" w14:textId="77777777" w:rsidR="008F6342" w:rsidRPr="00BB6978" w:rsidRDefault="008F6342" w:rsidP="008F6342">
      <w:pPr>
        <w:autoSpaceDE w:val="0"/>
        <w:autoSpaceDN w:val="0"/>
        <w:adjustRightInd w:val="0"/>
        <w:spacing w:after="68" w:line="480" w:lineRule="auto"/>
        <w:ind w:firstLine="357"/>
        <w:jc w:val="both"/>
        <w:rPr>
          <w:rFonts w:ascii="Times New Roman" w:eastAsia="Times New Roman" w:hAnsi="Times New Roman" w:cs="Times New Roman"/>
          <w:sz w:val="24"/>
          <w:szCs w:val="24"/>
        </w:rPr>
      </w:pPr>
      <w:bookmarkStart w:id="60" w:name="_Toc64369117"/>
      <w:bookmarkStart w:id="61" w:name="_Toc96103736"/>
      <w:r w:rsidRPr="00BB6978">
        <w:rPr>
          <w:rFonts w:ascii="Times New Roman" w:eastAsia="Times New Roman" w:hAnsi="Times New Roman" w:cs="Times New Roman"/>
          <w:sz w:val="24"/>
          <w:szCs w:val="24"/>
        </w:rPr>
        <w:t xml:space="preserve">This study is particularly significant for different stakeholders. First, policymakers can refer to this study's results on students’ outcomes, and their relationships with school cost and quality while developing policies regarding the cost and quality of schools. In particular, more low and medium fee schools are needed in Abu Dhabi. School administrations can refer to the findings to maintain the quality of education they provide, monitor all elements that affect the student achievement, and provide facilities that help develop students’ academic and personal skills and development. Regarding pedagogy, teachers are a critical factor that may help students achieve good standing. However, this study draws teachers' attention to fact that socio-economic factors may hinder students’ achievement. Finally, this study is important to parents as it provides information on the relationship between students’ achievement and school quality, which can help them in choosing a school to </w:t>
      </w:r>
      <w:r w:rsidR="001709D8" w:rsidRPr="00BB6978">
        <w:rPr>
          <w:rFonts w:ascii="Times New Roman" w:eastAsia="Times New Roman" w:hAnsi="Times New Roman" w:cs="Times New Roman"/>
          <w:sz w:val="24"/>
          <w:szCs w:val="24"/>
        </w:rPr>
        <w:t>enrol</w:t>
      </w:r>
      <w:r w:rsidRPr="00BB6978">
        <w:rPr>
          <w:rFonts w:ascii="Times New Roman" w:eastAsia="Times New Roman" w:hAnsi="Times New Roman" w:cs="Times New Roman"/>
          <w:sz w:val="24"/>
          <w:szCs w:val="24"/>
        </w:rPr>
        <w:t xml:space="preserve"> their kid in. </w:t>
      </w:r>
    </w:p>
    <w:p w14:paraId="15D5427F" w14:textId="77777777" w:rsidR="00117C2E" w:rsidRPr="00BB6978" w:rsidRDefault="0033586B" w:rsidP="001709D8">
      <w:pPr>
        <w:autoSpaceDE w:val="0"/>
        <w:autoSpaceDN w:val="0"/>
        <w:adjustRightInd w:val="0"/>
        <w:spacing w:after="68" w:line="480" w:lineRule="auto"/>
        <w:ind w:firstLine="357"/>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The findings of this study can have important implications for education policy setting outside the UAE.</w:t>
      </w:r>
      <w:r w:rsidR="00117C2E" w:rsidRPr="00BB6978">
        <w:rPr>
          <w:rFonts w:ascii="Times New Roman" w:eastAsia="Times New Roman" w:hAnsi="Times New Roman" w:cs="Times New Roman"/>
          <w:sz w:val="24"/>
          <w:szCs w:val="24"/>
        </w:rPr>
        <w:t xml:space="preserve"> Although, the study sheds light on the complex interplay between education costs, quality, and student achievement in a specific context, the</w:t>
      </w:r>
      <w:r w:rsidRPr="00BB6978">
        <w:rPr>
          <w:rFonts w:ascii="Times New Roman" w:eastAsia="Times New Roman" w:hAnsi="Times New Roman" w:cs="Times New Roman"/>
          <w:sz w:val="24"/>
          <w:szCs w:val="24"/>
        </w:rPr>
        <w:t xml:space="preserve"> significance of this study lies in its potential to contribute to the global understanding of the relationship between school cost, school quality, and student achievement in private schools. </w:t>
      </w:r>
      <w:r w:rsidR="00117C2E" w:rsidRPr="00BB6978">
        <w:rPr>
          <w:rFonts w:ascii="Times New Roman" w:eastAsia="Times New Roman" w:hAnsi="Times New Roman" w:cs="Times New Roman"/>
          <w:sz w:val="24"/>
          <w:szCs w:val="24"/>
        </w:rPr>
        <w:t>Understanding the factors that contribute to student success is crucial for policymakers and educators worldwide as they strive to improve the quality of education for all students. The study's focus on private schools also has implications for the ongoing debate around private versus public education and the role that private schools play in improving educational outcomes. By</w:t>
      </w:r>
      <w:r w:rsidR="00846A94" w:rsidRPr="00BB6978">
        <w:rPr>
          <w:rFonts w:ascii="Times New Roman" w:eastAsia="Times New Roman" w:hAnsi="Times New Roman" w:cs="Times New Roman"/>
          <w:sz w:val="24"/>
          <w:szCs w:val="24"/>
        </w:rPr>
        <w:t xml:space="preserve"> involving parents to understand this relationship and by</w:t>
      </w:r>
      <w:r w:rsidR="00117C2E" w:rsidRPr="00BB6978">
        <w:rPr>
          <w:rFonts w:ascii="Times New Roman" w:eastAsia="Times New Roman" w:hAnsi="Times New Roman" w:cs="Times New Roman"/>
          <w:sz w:val="24"/>
          <w:szCs w:val="24"/>
        </w:rPr>
        <w:t xml:space="preserve"> examining the impact of socioeconomic factors such as parental income</w:t>
      </w:r>
      <w:r w:rsidR="00846A94" w:rsidRPr="00BB6978">
        <w:rPr>
          <w:rFonts w:ascii="Times New Roman" w:eastAsia="Times New Roman" w:hAnsi="Times New Roman" w:cs="Times New Roman"/>
          <w:sz w:val="24"/>
          <w:szCs w:val="24"/>
        </w:rPr>
        <w:t xml:space="preserve"> and</w:t>
      </w:r>
      <w:r w:rsidR="00117C2E" w:rsidRPr="00BB6978">
        <w:rPr>
          <w:rFonts w:ascii="Times New Roman" w:eastAsia="Times New Roman" w:hAnsi="Times New Roman" w:cs="Times New Roman"/>
          <w:sz w:val="24"/>
          <w:szCs w:val="24"/>
        </w:rPr>
        <w:t xml:space="preserve"> education on student achievement, the study also contributes to a broader conversation around educational equity and the need for policies that address the unique needs of students from diverse backgrounds</w:t>
      </w:r>
      <w:r w:rsidR="00846A94" w:rsidRPr="00BB6978">
        <w:rPr>
          <w:rFonts w:ascii="Times New Roman" w:eastAsia="Times New Roman" w:hAnsi="Times New Roman" w:cs="Times New Roman"/>
          <w:sz w:val="24"/>
          <w:szCs w:val="24"/>
        </w:rPr>
        <w:t xml:space="preserve"> from the parents’ voices as part of the educational reform. </w:t>
      </w:r>
    </w:p>
    <w:p w14:paraId="3164C56C" w14:textId="77777777" w:rsidR="0033586B" w:rsidRPr="00BB6978" w:rsidRDefault="00117C2E" w:rsidP="0033586B">
      <w:pPr>
        <w:autoSpaceDE w:val="0"/>
        <w:autoSpaceDN w:val="0"/>
        <w:adjustRightInd w:val="0"/>
        <w:spacing w:after="68" w:line="480" w:lineRule="auto"/>
        <w:ind w:firstLine="357"/>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Generally</w:t>
      </w:r>
      <w:r w:rsidR="0033586B" w:rsidRPr="00BB6978">
        <w:rPr>
          <w:rFonts w:ascii="Times New Roman" w:eastAsia="Times New Roman" w:hAnsi="Times New Roman" w:cs="Times New Roman"/>
          <w:sz w:val="24"/>
          <w:szCs w:val="24"/>
        </w:rPr>
        <w:t>, this study has the potential to contribute to the global discourse on private education, school cost, and quality, and their impact on student outcomes, which is crucial in promoting equitable access to quality education worldwide.</w:t>
      </w:r>
    </w:p>
    <w:p w14:paraId="01F69E6C" w14:textId="77777777" w:rsidR="00D363DA" w:rsidRPr="00BB6978" w:rsidRDefault="00D363DA" w:rsidP="0033586B">
      <w:pPr>
        <w:autoSpaceDE w:val="0"/>
        <w:autoSpaceDN w:val="0"/>
        <w:adjustRightInd w:val="0"/>
        <w:spacing w:after="68" w:line="480" w:lineRule="auto"/>
        <w:ind w:firstLine="357"/>
        <w:jc w:val="both"/>
        <w:rPr>
          <w:rFonts w:ascii="Times New Roman" w:eastAsia="Times New Roman" w:hAnsi="Times New Roman" w:cs="Times New Roman"/>
          <w:sz w:val="24"/>
          <w:szCs w:val="24"/>
        </w:rPr>
      </w:pPr>
    </w:p>
    <w:p w14:paraId="6D285512" w14:textId="77777777" w:rsidR="00D363DA" w:rsidRPr="00BB6978" w:rsidRDefault="00D363DA" w:rsidP="0033586B">
      <w:pPr>
        <w:autoSpaceDE w:val="0"/>
        <w:autoSpaceDN w:val="0"/>
        <w:adjustRightInd w:val="0"/>
        <w:spacing w:after="68" w:line="480" w:lineRule="auto"/>
        <w:ind w:firstLine="357"/>
        <w:jc w:val="both"/>
        <w:rPr>
          <w:rFonts w:ascii="Times New Roman" w:eastAsia="Times New Roman" w:hAnsi="Times New Roman" w:cs="Times New Roman"/>
          <w:sz w:val="24"/>
          <w:szCs w:val="24"/>
        </w:rPr>
      </w:pPr>
    </w:p>
    <w:p w14:paraId="3F548A74" w14:textId="77777777" w:rsidR="00161F8B" w:rsidRPr="00BB6978" w:rsidRDefault="00161F8B" w:rsidP="00161F8B">
      <w:pPr>
        <w:pStyle w:val="Heading1"/>
        <w:rPr>
          <w:rFonts w:asciiTheme="majorBidi" w:eastAsia="Times New Roman" w:hAnsiTheme="majorBidi"/>
          <w:b w:val="0"/>
          <w:bCs w:val="0"/>
          <w:color w:val="auto"/>
          <w:sz w:val="24"/>
          <w:szCs w:val="24"/>
        </w:rPr>
      </w:pPr>
      <w:bookmarkStart w:id="62" w:name="_Toc138239788"/>
      <w:r w:rsidRPr="00BB6978">
        <w:rPr>
          <w:rFonts w:asciiTheme="majorBidi" w:eastAsia="Times New Roman" w:hAnsiTheme="majorBidi"/>
          <w:color w:val="auto"/>
          <w:sz w:val="24"/>
          <w:szCs w:val="24"/>
        </w:rPr>
        <w:t>1.</w:t>
      </w:r>
      <w:r w:rsidR="001B453A" w:rsidRPr="00BB6978">
        <w:rPr>
          <w:rFonts w:asciiTheme="majorBidi" w:eastAsia="Times New Roman" w:hAnsiTheme="majorBidi"/>
          <w:color w:val="auto"/>
          <w:sz w:val="24"/>
          <w:szCs w:val="24"/>
        </w:rPr>
        <w:t>12</w:t>
      </w:r>
      <w:r w:rsidRPr="00BB6978">
        <w:rPr>
          <w:rFonts w:asciiTheme="majorBidi" w:eastAsia="Times New Roman" w:hAnsiTheme="majorBidi"/>
          <w:color w:val="auto"/>
          <w:sz w:val="24"/>
          <w:szCs w:val="24"/>
        </w:rPr>
        <w:t xml:space="preserve"> Definition of terms</w:t>
      </w:r>
      <w:bookmarkEnd w:id="60"/>
      <w:bookmarkEnd w:id="61"/>
      <w:bookmarkEnd w:id="62"/>
      <w:r w:rsidRPr="00BB6978">
        <w:rPr>
          <w:rFonts w:asciiTheme="majorBidi" w:eastAsia="Times New Roman" w:hAnsiTheme="majorBidi"/>
          <w:color w:val="auto"/>
          <w:sz w:val="24"/>
          <w:szCs w:val="24"/>
        </w:rPr>
        <w:t xml:space="preserve"> </w:t>
      </w:r>
    </w:p>
    <w:p w14:paraId="295058BD" w14:textId="77777777" w:rsidR="00161F8B" w:rsidRPr="00BB6978" w:rsidRDefault="00161F8B" w:rsidP="00161F8B"/>
    <w:p w14:paraId="0A6900E9" w14:textId="77777777" w:rsidR="000D010B" w:rsidRPr="00BB6978" w:rsidRDefault="000D010B" w:rsidP="00B91029">
      <w:pPr>
        <w:numPr>
          <w:ilvl w:val="0"/>
          <w:numId w:val="2"/>
        </w:numPr>
        <w:autoSpaceDE w:val="0"/>
        <w:autoSpaceDN w:val="0"/>
        <w:adjustRightInd w:val="0"/>
        <w:spacing w:after="68" w:line="480" w:lineRule="auto"/>
        <w:ind w:left="357" w:hanging="284"/>
        <w:jc w:val="both"/>
        <w:rPr>
          <w:rFonts w:ascii="Times New Roman" w:eastAsia="Times New Roman" w:hAnsi="Times New Roman" w:cs="Times New Roman"/>
          <w:b/>
          <w:sz w:val="24"/>
          <w:szCs w:val="24"/>
        </w:rPr>
      </w:pPr>
      <w:r w:rsidRPr="00BB6978">
        <w:rPr>
          <w:rFonts w:ascii="Times New Roman" w:eastAsia="Times New Roman" w:hAnsi="Times New Roman" w:cs="Times New Roman"/>
          <w:b/>
          <w:sz w:val="24"/>
          <w:szCs w:val="24"/>
        </w:rPr>
        <w:t xml:space="preserve">Private schools: </w:t>
      </w:r>
      <w:r w:rsidRPr="00BB6978">
        <w:rPr>
          <w:rFonts w:ascii="Times New Roman" w:eastAsia="Calibri" w:hAnsi="Times New Roman" w:cs="Times New Roman"/>
          <w:sz w:val="24"/>
          <w:szCs w:val="24"/>
        </w:rPr>
        <w:t>Private schools are educational organizations that run independently of the government (Forster, 2013). In UAE, private schools are characterized by decentralized systems, which creates extensive variation in school environment, operations, recruitment, and students' learning. Simultaneously, schools follow the general policies issued by the government's educational organizations (</w:t>
      </w:r>
      <w:r w:rsidRPr="00BB6978">
        <w:rPr>
          <w:rFonts w:ascii="Times New Roman" w:eastAsia="Calibri" w:hAnsi="Times New Roman" w:cs="Times New Roman"/>
          <w:sz w:val="24"/>
          <w:szCs w:val="24"/>
        </w:rPr>
        <w:fldChar w:fldCharType="begin" w:fldLock="1"/>
      </w:r>
      <w:r w:rsidRPr="00BB6978">
        <w:rPr>
          <w:rFonts w:ascii="Times New Roman" w:eastAsia="Calibri" w:hAnsi="Times New Roman" w:cs="Times New Roman"/>
          <w:sz w:val="24"/>
          <w:szCs w:val="24"/>
        </w:rPr>
        <w:instrText>ADDIN CSL_CITATION {"citationItems":[{"id":"ITEM-1","itemData":{"abstract":"El estudio proporcionó un modelo de ecuación estructural multigrupo (SEM) de las opiniones de los líderes escolares sobre las características de los maestros, padres y estudiantes relacionadas con el desempeño de los estudiantes en la evaluación de ciencia y matemáticas de TIMSS 2015 para estudiantes de 4º y 8º grado en los Estados Unidos. Emiratos Árabes (EAU). Para ambos grupos de alumnos, se utilizaron para el análisis los ítems del cuestionario escolar sobre la percepción de los maestros, padres y alumnos de los líderes escolares (13 ítems). El análisis empleó el análisis factorial exploratorio (EPT) y el análisis factorial confirmatorio (CFA) para construir los modelos. Ambos modelos proporcionaron estadísticas de ajuste aceptables con varias, pero diferentes rutas significativas. Los modelos SEM tanto de los estudiantes de Grado 4 como de Grado 8 casi se replican entre sí. Los resultados apuntaron a la importancia de las actitudes y el comportamiento de los maestros, padres y estudiantes. Hubo caminos significativos de maestros a estudiantes, de padres a estudiantes y de puntajes de TIMSS, y de estudiantes a puntajes de TIMSS. El impacto directo de la construcción de los padres en las puntuaciones de TIMSS se elaboró ​​cuidadosamente.","author":[{"dropping-particle":"","family":"Masood A., Badri. Guang, Yang. Yousef, Al Sheryani. Asma","given":"Al Rashedi.","non-dropping-particle":"","parse-names":false,"suffix":""},{"dropping-particle":"","family":"Badri","given":"Masood A.","non-dropping-particle":"","parse-names":false,"suffix":""},{"dropping-particle":"Al","family":"Sheryani","given":"Yousef","non-dropping-particle":"","parse-names":false,"suffix":""},{"dropping-particle":"","family":"Yang","given":"Guang","non-dropping-particle":"","parse-names":false,"suffix":""},{"dropping-particle":"Al","family":"Rashedi","given":"Asma","non-dropping-particle":"","parse-names":false,"suffix":""},{"dropping-particle":"Al","family":"Sumaiti","given":"Rabaa","non-dropping-particle":"","parse-names":false,"suffix":""},{"dropping-particle":"Al","family":"Mazroui","given":"Karima","non-dropping-particle":"","parse-names":false,"suffix":""}],"container-title":"International Journal on Engineering, Science and Technology","id":"ITEM-1","issue":"1","issued":{"date-parts":[["2019"]]},"page":"22-37","title":"The Effects of Teachers’, Parents’, and Students’ Attitudes and Behavior on 4th and 8th Graders’ Science/math Achievements: A model of School Leaders’ Perspectives","type":"article-journal","volume":"1"},"uris":["http://www.mendeley.com/documents/?uuid=b5a53833-8ff4-4af8-95eb-ca38f97422dd"]}],"mendeley":{"formattedCitation":"(Masood A., Badri. Guang, Yang. Yousef, Al Sheryani. Asma et al., 2019)","plainTextFormattedCitation":"(Masood A., Badri. Guang, Yang. Yousef, Al Sheryani. Asma et al., 2019)","previouslyFormattedCitation":"(Masood A., Badri. Guang, Yang. Yousef, Al Sheryani. Asma et al., 2019)"},"properties":{"noteIndex":0},"schema":"https://github.com/citation-style-language/schema/raw/master/csl-citation.json"}</w:instrText>
      </w:r>
      <w:r w:rsidRPr="00BB6978">
        <w:rPr>
          <w:rFonts w:ascii="Times New Roman" w:eastAsia="Calibri" w:hAnsi="Times New Roman" w:cs="Times New Roman"/>
          <w:sz w:val="24"/>
          <w:szCs w:val="24"/>
        </w:rPr>
        <w:fldChar w:fldCharType="separate"/>
      </w:r>
      <w:r w:rsidRPr="00BB6978">
        <w:rPr>
          <w:rFonts w:ascii="Times New Roman" w:eastAsia="Calibri" w:hAnsi="Times New Roman" w:cs="Times New Roman"/>
          <w:sz w:val="24"/>
          <w:szCs w:val="24"/>
        </w:rPr>
        <w:t>Badri et al., 2019)</w:t>
      </w:r>
      <w:r w:rsidRPr="00BB6978">
        <w:rPr>
          <w:rFonts w:ascii="Times New Roman" w:eastAsia="Calibri" w:hAnsi="Times New Roman" w:cs="Times New Roman"/>
          <w:sz w:val="24"/>
          <w:szCs w:val="24"/>
        </w:rPr>
        <w:fldChar w:fldCharType="end"/>
      </w:r>
      <w:r w:rsidRPr="00BB6978">
        <w:rPr>
          <w:rFonts w:ascii="Times New Roman" w:eastAsia="Calibri" w:hAnsi="Times New Roman" w:cs="Times New Roman"/>
          <w:sz w:val="24"/>
          <w:szCs w:val="24"/>
        </w:rPr>
        <w:t>.</w:t>
      </w:r>
    </w:p>
    <w:p w14:paraId="7954B199" w14:textId="77777777" w:rsidR="000D010B" w:rsidRPr="00BB6978" w:rsidRDefault="000D010B" w:rsidP="00B91029">
      <w:pPr>
        <w:numPr>
          <w:ilvl w:val="0"/>
          <w:numId w:val="2"/>
        </w:numPr>
        <w:autoSpaceDE w:val="0"/>
        <w:autoSpaceDN w:val="0"/>
        <w:adjustRightInd w:val="0"/>
        <w:spacing w:after="68" w:line="480" w:lineRule="auto"/>
        <w:ind w:left="357" w:hanging="283"/>
        <w:jc w:val="both"/>
        <w:rPr>
          <w:rFonts w:ascii="Times New Roman" w:eastAsia="Times New Roman" w:hAnsi="Times New Roman" w:cs="Times New Roman"/>
          <w:b/>
          <w:sz w:val="24"/>
          <w:szCs w:val="24"/>
        </w:rPr>
      </w:pPr>
      <w:r w:rsidRPr="00BB6978">
        <w:rPr>
          <w:rFonts w:ascii="Times New Roman" w:eastAsia="Times New Roman" w:hAnsi="Times New Roman" w:cs="Times New Roman"/>
          <w:b/>
          <w:sz w:val="24"/>
          <w:szCs w:val="24"/>
        </w:rPr>
        <w:t xml:space="preserve">School quality: </w:t>
      </w:r>
      <w:r w:rsidRPr="00BB6978">
        <w:rPr>
          <w:rFonts w:ascii="Times New Roman" w:eastAsia="Calibri" w:hAnsi="Times New Roman" w:cs="Times New Roman"/>
          <w:sz w:val="24"/>
          <w:szCs w:val="24"/>
        </w:rPr>
        <w:t xml:space="preserve">There is no single definition for school quality. Researchers and education organizations have come up with different ways to look at school quality. For instance, school quality can be measured through student engagement, student achievement, and school environment </w:t>
      </w:r>
      <w:r w:rsidRPr="00BB6978">
        <w:rPr>
          <w:rFonts w:ascii="Times New Roman" w:eastAsia="Calibri" w:hAnsi="Times New Roman" w:cs="Times New Roman"/>
          <w:sz w:val="24"/>
          <w:szCs w:val="24"/>
        </w:rPr>
        <w:fldChar w:fldCharType="begin" w:fldLock="1"/>
      </w:r>
      <w:r w:rsidRPr="00BB6978">
        <w:rPr>
          <w:rFonts w:ascii="Times New Roman" w:eastAsia="Calibri" w:hAnsi="Times New Roman" w:cs="Times New Roman"/>
          <w:sz w:val="24"/>
          <w:szCs w:val="24"/>
        </w:rPr>
        <w:instrText>ADDIN CSL_CITATION {"citationItems":[{"id":"ITEM-1","itemData":{"author":[{"dropping-particle":"","family":"Kim","given":"Edward J","non-dropping-particle":"","parse-names":false,"suffix":""}],"id":"ITEM-1","issued":{"date-parts":[["2017"]]},"title":"mcie a","type":"article-journal"},"uris":["http://www.mendeley.com/documents/?uuid=7d8a8328-7c50-43b9-bb51-cd34c96e6e85"]}],"mendeley":{"formattedCitation":"(Kim, 2017)","plainTextFormattedCitation":"(Kim, 2017)","previouslyFormattedCitation":"(Kim, 2017)"},"properties":{"noteIndex":0},"schema":"https://github.com/citation-style-language/schema/raw/master/csl-citation.json"}</w:instrText>
      </w:r>
      <w:r w:rsidRPr="00BB6978">
        <w:rPr>
          <w:rFonts w:ascii="Times New Roman" w:eastAsia="Calibri" w:hAnsi="Times New Roman" w:cs="Times New Roman"/>
          <w:sz w:val="24"/>
          <w:szCs w:val="24"/>
        </w:rPr>
        <w:fldChar w:fldCharType="separate"/>
      </w:r>
      <w:r w:rsidRPr="00BB6978">
        <w:rPr>
          <w:rFonts w:ascii="Times New Roman" w:eastAsia="Calibri" w:hAnsi="Times New Roman" w:cs="Times New Roman"/>
          <w:sz w:val="24"/>
          <w:szCs w:val="24"/>
        </w:rPr>
        <w:t xml:space="preserve">(Kim, </w:t>
      </w:r>
      <w:r w:rsidR="00754837" w:rsidRPr="00BB6978">
        <w:rPr>
          <w:rFonts w:ascii="Times New Roman" w:eastAsia="Calibri" w:hAnsi="Times New Roman" w:cs="Times New Roman"/>
          <w:sz w:val="24"/>
          <w:szCs w:val="24"/>
        </w:rPr>
        <w:t>n.d</w:t>
      </w:r>
      <w:r w:rsidRPr="00BB6978">
        <w:rPr>
          <w:rFonts w:ascii="Times New Roman" w:eastAsia="Calibri" w:hAnsi="Times New Roman" w:cs="Times New Roman"/>
          <w:sz w:val="24"/>
          <w:szCs w:val="24"/>
        </w:rPr>
        <w:t>)</w:t>
      </w:r>
      <w:r w:rsidRPr="00BB6978">
        <w:rPr>
          <w:rFonts w:ascii="Times New Roman" w:eastAsia="Calibri" w:hAnsi="Times New Roman" w:cs="Times New Roman"/>
          <w:sz w:val="24"/>
          <w:szCs w:val="24"/>
        </w:rPr>
        <w:fldChar w:fldCharType="end"/>
      </w:r>
      <w:r w:rsidRPr="00BB6978">
        <w:rPr>
          <w:rFonts w:ascii="Times New Roman" w:eastAsia="Calibri" w:hAnsi="Times New Roman" w:cs="Times New Roman"/>
          <w:sz w:val="24"/>
          <w:szCs w:val="24"/>
        </w:rPr>
        <w:t>.</w:t>
      </w:r>
    </w:p>
    <w:p w14:paraId="412E3B4F" w14:textId="77777777" w:rsidR="000D010B" w:rsidRPr="00BB6978" w:rsidRDefault="000D010B" w:rsidP="000D010B">
      <w:pPr>
        <w:spacing w:line="480" w:lineRule="auto"/>
        <w:ind w:left="357"/>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 xml:space="preserve">Here, school quality is defined following the framework of Massachusetts Consortium for Innovative Education Assessment (MCIEA), which is a more holistic measure of the inputs and outcomes. This framework focuses on teachers and the teaching environment, school resources, school culture, students' character and wellbeing outcomes, and indicators of academic learning. This framework was selected because it depicts a broader picture of student learning and school quality than a standardized test can. </w:t>
      </w:r>
    </w:p>
    <w:p w14:paraId="25A621F0" w14:textId="77777777" w:rsidR="000D010B" w:rsidRPr="00BB6978" w:rsidRDefault="000D010B" w:rsidP="00B91029">
      <w:pPr>
        <w:numPr>
          <w:ilvl w:val="0"/>
          <w:numId w:val="2"/>
        </w:numPr>
        <w:autoSpaceDE w:val="0"/>
        <w:autoSpaceDN w:val="0"/>
        <w:adjustRightInd w:val="0"/>
        <w:spacing w:after="68" w:line="480" w:lineRule="auto"/>
        <w:ind w:left="357" w:hanging="283"/>
        <w:jc w:val="both"/>
        <w:rPr>
          <w:rFonts w:ascii="Times New Roman" w:eastAsia="Times New Roman" w:hAnsi="Times New Roman" w:cs="Times New Roman"/>
          <w:b/>
          <w:sz w:val="24"/>
          <w:szCs w:val="24"/>
        </w:rPr>
      </w:pPr>
      <w:r w:rsidRPr="00BB6978">
        <w:rPr>
          <w:rFonts w:ascii="Times New Roman" w:eastAsia="Times New Roman" w:hAnsi="Times New Roman" w:cs="Times New Roman"/>
          <w:b/>
          <w:sz w:val="24"/>
          <w:szCs w:val="24"/>
        </w:rPr>
        <w:t xml:space="preserve">School cost: </w:t>
      </w:r>
      <w:r w:rsidRPr="00BB6978">
        <w:rPr>
          <w:rFonts w:ascii="Times New Roman" w:eastAsia="Calibri" w:hAnsi="Times New Roman" w:cs="Times New Roman"/>
          <w:sz w:val="24"/>
          <w:szCs w:val="24"/>
        </w:rPr>
        <w:t>School cost can be considered from different aspects too. For instance, it can be looked at from a school and profit perspective, such as the cost of or profit from each student to the school</w:t>
      </w:r>
      <w:r w:rsidR="00120957" w:rsidRPr="00BB6978">
        <w:rPr>
          <w:rFonts w:ascii="Times New Roman" w:eastAsia="Calibri" w:hAnsi="Times New Roman" w:cs="Times New Roman"/>
          <w:sz w:val="24"/>
          <w:szCs w:val="24"/>
        </w:rPr>
        <w:t xml:space="preserve"> or can be looked at the expenses of schools on facilities and resources</w:t>
      </w:r>
      <w:r w:rsidRPr="00BB6978">
        <w:rPr>
          <w:rFonts w:ascii="Times New Roman" w:eastAsia="Calibri" w:hAnsi="Times New Roman" w:cs="Times New Roman"/>
          <w:sz w:val="24"/>
          <w:szCs w:val="24"/>
        </w:rPr>
        <w:t xml:space="preserve">. </w:t>
      </w:r>
      <w:r w:rsidR="00120957" w:rsidRPr="00BB6978">
        <w:rPr>
          <w:rFonts w:ascii="Times New Roman" w:eastAsia="Calibri" w:hAnsi="Times New Roman" w:cs="Times New Roman"/>
          <w:sz w:val="24"/>
          <w:szCs w:val="24"/>
        </w:rPr>
        <w:t>For the purpose of this research paper</w:t>
      </w:r>
      <w:r w:rsidRPr="00BB6978">
        <w:rPr>
          <w:rFonts w:ascii="Times New Roman" w:eastAsia="Calibri" w:hAnsi="Times New Roman" w:cs="Times New Roman"/>
          <w:sz w:val="24"/>
          <w:szCs w:val="24"/>
        </w:rPr>
        <w:t xml:space="preserve">, school cost </w:t>
      </w:r>
      <w:r w:rsidR="00066907" w:rsidRPr="00BB6978">
        <w:rPr>
          <w:rFonts w:ascii="Times New Roman" w:eastAsia="Calibri" w:hAnsi="Times New Roman" w:cs="Times New Roman"/>
          <w:sz w:val="24"/>
          <w:szCs w:val="24"/>
        </w:rPr>
        <w:t>is defined as the</w:t>
      </w:r>
      <w:r w:rsidRPr="00BB6978">
        <w:rPr>
          <w:rFonts w:ascii="Times New Roman" w:eastAsia="Calibri" w:hAnsi="Times New Roman" w:cs="Times New Roman"/>
          <w:sz w:val="24"/>
          <w:szCs w:val="24"/>
        </w:rPr>
        <w:t xml:space="preserve"> tuition fees paid by parents</w:t>
      </w:r>
      <w:r w:rsidR="00066907" w:rsidRPr="00BB6978">
        <w:rPr>
          <w:rFonts w:ascii="Times New Roman" w:eastAsia="Calibri" w:hAnsi="Times New Roman" w:cs="Times New Roman"/>
          <w:sz w:val="24"/>
          <w:szCs w:val="24"/>
        </w:rPr>
        <w:t>. This also includes students who are sponsored or get partial or full funding from parents’ employers</w:t>
      </w:r>
      <w:r w:rsidRPr="00BB6978">
        <w:rPr>
          <w:rFonts w:ascii="Times New Roman" w:eastAsia="Calibri" w:hAnsi="Times New Roman" w:cs="Times New Roman"/>
          <w:sz w:val="24"/>
          <w:szCs w:val="24"/>
        </w:rPr>
        <w:t>.</w:t>
      </w:r>
    </w:p>
    <w:p w14:paraId="7170BEAA" w14:textId="77777777" w:rsidR="000D010B" w:rsidRPr="00BB6978" w:rsidRDefault="000D010B" w:rsidP="00B91029">
      <w:pPr>
        <w:numPr>
          <w:ilvl w:val="0"/>
          <w:numId w:val="2"/>
        </w:numPr>
        <w:autoSpaceDE w:val="0"/>
        <w:autoSpaceDN w:val="0"/>
        <w:adjustRightInd w:val="0"/>
        <w:spacing w:after="68" w:line="480" w:lineRule="auto"/>
        <w:ind w:left="357" w:hanging="283"/>
        <w:jc w:val="both"/>
        <w:rPr>
          <w:rFonts w:ascii="Times New Roman" w:eastAsia="Times New Roman" w:hAnsi="Times New Roman" w:cs="Times New Roman"/>
          <w:b/>
          <w:sz w:val="24"/>
          <w:szCs w:val="24"/>
        </w:rPr>
      </w:pPr>
      <w:r w:rsidRPr="00BB6978">
        <w:rPr>
          <w:rFonts w:ascii="Times New Roman" w:eastAsia="Times New Roman" w:hAnsi="Times New Roman" w:cs="Times New Roman"/>
          <w:b/>
          <w:sz w:val="24"/>
          <w:szCs w:val="24"/>
        </w:rPr>
        <w:t xml:space="preserve">Student achievement: </w:t>
      </w:r>
      <w:r w:rsidRPr="00BB6978">
        <w:rPr>
          <w:rFonts w:ascii="Times New Roman" w:eastAsia="Times New Roman" w:hAnsi="Times New Roman" w:cs="Times New Roman"/>
          <w:bCs/>
          <w:sz w:val="24"/>
          <w:szCs w:val="24"/>
        </w:rPr>
        <w:t>Student achievement has</w:t>
      </w:r>
      <w:r w:rsidRPr="00BB6978">
        <w:rPr>
          <w:rFonts w:ascii="Times New Roman" w:eastAsia="Calibri" w:hAnsi="Times New Roman" w:cs="Times New Roman"/>
          <w:sz w:val="24"/>
          <w:szCs w:val="24"/>
        </w:rPr>
        <w:t xml:space="preserve"> three primary dimensions. First, the personal dimension, which includes what prepares students to lead lives where they are content and have a sense of well-being. Second, the social dimension represents preparing them to become contributing members of society. Third, the economic dimension represents the factors that drive students towards sustaining themselves with financially viable careers and become contributors to a thriving national economy (Education Evolving, 2016). Here, student achievement refers to students’ achievements in terms of academic results and students' personal development, which includes student character and wellbeing.</w:t>
      </w:r>
    </w:p>
    <w:p w14:paraId="0D4F6EBB" w14:textId="77777777" w:rsidR="000D010B" w:rsidRPr="00BB6978" w:rsidRDefault="000D010B" w:rsidP="00B91029">
      <w:pPr>
        <w:numPr>
          <w:ilvl w:val="0"/>
          <w:numId w:val="2"/>
        </w:numPr>
        <w:autoSpaceDE w:val="0"/>
        <w:autoSpaceDN w:val="0"/>
        <w:adjustRightInd w:val="0"/>
        <w:spacing w:after="68" w:line="480" w:lineRule="auto"/>
        <w:ind w:left="357" w:hanging="283"/>
        <w:jc w:val="both"/>
        <w:rPr>
          <w:rFonts w:ascii="Times New Roman" w:eastAsia="Times New Roman" w:hAnsi="Times New Roman" w:cs="Times New Roman"/>
          <w:b/>
          <w:sz w:val="24"/>
          <w:szCs w:val="24"/>
        </w:rPr>
      </w:pPr>
      <w:r w:rsidRPr="00BB6978">
        <w:rPr>
          <w:rFonts w:ascii="Times New Roman" w:eastAsia="Times New Roman" w:hAnsi="Times New Roman" w:cs="Times New Roman"/>
          <w:b/>
          <w:sz w:val="24"/>
          <w:szCs w:val="24"/>
        </w:rPr>
        <w:t xml:space="preserve">Socio-economic status (SES): </w:t>
      </w:r>
      <w:r w:rsidRPr="00BB6978">
        <w:rPr>
          <w:rFonts w:ascii="Times New Roman" w:eastAsia="Calibri" w:hAnsi="Times New Roman" w:cs="Times New Roman"/>
          <w:sz w:val="24"/>
          <w:szCs w:val="24"/>
        </w:rPr>
        <w:t xml:space="preserve">Mueller and Parcel (1981) defined SES as the rank of an individual or a family in a social hierarchy according to a mixture of valued factors, such as power, wealth, and their social status. In simpler terms, they are the economic and social features of the students and their families (Ensminger &amp; Fothergill, 2003). While the meaning of </w:t>
      </w:r>
      <w:r w:rsidR="00613343" w:rsidRPr="00BB6978">
        <w:rPr>
          <w:rFonts w:ascii="Times New Roman" w:eastAsia="Calibri" w:hAnsi="Times New Roman" w:cs="Times New Roman"/>
          <w:sz w:val="24"/>
          <w:szCs w:val="24"/>
        </w:rPr>
        <w:t>Socio-economic</w:t>
      </w:r>
      <w:r w:rsidR="00133077" w:rsidRPr="00BB6978">
        <w:rPr>
          <w:rFonts w:ascii="Times New Roman" w:eastAsia="Calibri" w:hAnsi="Times New Roman" w:cs="Times New Roman"/>
          <w:sz w:val="24"/>
          <w:szCs w:val="24"/>
        </w:rPr>
        <w:t xml:space="preserve"> status </w:t>
      </w:r>
      <w:r w:rsidRPr="00BB6978">
        <w:rPr>
          <w:rFonts w:ascii="Times New Roman" w:eastAsia="Calibri" w:hAnsi="Times New Roman" w:cs="Times New Roman"/>
          <w:sz w:val="24"/>
          <w:szCs w:val="24"/>
        </w:rPr>
        <w:t xml:space="preserve">has been debated, three main indicators </w:t>
      </w:r>
      <w:r w:rsidR="00133077" w:rsidRPr="00BB6978">
        <w:rPr>
          <w:rFonts w:ascii="Times New Roman" w:eastAsia="Calibri" w:hAnsi="Times New Roman" w:cs="Times New Roman"/>
          <w:sz w:val="24"/>
          <w:szCs w:val="24"/>
        </w:rPr>
        <w:t xml:space="preserve">which are </w:t>
      </w:r>
      <w:r w:rsidRPr="00BB6978">
        <w:rPr>
          <w:rFonts w:ascii="Times New Roman" w:eastAsia="Calibri" w:hAnsi="Times New Roman" w:cs="Times New Roman"/>
          <w:sz w:val="24"/>
          <w:szCs w:val="24"/>
        </w:rPr>
        <w:t>identified by Duncan, Featherman, and Duncan (1972) are considered essential: parental income, parental occupation, and parental education (Sirin, 2005).</w:t>
      </w:r>
      <w:r w:rsidR="00133077" w:rsidRPr="00BB6978">
        <w:rPr>
          <w:rFonts w:ascii="Times New Roman" w:eastAsia="Calibri" w:hAnsi="Times New Roman" w:cs="Times New Roman"/>
          <w:sz w:val="24"/>
          <w:szCs w:val="24"/>
        </w:rPr>
        <w:t xml:space="preserve"> Therefore, these three indicators are used to describe SES in this paper.</w:t>
      </w:r>
    </w:p>
    <w:p w14:paraId="3B57AFDC" w14:textId="77777777" w:rsidR="00C134C7" w:rsidRPr="00BB6978" w:rsidRDefault="00C134C7" w:rsidP="00C134C7">
      <w:pPr>
        <w:autoSpaceDE w:val="0"/>
        <w:autoSpaceDN w:val="0"/>
        <w:adjustRightInd w:val="0"/>
        <w:spacing w:after="68" w:line="480" w:lineRule="auto"/>
        <w:ind w:left="357"/>
        <w:jc w:val="both"/>
        <w:rPr>
          <w:rFonts w:ascii="Times New Roman" w:eastAsia="Times New Roman" w:hAnsi="Times New Roman" w:cs="Times New Roman"/>
          <w:b/>
          <w:sz w:val="24"/>
          <w:szCs w:val="24"/>
        </w:rPr>
      </w:pPr>
    </w:p>
    <w:p w14:paraId="2E02600B" w14:textId="77777777" w:rsidR="00161F8B" w:rsidRPr="00BB6978" w:rsidRDefault="00161F8B" w:rsidP="00161F8B">
      <w:pPr>
        <w:pStyle w:val="Heading1"/>
        <w:rPr>
          <w:rFonts w:asciiTheme="majorBidi" w:eastAsia="Times New Roman" w:hAnsiTheme="majorBidi"/>
          <w:b w:val="0"/>
          <w:bCs w:val="0"/>
          <w:color w:val="auto"/>
          <w:sz w:val="24"/>
          <w:szCs w:val="24"/>
        </w:rPr>
      </w:pPr>
      <w:bookmarkStart w:id="63" w:name="_Toc64369118"/>
      <w:bookmarkStart w:id="64" w:name="_Toc96103737"/>
      <w:bookmarkStart w:id="65" w:name="_Toc138239789"/>
      <w:r w:rsidRPr="00BB6978">
        <w:rPr>
          <w:rFonts w:asciiTheme="majorBidi" w:eastAsia="Times New Roman" w:hAnsiTheme="majorBidi"/>
          <w:color w:val="auto"/>
          <w:sz w:val="24"/>
          <w:szCs w:val="24"/>
        </w:rPr>
        <w:t>1.</w:t>
      </w:r>
      <w:r w:rsidR="001B453A" w:rsidRPr="00BB6978">
        <w:rPr>
          <w:rFonts w:asciiTheme="majorBidi" w:eastAsia="Times New Roman" w:hAnsiTheme="majorBidi"/>
          <w:color w:val="auto"/>
          <w:sz w:val="24"/>
          <w:szCs w:val="24"/>
        </w:rPr>
        <w:t>13</w:t>
      </w:r>
      <w:r w:rsidRPr="00BB6978">
        <w:rPr>
          <w:rFonts w:asciiTheme="majorBidi" w:eastAsia="Times New Roman" w:hAnsiTheme="majorBidi"/>
          <w:color w:val="auto"/>
          <w:sz w:val="24"/>
          <w:szCs w:val="24"/>
        </w:rPr>
        <w:t xml:space="preserve"> Research </w:t>
      </w:r>
      <w:r w:rsidR="00105FAF" w:rsidRPr="00BB6978">
        <w:rPr>
          <w:rFonts w:asciiTheme="majorBidi" w:eastAsia="Times New Roman" w:hAnsiTheme="majorBidi"/>
          <w:color w:val="auto"/>
          <w:sz w:val="24"/>
          <w:szCs w:val="24"/>
        </w:rPr>
        <w:t>p</w:t>
      </w:r>
      <w:r w:rsidRPr="00BB6978">
        <w:rPr>
          <w:rFonts w:asciiTheme="majorBidi" w:eastAsia="Times New Roman" w:hAnsiTheme="majorBidi"/>
          <w:color w:val="auto"/>
          <w:sz w:val="24"/>
          <w:szCs w:val="24"/>
        </w:rPr>
        <w:t>rocess</w:t>
      </w:r>
      <w:bookmarkEnd w:id="63"/>
      <w:bookmarkEnd w:id="64"/>
      <w:bookmarkEnd w:id="65"/>
    </w:p>
    <w:p w14:paraId="2C2B46A9" w14:textId="77777777" w:rsidR="00161F8B" w:rsidRPr="00BB6978" w:rsidRDefault="00161F8B" w:rsidP="00161F8B"/>
    <w:p w14:paraId="134291DF" w14:textId="77777777" w:rsidR="004D5A0F" w:rsidRPr="00BB6978" w:rsidRDefault="004D5A0F" w:rsidP="004D5A0F">
      <w:pPr>
        <w:spacing w:after="0" w:line="480" w:lineRule="auto"/>
        <w:ind w:firstLine="357"/>
        <w:jc w:val="both"/>
        <w:rPr>
          <w:rFonts w:ascii="Times New Roman" w:eastAsia="Calibri" w:hAnsi="Times New Roman" w:cs="Times New Roman"/>
          <w:sz w:val="24"/>
          <w:szCs w:val="24"/>
        </w:rPr>
      </w:pPr>
      <w:bookmarkStart w:id="66" w:name="_Toc64369119"/>
      <w:bookmarkStart w:id="67" w:name="_Toc96103738"/>
      <w:r w:rsidRPr="00BB6978">
        <w:rPr>
          <w:rFonts w:ascii="Times New Roman" w:eastAsia="Calibri" w:hAnsi="Times New Roman" w:cs="Times New Roman"/>
          <w:sz w:val="24"/>
          <w:szCs w:val="24"/>
        </w:rPr>
        <w:t xml:space="preserve">The research process was as follows: First, the research problem was identified. A general phenomenon (research problem) was noticed that evoked the researcher’s interest. Subsequently, the research objectives and questions were developed. Second, an initial review of literature was conducted, which clearly showcased the research gap on measuring students’ achievement based on the quality and cost of the school in the UAE context. Globally, there are a few studies on this; however, regionally, there are no empirical studies. Third, a detailed literature review was conducted focusing on the three main study variables: (1) education quality, (2) school cost, and (3) student achievement. Fourth, the research framework was developed together with the hypotheses based on the literature review. Fifth, the research instrument was developed on a five-point Likert scale. The online questionnaire was distributed to schools, who then forwarded these to parents. Sixth, data collected from the questionnaire were analyzed to test the hypotheses using confirmatory factor analysis, regression and multiple regression analysis, and structural equation modelling (SEM). Finally, findings were discussed, followed by outlining the recommendations and implications. </w:t>
      </w:r>
    </w:p>
    <w:p w14:paraId="7BE2CEA2" w14:textId="77777777" w:rsidR="00D363DA" w:rsidRPr="00BB6978" w:rsidRDefault="00D363DA" w:rsidP="004D5A0F">
      <w:pPr>
        <w:spacing w:after="0" w:line="480" w:lineRule="auto"/>
        <w:ind w:firstLine="357"/>
        <w:jc w:val="both"/>
        <w:rPr>
          <w:rFonts w:ascii="Times New Roman" w:eastAsia="Calibri" w:hAnsi="Times New Roman" w:cs="Times New Roman"/>
          <w:sz w:val="24"/>
          <w:szCs w:val="24"/>
        </w:rPr>
      </w:pPr>
    </w:p>
    <w:p w14:paraId="471E06A6" w14:textId="77777777" w:rsidR="00D363DA" w:rsidRPr="00BB6978" w:rsidRDefault="00D363DA" w:rsidP="004D5A0F">
      <w:pPr>
        <w:spacing w:after="0" w:line="480" w:lineRule="auto"/>
        <w:ind w:firstLine="357"/>
        <w:jc w:val="both"/>
        <w:rPr>
          <w:rFonts w:ascii="Times New Roman" w:eastAsia="Calibri" w:hAnsi="Times New Roman" w:cs="Times New Roman"/>
          <w:sz w:val="24"/>
          <w:szCs w:val="24"/>
        </w:rPr>
      </w:pPr>
    </w:p>
    <w:p w14:paraId="65F1FA6D" w14:textId="77777777" w:rsidR="00D363DA" w:rsidRPr="00BB6978" w:rsidRDefault="00D363DA" w:rsidP="004D5A0F">
      <w:pPr>
        <w:spacing w:after="0" w:line="480" w:lineRule="auto"/>
        <w:ind w:firstLine="357"/>
        <w:jc w:val="both"/>
        <w:rPr>
          <w:rFonts w:ascii="Times New Roman" w:eastAsia="Calibri" w:hAnsi="Times New Roman" w:cs="Times New Roman"/>
          <w:sz w:val="24"/>
          <w:szCs w:val="24"/>
        </w:rPr>
      </w:pPr>
    </w:p>
    <w:p w14:paraId="0F210590" w14:textId="77777777" w:rsidR="00D363DA" w:rsidRPr="00BB6978" w:rsidRDefault="00D363DA" w:rsidP="004D5A0F">
      <w:pPr>
        <w:spacing w:after="0" w:line="480" w:lineRule="auto"/>
        <w:ind w:firstLine="357"/>
        <w:jc w:val="both"/>
        <w:rPr>
          <w:rFonts w:ascii="Times New Roman" w:eastAsia="Calibri" w:hAnsi="Times New Roman" w:cs="Times New Roman"/>
          <w:sz w:val="24"/>
          <w:szCs w:val="24"/>
        </w:rPr>
      </w:pPr>
    </w:p>
    <w:p w14:paraId="00DF1040" w14:textId="77777777" w:rsidR="00D363DA" w:rsidRPr="00BB6978" w:rsidRDefault="00D363DA" w:rsidP="004D5A0F">
      <w:pPr>
        <w:spacing w:after="0" w:line="480" w:lineRule="auto"/>
        <w:ind w:firstLine="357"/>
        <w:jc w:val="both"/>
        <w:rPr>
          <w:rFonts w:ascii="Times New Roman" w:eastAsia="Calibri" w:hAnsi="Times New Roman" w:cs="Times New Roman"/>
          <w:sz w:val="24"/>
          <w:szCs w:val="24"/>
        </w:rPr>
      </w:pPr>
    </w:p>
    <w:p w14:paraId="087F1DCD" w14:textId="77777777" w:rsidR="00D363DA" w:rsidRPr="00BB6978" w:rsidRDefault="00D363DA" w:rsidP="004D5A0F">
      <w:pPr>
        <w:spacing w:after="0" w:line="480" w:lineRule="auto"/>
        <w:ind w:firstLine="357"/>
        <w:jc w:val="both"/>
        <w:rPr>
          <w:rFonts w:ascii="Times New Roman" w:eastAsia="Calibri" w:hAnsi="Times New Roman" w:cs="Times New Roman"/>
          <w:sz w:val="24"/>
          <w:szCs w:val="24"/>
        </w:rPr>
      </w:pPr>
    </w:p>
    <w:p w14:paraId="0FA6FDF2" w14:textId="77777777" w:rsidR="00161F8B" w:rsidRPr="00BB6978" w:rsidRDefault="00161F8B" w:rsidP="00161F8B">
      <w:pPr>
        <w:pStyle w:val="Heading1"/>
        <w:rPr>
          <w:rFonts w:asciiTheme="majorBidi" w:eastAsia="Times New Roman" w:hAnsiTheme="majorBidi"/>
          <w:b w:val="0"/>
          <w:bCs w:val="0"/>
          <w:color w:val="auto"/>
          <w:sz w:val="24"/>
          <w:szCs w:val="24"/>
        </w:rPr>
      </w:pPr>
      <w:bookmarkStart w:id="68" w:name="_Toc138239790"/>
      <w:r w:rsidRPr="00BB6978">
        <w:rPr>
          <w:rFonts w:asciiTheme="majorBidi" w:eastAsia="Times New Roman" w:hAnsiTheme="majorBidi"/>
          <w:color w:val="auto"/>
          <w:sz w:val="24"/>
          <w:szCs w:val="24"/>
        </w:rPr>
        <w:t>1.1</w:t>
      </w:r>
      <w:r w:rsidR="001B453A" w:rsidRPr="00BB6978">
        <w:rPr>
          <w:rFonts w:asciiTheme="majorBidi" w:eastAsia="Times New Roman" w:hAnsiTheme="majorBidi"/>
          <w:color w:val="auto"/>
          <w:sz w:val="24"/>
          <w:szCs w:val="24"/>
        </w:rPr>
        <w:t>4</w:t>
      </w:r>
      <w:r w:rsidRPr="00BB6978">
        <w:rPr>
          <w:rFonts w:asciiTheme="majorBidi" w:eastAsia="Times New Roman" w:hAnsiTheme="majorBidi"/>
          <w:color w:val="auto"/>
          <w:sz w:val="24"/>
          <w:szCs w:val="24"/>
        </w:rPr>
        <w:t xml:space="preserve"> Organization of the </w:t>
      </w:r>
      <w:r w:rsidR="00105FAF" w:rsidRPr="00BB6978">
        <w:rPr>
          <w:rFonts w:asciiTheme="majorBidi" w:eastAsia="Times New Roman" w:hAnsiTheme="majorBidi"/>
          <w:color w:val="auto"/>
          <w:sz w:val="24"/>
          <w:szCs w:val="24"/>
        </w:rPr>
        <w:t>d</w:t>
      </w:r>
      <w:r w:rsidRPr="00BB6978">
        <w:rPr>
          <w:rFonts w:asciiTheme="majorBidi" w:eastAsia="Times New Roman" w:hAnsiTheme="majorBidi"/>
          <w:color w:val="auto"/>
          <w:sz w:val="24"/>
          <w:szCs w:val="24"/>
        </w:rPr>
        <w:t>issertation</w:t>
      </w:r>
      <w:bookmarkEnd w:id="66"/>
      <w:bookmarkEnd w:id="67"/>
      <w:bookmarkEnd w:id="68"/>
    </w:p>
    <w:p w14:paraId="1468DBEF" w14:textId="77777777" w:rsidR="00161F8B" w:rsidRPr="00BB6978" w:rsidRDefault="00161F8B" w:rsidP="00161F8B"/>
    <w:p w14:paraId="15CA25B3" w14:textId="77777777" w:rsidR="00C5379D" w:rsidRPr="00BB6978" w:rsidRDefault="00C5379D" w:rsidP="00C5379D">
      <w:pPr>
        <w:spacing w:after="0" w:line="480" w:lineRule="auto"/>
        <w:ind w:firstLine="357"/>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The dissertation is structured as follows:</w:t>
      </w:r>
    </w:p>
    <w:p w14:paraId="0714F2E6" w14:textId="77777777" w:rsidR="00C5379D" w:rsidRPr="00BB6978" w:rsidRDefault="00C5379D" w:rsidP="00C5379D">
      <w:pPr>
        <w:spacing w:after="68" w:line="480" w:lineRule="auto"/>
        <w:ind w:left="357" w:hanging="357"/>
        <w:jc w:val="both"/>
        <w:rPr>
          <w:rFonts w:ascii="Times New Roman" w:eastAsia="Calibri" w:hAnsi="Times New Roman" w:cs="Times New Roman"/>
          <w:sz w:val="24"/>
          <w:szCs w:val="24"/>
        </w:rPr>
      </w:pPr>
      <w:r w:rsidRPr="00BB6978">
        <w:rPr>
          <w:rFonts w:ascii="Times New Roman" w:eastAsia="Calibri" w:hAnsi="Times New Roman" w:cs="Times New Roman"/>
          <w:b/>
          <w:bCs/>
          <w:sz w:val="24"/>
          <w:szCs w:val="24"/>
        </w:rPr>
        <w:t xml:space="preserve">Chapter 1: Introduction. </w:t>
      </w:r>
      <w:r w:rsidRPr="00BB6978">
        <w:rPr>
          <w:rFonts w:ascii="Times New Roman" w:eastAsia="Calibri" w:hAnsi="Times New Roman" w:cs="Times New Roman"/>
          <w:sz w:val="24"/>
          <w:szCs w:val="24"/>
        </w:rPr>
        <w:t>A brief historical background of the problem was introduced in this chapter, followed by the research context, problem statement, the need and justification of the study, research aims and objectives, research questions, study significance, definition of essential terms, and the research process.</w:t>
      </w:r>
    </w:p>
    <w:p w14:paraId="49B7197D" w14:textId="77777777" w:rsidR="00C5379D" w:rsidRPr="00BB6978" w:rsidRDefault="00C5379D" w:rsidP="00C5379D">
      <w:pPr>
        <w:spacing w:after="68" w:line="480" w:lineRule="auto"/>
        <w:ind w:left="357" w:hanging="357"/>
        <w:jc w:val="both"/>
        <w:rPr>
          <w:rFonts w:ascii="Times New Roman" w:eastAsia="Calibri" w:hAnsi="Times New Roman" w:cs="Times New Roman"/>
          <w:sz w:val="24"/>
          <w:szCs w:val="24"/>
        </w:rPr>
      </w:pPr>
      <w:r w:rsidRPr="00BB6978">
        <w:rPr>
          <w:rFonts w:ascii="Times New Roman" w:eastAsia="Calibri" w:hAnsi="Times New Roman" w:cs="Times New Roman"/>
          <w:b/>
          <w:bCs/>
          <w:sz w:val="24"/>
          <w:szCs w:val="24"/>
        </w:rPr>
        <w:t xml:space="preserve">Chapter 2: Literature </w:t>
      </w:r>
      <w:r w:rsidR="00105FAF" w:rsidRPr="00BB6978">
        <w:rPr>
          <w:rFonts w:ascii="Times New Roman" w:eastAsia="Calibri" w:hAnsi="Times New Roman" w:cs="Times New Roman"/>
          <w:b/>
          <w:bCs/>
          <w:sz w:val="24"/>
          <w:szCs w:val="24"/>
        </w:rPr>
        <w:t>r</w:t>
      </w:r>
      <w:r w:rsidRPr="00BB6978">
        <w:rPr>
          <w:rFonts w:ascii="Times New Roman" w:eastAsia="Calibri" w:hAnsi="Times New Roman" w:cs="Times New Roman"/>
          <w:b/>
          <w:bCs/>
          <w:sz w:val="24"/>
          <w:szCs w:val="24"/>
        </w:rPr>
        <w:t xml:space="preserve">eview. </w:t>
      </w:r>
      <w:r w:rsidRPr="00BB6978">
        <w:rPr>
          <w:rFonts w:ascii="Times New Roman" w:eastAsia="Calibri" w:hAnsi="Times New Roman" w:cs="Times New Roman"/>
          <w:sz w:val="24"/>
          <w:szCs w:val="24"/>
        </w:rPr>
        <w:t xml:space="preserve">The literature review was introduced in this chapter and the gaps were discussed in </w:t>
      </w:r>
      <w:r w:rsidR="000507EE" w:rsidRPr="00BB6978">
        <w:rPr>
          <w:rFonts w:ascii="Times New Roman" w:eastAsia="Calibri" w:hAnsi="Times New Roman" w:cs="Times New Roman"/>
          <w:sz w:val="24"/>
          <w:szCs w:val="24"/>
        </w:rPr>
        <w:t>around the four</w:t>
      </w:r>
      <w:r w:rsidRPr="00BB6978">
        <w:rPr>
          <w:rFonts w:ascii="Times New Roman" w:eastAsia="Calibri" w:hAnsi="Times New Roman" w:cs="Times New Roman"/>
          <w:sz w:val="24"/>
          <w:szCs w:val="24"/>
        </w:rPr>
        <w:t xml:space="preserve"> aspects of interest: school quality, school cost, student achievement</w:t>
      </w:r>
      <w:r w:rsidR="000507EE" w:rsidRPr="00BB6978">
        <w:rPr>
          <w:rFonts w:ascii="Times New Roman" w:eastAsia="Calibri" w:hAnsi="Times New Roman" w:cs="Times New Roman"/>
          <w:sz w:val="24"/>
          <w:szCs w:val="24"/>
        </w:rPr>
        <w:t xml:space="preserve"> and socio-economic status and the relationship between these variables.</w:t>
      </w:r>
    </w:p>
    <w:p w14:paraId="1059ADE3" w14:textId="77777777" w:rsidR="00C5379D" w:rsidRPr="00BB6978" w:rsidRDefault="00C5379D" w:rsidP="00C5379D">
      <w:pPr>
        <w:spacing w:after="68" w:line="480" w:lineRule="auto"/>
        <w:ind w:left="357" w:hanging="357"/>
        <w:jc w:val="both"/>
        <w:rPr>
          <w:rFonts w:ascii="Times New Roman" w:eastAsia="Calibri" w:hAnsi="Times New Roman" w:cs="Times New Roman"/>
          <w:sz w:val="24"/>
          <w:szCs w:val="24"/>
        </w:rPr>
      </w:pPr>
      <w:r w:rsidRPr="00BB6978">
        <w:rPr>
          <w:rFonts w:ascii="Times New Roman" w:eastAsia="Calibri" w:hAnsi="Times New Roman" w:cs="Times New Roman"/>
          <w:b/>
          <w:bCs/>
          <w:sz w:val="24"/>
          <w:szCs w:val="24"/>
        </w:rPr>
        <w:t xml:space="preserve">Chapter 3: Research </w:t>
      </w:r>
      <w:r w:rsidR="00105FAF" w:rsidRPr="00BB6978">
        <w:rPr>
          <w:rFonts w:ascii="Times New Roman" w:eastAsia="Calibri" w:hAnsi="Times New Roman" w:cs="Times New Roman"/>
          <w:b/>
          <w:bCs/>
          <w:sz w:val="24"/>
          <w:szCs w:val="24"/>
        </w:rPr>
        <w:t>m</w:t>
      </w:r>
      <w:r w:rsidRPr="00BB6978">
        <w:rPr>
          <w:rFonts w:ascii="Times New Roman" w:eastAsia="Calibri" w:hAnsi="Times New Roman" w:cs="Times New Roman"/>
          <w:b/>
          <w:bCs/>
          <w:sz w:val="24"/>
          <w:szCs w:val="24"/>
        </w:rPr>
        <w:t xml:space="preserve">ethodology. </w:t>
      </w:r>
      <w:r w:rsidRPr="00BB6978">
        <w:rPr>
          <w:rFonts w:ascii="Times New Roman" w:eastAsia="Calibri" w:hAnsi="Times New Roman" w:cs="Times New Roman"/>
          <w:sz w:val="24"/>
          <w:szCs w:val="24"/>
        </w:rPr>
        <w:t>The research design was presented and explained in this chapter, followed by a description of questionnaire development, sampling, methods of data collection, statistical analysis of the data, and ethical considerations.</w:t>
      </w:r>
    </w:p>
    <w:p w14:paraId="5B70949C" w14:textId="77777777" w:rsidR="00C5379D" w:rsidRPr="00BB6978" w:rsidRDefault="00C5379D" w:rsidP="00C5379D">
      <w:pPr>
        <w:spacing w:after="68" w:line="480" w:lineRule="auto"/>
        <w:ind w:left="357" w:hanging="357"/>
        <w:jc w:val="both"/>
        <w:rPr>
          <w:rFonts w:ascii="Times New Roman" w:eastAsia="Calibri" w:hAnsi="Times New Roman" w:cs="Times New Roman"/>
          <w:b/>
          <w:bCs/>
          <w:sz w:val="24"/>
          <w:szCs w:val="24"/>
        </w:rPr>
      </w:pPr>
      <w:r w:rsidRPr="00BB6978">
        <w:rPr>
          <w:rFonts w:ascii="Times New Roman" w:eastAsia="Calibri" w:hAnsi="Times New Roman" w:cs="Times New Roman"/>
          <w:b/>
          <w:bCs/>
          <w:sz w:val="24"/>
          <w:szCs w:val="24"/>
        </w:rPr>
        <w:t>Chapter 4: Results.</w:t>
      </w:r>
      <w:r w:rsidRPr="00BB6978">
        <w:rPr>
          <w:rFonts w:ascii="Times New Roman" w:eastAsia="Calibri" w:hAnsi="Times New Roman" w:cs="Times New Roman"/>
          <w:sz w:val="24"/>
          <w:szCs w:val="24"/>
        </w:rPr>
        <w:t xml:space="preserve"> This chapter presented the findings of the questionnaire, regression analysis, and hypotheses. </w:t>
      </w:r>
    </w:p>
    <w:p w14:paraId="090218E4" w14:textId="77777777" w:rsidR="00C5379D" w:rsidRPr="00BB6978" w:rsidRDefault="00C5379D" w:rsidP="00C5379D">
      <w:pPr>
        <w:spacing w:after="68" w:line="480" w:lineRule="auto"/>
        <w:ind w:left="357" w:hanging="357"/>
        <w:jc w:val="both"/>
        <w:rPr>
          <w:rFonts w:ascii="Times New Roman" w:eastAsia="Calibri" w:hAnsi="Times New Roman" w:cs="Times New Roman"/>
          <w:b/>
          <w:bCs/>
          <w:sz w:val="24"/>
          <w:szCs w:val="24"/>
        </w:rPr>
      </w:pPr>
      <w:r w:rsidRPr="00BB6978">
        <w:rPr>
          <w:rFonts w:ascii="Times New Roman" w:eastAsia="Calibri" w:hAnsi="Times New Roman" w:cs="Times New Roman"/>
          <w:b/>
          <w:bCs/>
          <w:sz w:val="24"/>
          <w:szCs w:val="24"/>
        </w:rPr>
        <w:t xml:space="preserve">Chapter 5: Discussion, </w:t>
      </w:r>
      <w:r w:rsidR="00105FAF" w:rsidRPr="00BB6978">
        <w:rPr>
          <w:rFonts w:ascii="Times New Roman" w:eastAsia="Calibri" w:hAnsi="Times New Roman" w:cs="Times New Roman"/>
          <w:b/>
          <w:bCs/>
          <w:sz w:val="24"/>
          <w:szCs w:val="24"/>
        </w:rPr>
        <w:t>i</w:t>
      </w:r>
      <w:r w:rsidRPr="00BB6978">
        <w:rPr>
          <w:rFonts w:ascii="Times New Roman" w:eastAsia="Calibri" w:hAnsi="Times New Roman" w:cs="Times New Roman"/>
          <w:b/>
          <w:bCs/>
          <w:sz w:val="24"/>
          <w:szCs w:val="24"/>
        </w:rPr>
        <w:t xml:space="preserve">mplications, and </w:t>
      </w:r>
      <w:r w:rsidR="00105FAF" w:rsidRPr="00BB6978">
        <w:rPr>
          <w:rFonts w:ascii="Times New Roman" w:eastAsia="Calibri" w:hAnsi="Times New Roman" w:cs="Times New Roman"/>
          <w:b/>
          <w:bCs/>
          <w:sz w:val="24"/>
          <w:szCs w:val="24"/>
        </w:rPr>
        <w:t>c</w:t>
      </w:r>
      <w:r w:rsidRPr="00BB6978">
        <w:rPr>
          <w:rFonts w:ascii="Times New Roman" w:eastAsia="Calibri" w:hAnsi="Times New Roman" w:cs="Times New Roman"/>
          <w:b/>
          <w:bCs/>
          <w:sz w:val="24"/>
          <w:szCs w:val="24"/>
        </w:rPr>
        <w:t xml:space="preserve">onclusion. </w:t>
      </w:r>
      <w:r w:rsidRPr="00BB6978">
        <w:rPr>
          <w:rFonts w:ascii="Times New Roman" w:eastAsia="Calibri" w:hAnsi="Times New Roman" w:cs="Times New Roman"/>
          <w:sz w:val="24"/>
          <w:szCs w:val="24"/>
        </w:rPr>
        <w:t xml:space="preserve">This chapter discussed this study's findings were discussed in relation to the theoretical framework and prior research. Finally, theoretical and practical implications of this study were </w:t>
      </w:r>
      <w:r w:rsidR="00613343" w:rsidRPr="00BB6978">
        <w:rPr>
          <w:rFonts w:ascii="Times New Roman" w:eastAsia="Calibri" w:hAnsi="Times New Roman" w:cs="Times New Roman"/>
          <w:sz w:val="24"/>
          <w:szCs w:val="24"/>
        </w:rPr>
        <w:t>suggested,</w:t>
      </w:r>
      <w:r w:rsidRPr="00BB6978">
        <w:rPr>
          <w:rFonts w:ascii="Times New Roman" w:eastAsia="Calibri" w:hAnsi="Times New Roman" w:cs="Times New Roman"/>
          <w:sz w:val="24"/>
          <w:szCs w:val="24"/>
        </w:rPr>
        <w:t xml:space="preserve"> and a brief summary of research was presented.</w:t>
      </w:r>
    </w:p>
    <w:p w14:paraId="30818BBE" w14:textId="77777777" w:rsidR="00161F8B" w:rsidRPr="00BB6978" w:rsidRDefault="00161F8B" w:rsidP="00161F8B">
      <w:pPr>
        <w:spacing w:after="0" w:line="480" w:lineRule="auto"/>
        <w:jc w:val="both"/>
        <w:rPr>
          <w:rFonts w:ascii="Times New Roman" w:eastAsia="Calibri" w:hAnsi="Times New Roman" w:cs="Times New Roman"/>
          <w:sz w:val="24"/>
          <w:szCs w:val="24"/>
        </w:rPr>
      </w:pPr>
    </w:p>
    <w:p w14:paraId="74DAB23D" w14:textId="77777777" w:rsidR="00161F8B" w:rsidRPr="00BB6978" w:rsidRDefault="00161F8B" w:rsidP="00161F8B">
      <w:pPr>
        <w:pStyle w:val="Heading1"/>
        <w:jc w:val="center"/>
        <w:rPr>
          <w:rFonts w:asciiTheme="majorBidi" w:hAnsiTheme="majorBidi"/>
          <w:b w:val="0"/>
          <w:bCs w:val="0"/>
          <w:color w:val="auto"/>
          <w:lang w:eastAsia="en-GB" w:bidi="en-GB"/>
        </w:rPr>
      </w:pPr>
      <w:bookmarkStart w:id="69" w:name="_Toc96103739"/>
      <w:bookmarkStart w:id="70" w:name="_Toc138239791"/>
      <w:r w:rsidRPr="00BB6978">
        <w:rPr>
          <w:rFonts w:asciiTheme="majorBidi" w:hAnsiTheme="majorBidi"/>
          <w:color w:val="auto"/>
          <w:lang w:eastAsia="en-GB" w:bidi="en-GB"/>
        </w:rPr>
        <w:t xml:space="preserve">Chapter II: Literature </w:t>
      </w:r>
      <w:r w:rsidR="00105FAF" w:rsidRPr="00BB6978">
        <w:rPr>
          <w:rFonts w:asciiTheme="majorBidi" w:hAnsiTheme="majorBidi"/>
          <w:color w:val="auto"/>
          <w:lang w:eastAsia="en-GB" w:bidi="en-GB"/>
        </w:rPr>
        <w:t>r</w:t>
      </w:r>
      <w:r w:rsidRPr="00BB6978">
        <w:rPr>
          <w:rFonts w:asciiTheme="majorBidi" w:hAnsiTheme="majorBidi"/>
          <w:color w:val="auto"/>
          <w:lang w:eastAsia="en-GB" w:bidi="en-GB"/>
        </w:rPr>
        <w:t>eview</w:t>
      </w:r>
      <w:bookmarkEnd w:id="69"/>
      <w:bookmarkEnd w:id="70"/>
    </w:p>
    <w:p w14:paraId="04F4D389" w14:textId="77777777" w:rsidR="005A5C25" w:rsidRPr="00BB6978" w:rsidRDefault="005A5C25" w:rsidP="005A5C25">
      <w:pPr>
        <w:pStyle w:val="Heading1"/>
        <w:rPr>
          <w:rFonts w:asciiTheme="majorBidi" w:hAnsiTheme="majorBidi"/>
          <w:b w:val="0"/>
          <w:bCs w:val="0"/>
          <w:color w:val="auto"/>
          <w:sz w:val="24"/>
          <w:szCs w:val="24"/>
        </w:rPr>
      </w:pPr>
      <w:bookmarkStart w:id="71" w:name="_Toc96103740"/>
      <w:bookmarkStart w:id="72" w:name="_Toc138239792"/>
      <w:bookmarkStart w:id="73" w:name="_Toc64369130"/>
      <w:bookmarkStart w:id="74" w:name="_Toc96103753"/>
      <w:bookmarkStart w:id="75" w:name="_Toc59692573"/>
      <w:r w:rsidRPr="00BB6978">
        <w:rPr>
          <w:rFonts w:asciiTheme="majorBidi" w:hAnsiTheme="majorBidi"/>
          <w:color w:val="auto"/>
          <w:sz w:val="24"/>
          <w:szCs w:val="24"/>
        </w:rPr>
        <w:t>2.1 Introduction</w:t>
      </w:r>
      <w:bookmarkEnd w:id="71"/>
      <w:bookmarkEnd w:id="72"/>
    </w:p>
    <w:p w14:paraId="3F63EE89" w14:textId="77777777" w:rsidR="005A5C25" w:rsidRPr="00BB6978" w:rsidRDefault="005A5C25" w:rsidP="005A5C25">
      <w:pPr>
        <w:spacing w:before="240" w:after="200"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For decades, researchers and educators have debated and deliberated about which educational factors influence student achievement. With policymakers' increasing interest in school reform and improvement, there has been heightened research interest in understanding which factors can affect the relationship between education and learning outcomes. Interestingly, some studies show that schools do not have the primary influence on a student's achievement; rather, their background and SES have greater effects (</w:t>
      </w:r>
      <w:r w:rsidRPr="00BB6978">
        <w:rPr>
          <w:rFonts w:asciiTheme="majorBidi" w:hAnsiTheme="majorBidi" w:cstheme="majorBidi"/>
          <w:sz w:val="24"/>
          <w:szCs w:val="24"/>
        </w:rPr>
        <w:t xml:space="preserve">Buchmann, Condron, Roscigno, Condron, &amp; Roscigno, 2010; Carnevale &amp; Rose, 2003; </w:t>
      </w:r>
      <w:r w:rsidRPr="00BB6978">
        <w:rPr>
          <w:rFonts w:ascii="Times New Roman" w:hAnsi="Times New Roman" w:cs="Times New Roman"/>
          <w:sz w:val="24"/>
          <w:szCs w:val="24"/>
        </w:rPr>
        <w:t xml:space="preserve">Coleman, Campbell, Hobson, McPartland, Mood, Weinfeld, &amp; York, 1966; </w:t>
      </w:r>
      <w:r w:rsidRPr="00BB6978">
        <w:rPr>
          <w:rFonts w:asciiTheme="majorBidi" w:hAnsiTheme="majorBidi" w:cstheme="majorBidi"/>
          <w:sz w:val="24"/>
          <w:szCs w:val="24"/>
        </w:rPr>
        <w:t xml:space="preserve">Dixon-Román, Everson, &amp; McArdle, 2013; </w:t>
      </w:r>
      <w:r w:rsidRPr="00BB6978">
        <w:rPr>
          <w:rFonts w:ascii="Times New Roman" w:hAnsi="Times New Roman" w:cs="Times New Roman"/>
          <w:sz w:val="24"/>
          <w:szCs w:val="24"/>
        </w:rPr>
        <w:t>Jencks et al., 1972;</w:t>
      </w:r>
      <w:r w:rsidRPr="00BB6978">
        <w:rPr>
          <w:rFonts w:asciiTheme="majorBidi" w:eastAsia="Calibri" w:hAnsiTheme="majorBidi" w:cstheme="majorBidi"/>
          <w:sz w:val="24"/>
          <w:szCs w:val="24"/>
        </w:rPr>
        <w:t xml:space="preserve"> Hanushek, Peterson, Talpey, &amp; Woessmann, 2019; </w:t>
      </w:r>
      <w:r w:rsidRPr="00BB6978">
        <w:rPr>
          <w:rFonts w:ascii="Times New Roman" w:hAnsi="Times New Roman" w:cs="Times New Roman"/>
          <w:sz w:val="24"/>
          <w:szCs w:val="24"/>
        </w:rPr>
        <w:t xml:space="preserve">Thomson, 2018). </w:t>
      </w:r>
    </w:p>
    <w:p w14:paraId="77C2C759" w14:textId="77777777" w:rsidR="005A5C25" w:rsidRPr="00BB6978" w:rsidRDefault="005A5C25" w:rsidP="005A5C25">
      <w:pPr>
        <w:spacing w:before="240" w:after="200"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Research shows that various education inputs affect student achievement, including that school leadership, class size, school size, teacher qualification, curriculum, and environment (Asikhia, 2010; Glass et al., 1982; Mosteller, 1995; Ferguson, 1991; Haller &amp; Virkler, 1993; Semer &amp; Harmening, 2015; Waters and Marzano, 2007). However,</w:t>
      </w:r>
      <w:r w:rsidRPr="00BB6978">
        <w:t xml:space="preserve"> </w:t>
      </w:r>
      <w:r w:rsidRPr="00BB6978">
        <w:rPr>
          <w:rFonts w:ascii="Times New Roman" w:hAnsi="Times New Roman" w:cs="Times New Roman"/>
          <w:sz w:val="24"/>
          <w:szCs w:val="24"/>
        </w:rPr>
        <w:t>Hanushek (2003) criticized the emphasis on the "input-based" rather than "incentive-based" education methods, arguing that increasing schooling facilities and resources may not necessarily improve student achievement.</w:t>
      </w:r>
    </w:p>
    <w:p w14:paraId="50D15055" w14:textId="77777777" w:rsidR="000F568B" w:rsidRPr="00BB6978" w:rsidRDefault="000F568B" w:rsidP="005A5C25">
      <w:pPr>
        <w:spacing w:before="240" w:after="200" w:line="480" w:lineRule="auto"/>
        <w:ind w:firstLine="357"/>
        <w:jc w:val="both"/>
        <w:rPr>
          <w:rFonts w:ascii="Times New Roman" w:hAnsi="Times New Roman" w:cs="Times New Roman"/>
          <w:sz w:val="24"/>
          <w:szCs w:val="24"/>
        </w:rPr>
      </w:pPr>
    </w:p>
    <w:p w14:paraId="06668969" w14:textId="357BE4AA" w:rsidR="005A5C25" w:rsidRPr="00BB6978" w:rsidRDefault="005A5C25" w:rsidP="000F568B">
      <w:pPr>
        <w:spacing w:before="240" w:after="200"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The UAE government is undertaking numerous actions on education to guarantee the advancement and success of its people for the future of the nation</w:t>
      </w:r>
      <w:r w:rsidR="000F568B" w:rsidRPr="00BB6978">
        <w:rPr>
          <w:rFonts w:ascii="Times New Roman" w:hAnsi="Times New Roman" w:cs="Times New Roman"/>
          <w:sz w:val="24"/>
          <w:szCs w:val="24"/>
        </w:rPr>
        <w:t xml:space="preserve"> (Alshamsi, 2018). </w:t>
      </w:r>
      <w:r w:rsidRPr="00BB6978">
        <w:rPr>
          <w:rFonts w:ascii="Times New Roman" w:hAnsi="Times New Roman" w:cs="Times New Roman"/>
          <w:sz w:val="24"/>
          <w:szCs w:val="24"/>
        </w:rPr>
        <w:t>It has set a genuine example of how governments must think ahead and outline methodologies to confront new difficulties. Sheikh Zayed Bin Sultan Al Nahyan, the first president of the UAE, considered education as a key factor in economic transformation. He considered that the advantage of developed nations is that they rely on their educated people, whose success and accomplishment are evaluated by the quality of their education (Goodreads, 2021). UAE has gained a great deal of ground toward meeting the objectives set out by UNESCO's Education for All Movement</w:t>
      </w:r>
      <w:r w:rsidR="000F568B" w:rsidRPr="00BB6978">
        <w:rPr>
          <w:rFonts w:ascii="Times New Roman" w:hAnsi="Times New Roman" w:cs="Times New Roman"/>
          <w:sz w:val="24"/>
          <w:szCs w:val="24"/>
        </w:rPr>
        <w:t xml:space="preserve"> (Care et al., 2018).</w:t>
      </w:r>
      <w:r w:rsidR="000F568B" w:rsidRPr="00BB6978">
        <w:rPr>
          <w:rFonts w:ascii="Arial" w:hAnsi="Arial" w:cs="Arial"/>
          <w:sz w:val="20"/>
          <w:szCs w:val="20"/>
          <w:shd w:val="clear" w:color="auto" w:fill="FFFFFF"/>
        </w:rPr>
        <w:t xml:space="preserve"> </w:t>
      </w:r>
    </w:p>
    <w:p w14:paraId="26B24029" w14:textId="6507AFFE" w:rsidR="005A5C25" w:rsidRPr="00BB6978" w:rsidRDefault="005A5C25" w:rsidP="005A5C25">
      <w:pPr>
        <w:spacing w:before="240" w:after="200"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Yet, the Program for International Student Evaluation (PISA) and the Trends in Global Mathematics and Science Study (TIMSS) results show that the UAE needs to improve further its schooling methodologies (</w:t>
      </w:r>
      <w:r w:rsidRPr="00BB6978">
        <w:rPr>
          <w:rFonts w:asciiTheme="majorBidi" w:hAnsiTheme="majorBidi" w:cstheme="majorBidi"/>
          <w:sz w:val="24"/>
          <w:szCs w:val="24"/>
          <w:shd w:val="clear" w:color="auto" w:fill="FFFFFF"/>
        </w:rPr>
        <w:t>Mullis et al., 2020; OECD, 2019)</w:t>
      </w:r>
      <w:r w:rsidRPr="00BB6978">
        <w:rPr>
          <w:rFonts w:asciiTheme="majorBidi" w:hAnsiTheme="majorBidi" w:cstheme="majorBidi"/>
          <w:sz w:val="24"/>
          <w:szCs w:val="24"/>
        </w:rPr>
        <w:t xml:space="preserve">. </w:t>
      </w:r>
      <w:r w:rsidRPr="00BB6978">
        <w:rPr>
          <w:rFonts w:ascii="Times New Roman" w:hAnsi="Times New Roman" w:cs="Times New Roman"/>
          <w:sz w:val="24"/>
          <w:szCs w:val="24"/>
        </w:rPr>
        <w:t xml:space="preserve"> Although the UAE has high proficiency and enrolment rates and a great advanced educational framework, its students’ achievements in international standardized tests remain below expectations</w:t>
      </w:r>
      <w:r w:rsidR="000F568B" w:rsidRPr="00BB6978">
        <w:rPr>
          <w:rFonts w:ascii="Times New Roman" w:hAnsi="Times New Roman" w:cs="Times New Roman"/>
          <w:sz w:val="24"/>
          <w:szCs w:val="24"/>
        </w:rPr>
        <w:t xml:space="preserve"> (</w:t>
      </w:r>
      <w:r w:rsidR="000F568B" w:rsidRPr="00BB6978">
        <w:rPr>
          <w:rFonts w:asciiTheme="majorBidi" w:hAnsiTheme="majorBidi" w:cstheme="majorBidi"/>
          <w:sz w:val="24"/>
          <w:szCs w:val="24"/>
          <w:shd w:val="clear" w:color="auto" w:fill="FFFFFF"/>
        </w:rPr>
        <w:t>OECD, 2019)</w:t>
      </w:r>
      <w:r w:rsidR="000F568B" w:rsidRPr="00BB6978">
        <w:rPr>
          <w:rFonts w:ascii="Times New Roman" w:hAnsi="Times New Roman" w:cs="Times New Roman"/>
          <w:sz w:val="24"/>
          <w:szCs w:val="24"/>
        </w:rPr>
        <w:t xml:space="preserve">. </w:t>
      </w:r>
      <w:r w:rsidRPr="00BB6978">
        <w:rPr>
          <w:rFonts w:ascii="Times New Roman" w:hAnsi="Times New Roman" w:cs="Times New Roman"/>
          <w:sz w:val="24"/>
          <w:szCs w:val="24"/>
        </w:rPr>
        <w:t xml:space="preserve"> The country needs to lead research on different components of the schooling framework and guarantee ideal resource allocation. It can then focus efforts on improving the weak parts of the educational framework identified in the research as needed</w:t>
      </w:r>
      <w:r w:rsidR="000F568B" w:rsidRPr="00BB6978">
        <w:rPr>
          <w:rFonts w:ascii="Times New Roman" w:hAnsi="Times New Roman" w:cs="Times New Roman"/>
          <w:sz w:val="24"/>
          <w:szCs w:val="24"/>
        </w:rPr>
        <w:t xml:space="preserve"> </w:t>
      </w:r>
      <w:r w:rsidR="000F568B" w:rsidRPr="00BB6978">
        <w:rPr>
          <w:rFonts w:asciiTheme="majorBidi" w:hAnsiTheme="majorBidi" w:cstheme="majorBidi"/>
          <w:sz w:val="24"/>
          <w:szCs w:val="24"/>
          <w:shd w:val="clear" w:color="auto" w:fill="FFFFFF"/>
        </w:rPr>
        <w:t>(Azeem et al, 2020).</w:t>
      </w:r>
      <w:r w:rsidR="000F568B" w:rsidRPr="00BB6978">
        <w:rPr>
          <w:rFonts w:ascii="Times New Roman" w:hAnsi="Times New Roman" w:cs="Times New Roman"/>
          <w:sz w:val="24"/>
          <w:szCs w:val="24"/>
        </w:rPr>
        <w:t xml:space="preserve"> </w:t>
      </w:r>
      <w:r w:rsidRPr="00BB6978">
        <w:rPr>
          <w:rFonts w:ascii="Times New Roman" w:hAnsi="Times New Roman" w:cs="Times New Roman"/>
          <w:sz w:val="24"/>
          <w:szCs w:val="24"/>
        </w:rPr>
        <w:t xml:space="preserve"> Based on that, the current examination offers a legitimate understanding of the advancements and challenges experienced by the best educational systems in Asia. The findings help advance the educational system transformation in the UAE. Therefore, the UAE Government assigns a substantial portion of its annual budget to education. The budgetary allocations to education for 2016–2020 are shown below in Table 1 (Ministry of Education, 2021).</w:t>
      </w:r>
    </w:p>
    <w:p w14:paraId="1F543585" w14:textId="77777777" w:rsidR="00CC0AFE" w:rsidRPr="00BB6978" w:rsidRDefault="00CC0AFE" w:rsidP="007F58DC">
      <w:pPr>
        <w:pStyle w:val="Caption"/>
      </w:pPr>
      <w:bookmarkStart w:id="76" w:name="_Toc134452485"/>
      <w:r w:rsidRPr="00BB6978">
        <w:t xml:space="preserve">Table </w:t>
      </w:r>
      <w:r w:rsidRPr="00BB6978">
        <w:fldChar w:fldCharType="begin"/>
      </w:r>
      <w:r w:rsidRPr="00BB6978">
        <w:instrText xml:space="preserve"> SEQ Table \* ARABIC </w:instrText>
      </w:r>
      <w:r w:rsidRPr="00BB6978">
        <w:fldChar w:fldCharType="separate"/>
      </w:r>
      <w:r w:rsidR="00131282" w:rsidRPr="00BB6978">
        <w:rPr>
          <w:noProof/>
        </w:rPr>
        <w:t>1</w:t>
      </w:r>
      <w:r w:rsidRPr="00BB6978">
        <w:rPr>
          <w:noProof/>
        </w:rPr>
        <w:fldChar w:fldCharType="end"/>
      </w:r>
      <w:r w:rsidRPr="00BB6978">
        <w:t>:  UAE annual budgets for education</w:t>
      </w:r>
      <w:bookmarkEnd w:id="76"/>
    </w:p>
    <w:tbl>
      <w:tblPr>
        <w:tblW w:w="4628" w:type="pct"/>
        <w:jc w:val="center"/>
        <w:tblBorders>
          <w:top w:val="single" w:sz="6" w:space="0" w:color="C6C6C6"/>
          <w:left w:val="single" w:sz="6" w:space="0" w:color="C6C6C6"/>
          <w:bottom w:val="single" w:sz="6" w:space="0" w:color="C6C6C6"/>
          <w:right w:val="single" w:sz="6" w:space="0" w:color="C6C6C6"/>
        </w:tblBorders>
        <w:shd w:val="clear" w:color="auto" w:fill="FFFFFF"/>
        <w:tblCellMar>
          <w:top w:w="15" w:type="dxa"/>
          <w:left w:w="15" w:type="dxa"/>
          <w:bottom w:w="15" w:type="dxa"/>
          <w:right w:w="15" w:type="dxa"/>
        </w:tblCellMar>
        <w:tblLook w:val="04A0" w:firstRow="1" w:lastRow="0" w:firstColumn="1" w:lastColumn="0" w:noHBand="0" w:noVBand="1"/>
      </w:tblPr>
      <w:tblGrid>
        <w:gridCol w:w="1699"/>
        <w:gridCol w:w="1050"/>
        <w:gridCol w:w="954"/>
        <w:gridCol w:w="1017"/>
        <w:gridCol w:w="1037"/>
        <w:gridCol w:w="1265"/>
      </w:tblGrid>
      <w:tr w:rsidR="005A5C25" w:rsidRPr="00BB6978" w14:paraId="61EEF006" w14:textId="77777777" w:rsidTr="00CE66D1">
        <w:trPr>
          <w:trHeight w:val="224"/>
          <w:jc w:val="center"/>
        </w:trPr>
        <w:tc>
          <w:tcPr>
            <w:tcW w:w="0" w:type="auto"/>
            <w:tcBorders>
              <w:top w:val="single" w:sz="4" w:space="0" w:color="auto"/>
              <w:left w:val="nil"/>
              <w:bottom w:val="single" w:sz="4" w:space="0" w:color="auto"/>
              <w:right w:val="nil"/>
            </w:tcBorders>
            <w:shd w:val="clear" w:color="auto" w:fill="FFFFFF"/>
            <w:tcMar>
              <w:top w:w="105" w:type="dxa"/>
              <w:left w:w="75" w:type="dxa"/>
              <w:bottom w:w="90" w:type="dxa"/>
              <w:right w:w="75" w:type="dxa"/>
            </w:tcMar>
            <w:hideMark/>
          </w:tcPr>
          <w:p w14:paraId="7C95F3DF" w14:textId="77777777" w:rsidR="005A5C25" w:rsidRPr="00BB6978" w:rsidRDefault="005A5C25" w:rsidP="00CE66D1">
            <w:pPr>
              <w:spacing w:after="0" w:line="480" w:lineRule="auto"/>
              <w:rPr>
                <w:rFonts w:ascii="Times New Roman" w:eastAsia="Times New Roman" w:hAnsi="Times New Roman" w:cs="Times New Roman"/>
                <w:sz w:val="20"/>
                <w:szCs w:val="20"/>
              </w:rPr>
            </w:pPr>
            <w:r w:rsidRPr="00BB6978">
              <w:rPr>
                <w:rFonts w:ascii="Times New Roman" w:eastAsia="Times New Roman" w:hAnsi="Times New Roman" w:cs="Times New Roman"/>
                <w:sz w:val="20"/>
                <w:szCs w:val="20"/>
              </w:rPr>
              <w:t>Year</w:t>
            </w:r>
          </w:p>
        </w:tc>
        <w:tc>
          <w:tcPr>
            <w:tcW w:w="0" w:type="auto"/>
            <w:tcBorders>
              <w:top w:val="single" w:sz="4" w:space="0" w:color="auto"/>
              <w:left w:val="nil"/>
              <w:bottom w:val="single" w:sz="4" w:space="0" w:color="auto"/>
              <w:right w:val="nil"/>
            </w:tcBorders>
            <w:shd w:val="clear" w:color="auto" w:fill="FFFFFF"/>
            <w:tcMar>
              <w:top w:w="105" w:type="dxa"/>
              <w:left w:w="75" w:type="dxa"/>
              <w:bottom w:w="90" w:type="dxa"/>
              <w:right w:w="75" w:type="dxa"/>
            </w:tcMar>
            <w:hideMark/>
          </w:tcPr>
          <w:p w14:paraId="1FB9B9EF" w14:textId="77777777" w:rsidR="005A5C25" w:rsidRPr="00BB6978" w:rsidRDefault="005A5C25" w:rsidP="00CE66D1">
            <w:pPr>
              <w:spacing w:after="0" w:line="480" w:lineRule="auto"/>
              <w:rPr>
                <w:rFonts w:ascii="Times New Roman" w:eastAsia="Times New Roman" w:hAnsi="Times New Roman" w:cs="Times New Roman"/>
                <w:sz w:val="20"/>
                <w:szCs w:val="20"/>
              </w:rPr>
            </w:pPr>
            <w:r w:rsidRPr="00BB6978">
              <w:rPr>
                <w:rFonts w:ascii="Times New Roman" w:eastAsia="Times New Roman" w:hAnsi="Times New Roman" w:cs="Times New Roman"/>
                <w:sz w:val="20"/>
                <w:szCs w:val="20"/>
              </w:rPr>
              <w:t>2016</w:t>
            </w:r>
          </w:p>
        </w:tc>
        <w:tc>
          <w:tcPr>
            <w:tcW w:w="0" w:type="auto"/>
            <w:tcBorders>
              <w:top w:val="single" w:sz="4" w:space="0" w:color="auto"/>
              <w:left w:val="nil"/>
              <w:bottom w:val="single" w:sz="4" w:space="0" w:color="auto"/>
              <w:right w:val="nil"/>
            </w:tcBorders>
            <w:shd w:val="clear" w:color="auto" w:fill="FFFFFF"/>
            <w:tcMar>
              <w:top w:w="105" w:type="dxa"/>
              <w:left w:w="75" w:type="dxa"/>
              <w:bottom w:w="90" w:type="dxa"/>
              <w:right w:w="75" w:type="dxa"/>
            </w:tcMar>
            <w:hideMark/>
          </w:tcPr>
          <w:p w14:paraId="331ECC7C" w14:textId="77777777" w:rsidR="005A5C25" w:rsidRPr="00BB6978" w:rsidRDefault="005A5C25" w:rsidP="00CE66D1">
            <w:pPr>
              <w:spacing w:after="0" w:line="480" w:lineRule="auto"/>
              <w:rPr>
                <w:rFonts w:ascii="Times New Roman" w:eastAsia="Times New Roman" w:hAnsi="Times New Roman" w:cs="Times New Roman"/>
                <w:sz w:val="20"/>
                <w:szCs w:val="20"/>
              </w:rPr>
            </w:pPr>
            <w:r w:rsidRPr="00BB6978">
              <w:rPr>
                <w:rFonts w:ascii="Times New Roman" w:eastAsia="Times New Roman" w:hAnsi="Times New Roman" w:cs="Times New Roman"/>
                <w:sz w:val="20"/>
                <w:szCs w:val="20"/>
              </w:rPr>
              <w:t>2017</w:t>
            </w:r>
          </w:p>
        </w:tc>
        <w:tc>
          <w:tcPr>
            <w:tcW w:w="0" w:type="auto"/>
            <w:tcBorders>
              <w:top w:val="single" w:sz="4" w:space="0" w:color="auto"/>
              <w:left w:val="nil"/>
              <w:bottom w:val="single" w:sz="4" w:space="0" w:color="auto"/>
              <w:right w:val="nil"/>
            </w:tcBorders>
            <w:shd w:val="clear" w:color="auto" w:fill="FFFFFF"/>
            <w:tcMar>
              <w:top w:w="105" w:type="dxa"/>
              <w:left w:w="75" w:type="dxa"/>
              <w:bottom w:w="90" w:type="dxa"/>
              <w:right w:w="75" w:type="dxa"/>
            </w:tcMar>
            <w:hideMark/>
          </w:tcPr>
          <w:p w14:paraId="3F976F8A" w14:textId="77777777" w:rsidR="005A5C25" w:rsidRPr="00BB6978" w:rsidRDefault="005A5C25" w:rsidP="00CE66D1">
            <w:pPr>
              <w:spacing w:after="0" w:line="480" w:lineRule="auto"/>
              <w:rPr>
                <w:rFonts w:ascii="Times New Roman" w:eastAsia="Times New Roman" w:hAnsi="Times New Roman" w:cs="Times New Roman"/>
                <w:sz w:val="20"/>
                <w:szCs w:val="20"/>
              </w:rPr>
            </w:pPr>
            <w:r w:rsidRPr="00BB6978">
              <w:rPr>
                <w:rFonts w:ascii="Times New Roman" w:eastAsia="Times New Roman" w:hAnsi="Times New Roman" w:cs="Times New Roman"/>
                <w:sz w:val="20"/>
                <w:szCs w:val="20"/>
              </w:rPr>
              <w:t>2018</w:t>
            </w:r>
          </w:p>
        </w:tc>
        <w:tc>
          <w:tcPr>
            <w:tcW w:w="0" w:type="auto"/>
            <w:tcBorders>
              <w:top w:val="single" w:sz="4" w:space="0" w:color="auto"/>
              <w:left w:val="nil"/>
              <w:bottom w:val="single" w:sz="4" w:space="0" w:color="auto"/>
              <w:right w:val="nil"/>
            </w:tcBorders>
            <w:shd w:val="clear" w:color="auto" w:fill="FFFFFF"/>
            <w:tcMar>
              <w:top w:w="105" w:type="dxa"/>
              <w:left w:w="75" w:type="dxa"/>
              <w:bottom w:w="90" w:type="dxa"/>
              <w:right w:w="75" w:type="dxa"/>
            </w:tcMar>
            <w:hideMark/>
          </w:tcPr>
          <w:p w14:paraId="2F9EC758" w14:textId="77777777" w:rsidR="005A5C25" w:rsidRPr="00BB6978" w:rsidRDefault="005A5C25" w:rsidP="00CE66D1">
            <w:pPr>
              <w:spacing w:after="0" w:line="480" w:lineRule="auto"/>
              <w:rPr>
                <w:rFonts w:ascii="Times New Roman" w:eastAsia="Times New Roman" w:hAnsi="Times New Roman" w:cs="Times New Roman"/>
                <w:sz w:val="20"/>
                <w:szCs w:val="20"/>
              </w:rPr>
            </w:pPr>
            <w:r w:rsidRPr="00BB6978">
              <w:rPr>
                <w:rFonts w:ascii="Times New Roman" w:eastAsia="Times New Roman" w:hAnsi="Times New Roman" w:cs="Times New Roman"/>
                <w:sz w:val="20"/>
                <w:szCs w:val="20"/>
              </w:rPr>
              <w:t>2019</w:t>
            </w:r>
          </w:p>
        </w:tc>
        <w:tc>
          <w:tcPr>
            <w:tcW w:w="0" w:type="auto"/>
            <w:tcBorders>
              <w:top w:val="single" w:sz="4" w:space="0" w:color="auto"/>
              <w:left w:val="nil"/>
              <w:bottom w:val="single" w:sz="4" w:space="0" w:color="auto"/>
              <w:right w:val="nil"/>
            </w:tcBorders>
            <w:shd w:val="clear" w:color="auto" w:fill="FFFFFF"/>
            <w:tcMar>
              <w:top w:w="105" w:type="dxa"/>
              <w:left w:w="75" w:type="dxa"/>
              <w:bottom w:w="90" w:type="dxa"/>
              <w:right w:w="75" w:type="dxa"/>
            </w:tcMar>
            <w:hideMark/>
          </w:tcPr>
          <w:p w14:paraId="79523602" w14:textId="77777777" w:rsidR="005A5C25" w:rsidRPr="00BB6978" w:rsidRDefault="005A5C25" w:rsidP="00CE66D1">
            <w:pPr>
              <w:spacing w:after="0" w:line="480" w:lineRule="auto"/>
              <w:rPr>
                <w:rFonts w:ascii="Times New Roman" w:eastAsia="Times New Roman" w:hAnsi="Times New Roman" w:cs="Times New Roman"/>
                <w:sz w:val="20"/>
                <w:szCs w:val="20"/>
              </w:rPr>
            </w:pPr>
            <w:r w:rsidRPr="00BB6978">
              <w:rPr>
                <w:rFonts w:ascii="Times New Roman" w:eastAsia="Times New Roman" w:hAnsi="Times New Roman" w:cs="Times New Roman"/>
                <w:sz w:val="20"/>
                <w:szCs w:val="20"/>
              </w:rPr>
              <w:t>2020</w:t>
            </w:r>
          </w:p>
        </w:tc>
      </w:tr>
      <w:tr w:rsidR="005A5C25" w:rsidRPr="00BB6978" w14:paraId="1F52BC52" w14:textId="77777777" w:rsidTr="00CE66D1">
        <w:trPr>
          <w:trHeight w:val="550"/>
          <w:jc w:val="center"/>
        </w:trPr>
        <w:tc>
          <w:tcPr>
            <w:tcW w:w="0" w:type="auto"/>
            <w:tcBorders>
              <w:top w:val="single" w:sz="4" w:space="0" w:color="auto"/>
              <w:left w:val="nil"/>
              <w:bottom w:val="single" w:sz="4" w:space="0" w:color="auto"/>
              <w:right w:val="nil"/>
            </w:tcBorders>
            <w:shd w:val="clear" w:color="auto" w:fill="FFFFFF"/>
            <w:tcMar>
              <w:top w:w="105" w:type="dxa"/>
              <w:left w:w="75" w:type="dxa"/>
              <w:bottom w:w="90" w:type="dxa"/>
              <w:right w:w="75" w:type="dxa"/>
            </w:tcMar>
            <w:hideMark/>
          </w:tcPr>
          <w:p w14:paraId="267AF56A" w14:textId="77777777" w:rsidR="005A5C25" w:rsidRPr="00BB6978" w:rsidRDefault="005A5C25" w:rsidP="00CE66D1">
            <w:pPr>
              <w:spacing w:after="0" w:line="360" w:lineRule="auto"/>
              <w:rPr>
                <w:rFonts w:ascii="Times New Roman" w:eastAsia="Times New Roman" w:hAnsi="Times New Roman" w:cs="Times New Roman"/>
                <w:sz w:val="20"/>
                <w:szCs w:val="20"/>
              </w:rPr>
            </w:pPr>
            <w:r w:rsidRPr="00BB6978">
              <w:rPr>
                <w:rFonts w:ascii="Times New Roman" w:eastAsia="Times New Roman" w:hAnsi="Times New Roman" w:cs="Times New Roman"/>
                <w:sz w:val="20"/>
                <w:szCs w:val="20"/>
              </w:rPr>
              <w:t>Budget assigned</w:t>
            </w:r>
          </w:p>
        </w:tc>
        <w:tc>
          <w:tcPr>
            <w:tcW w:w="0" w:type="auto"/>
            <w:tcBorders>
              <w:top w:val="single" w:sz="4" w:space="0" w:color="auto"/>
              <w:left w:val="nil"/>
              <w:bottom w:val="single" w:sz="4" w:space="0" w:color="auto"/>
              <w:right w:val="nil"/>
            </w:tcBorders>
            <w:shd w:val="clear" w:color="auto" w:fill="FFFFFF"/>
            <w:tcMar>
              <w:top w:w="105" w:type="dxa"/>
              <w:left w:w="75" w:type="dxa"/>
              <w:bottom w:w="90" w:type="dxa"/>
              <w:right w:w="75" w:type="dxa"/>
            </w:tcMar>
            <w:hideMark/>
          </w:tcPr>
          <w:p w14:paraId="5625B82D" w14:textId="77777777" w:rsidR="005A5C25" w:rsidRPr="00BB6978" w:rsidRDefault="00F53395" w:rsidP="00CE66D1">
            <w:pPr>
              <w:spacing w:after="0" w:line="360" w:lineRule="auto"/>
              <w:rPr>
                <w:rFonts w:ascii="Times New Roman" w:eastAsia="Times New Roman" w:hAnsi="Times New Roman" w:cs="Times New Roman"/>
                <w:sz w:val="20"/>
                <w:szCs w:val="20"/>
              </w:rPr>
            </w:pPr>
            <w:hyperlink r:id="rId28" w:history="1">
              <w:r w:rsidR="005A5C25" w:rsidRPr="00BB6978">
                <w:rPr>
                  <w:rFonts w:ascii="Times New Roman" w:eastAsia="Times New Roman" w:hAnsi="Times New Roman" w:cs="Times New Roman"/>
                  <w:sz w:val="20"/>
                  <w:szCs w:val="20"/>
                  <w:u w:val="single"/>
                </w:rPr>
                <w:t>AED 6.526 billion</w:t>
              </w:r>
            </w:hyperlink>
          </w:p>
        </w:tc>
        <w:tc>
          <w:tcPr>
            <w:tcW w:w="0" w:type="auto"/>
            <w:tcBorders>
              <w:top w:val="single" w:sz="4" w:space="0" w:color="auto"/>
              <w:left w:val="nil"/>
              <w:bottom w:val="single" w:sz="4" w:space="0" w:color="auto"/>
              <w:right w:val="nil"/>
            </w:tcBorders>
            <w:shd w:val="clear" w:color="auto" w:fill="FFFFFF"/>
            <w:tcMar>
              <w:top w:w="105" w:type="dxa"/>
              <w:left w:w="75" w:type="dxa"/>
              <w:bottom w:w="90" w:type="dxa"/>
              <w:right w:w="75" w:type="dxa"/>
            </w:tcMar>
            <w:hideMark/>
          </w:tcPr>
          <w:p w14:paraId="001779EE" w14:textId="77777777" w:rsidR="005A5C25" w:rsidRPr="00BB6978" w:rsidRDefault="00F53395" w:rsidP="00CE66D1">
            <w:pPr>
              <w:spacing w:after="0" w:line="360" w:lineRule="auto"/>
              <w:rPr>
                <w:rFonts w:ascii="Times New Roman" w:eastAsia="Times New Roman" w:hAnsi="Times New Roman" w:cs="Times New Roman"/>
                <w:sz w:val="20"/>
                <w:szCs w:val="20"/>
              </w:rPr>
            </w:pPr>
            <w:hyperlink r:id="rId29" w:history="1">
              <w:r w:rsidR="005A5C25" w:rsidRPr="00BB6978">
                <w:rPr>
                  <w:rFonts w:ascii="Times New Roman" w:eastAsia="Times New Roman" w:hAnsi="Times New Roman" w:cs="Times New Roman"/>
                  <w:sz w:val="20"/>
                  <w:szCs w:val="20"/>
                  <w:u w:val="single"/>
                </w:rPr>
                <w:t>AED 10.2 billion</w:t>
              </w:r>
            </w:hyperlink>
          </w:p>
        </w:tc>
        <w:tc>
          <w:tcPr>
            <w:tcW w:w="0" w:type="auto"/>
            <w:tcBorders>
              <w:top w:val="single" w:sz="4" w:space="0" w:color="auto"/>
              <w:left w:val="nil"/>
              <w:bottom w:val="single" w:sz="4" w:space="0" w:color="auto"/>
              <w:right w:val="nil"/>
            </w:tcBorders>
            <w:shd w:val="clear" w:color="auto" w:fill="FFFFFF"/>
            <w:tcMar>
              <w:top w:w="105" w:type="dxa"/>
              <w:left w:w="75" w:type="dxa"/>
              <w:bottom w:w="90" w:type="dxa"/>
              <w:right w:w="75" w:type="dxa"/>
            </w:tcMar>
            <w:hideMark/>
          </w:tcPr>
          <w:p w14:paraId="1FAD624D" w14:textId="77777777" w:rsidR="005A5C25" w:rsidRPr="00BB6978" w:rsidRDefault="00F53395" w:rsidP="00CE66D1">
            <w:pPr>
              <w:spacing w:after="0" w:line="360" w:lineRule="auto"/>
              <w:rPr>
                <w:rFonts w:ascii="Times New Roman" w:eastAsia="Times New Roman" w:hAnsi="Times New Roman" w:cs="Times New Roman"/>
                <w:sz w:val="20"/>
                <w:szCs w:val="20"/>
              </w:rPr>
            </w:pPr>
            <w:hyperlink r:id="rId30" w:history="1">
              <w:r w:rsidR="005A5C25" w:rsidRPr="00BB6978">
                <w:rPr>
                  <w:rFonts w:ascii="Times New Roman" w:eastAsia="Times New Roman" w:hAnsi="Times New Roman" w:cs="Times New Roman"/>
                  <w:sz w:val="20"/>
                  <w:szCs w:val="20"/>
                  <w:u w:val="single"/>
                </w:rPr>
                <w:t>AED 10.4 billion</w:t>
              </w:r>
            </w:hyperlink>
          </w:p>
        </w:tc>
        <w:tc>
          <w:tcPr>
            <w:tcW w:w="0" w:type="auto"/>
            <w:tcBorders>
              <w:top w:val="single" w:sz="4" w:space="0" w:color="auto"/>
              <w:left w:val="nil"/>
              <w:bottom w:val="single" w:sz="4" w:space="0" w:color="auto"/>
              <w:right w:val="nil"/>
            </w:tcBorders>
            <w:shd w:val="clear" w:color="auto" w:fill="FFFFFF"/>
            <w:tcMar>
              <w:top w:w="105" w:type="dxa"/>
              <w:left w:w="75" w:type="dxa"/>
              <w:bottom w:w="90" w:type="dxa"/>
              <w:right w:w="75" w:type="dxa"/>
            </w:tcMar>
            <w:hideMark/>
          </w:tcPr>
          <w:p w14:paraId="59A0D859" w14:textId="77777777" w:rsidR="005A5C25" w:rsidRPr="00BB6978" w:rsidRDefault="00F53395" w:rsidP="00CE66D1">
            <w:pPr>
              <w:spacing w:after="0" w:line="360" w:lineRule="auto"/>
              <w:rPr>
                <w:rFonts w:ascii="Times New Roman" w:eastAsia="Times New Roman" w:hAnsi="Times New Roman" w:cs="Times New Roman"/>
                <w:sz w:val="20"/>
                <w:szCs w:val="20"/>
              </w:rPr>
            </w:pPr>
            <w:hyperlink r:id="rId31" w:history="1">
              <w:r w:rsidR="005A5C25" w:rsidRPr="00BB6978">
                <w:rPr>
                  <w:rFonts w:ascii="Times New Roman" w:eastAsia="Times New Roman" w:hAnsi="Times New Roman" w:cs="Times New Roman"/>
                  <w:sz w:val="20"/>
                  <w:szCs w:val="20"/>
                  <w:u w:val="single"/>
                </w:rPr>
                <w:t>AED 10.146 billion</w:t>
              </w:r>
            </w:hyperlink>
          </w:p>
        </w:tc>
        <w:tc>
          <w:tcPr>
            <w:tcW w:w="0" w:type="auto"/>
            <w:tcBorders>
              <w:top w:val="single" w:sz="4" w:space="0" w:color="auto"/>
              <w:left w:val="nil"/>
              <w:bottom w:val="single" w:sz="4" w:space="0" w:color="auto"/>
              <w:right w:val="nil"/>
            </w:tcBorders>
            <w:shd w:val="clear" w:color="auto" w:fill="FFFFFF"/>
            <w:tcMar>
              <w:top w:w="105" w:type="dxa"/>
              <w:left w:w="75" w:type="dxa"/>
              <w:bottom w:w="90" w:type="dxa"/>
              <w:right w:w="75" w:type="dxa"/>
            </w:tcMar>
            <w:hideMark/>
          </w:tcPr>
          <w:p w14:paraId="0A98B48A" w14:textId="77777777" w:rsidR="005A5C25" w:rsidRPr="00BB6978" w:rsidRDefault="00F53395" w:rsidP="00CE66D1">
            <w:pPr>
              <w:spacing w:after="0" w:line="360" w:lineRule="auto"/>
              <w:rPr>
                <w:rFonts w:ascii="Times New Roman" w:eastAsia="Times New Roman" w:hAnsi="Times New Roman" w:cs="Times New Roman"/>
                <w:sz w:val="20"/>
                <w:szCs w:val="20"/>
              </w:rPr>
            </w:pPr>
            <w:hyperlink r:id="rId32" w:history="1">
              <w:r w:rsidR="005A5C25" w:rsidRPr="00BB6978">
                <w:rPr>
                  <w:rFonts w:ascii="Times New Roman" w:eastAsia="Times New Roman" w:hAnsi="Times New Roman" w:cs="Times New Roman"/>
                  <w:sz w:val="20"/>
                  <w:szCs w:val="20"/>
                  <w:u w:val="single"/>
                </w:rPr>
                <w:t>AED</w:t>
              </w:r>
            </w:hyperlink>
            <w:hyperlink r:id="rId33" w:history="1">
              <w:r w:rsidR="005A5C25" w:rsidRPr="00BB6978">
                <w:rPr>
                  <w:rFonts w:ascii="Times New Roman" w:eastAsia="Times New Roman" w:hAnsi="Times New Roman" w:cs="Times New Roman"/>
                  <w:sz w:val="20"/>
                  <w:szCs w:val="20"/>
                  <w:u w:val="single"/>
                </w:rPr>
                <w:t> 10.41 billion</w:t>
              </w:r>
            </w:hyperlink>
            <w:r w:rsidR="005A5C25" w:rsidRPr="00BB6978">
              <w:rPr>
                <w:rFonts w:ascii="Times New Roman" w:eastAsia="Times New Roman" w:hAnsi="Times New Roman" w:cs="Times New Roman"/>
                <w:sz w:val="20"/>
                <w:szCs w:val="20"/>
              </w:rPr>
              <w:t> </w:t>
            </w:r>
          </w:p>
        </w:tc>
      </w:tr>
      <w:tr w:rsidR="005A5C25" w:rsidRPr="00BB6978" w14:paraId="6523847A" w14:textId="77777777" w:rsidTr="00CE66D1">
        <w:trPr>
          <w:trHeight w:val="538"/>
          <w:jc w:val="center"/>
        </w:trPr>
        <w:tc>
          <w:tcPr>
            <w:tcW w:w="0" w:type="auto"/>
            <w:tcBorders>
              <w:top w:val="single" w:sz="4" w:space="0" w:color="auto"/>
              <w:left w:val="nil"/>
              <w:bottom w:val="single" w:sz="4" w:space="0" w:color="auto"/>
              <w:right w:val="nil"/>
            </w:tcBorders>
            <w:shd w:val="clear" w:color="auto" w:fill="FFFFFF"/>
            <w:tcMar>
              <w:top w:w="105" w:type="dxa"/>
              <w:left w:w="75" w:type="dxa"/>
              <w:bottom w:w="90" w:type="dxa"/>
              <w:right w:w="75" w:type="dxa"/>
            </w:tcMar>
            <w:hideMark/>
          </w:tcPr>
          <w:p w14:paraId="440F5361" w14:textId="77777777" w:rsidR="005A5C25" w:rsidRPr="00BB6978" w:rsidRDefault="005A5C25" w:rsidP="00CE66D1">
            <w:pPr>
              <w:spacing w:after="0" w:line="360" w:lineRule="auto"/>
              <w:rPr>
                <w:rFonts w:ascii="Times New Roman" w:eastAsia="Times New Roman" w:hAnsi="Times New Roman" w:cs="Times New Roman"/>
                <w:sz w:val="20"/>
                <w:szCs w:val="20"/>
              </w:rPr>
            </w:pPr>
            <w:r w:rsidRPr="00BB6978">
              <w:rPr>
                <w:rFonts w:ascii="Times New Roman" w:eastAsia="Times New Roman" w:hAnsi="Times New Roman" w:cs="Times New Roman"/>
                <w:sz w:val="20"/>
                <w:szCs w:val="20"/>
              </w:rPr>
              <w:t xml:space="preserve">The percentage from the total budget </w:t>
            </w:r>
          </w:p>
        </w:tc>
        <w:tc>
          <w:tcPr>
            <w:tcW w:w="0" w:type="auto"/>
            <w:tcBorders>
              <w:top w:val="single" w:sz="4" w:space="0" w:color="auto"/>
              <w:left w:val="nil"/>
              <w:bottom w:val="single" w:sz="4" w:space="0" w:color="auto"/>
              <w:right w:val="nil"/>
            </w:tcBorders>
            <w:shd w:val="clear" w:color="auto" w:fill="FFFFFF"/>
            <w:tcMar>
              <w:top w:w="105" w:type="dxa"/>
              <w:left w:w="75" w:type="dxa"/>
              <w:bottom w:w="90" w:type="dxa"/>
              <w:right w:w="75" w:type="dxa"/>
            </w:tcMar>
            <w:hideMark/>
          </w:tcPr>
          <w:p w14:paraId="1AFE95EB" w14:textId="77777777" w:rsidR="005A5C25" w:rsidRPr="00BB6978" w:rsidRDefault="00F53395" w:rsidP="00CE66D1">
            <w:pPr>
              <w:spacing w:after="0" w:line="360" w:lineRule="auto"/>
              <w:rPr>
                <w:rFonts w:ascii="Times New Roman" w:eastAsia="Times New Roman" w:hAnsi="Times New Roman" w:cs="Times New Roman"/>
                <w:sz w:val="20"/>
                <w:szCs w:val="20"/>
              </w:rPr>
            </w:pPr>
            <w:hyperlink r:id="rId34" w:history="1">
              <w:r w:rsidR="005A5C25" w:rsidRPr="00BB6978">
                <w:rPr>
                  <w:rFonts w:ascii="Times New Roman" w:eastAsia="Times New Roman" w:hAnsi="Times New Roman" w:cs="Times New Roman"/>
                  <w:sz w:val="20"/>
                  <w:szCs w:val="20"/>
                  <w:u w:val="single"/>
                </w:rPr>
                <w:t>13.44%</w:t>
              </w:r>
            </w:hyperlink>
          </w:p>
        </w:tc>
        <w:tc>
          <w:tcPr>
            <w:tcW w:w="0" w:type="auto"/>
            <w:tcBorders>
              <w:top w:val="single" w:sz="4" w:space="0" w:color="auto"/>
              <w:left w:val="nil"/>
              <w:bottom w:val="single" w:sz="4" w:space="0" w:color="auto"/>
              <w:right w:val="nil"/>
            </w:tcBorders>
            <w:shd w:val="clear" w:color="auto" w:fill="FFFFFF"/>
            <w:tcMar>
              <w:top w:w="105" w:type="dxa"/>
              <w:left w:w="75" w:type="dxa"/>
              <w:bottom w:w="90" w:type="dxa"/>
              <w:right w:w="75" w:type="dxa"/>
            </w:tcMar>
            <w:hideMark/>
          </w:tcPr>
          <w:p w14:paraId="33CA1E81" w14:textId="77777777" w:rsidR="005A5C25" w:rsidRPr="00BB6978" w:rsidRDefault="00F53395" w:rsidP="00CE66D1">
            <w:pPr>
              <w:spacing w:after="0" w:line="360" w:lineRule="auto"/>
              <w:rPr>
                <w:rFonts w:ascii="Times New Roman" w:eastAsia="Times New Roman" w:hAnsi="Times New Roman" w:cs="Times New Roman"/>
                <w:sz w:val="20"/>
                <w:szCs w:val="20"/>
              </w:rPr>
            </w:pPr>
            <w:hyperlink r:id="rId35" w:history="1">
              <w:r w:rsidR="005A5C25" w:rsidRPr="00BB6978">
                <w:rPr>
                  <w:rFonts w:ascii="Times New Roman" w:eastAsia="Times New Roman" w:hAnsi="Times New Roman" w:cs="Times New Roman"/>
                  <w:sz w:val="20"/>
                  <w:szCs w:val="20"/>
                  <w:u w:val="single"/>
                </w:rPr>
                <w:t>20.5%</w:t>
              </w:r>
            </w:hyperlink>
          </w:p>
        </w:tc>
        <w:tc>
          <w:tcPr>
            <w:tcW w:w="0" w:type="auto"/>
            <w:tcBorders>
              <w:top w:val="single" w:sz="4" w:space="0" w:color="auto"/>
              <w:left w:val="nil"/>
              <w:bottom w:val="single" w:sz="4" w:space="0" w:color="auto"/>
              <w:right w:val="nil"/>
            </w:tcBorders>
            <w:shd w:val="clear" w:color="auto" w:fill="FFFFFF"/>
            <w:tcMar>
              <w:top w:w="105" w:type="dxa"/>
              <w:left w:w="75" w:type="dxa"/>
              <w:bottom w:w="90" w:type="dxa"/>
              <w:right w:w="75" w:type="dxa"/>
            </w:tcMar>
            <w:hideMark/>
          </w:tcPr>
          <w:p w14:paraId="6C01154D" w14:textId="77777777" w:rsidR="005A5C25" w:rsidRPr="00BB6978" w:rsidRDefault="00F53395" w:rsidP="00CE66D1">
            <w:pPr>
              <w:spacing w:after="0" w:line="360" w:lineRule="auto"/>
              <w:rPr>
                <w:rFonts w:ascii="Times New Roman" w:eastAsia="Times New Roman" w:hAnsi="Times New Roman" w:cs="Times New Roman"/>
                <w:sz w:val="20"/>
                <w:szCs w:val="20"/>
              </w:rPr>
            </w:pPr>
            <w:hyperlink r:id="rId36" w:history="1">
              <w:r w:rsidR="005A5C25" w:rsidRPr="00BB6978">
                <w:rPr>
                  <w:rFonts w:ascii="Times New Roman" w:eastAsia="Times New Roman" w:hAnsi="Times New Roman" w:cs="Times New Roman"/>
                  <w:sz w:val="20"/>
                  <w:szCs w:val="20"/>
                  <w:u w:val="single"/>
                </w:rPr>
                <w:t>20.23%</w:t>
              </w:r>
            </w:hyperlink>
          </w:p>
        </w:tc>
        <w:tc>
          <w:tcPr>
            <w:tcW w:w="0" w:type="auto"/>
            <w:tcBorders>
              <w:top w:val="single" w:sz="4" w:space="0" w:color="auto"/>
              <w:left w:val="nil"/>
              <w:bottom w:val="single" w:sz="4" w:space="0" w:color="auto"/>
              <w:right w:val="nil"/>
            </w:tcBorders>
            <w:shd w:val="clear" w:color="auto" w:fill="FFFFFF"/>
            <w:tcMar>
              <w:top w:w="105" w:type="dxa"/>
              <w:left w:w="75" w:type="dxa"/>
              <w:bottom w:w="90" w:type="dxa"/>
              <w:right w:w="75" w:type="dxa"/>
            </w:tcMar>
            <w:hideMark/>
          </w:tcPr>
          <w:p w14:paraId="009B0E08" w14:textId="77777777" w:rsidR="005A5C25" w:rsidRPr="00BB6978" w:rsidRDefault="00F53395" w:rsidP="00CE66D1">
            <w:pPr>
              <w:spacing w:after="0" w:line="360" w:lineRule="auto"/>
              <w:rPr>
                <w:rFonts w:ascii="Times New Roman" w:eastAsia="Times New Roman" w:hAnsi="Times New Roman" w:cs="Times New Roman"/>
                <w:sz w:val="20"/>
                <w:szCs w:val="20"/>
              </w:rPr>
            </w:pPr>
            <w:hyperlink r:id="rId37" w:history="1">
              <w:r w:rsidR="005A5C25" w:rsidRPr="00BB6978">
                <w:rPr>
                  <w:rFonts w:ascii="Times New Roman" w:eastAsia="Times New Roman" w:hAnsi="Times New Roman" w:cs="Times New Roman"/>
                  <w:sz w:val="20"/>
                  <w:szCs w:val="20"/>
                  <w:u w:val="single"/>
                </w:rPr>
                <w:t>16.8%</w:t>
              </w:r>
            </w:hyperlink>
          </w:p>
        </w:tc>
        <w:tc>
          <w:tcPr>
            <w:tcW w:w="0" w:type="auto"/>
            <w:tcBorders>
              <w:top w:val="single" w:sz="4" w:space="0" w:color="auto"/>
              <w:left w:val="nil"/>
              <w:bottom w:val="single" w:sz="4" w:space="0" w:color="auto"/>
              <w:right w:val="nil"/>
            </w:tcBorders>
            <w:shd w:val="clear" w:color="auto" w:fill="FFFFFF"/>
            <w:tcMar>
              <w:top w:w="105" w:type="dxa"/>
              <w:left w:w="75" w:type="dxa"/>
              <w:bottom w:w="90" w:type="dxa"/>
              <w:right w:w="75" w:type="dxa"/>
            </w:tcMar>
            <w:hideMark/>
          </w:tcPr>
          <w:p w14:paraId="5776017A" w14:textId="77777777" w:rsidR="005A5C25" w:rsidRPr="00BB6978" w:rsidRDefault="00F53395" w:rsidP="00CE66D1">
            <w:pPr>
              <w:spacing w:after="0" w:line="360" w:lineRule="auto"/>
              <w:rPr>
                <w:rFonts w:ascii="Times New Roman" w:eastAsia="Times New Roman" w:hAnsi="Times New Roman" w:cs="Times New Roman"/>
                <w:sz w:val="20"/>
                <w:szCs w:val="20"/>
              </w:rPr>
            </w:pPr>
            <w:hyperlink r:id="rId38" w:history="1">
              <w:r w:rsidR="005A5C25" w:rsidRPr="00BB6978">
                <w:rPr>
                  <w:rFonts w:ascii="Times New Roman" w:eastAsia="Times New Roman" w:hAnsi="Times New Roman" w:cs="Times New Roman"/>
                  <w:sz w:val="20"/>
                  <w:szCs w:val="20"/>
                  <w:u w:val="single"/>
                </w:rPr>
                <w:t> 14.8%</w:t>
              </w:r>
            </w:hyperlink>
          </w:p>
        </w:tc>
      </w:tr>
    </w:tbl>
    <w:p w14:paraId="1E9E3BDA" w14:textId="77777777" w:rsidR="005A5C25" w:rsidRPr="00BB6978" w:rsidRDefault="005A5C25" w:rsidP="005A5C25">
      <w:pPr>
        <w:spacing w:before="240" w:after="200" w:line="480" w:lineRule="auto"/>
        <w:ind w:firstLine="720"/>
        <w:jc w:val="both"/>
        <w:rPr>
          <w:rFonts w:ascii="Times New Roman" w:hAnsi="Times New Roman" w:cs="Times New Roman"/>
          <w:sz w:val="20"/>
          <w:szCs w:val="20"/>
        </w:rPr>
      </w:pPr>
      <w:r w:rsidRPr="00BB6978">
        <w:rPr>
          <w:rFonts w:ascii="Times New Roman" w:hAnsi="Times New Roman" w:cs="Times New Roman"/>
          <w:sz w:val="20"/>
          <w:szCs w:val="20"/>
        </w:rPr>
        <w:t xml:space="preserve">Ministry of Education, (2021) </w:t>
      </w:r>
      <w:hyperlink r:id="rId39" w:history="1">
        <w:r w:rsidRPr="00BB6978">
          <w:rPr>
            <w:rStyle w:val="Hyperlink"/>
            <w:color w:val="auto"/>
            <w:sz w:val="20"/>
            <w:szCs w:val="20"/>
          </w:rPr>
          <w:t>Quality Education in the UAE (moe.gov.ae)</w:t>
        </w:r>
      </w:hyperlink>
    </w:p>
    <w:p w14:paraId="376AD384" w14:textId="5D5F8EDF" w:rsidR="005A5C25" w:rsidRPr="00BB6978" w:rsidRDefault="005A5C25" w:rsidP="005A5C25">
      <w:pPr>
        <w:spacing w:before="240" w:after="200"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The UAE has experienced immense growth in the past 50 years and has emerged as a strong international hub for job opportunities. Unsurprisingly, the country is a magnate for expats who are seeking an extraordinary education experience in the Middle East for their children</w:t>
      </w:r>
      <w:r w:rsidR="000F568B" w:rsidRPr="00BB6978">
        <w:rPr>
          <w:rFonts w:ascii="Times New Roman" w:hAnsi="Times New Roman" w:cs="Times New Roman"/>
          <w:sz w:val="24"/>
          <w:szCs w:val="24"/>
        </w:rPr>
        <w:t xml:space="preserve"> </w:t>
      </w:r>
      <w:r w:rsidR="000F568B" w:rsidRPr="00BB6978">
        <w:rPr>
          <w:rFonts w:asciiTheme="majorBidi" w:hAnsiTheme="majorBidi" w:cstheme="majorBidi"/>
          <w:sz w:val="24"/>
          <w:szCs w:val="24"/>
          <w:shd w:val="clear" w:color="auto" w:fill="FFFFFF"/>
        </w:rPr>
        <w:t>(Global Media Insight, 2022).</w:t>
      </w:r>
      <w:r w:rsidR="000F568B" w:rsidRPr="00BB6978">
        <w:rPr>
          <w:rFonts w:ascii="Times New Roman" w:hAnsi="Times New Roman" w:cs="Times New Roman"/>
          <w:sz w:val="24"/>
          <w:szCs w:val="24"/>
        </w:rPr>
        <w:t xml:space="preserve"> </w:t>
      </w:r>
      <w:r w:rsidRPr="00BB6978">
        <w:rPr>
          <w:rFonts w:ascii="Times New Roman" w:hAnsi="Times New Roman" w:cs="Times New Roman"/>
          <w:sz w:val="24"/>
          <w:szCs w:val="24"/>
        </w:rPr>
        <w:t xml:space="preserve"> However, the education costs are higher compared to the quality. The normal expense of education for a child through to college is approximately $99378, which is excessive for many families in the GCC countries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{"citationItems":[{"id":"ITEM-1","itemData":{"author":[{"dropping-particle":"","family":"GCC","given":"","non-dropping-particle":"","parse-names":false,"suffix":""}],"id":"ITEM-1","issued":{"date-parts":[["2018"]]},"page":"1-100","title":"GCC Education Industry | November 13 , 2018 GCC Education Industry | November 13 , 2018","type":"article-journal"},"uris":["http://www.mendeley.com/documents/?uuid=5679e1cf-fc8f-49d8-b9d3-476d4a3e9d85"]}],"mendeley":{"formattedCitation":"(GCC, 2018)","plainTextFormattedCitation":"(GCC, 2018)","previouslyFormattedCitation":"(GCC 2018)"},"properties":{"noteIndex":0},"schema":"https://github.com/citation-style-language/schema/raw/master/csl-citation.json"}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(GCC Education Industry, 2018)</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w:t>
      </w:r>
    </w:p>
    <w:p w14:paraId="18414712" w14:textId="26FB198C" w:rsidR="005A5C25" w:rsidRPr="00BB6978" w:rsidRDefault="005A5C25" w:rsidP="005A5C25">
      <w:pPr>
        <w:spacing w:before="240" w:after="200"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The Edarabia website</w:t>
      </w:r>
      <w:r w:rsidR="000F568B" w:rsidRPr="00BB6978">
        <w:rPr>
          <w:rFonts w:ascii="Times New Roman" w:hAnsi="Times New Roman" w:cs="Times New Roman"/>
          <w:sz w:val="24"/>
          <w:szCs w:val="24"/>
        </w:rPr>
        <w:t xml:space="preserve"> (2021), </w:t>
      </w:r>
      <w:r w:rsidRPr="00BB6978">
        <w:rPr>
          <w:rFonts w:ascii="Times New Roman" w:hAnsi="Times New Roman" w:cs="Times New Roman"/>
          <w:sz w:val="24"/>
          <w:szCs w:val="24"/>
        </w:rPr>
        <w:t>which covers schools, nurseries, universities, and curriculum, displays a list of the UAE private schools along with their yearly fees, which is sourced from the schools' profiles. Fees across grades are high as shown in Figure 2 (Edarabia, 2021). Hence, it is essential to understand the relationships between school cost, school quality, and students’ achievement as the purpose of this study. Hereafter, the literature review comprises current as well as historical studies investigating the relationship of several factors with academic achievement.</w:t>
      </w:r>
    </w:p>
    <w:p w14:paraId="1B504865" w14:textId="77777777" w:rsidR="00D363DA" w:rsidRPr="00BB6978" w:rsidRDefault="007F58DC" w:rsidP="007F58DC">
      <w:pPr>
        <w:pStyle w:val="Caption"/>
        <w:rPr>
          <w:rFonts w:ascii="Times New Roman" w:hAnsi="Times New Roman" w:cs="Times New Roman"/>
        </w:rPr>
      </w:pPr>
      <w:bookmarkStart w:id="77" w:name="_Toc134452509"/>
      <w:r w:rsidRPr="00BB6978">
        <w:t xml:space="preserve">Figure </w:t>
      </w:r>
      <w:r w:rsidRPr="00BB6978">
        <w:fldChar w:fldCharType="begin"/>
      </w:r>
      <w:r w:rsidRPr="00BB6978">
        <w:instrText xml:space="preserve"> SEQ Figure \* ARABIC </w:instrText>
      </w:r>
      <w:r w:rsidRPr="00BB6978">
        <w:fldChar w:fldCharType="separate"/>
      </w:r>
      <w:r w:rsidR="00016620" w:rsidRPr="00BB6978">
        <w:rPr>
          <w:noProof/>
        </w:rPr>
        <w:t>2</w:t>
      </w:r>
      <w:r w:rsidRPr="00BB6978">
        <w:rPr>
          <w:noProof/>
        </w:rPr>
        <w:fldChar w:fldCharType="end"/>
      </w:r>
      <w:r w:rsidR="005A5C25" w:rsidRPr="00BB6978">
        <w:rPr>
          <w:rFonts w:ascii="Times New Roman" w:hAnsi="Times New Roman" w:cs="Times New Roman"/>
        </w:rPr>
        <w:t>: Private school with yearly fees</w:t>
      </w:r>
      <w:r w:rsidR="00D363DA" w:rsidRPr="00BB6978">
        <w:rPr>
          <w:rFonts w:ascii="Times New Roman" w:hAnsi="Times New Roman" w:cs="Times New Roman"/>
        </w:rPr>
        <w:t xml:space="preserve"> (Edarabia, 2021)</w:t>
      </w:r>
      <w:bookmarkEnd w:id="77"/>
    </w:p>
    <w:p w14:paraId="71F60FC6" w14:textId="77777777" w:rsidR="005A5C25" w:rsidRPr="00BB6978" w:rsidRDefault="005A5C25" w:rsidP="005A5C25">
      <w:pPr>
        <w:spacing w:before="240" w:after="200" w:line="360" w:lineRule="auto"/>
        <w:rPr>
          <w:rFonts w:ascii="Times New Roman" w:hAnsi="Times New Roman" w:cs="Times New Roman"/>
          <w:sz w:val="24"/>
          <w:szCs w:val="24"/>
        </w:rPr>
      </w:pPr>
      <w:r w:rsidRPr="00BB6978">
        <w:rPr>
          <w:rFonts w:ascii="Times New Roman" w:hAnsi="Times New Roman" w:cs="Times New Roman"/>
          <w:noProof/>
          <w:sz w:val="24"/>
          <w:szCs w:val="24"/>
          <w:lang w:val="en-US"/>
        </w:rPr>
        <w:drawing>
          <wp:inline distT="0" distB="0" distL="0" distR="0" wp14:anchorId="3F174A12" wp14:editId="7B8177D1">
            <wp:extent cx="4800600" cy="2910801"/>
            <wp:effectExtent l="19050" t="19050" r="19050" b="23495"/>
            <wp:docPr id="1" name="Picture 1"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bar chart&#10;&#10;Description automatically generated"/>
                    <pic:cNvPicPr/>
                  </pic:nvPicPr>
                  <pic:blipFill>
                    <a:blip r:embed="rId40"/>
                    <a:stretch>
                      <a:fillRect/>
                    </a:stretch>
                  </pic:blipFill>
                  <pic:spPr>
                    <a:xfrm>
                      <a:off x="0" y="0"/>
                      <a:ext cx="4838642" cy="2933868"/>
                    </a:xfrm>
                    <a:prstGeom prst="rect">
                      <a:avLst/>
                    </a:prstGeom>
                    <a:ln>
                      <a:solidFill>
                        <a:schemeClr val="tx1"/>
                      </a:solidFill>
                    </a:ln>
                  </pic:spPr>
                </pic:pic>
              </a:graphicData>
            </a:graphic>
          </wp:inline>
        </w:drawing>
      </w:r>
    </w:p>
    <w:p w14:paraId="07C80AE8" w14:textId="77777777" w:rsidR="005A5C25" w:rsidRPr="00BB6978" w:rsidRDefault="005A5C25" w:rsidP="005A5C25">
      <w:pPr>
        <w:pStyle w:val="Heading1"/>
        <w:rPr>
          <w:rFonts w:asciiTheme="majorBidi" w:hAnsiTheme="majorBidi"/>
          <w:b w:val="0"/>
          <w:bCs w:val="0"/>
          <w:color w:val="auto"/>
          <w:sz w:val="24"/>
          <w:szCs w:val="24"/>
        </w:rPr>
      </w:pPr>
      <w:bookmarkStart w:id="78" w:name="_Toc96103741"/>
      <w:bookmarkStart w:id="79" w:name="_Toc138239793"/>
      <w:r w:rsidRPr="00BB6978">
        <w:rPr>
          <w:rFonts w:asciiTheme="majorBidi" w:hAnsiTheme="majorBidi"/>
          <w:color w:val="auto"/>
          <w:sz w:val="24"/>
          <w:szCs w:val="24"/>
        </w:rPr>
        <w:t>2.2 Conceptual framework</w:t>
      </w:r>
      <w:bookmarkEnd w:id="78"/>
      <w:bookmarkEnd w:id="79"/>
    </w:p>
    <w:p w14:paraId="20571005" w14:textId="77777777" w:rsidR="005A5C25" w:rsidRPr="00BB6978" w:rsidRDefault="005A5C25" w:rsidP="005A5C25">
      <w:pPr>
        <w:pStyle w:val="Heading2"/>
        <w:rPr>
          <w:rFonts w:asciiTheme="majorBidi" w:hAnsiTheme="majorBidi"/>
          <w:color w:val="auto"/>
          <w:sz w:val="24"/>
          <w:szCs w:val="24"/>
        </w:rPr>
      </w:pPr>
      <w:bookmarkStart w:id="80" w:name="_Toc64369123"/>
      <w:bookmarkStart w:id="81" w:name="_Toc96103742"/>
      <w:bookmarkStart w:id="82" w:name="_Toc138239794"/>
      <w:r w:rsidRPr="00BB6978">
        <w:rPr>
          <w:rFonts w:asciiTheme="majorBidi" w:hAnsiTheme="majorBidi"/>
          <w:color w:val="auto"/>
          <w:sz w:val="24"/>
          <w:szCs w:val="24"/>
        </w:rPr>
        <w:t>2.2.1 School quality</w:t>
      </w:r>
      <w:bookmarkEnd w:id="80"/>
      <w:bookmarkEnd w:id="81"/>
      <w:bookmarkEnd w:id="82"/>
    </w:p>
    <w:p w14:paraId="470E49F6" w14:textId="77777777" w:rsidR="00D363DA" w:rsidRPr="00BB6978" w:rsidRDefault="00D363DA" w:rsidP="00D363DA"/>
    <w:p w14:paraId="0A383A69" w14:textId="77777777" w:rsidR="005A5C25" w:rsidRPr="00BB6978" w:rsidRDefault="005A5C25" w:rsidP="005A5C25">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 xml:space="preserve">In the GCC, education expenditure as a proportion of total government spend is among the highest in the world. According to reports, total GCC government spending on education reached US$95 billion in 2015 and was among the fastest growing private education markets globally, with private school revenues to triple to US$17 billion by 2020. However, the quality of education is still suffering and reforms have to be considered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{"citationItems":[{"id":"ITEM-1","itemData":{"author":[{"dropping-particle":"","family":"GCC","given":"","non-dropping-particle":"","parse-names":false,"suffix":""}],"id":"ITEM-1","issued":{"date-parts":[["2018"]]},"page":"1-100","title":"GCC Education Industry | November 13 , 2018 GCC Education Industry | November 13 , 2018","type":"article-journal"},"uris":["http://www.mendeley.com/documents/?uuid=5679e1cf-fc8f-49d8-b9d3-476d4a3e9d85"]}],"mendeley":{"formattedCitation":"(GCC, 2018)","plainTextFormattedCitation":"(GCC, 2018)","previouslyFormattedCitation":"(GCC 2018)"},"properties":{"noteIndex":0},"schema":"https://github.com/citation-style-language/schema/raw/master/csl-citation.json"}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(GCC Education Industry, 2018)</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w:t>
      </w:r>
    </w:p>
    <w:p w14:paraId="2A259208" w14:textId="26B93EC0" w:rsidR="005A5C25" w:rsidRPr="00BB6978" w:rsidRDefault="005A5C25" w:rsidP="005A5C25">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Recently, there has been a reintroduced focus on the quality of education in schools globally. Specifically, after the United Nations Educational, Scientific and Cultural Organization (UNESCO) declaration that quality of education in schools should be considered in many countries due to the declination in their schooling system. Per se, quality of education is indicated as the vital concern of the post 2015s educational schedule worldwide</w:t>
      </w:r>
      <w:r w:rsidR="000F568B" w:rsidRPr="00BB6978">
        <w:rPr>
          <w:rFonts w:ascii="Times New Roman" w:hAnsi="Times New Roman" w:cs="Times New Roman"/>
          <w:sz w:val="24"/>
          <w:szCs w:val="24"/>
        </w:rPr>
        <w:t xml:space="preserve"> </w:t>
      </w:r>
      <w:r w:rsidR="000F568B" w:rsidRPr="00BB6978">
        <w:rPr>
          <w:rFonts w:asciiTheme="majorBidi" w:hAnsiTheme="majorBidi" w:cstheme="majorBidi"/>
          <w:sz w:val="24"/>
          <w:szCs w:val="24"/>
          <w:shd w:val="clear" w:color="auto" w:fill="FFFFFF"/>
        </w:rPr>
        <w:t>(Grek et al., 2009).</w:t>
      </w:r>
      <w:r w:rsidR="000F568B" w:rsidRPr="00BB6978">
        <w:rPr>
          <w:rFonts w:ascii="Times New Roman" w:hAnsi="Times New Roman" w:cs="Times New Roman"/>
          <w:sz w:val="24"/>
          <w:szCs w:val="24"/>
        </w:rPr>
        <w:t xml:space="preserve"> </w:t>
      </w:r>
      <w:r w:rsidRPr="00BB6978">
        <w:rPr>
          <w:rFonts w:ascii="Times New Roman" w:hAnsi="Times New Roman" w:cs="Times New Roman"/>
          <w:sz w:val="24"/>
          <w:szCs w:val="24"/>
        </w:rPr>
        <w:t xml:space="preserve"> Attention on quality of education in schools has highlighted the various connections among the inputs, processes, and outputs, with the acknowledgement that students should receive good quality of education (Matsuura, 2004). Quality of education is treated differently based on the different views of education stakeholders. For example, Williams (2001) points out that quality of education is better recognized in terms of the schooling outputs. Despite the fact that, student achievement especially in standardized tests may denote good quality of education to many stakeholders, still a comprehensive understanding of education quality is advised to be in terms of inputs, processes, and the outputs which can include the academic and cultural knowledge gained by the students, social preparation such as the societal trends and needs to be involved smoothly in the society after finishing study, and also on the personal level the improvement of  the students educational needs and interests (Garira, 2020).</w:t>
      </w:r>
    </w:p>
    <w:p w14:paraId="7E60061C" w14:textId="099A336C" w:rsidR="005A5C25" w:rsidRPr="00BB6978" w:rsidRDefault="005A5C25" w:rsidP="005A5C25">
      <w:pPr>
        <w:spacing w:after="68" w:line="480" w:lineRule="auto"/>
        <w:ind w:firstLine="357"/>
        <w:jc w:val="both"/>
        <w:rPr>
          <w:rFonts w:ascii="Times New Roman" w:hAnsi="Times New Roman" w:cs="Times New Roman"/>
          <w:sz w:val="24"/>
          <w:szCs w:val="24"/>
          <w:lang w:bidi="en-US"/>
        </w:rPr>
      </w:pPr>
      <w:r w:rsidRPr="00BB6978">
        <w:rPr>
          <w:rFonts w:ascii="Times New Roman" w:hAnsi="Times New Roman" w:cs="Times New Roman"/>
          <w:sz w:val="24"/>
          <w:szCs w:val="24"/>
          <w:lang w:bidi="en-US"/>
        </w:rPr>
        <w:t xml:space="preserve">Over the past decades, education quality has attracted increasing attention, especially around what it means, how is it measured, and what is its current status </w:t>
      </w:r>
      <w:r w:rsidRPr="00BB6978">
        <w:rPr>
          <w:rFonts w:ascii="Times New Roman" w:hAnsi="Times New Roman" w:cs="Times New Roman"/>
          <w:sz w:val="24"/>
          <w:szCs w:val="24"/>
          <w:lang w:bidi="en-US"/>
        </w:rPr>
        <w:fldChar w:fldCharType="begin" w:fldLock="1"/>
      </w:r>
      <w:r w:rsidRPr="00BB6978">
        <w:rPr>
          <w:rFonts w:ascii="Times New Roman" w:hAnsi="Times New Roman" w:cs="Times New Roman"/>
          <w:sz w:val="24"/>
          <w:szCs w:val="24"/>
          <w:lang w:bidi="en-US"/>
        </w:rPr>
        <w:instrText>ADDIN CSL_CITATION {"citationItems":[{"id":"ITEM-1","itemData":{"DOI":"10.1007/978-94-6091-951-0","ISBN":"9789460919510","abstract":"Quality and Qualities: Tensions in Education Reforms is a provocative call for understanding and further exploring the elusive concept of quality in education. Although education quality has acquired high priority in the past few decades, the multiplicity of conceptualizations of quality also reflects the concerns and foci of multiple stakeholders. Coming to an understanding of quality education involves careful analysis of the context from which any particular reform or program emerges and of the continuing struggle to define and achieve it. Two main questions persist: who benefits from particular policies focused on quality? And what are the potential tradeoffs between a focus on quality, equitable distribution of education, and inclusion of various traditional expectations? This book explores notions of quality as understood within various systems of national, formal, and nonformal education. Also it considers the tensions that arise with the introduction of new standardized notions of quality in relation to international measures and educational reforms in developing countries. In all cases, specific national issues and concerns compete with global agendas.Challenges to quality that are given particular attention in the book chapters include changing definitions of quality, high expectations for education and issues with implementation, and the introduction of English as a means to achieve quality in a globalizing world. Special attention is also given to possible actions that support a more equitable education without ignoring the requisite of quality. The final chapter suggests three models/choices for seeking higher quality and guiding the educational future of nations.","author":[{"dropping-particle":"","family":"Acedo","given":"Clementina","non-dropping-particle":"","parse-names":false,"suffix":""},{"dropping-particle":"","family":"Adams","given":"Don","non-dropping-particle":"","parse-names":false,"suffix":""},{"dropping-particle":"","family":"Popa","given":"Simona","non-dropping-particle":"","parse-names":false,"suffix":""}],"container-title":"Quality and Qualities: Tensions in Education Reforms","id":"ITEM-1","issued":{"date-parts":[["2012"]]},"number-of-pages":"1-221","title":"Quality and qualities: Tensions in education reforms","type":"book"},"uris":["http://www.mendeley.com/documents/?uuid=bbe260b1-fc71-42e7-b485-ee027491d2ad"]}],"mendeley":{"formattedCitation":"(Acedo, Adams, &amp; Popa, 2012)","plainTextFormattedCitation":"(Acedo, Adams, &amp; Popa, 2012)","previouslyFormattedCitation":"(Acedo, Adams, &amp; Popa, 2012)"},"properties":{"noteIndex":0},"schema":"https://github.com/citation-style-language/schema/raw/master/csl-citation.json"}</w:instrText>
      </w:r>
      <w:r w:rsidRPr="00BB6978">
        <w:rPr>
          <w:rFonts w:ascii="Times New Roman" w:hAnsi="Times New Roman" w:cs="Times New Roman"/>
          <w:sz w:val="24"/>
          <w:szCs w:val="24"/>
          <w:lang w:bidi="en-US"/>
        </w:rPr>
        <w:fldChar w:fldCharType="separate"/>
      </w:r>
      <w:r w:rsidRPr="00BB6978">
        <w:rPr>
          <w:rFonts w:ascii="Times New Roman" w:hAnsi="Times New Roman" w:cs="Times New Roman"/>
          <w:sz w:val="24"/>
          <w:szCs w:val="24"/>
          <w:lang w:bidi="en-US"/>
        </w:rPr>
        <w:t>(Acedo, Adams, &amp; Popa, 2012)</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lang w:bidi="en-US"/>
        </w:rPr>
        <w:t>. Researchers tried several ways to measure school quality but do not have a consensus on the definition of school quality. This is because the field of education is constantly evolving and there have been many different approaches to defining and measuring school quality over the years</w:t>
      </w:r>
      <w:r w:rsidR="000F568B" w:rsidRPr="00BB6978">
        <w:rPr>
          <w:rFonts w:ascii="Times New Roman" w:hAnsi="Times New Roman" w:cs="Times New Roman"/>
          <w:sz w:val="24"/>
          <w:szCs w:val="24"/>
          <w:lang w:bidi="en-US"/>
        </w:rPr>
        <w:t xml:space="preserve"> (Acedo, Adams, &amp; Popa, 2012). </w:t>
      </w:r>
      <w:r w:rsidRPr="00BB6978">
        <w:rPr>
          <w:rFonts w:ascii="Times New Roman" w:hAnsi="Times New Roman" w:cs="Times New Roman"/>
          <w:sz w:val="24"/>
          <w:szCs w:val="24"/>
          <w:lang w:bidi="en-US"/>
        </w:rPr>
        <w:t xml:space="preserve">However, some common themes that have emerged in recent research on school quality includes the considering a range of factors, including student achievement, teacher quality, school resources and facilities, and the school’s culture and climate. </w:t>
      </w:r>
      <w:r w:rsidRPr="00BB6978">
        <w:rPr>
          <w:rFonts w:ascii="Times New Roman" w:hAnsi="Times New Roman" w:cs="Times New Roman"/>
          <w:sz w:val="24"/>
          <w:szCs w:val="24"/>
          <w:lang w:bidi="en-US"/>
        </w:rPr>
        <w:fldChar w:fldCharType="begin" w:fldLock="1"/>
      </w:r>
      <w:r w:rsidRPr="00BB6978">
        <w:rPr>
          <w:rFonts w:ascii="Times New Roman" w:hAnsi="Times New Roman" w:cs="Times New Roman"/>
          <w:sz w:val="24"/>
          <w:szCs w:val="24"/>
          <w:lang w:bidi="en-US"/>
        </w:rPr>
        <w:instrText>ADDIN CSL_CITATION {"citationItems":[{"id":"ITEM-1","itemData":{"DOI":"10.1007/978-94-6091-951-0","ISBN":"9789460919510","abstract":"Quality and Qualities: Tensions in Education Reforms is a provocative call for understanding and further exploring the elusive concept of quality in education. Although education quality has acquired high priority in the past few decades, the multiplicity of conceptualizations of quality also reflects the concerns and foci of multiple stakeholders. Coming to an understanding of quality education involves careful analysis of the context from which any particular reform or program emerges and of the continuing struggle to define and achieve it. Two main questions persist: who benefits from particular policies focused on quality? And what are the potential tradeoffs between a focus on quality, equitable distribution of education, and inclusion of various traditional expectations? This book explores notions of quality as understood within various systems of national, formal, and nonformal education. Also it considers the tensions that arise with the introduction of new standardized notions of quality in relation to international measures and educational reforms in developing countries. In all cases, specific national issues and concerns compete with global agendas.Challenges to quality that are given particular attention in the book chapters include changing definitions of quality, high expectations for education and issues with implementation, and the introduction of English as a means to achieve quality in a globalizing world. Special attention is also given to possible actions that support a more equitable education without ignoring the requisite of quality. The final chapter suggests three models/choices for seeking higher quality and guiding the educational future of nations.","author":[{"dropping-particle":"","family":"Acedo","given":"Clementina","non-dropping-particle":"","parse-names":false,"suffix":""},{"dropping-particle":"","family":"Adams","given":"Don","non-dropping-particle":"","parse-names":false,"suffix":""},{"dropping-particle":"","family":"Popa","given":"Simona","non-dropping-particle":"","parse-names":false,"suffix":""}],"container-title":"Quality and Qualities: Tensions in Education Reforms","id":"ITEM-1","issued":{"date-parts":[["2012"]]},"number-of-pages":"1-221","title":"Quality and qualities: Tensions in education reforms","type":"book"},"uris":["http://www.mendeley.com/documents/?uuid=bbe260b1-fc71-42e7-b485-ee027491d2ad"]}],"mendeley":{"formattedCitation":"(Acedo, Adams, &amp; Popa, 2012)","plainTextFormattedCitation":"(Acedo, Adams, &amp; Popa, 2012)","previouslyFormattedCitation":"(Acedo, Adams, &amp; Popa, 2012)"},"properties":{"noteIndex":0},"schema":"https://github.com/citation-style-language/schema/raw/master/csl-citation.json"}</w:instrText>
      </w:r>
      <w:r w:rsidRPr="00BB6978">
        <w:rPr>
          <w:rFonts w:ascii="Times New Roman" w:hAnsi="Times New Roman" w:cs="Times New Roman"/>
          <w:sz w:val="24"/>
          <w:szCs w:val="24"/>
          <w:lang w:bidi="en-US"/>
        </w:rPr>
        <w:fldChar w:fldCharType="separate"/>
      </w:r>
      <w:r w:rsidRPr="00BB6978">
        <w:rPr>
          <w:rFonts w:ascii="Times New Roman" w:hAnsi="Times New Roman" w:cs="Times New Roman"/>
          <w:sz w:val="24"/>
          <w:szCs w:val="24"/>
          <w:lang w:bidi="en-US"/>
        </w:rPr>
        <w:t xml:space="preserve">(Acedo, Adams, &amp; Popa, 2012, </w:t>
      </w:r>
      <w:r w:rsidRPr="00BB6978">
        <w:rPr>
          <w:rFonts w:asciiTheme="majorBidi" w:hAnsiTheme="majorBidi" w:cstheme="majorBidi"/>
          <w:sz w:val="24"/>
          <w:szCs w:val="24"/>
        </w:rPr>
        <w:t xml:space="preserve">Leu, 2005, </w:t>
      </w:r>
      <w:r w:rsidRPr="00BB6978">
        <w:rPr>
          <w:rFonts w:ascii="Times New Roman" w:hAnsi="Times New Roman" w:cs="Times New Roman"/>
          <w:sz w:val="24"/>
          <w:szCs w:val="24"/>
          <w:lang w:bidi="en-US"/>
        </w:rPr>
        <w:t>Schneider et al., 2018)</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lang w:bidi="en-US"/>
        </w:rPr>
        <w:t xml:space="preserve">  School quality can be understood in several ways based on the stakeholder’s priorities and values </w:t>
      </w:r>
      <w:r w:rsidRPr="00BB6978">
        <w:rPr>
          <w:rFonts w:ascii="Times New Roman" w:hAnsi="Times New Roman" w:cs="Times New Roman"/>
          <w:sz w:val="24"/>
          <w:szCs w:val="24"/>
          <w:lang w:bidi="en-US"/>
        </w:rPr>
        <w:fldChar w:fldCharType="begin" w:fldLock="1"/>
      </w:r>
      <w:r w:rsidRPr="00BB6978">
        <w:rPr>
          <w:rFonts w:ascii="Times New Roman" w:hAnsi="Times New Roman" w:cs="Times New Roman"/>
          <w:sz w:val="24"/>
          <w:szCs w:val="24"/>
          <w:lang w:bidi="en-US"/>
        </w:rPr>
        <w:instrText>ADDIN CSL_CITATION {"citationItems":[{"id":"ITEM-1","itemData":{"abstract":"This paper looks at the research on attempts to improve the quality of schools in poor countries, which suggests four basic lessons for refugee education. First, educational quality is understood in different ways, reflecting the values and priorities of stakeholders. It is thus essential to clarify the important meaning(s) of quality to the relevant stakeholders. Second, improvements in educational quality do not necessarily require large investments of resources. Instead, many of these elements depend on the organization and management of inputs, and the participation of critical actors such as parents, teachers and principals, and so forth. Third, school quality can be understood in several ways, including four interacting sets of factors such as the characteristics of the child, supporting inputs, enabling conditions, and the teaching-learning process. It also includes improvements in the capacities of learners, the supportiveness of learning environments, the appropriateness of content, the effectiveness of learning processes and the achievement of outcomes. Fourth, school improvement strategies are most effective when developed on site and in collaboration with stakeholders and implementers. To improve quality, the role of central authorities is less one of providing quality than of fostering environments that support site-based improvement. Innovations are less effectively “replicated” than promoted. Acting in these ways, however, requires different modes of operation than are common in many relief and development agencies.","author":[{"dropping-particle":"","family":"Williams","given":"James H","non-dropping-particle":"","parse-names":false,"suffix":""}],"container-title":"Learning for a Future: Refugee Education in Developing Countries","id":"ITEM-1","issued":{"date-parts":[["2001"]]},"page":"85-108","title":"Chapter 2 On School Quality and Attainment","type":"article-journal"},"uris":["http://www.mendeley.com/documents/?uuid=819500cb-cb2f-4ca4-b1c5-da387c15f864"]}],"mendeley":{"formattedCitation":"(Williams, 2001)","plainTextFormattedCitation":"(Williams, 2001)","previouslyFormattedCitation":"(Williams, 2001)"},"properties":{"noteIndex":0},"schema":"https://github.com/citation-style-language/schema/raw/master/csl-citation.json"}</w:instrText>
      </w:r>
      <w:r w:rsidRPr="00BB6978">
        <w:rPr>
          <w:rFonts w:ascii="Times New Roman" w:hAnsi="Times New Roman" w:cs="Times New Roman"/>
          <w:sz w:val="24"/>
          <w:szCs w:val="24"/>
          <w:lang w:bidi="en-US"/>
        </w:rPr>
        <w:fldChar w:fldCharType="separate"/>
      </w:r>
      <w:r w:rsidRPr="00BB6978">
        <w:rPr>
          <w:rFonts w:ascii="Times New Roman" w:hAnsi="Times New Roman" w:cs="Times New Roman"/>
          <w:sz w:val="24"/>
          <w:szCs w:val="24"/>
          <w:lang w:bidi="en-US"/>
        </w:rPr>
        <w:t>(Williams, 2001)</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lang w:bidi="en-US"/>
        </w:rPr>
        <w:t xml:space="preserve">. It also depends on the purpose and the way (tool) it is measured. Many existing school quality measures are considered to be weak </w:t>
      </w:r>
      <w:r w:rsidRPr="00BB6978">
        <w:rPr>
          <w:rFonts w:ascii="Times New Roman" w:hAnsi="Times New Roman" w:cs="Times New Roman"/>
          <w:sz w:val="24"/>
          <w:szCs w:val="24"/>
          <w:lang w:bidi="en-US"/>
        </w:rPr>
        <w:fldChar w:fldCharType="begin" w:fldLock="1"/>
      </w:r>
      <w:r w:rsidRPr="00BB6978">
        <w:rPr>
          <w:rFonts w:ascii="Times New Roman" w:hAnsi="Times New Roman" w:cs="Times New Roman"/>
          <w:sz w:val="24"/>
          <w:szCs w:val="24"/>
          <w:lang w:bidi="en-US"/>
        </w:rPr>
        <w:instrText>ADDIN CSL_CITATION {"citationItems":[{"id":"ITEM-1","itemData":{"DOI":"10.4159/9780674981157","ISBN":"9780674981157","author":[{"dropping-particle":"","family":"Schneider","given":"Jack","non-dropping-particle":"","parse-names":false,"suffix":""}],"container-title":"Beyond Test Scores","id":"ITEM-1","issue":"January","issued":{"date-parts":[["2018"]]},"title":"Beyond Test Scores","type":"book"},"uris":["http://www.mendeley.com/documents/?uuid=96bedb0c-7f01-4e06-8da8-4eaf5f30267f"]}],"mendeley":{"formattedCitation":"(Schneider, 2018)","plainTextFormattedCitation":"(Schneider, 2018)","previouslyFormattedCitation":"(Schneider, 2018)"},"properties":{"noteIndex":0},"schema":"https://github.com/citation-style-language/schema/raw/master/csl-citation.json"}</w:instrText>
      </w:r>
      <w:r w:rsidRPr="00BB6978">
        <w:rPr>
          <w:rFonts w:ascii="Times New Roman" w:hAnsi="Times New Roman" w:cs="Times New Roman"/>
          <w:sz w:val="24"/>
          <w:szCs w:val="24"/>
          <w:lang w:bidi="en-US"/>
        </w:rPr>
        <w:fldChar w:fldCharType="separate"/>
      </w:r>
      <w:r w:rsidRPr="00BB6978">
        <w:rPr>
          <w:rFonts w:ascii="Times New Roman" w:hAnsi="Times New Roman" w:cs="Times New Roman"/>
          <w:sz w:val="24"/>
          <w:szCs w:val="24"/>
          <w:lang w:bidi="en-US"/>
        </w:rPr>
        <w:t>(Schneider et al., 2018)</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lang w:bidi="en-US"/>
        </w:rPr>
        <w:t xml:space="preserve">. Usually, students' achievements are one of the major outcomes of good school quality. However, researchers agree that it is merely an output </w:t>
      </w:r>
      <w:r w:rsidRPr="00BB6978">
        <w:rPr>
          <w:rFonts w:ascii="Times New Roman" w:hAnsi="Times New Roman" w:cs="Times New Roman"/>
          <w:sz w:val="24"/>
          <w:szCs w:val="24"/>
          <w:lang w:bidi="en-US"/>
        </w:rPr>
        <w:fldChar w:fldCharType="begin" w:fldLock="1"/>
      </w:r>
      <w:r w:rsidRPr="00BB6978">
        <w:rPr>
          <w:rFonts w:ascii="Times New Roman" w:hAnsi="Times New Roman" w:cs="Times New Roman"/>
          <w:sz w:val="24"/>
          <w:szCs w:val="24"/>
          <w:lang w:bidi="en-US"/>
        </w:rPr>
        <w:instrText>ADDIN CSL_CITATION {"citationItems":[{"id":"ITEM-1","itemData":{"DOI":"10.1007/bf03025363","ISBN":"9715614078","ISSN":"1598-1037","abstract":"This volume is part of the series Education in Developing Asia, jointly published by the Asian Development Bank (ADB) and the Comparative Education Research Centre (CERC) of the University of Hong Kong.","author":[{"dropping-particle":"","family":"Hoge","given":"John D.","non-dropping-particle":"","parse-names":false,"suffix":""}],"container-title":"Asia Pacific Education Review","id":"ITEM-1","issue":"2","issued":{"date-parts":[["2003"]]},"number-of-pages":"208-209","title":"The quality of education: Dimensions and strategies","type":"book","volume":"4"},"uris":["http://www.mendeley.com/documents/?uuid=fcb1967d-1469-4113-b40b-e86a2717c60f"]}],"mendeley":{"formattedCitation":"(Hoge, 2003)","plainTextFormattedCitation":"(Hoge, 2003)","previouslyFormattedCitation":"(Hoge, 2003)"},"properties":{"noteIndex":0},"schema":"https://github.com/citation-style-language/schema/raw/master/csl-citation.json"}</w:instrText>
      </w:r>
      <w:r w:rsidRPr="00BB6978">
        <w:rPr>
          <w:rFonts w:ascii="Times New Roman" w:hAnsi="Times New Roman" w:cs="Times New Roman"/>
          <w:sz w:val="24"/>
          <w:szCs w:val="24"/>
          <w:lang w:bidi="en-US"/>
        </w:rPr>
        <w:fldChar w:fldCharType="separate"/>
      </w:r>
      <w:r w:rsidRPr="00BB6978">
        <w:rPr>
          <w:rFonts w:ascii="Times New Roman" w:hAnsi="Times New Roman" w:cs="Times New Roman"/>
          <w:sz w:val="24"/>
          <w:szCs w:val="24"/>
          <w:lang w:bidi="en-US"/>
        </w:rPr>
        <w:t>(Hoge, 2003)</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lang w:bidi="en-US"/>
        </w:rPr>
        <w:t xml:space="preserve"> and a narrow way of measuring quality</w:t>
      </w:r>
      <w:r w:rsidRPr="00BB6978">
        <w:rPr>
          <w:rFonts w:ascii="Times New Roman" w:hAnsi="Times New Roman" w:cs="Times New Roman"/>
          <w:sz w:val="24"/>
          <w:szCs w:val="24"/>
        </w:rPr>
        <w:t xml:space="preserve"> (Schneider et al., 2017) although parents’ satisfaction toward a school quality is based on their children’s academic achievement (Meier, &amp; Lemmer, 2019; Parji</w:t>
      </w:r>
      <w:r w:rsidRPr="00BB6978">
        <w:rPr>
          <w:rFonts w:ascii="Times New Roman" w:hAnsi="Times New Roman" w:cs="Times New Roman"/>
          <w:sz w:val="24"/>
          <w:szCs w:val="24"/>
          <w:lang w:bidi="en-US"/>
        </w:rPr>
        <w:t xml:space="preserve"> &amp; Prasetya, 2020). We need to go beyond a student's achievement </w:t>
      </w:r>
      <w:r w:rsidRPr="00BB6978">
        <w:rPr>
          <w:rFonts w:ascii="Times New Roman" w:hAnsi="Times New Roman" w:cs="Times New Roman"/>
          <w:sz w:val="24"/>
          <w:szCs w:val="24"/>
          <w:lang w:bidi="en-US"/>
        </w:rPr>
        <w:fldChar w:fldCharType="begin" w:fldLock="1"/>
      </w:r>
      <w:r w:rsidRPr="00BB6978">
        <w:rPr>
          <w:rFonts w:ascii="Times New Roman" w:hAnsi="Times New Roman" w:cs="Times New Roman"/>
          <w:sz w:val="24"/>
          <w:szCs w:val="24"/>
          <w:lang w:bidi="en-US"/>
        </w:rPr>
        <w:instrText>ADDIN CSL_CITATION {"citationItems":[{"id":"ITEM-1","itemData":{"DOI":"10.4159/9780674981157","ISBN":"9780674981157","author":[{"dropping-particle":"","family":"Schneider","given":"Jack","non-dropping-particle":"","parse-names":false,"suffix":""}],"container-title":"Beyond Test Scores","id":"ITEM-1","issue":"January","issued":{"date-parts":[["2018"]]},"title":"Beyond Test Scores","type":"book"},"uris":["http://www.mendeley.com/documents/?uuid=96bedb0c-7f01-4e06-8da8-4eaf5f30267f"]}],"mendeley":{"formattedCitation":"(Schneider, 2018)","plainTextFormattedCitation":"(Schneider, 2018)","previouslyFormattedCitation":"(Schneider, 2018)"},"properties":{"noteIndex":0},"schema":"https://github.com/citation-style-language/schema/raw/master/csl-citation.json"}</w:instrText>
      </w:r>
      <w:r w:rsidRPr="00BB6978">
        <w:rPr>
          <w:rFonts w:ascii="Times New Roman" w:hAnsi="Times New Roman" w:cs="Times New Roman"/>
          <w:sz w:val="24"/>
          <w:szCs w:val="24"/>
          <w:lang w:bidi="en-US"/>
        </w:rPr>
        <w:fldChar w:fldCharType="separate"/>
      </w:r>
      <w:r w:rsidRPr="00BB6978">
        <w:rPr>
          <w:rFonts w:ascii="Times New Roman" w:hAnsi="Times New Roman" w:cs="Times New Roman"/>
          <w:sz w:val="24"/>
          <w:szCs w:val="24"/>
          <w:lang w:bidi="en-US"/>
        </w:rPr>
        <w:t>(Schneider et al., 2018)</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lang w:bidi="en-US"/>
        </w:rPr>
        <w:t xml:space="preserve">. Indeed, several authors and </w:t>
      </w:r>
      <w:r w:rsidR="00D35529" w:rsidRPr="00BB6978">
        <w:rPr>
          <w:rFonts w:ascii="Times New Roman" w:hAnsi="Times New Roman" w:cs="Times New Roman"/>
          <w:sz w:val="24"/>
          <w:szCs w:val="24"/>
          <w:lang w:bidi="en-US"/>
        </w:rPr>
        <w:t>educational</w:t>
      </w:r>
      <w:r w:rsidRPr="00BB6978">
        <w:rPr>
          <w:rFonts w:ascii="Times New Roman" w:hAnsi="Times New Roman" w:cs="Times New Roman"/>
          <w:sz w:val="24"/>
          <w:szCs w:val="24"/>
          <w:lang w:bidi="en-US"/>
        </w:rPr>
        <w:t xml:space="preserve"> organizations have defined school quality based on extensive field evidence. However, still the students’ achievement is considered a key measurement indictor of a school quality; this also reflect in the process of schools’ evaluation and ranking (Beuermann et al., 2023; Hofman et al., 2009). </w:t>
      </w:r>
    </w:p>
    <w:p w14:paraId="44D74BC5" w14:textId="2FF5BA07" w:rsidR="005A5C25" w:rsidRPr="00BB6978" w:rsidRDefault="005A5C25" w:rsidP="005A5C25">
      <w:pPr>
        <w:spacing w:after="68" w:line="480" w:lineRule="auto"/>
        <w:ind w:firstLine="357"/>
        <w:jc w:val="both"/>
        <w:rPr>
          <w:rFonts w:ascii="Times New Roman" w:hAnsi="Times New Roman" w:cs="Times New Roman"/>
          <w:sz w:val="24"/>
          <w:szCs w:val="24"/>
          <w:lang w:val="en-US" w:bidi="en-US"/>
        </w:rPr>
      </w:pPr>
      <w:r w:rsidRPr="00BB6978">
        <w:rPr>
          <w:rFonts w:ascii="Times New Roman" w:hAnsi="Times New Roman" w:cs="Times New Roman"/>
          <w:sz w:val="24"/>
          <w:szCs w:val="24"/>
          <w:lang w:bidi="en-US"/>
        </w:rPr>
        <w:t>Despite the fact private schooling has been rising significantly recently in many developing countries (Kitaev, 2007; Srivastava, 2007; Tooley et al., 2011), little investigation was conducted about the reasons driving parents to make private school choice</w:t>
      </w:r>
      <w:r w:rsidR="000F568B" w:rsidRPr="00BB6978">
        <w:rPr>
          <w:rFonts w:ascii="Times New Roman" w:hAnsi="Times New Roman" w:cs="Times New Roman"/>
          <w:sz w:val="24"/>
          <w:szCs w:val="24"/>
          <w:lang w:bidi="en-US"/>
        </w:rPr>
        <w:t xml:space="preserve"> (Rhinesmith, 2017). </w:t>
      </w:r>
      <w:r w:rsidRPr="00BB6978">
        <w:rPr>
          <w:rFonts w:ascii="Times New Roman" w:hAnsi="Times New Roman" w:cs="Times New Roman"/>
          <w:sz w:val="24"/>
          <w:szCs w:val="24"/>
          <w:lang w:bidi="en-US"/>
        </w:rPr>
        <w:t xml:space="preserve"> Nevertheless, two focal justifications have been put forward to elucidate the increase in private admission (Heyneman and Stern, 2014). The first reason is the excess mandate, which contends that public schools cannot contain the increased demand for education which encourage parents to search for other appropriate alternatives for their children education in the private sector. The second reason is the differentiated mandate which indicates that private and public schools are unsatisfactory alternatives</w:t>
      </w:r>
      <w:r w:rsidR="000F568B" w:rsidRPr="00BB6978">
        <w:rPr>
          <w:rFonts w:ascii="Times New Roman" w:hAnsi="Times New Roman" w:cs="Times New Roman"/>
          <w:sz w:val="24"/>
          <w:szCs w:val="24"/>
          <w:lang w:bidi="en-US"/>
        </w:rPr>
        <w:t xml:space="preserve"> (Heyneman &amp; Stern, 2014). </w:t>
      </w:r>
      <w:r w:rsidRPr="00BB6978">
        <w:rPr>
          <w:rFonts w:ascii="Times New Roman" w:hAnsi="Times New Roman" w:cs="Times New Roman"/>
          <w:sz w:val="24"/>
          <w:szCs w:val="24"/>
          <w:lang w:bidi="en-US"/>
        </w:rPr>
        <w:t>Parents select private schooling because they look for particular features like a higher quality of education or language of instruction they prefer (Beuermann et al., 2023). Relevant literature tried to establish some school features to be a good justification for parents to select the schools for their children’s education such as school size as revealed by (Nishimura and Yamano, 2013), or the school’s location as it is near the child home (Carneiro, Das, and Reis, 2016). Similarly, other reasons were demonstrated by Alderman, Orazem, and Paterno, (2001) and Glick and Sahn (2006) like the instructional resources used and school facilities etc. However, the role of school quality feature has not been explored to prove it as the only factor that drive the parents to select specific school over the other</w:t>
      </w:r>
      <w:r w:rsidR="000F568B" w:rsidRPr="00BB6978">
        <w:rPr>
          <w:rFonts w:ascii="Times New Roman" w:hAnsi="Times New Roman" w:cs="Times New Roman"/>
          <w:sz w:val="24"/>
          <w:szCs w:val="24"/>
          <w:lang w:bidi="en-US"/>
        </w:rPr>
        <w:t xml:space="preserve"> (Hanushek et al., 2007). </w:t>
      </w:r>
      <w:r w:rsidRPr="00BB6978">
        <w:rPr>
          <w:rFonts w:ascii="Times New Roman" w:hAnsi="Times New Roman" w:cs="Times New Roman"/>
          <w:sz w:val="24"/>
          <w:szCs w:val="24"/>
          <w:lang w:bidi="en-US"/>
        </w:rPr>
        <w:t xml:space="preserve"> I</w:t>
      </w:r>
      <w:r w:rsidRPr="00BB6978">
        <w:rPr>
          <w:rFonts w:ascii="Times New Roman" w:hAnsi="Times New Roman" w:cs="Times New Roman"/>
          <w:sz w:val="24"/>
          <w:szCs w:val="24"/>
          <w:lang w:val="en-US" w:bidi="en-US"/>
        </w:rPr>
        <w:t>t is also essential to consider that parents' decision-making is influenced by a range of factors beyond just school quality. For instance, cultural and social norms, convenience, availability of transportation, and cost are also critical considerations that can impact parents' school choice (Chen,2020; Dronkers &amp; van del Velden, 2012). Therefore, it may not be accurate to conclude that school quality is the main factor driving parents' choices without considering other contextual factors although with the rapid economic and educational growth, parents</w:t>
      </w:r>
      <w:r w:rsidRPr="00BB6978">
        <w:rPr>
          <w:rFonts w:ascii="Roboto" w:hAnsi="Roboto"/>
          <w:sz w:val="20"/>
          <w:szCs w:val="20"/>
          <w:shd w:val="clear" w:color="auto" w:fill="FFFFFF"/>
        </w:rPr>
        <w:t xml:space="preserve"> </w:t>
      </w:r>
      <w:r w:rsidRPr="00BB6978">
        <w:rPr>
          <w:rFonts w:ascii="Times New Roman" w:hAnsi="Times New Roman" w:cs="Times New Roman"/>
          <w:sz w:val="24"/>
          <w:szCs w:val="24"/>
          <w:lang w:val="en-US" w:bidi="en-US"/>
        </w:rPr>
        <w:t>have an increasingly strong demand for high-quality education (Jin et al., 2022). Additionally, the definition of school quality itself can be subjective, and what one parent considers a quality school may differ from another parent's perspective. Thus, it may not be feasible to establish a clear link between school quality and parents' school choice without considering the broader contextual factors and nuances of the decision-making process</w:t>
      </w:r>
      <w:r w:rsidR="000F568B" w:rsidRPr="00BB6978">
        <w:rPr>
          <w:rFonts w:ascii="Times New Roman" w:hAnsi="Times New Roman" w:cs="Times New Roman"/>
          <w:sz w:val="24"/>
          <w:szCs w:val="24"/>
          <w:lang w:val="en-US" w:bidi="en-US"/>
        </w:rPr>
        <w:t xml:space="preserve"> </w:t>
      </w:r>
      <w:r w:rsidR="000F568B" w:rsidRPr="00BB6978">
        <w:rPr>
          <w:rFonts w:ascii="Times New Roman" w:hAnsi="Times New Roman" w:cs="Times New Roman"/>
          <w:sz w:val="24"/>
          <w:szCs w:val="24"/>
          <w:lang w:bidi="en-US"/>
        </w:rPr>
        <w:t>(Holme, 2002).</w:t>
      </w:r>
    </w:p>
    <w:p w14:paraId="55D2F5B7" w14:textId="2763ED4F" w:rsidR="005A5C25" w:rsidRPr="00BB6978" w:rsidRDefault="005A5C25" w:rsidP="000F568B">
      <w:pPr>
        <w:spacing w:after="68" w:line="480" w:lineRule="auto"/>
        <w:ind w:firstLine="357"/>
        <w:jc w:val="both"/>
        <w:rPr>
          <w:rFonts w:ascii="Times New Roman" w:hAnsi="Times New Roman" w:cs="Times New Roman"/>
          <w:sz w:val="24"/>
          <w:szCs w:val="24"/>
          <w:lang w:bidi="en-US"/>
        </w:rPr>
      </w:pPr>
      <w:r w:rsidRPr="00BB6978">
        <w:rPr>
          <w:rFonts w:ascii="Times New Roman" w:hAnsi="Times New Roman" w:cs="Times New Roman"/>
          <w:sz w:val="24"/>
          <w:szCs w:val="24"/>
          <w:lang w:bidi="en-US"/>
        </w:rPr>
        <w:t xml:space="preserve">If quality is claimed to be one of the frequent cited </w:t>
      </w:r>
      <w:r w:rsidR="00613343" w:rsidRPr="00BB6978">
        <w:rPr>
          <w:rFonts w:ascii="Times New Roman" w:hAnsi="Times New Roman" w:cs="Times New Roman"/>
          <w:sz w:val="24"/>
          <w:szCs w:val="24"/>
          <w:lang w:bidi="en-US"/>
        </w:rPr>
        <w:t>aspects</w:t>
      </w:r>
      <w:r w:rsidRPr="00BB6978">
        <w:rPr>
          <w:rFonts w:ascii="Times New Roman" w:hAnsi="Times New Roman" w:cs="Times New Roman"/>
          <w:sz w:val="24"/>
          <w:szCs w:val="24"/>
          <w:lang w:bidi="en-US"/>
        </w:rPr>
        <w:t xml:space="preserve"> when parents make a decision on the education of their children, this concept has numerous meanings. To provide a more holistic view, this study elaborates on the definition given by Donald Adams. Adams (1997) recognized seven aspects that are common in school quality. Specifically, they include quality as a feature of reputation, inputs and resources (e.g., buildings, educational, and sporting equipment), procedure highlights, content (curriculum), accomplishments and outputs (academic achievements), and the value added (e.g., how much the school has improved over a given period. According to Adams</w:t>
      </w:r>
      <w:r w:rsidR="000F568B" w:rsidRPr="00BB6978">
        <w:rPr>
          <w:rFonts w:ascii="Times New Roman" w:hAnsi="Times New Roman" w:cs="Times New Roman"/>
          <w:sz w:val="24"/>
          <w:szCs w:val="24"/>
          <w:lang w:bidi="en-US"/>
        </w:rPr>
        <w:t xml:space="preserve"> (1997)</w:t>
      </w:r>
      <w:r w:rsidRPr="00BB6978">
        <w:rPr>
          <w:rFonts w:ascii="Times New Roman" w:hAnsi="Times New Roman" w:cs="Times New Roman"/>
          <w:sz w:val="24"/>
          <w:szCs w:val="24"/>
          <w:lang w:bidi="en-US"/>
        </w:rPr>
        <w:t>, a proposed school quality conceptual framework looks at the relationship among different education components, inputs, processes, and outputs at different school levels. This conceptual framework helps the education stakeholders to understand and demarcate their responsibilities so that each one of them is conscious about the roles needed to be played in the recognition of quality of education in schools (Garira, 2020).</w:t>
      </w:r>
      <w:r w:rsidRPr="00BB6978">
        <w:rPr>
          <w:rFonts w:ascii="Arial" w:hAnsi="Arial" w:cs="Arial"/>
          <w:shd w:val="clear" w:color="auto" w:fill="FFFFFF"/>
        </w:rPr>
        <w:t xml:space="preserve"> </w:t>
      </w:r>
      <w:r w:rsidRPr="00BB6978">
        <w:rPr>
          <w:rFonts w:asciiTheme="majorBidi" w:hAnsiTheme="majorBidi" w:cstheme="majorBidi"/>
          <w:sz w:val="24"/>
          <w:szCs w:val="24"/>
          <w:lang w:bidi="en-US"/>
        </w:rPr>
        <w:t>Taking into the account the differences of the different education systems perspectives,</w:t>
      </w:r>
      <w:r w:rsidRPr="00BB6978">
        <w:rPr>
          <w:rFonts w:asciiTheme="majorBidi" w:hAnsiTheme="majorBidi" w:cstheme="majorBidi"/>
          <w:sz w:val="24"/>
          <w:szCs w:val="24"/>
          <w:shd w:val="clear" w:color="auto" w:fill="FFFFFF"/>
        </w:rPr>
        <w:t xml:space="preserve"> in addition to </w:t>
      </w:r>
      <w:r w:rsidRPr="00BB6978">
        <w:rPr>
          <w:rFonts w:asciiTheme="majorBidi" w:hAnsiTheme="majorBidi" w:cstheme="majorBidi"/>
          <w:sz w:val="24"/>
          <w:szCs w:val="24"/>
          <w:lang w:bidi="en-US"/>
        </w:rPr>
        <w:t>the contexts that may be different from the one where the conceptual framework was developed.  Understanding quality of education challenges found in various education systems can be similar in nature and the way these challenges addressed may be also the same</w:t>
      </w:r>
      <w:r w:rsidR="000F568B" w:rsidRPr="00BB6978">
        <w:rPr>
          <w:rFonts w:asciiTheme="majorBidi" w:hAnsiTheme="majorBidi" w:cstheme="majorBidi"/>
          <w:sz w:val="24"/>
          <w:szCs w:val="24"/>
          <w:lang w:bidi="en-US"/>
        </w:rPr>
        <w:t xml:space="preserve"> </w:t>
      </w:r>
      <w:r w:rsidR="000F568B" w:rsidRPr="00BB6978">
        <w:rPr>
          <w:rFonts w:ascii="Times New Roman" w:hAnsi="Times New Roman" w:cs="Times New Roman"/>
          <w:sz w:val="24"/>
          <w:szCs w:val="24"/>
          <w:lang w:bidi="en-US"/>
        </w:rPr>
        <w:t>(</w:t>
      </w:r>
      <w:bookmarkStart w:id="83" w:name="_Hlk138084693"/>
      <w:r w:rsidR="000F568B" w:rsidRPr="00BB6978">
        <w:rPr>
          <w:rFonts w:ascii="Times New Roman" w:hAnsi="Times New Roman" w:cs="Times New Roman"/>
          <w:sz w:val="24"/>
          <w:szCs w:val="24"/>
          <w:lang w:bidi="en-US"/>
        </w:rPr>
        <w:t>Holme, 2002).</w:t>
      </w:r>
      <w:bookmarkEnd w:id="83"/>
    </w:p>
    <w:p w14:paraId="1929429A" w14:textId="77777777" w:rsidR="00CC0AFE" w:rsidRPr="00BB6978" w:rsidRDefault="00CC0AFE" w:rsidP="007F58DC">
      <w:pPr>
        <w:pStyle w:val="Caption"/>
      </w:pPr>
      <w:bookmarkStart w:id="84" w:name="_Toc134452486"/>
      <w:r w:rsidRPr="00BB6978">
        <w:t xml:space="preserve">Table </w:t>
      </w:r>
      <w:r w:rsidRPr="00BB6978">
        <w:fldChar w:fldCharType="begin"/>
      </w:r>
      <w:r w:rsidRPr="00BB6978">
        <w:instrText xml:space="preserve"> SEQ Table \* ARABIC </w:instrText>
      </w:r>
      <w:r w:rsidRPr="00BB6978">
        <w:fldChar w:fldCharType="separate"/>
      </w:r>
      <w:r w:rsidR="00131282" w:rsidRPr="00BB6978">
        <w:rPr>
          <w:noProof/>
        </w:rPr>
        <w:t>2</w:t>
      </w:r>
      <w:r w:rsidRPr="00BB6978">
        <w:rPr>
          <w:noProof/>
        </w:rPr>
        <w:fldChar w:fldCharType="end"/>
      </w:r>
      <w:r w:rsidRPr="00BB6978">
        <w:t>: Adams School Quality definition summary, 1997</w:t>
      </w:r>
      <w:bookmarkEnd w:id="84"/>
    </w:p>
    <w:tbl>
      <w:tblPr>
        <w:tblStyle w:val="TableGrid"/>
        <w:tblpPr w:leftFromText="180" w:rightFromText="180" w:vertAnchor="text" w:horzAnchor="page" w:tblpX="2707" w:tblpY="421"/>
        <w:tblW w:w="0" w:type="auto"/>
        <w:tblLook w:val="04A0" w:firstRow="1" w:lastRow="0" w:firstColumn="1" w:lastColumn="0" w:noHBand="0" w:noVBand="1"/>
      </w:tblPr>
      <w:tblGrid>
        <w:gridCol w:w="1270"/>
        <w:gridCol w:w="3675"/>
        <w:gridCol w:w="2160"/>
      </w:tblGrid>
      <w:tr w:rsidR="00073A16" w:rsidRPr="00BB6978" w14:paraId="68648665" w14:textId="77777777" w:rsidTr="00CE66D1">
        <w:trPr>
          <w:trHeight w:val="640"/>
        </w:trPr>
        <w:tc>
          <w:tcPr>
            <w:tcW w:w="1270" w:type="dxa"/>
          </w:tcPr>
          <w:p w14:paraId="5EECCE9B" w14:textId="77777777" w:rsidR="005A5C25" w:rsidRPr="00BB6978" w:rsidRDefault="005A5C25" w:rsidP="00CE66D1">
            <w:pPr>
              <w:rPr>
                <w:rFonts w:asciiTheme="majorBidi" w:hAnsiTheme="majorBidi" w:cstheme="majorBidi"/>
                <w:b/>
                <w:bCs/>
                <w:sz w:val="24"/>
                <w:szCs w:val="24"/>
              </w:rPr>
            </w:pPr>
            <w:r w:rsidRPr="00BB6978">
              <w:rPr>
                <w:rFonts w:asciiTheme="majorBidi" w:hAnsiTheme="majorBidi" w:cstheme="majorBidi"/>
                <w:b/>
                <w:bCs/>
                <w:sz w:val="24"/>
                <w:szCs w:val="24"/>
              </w:rPr>
              <w:t>Features of Quality</w:t>
            </w:r>
          </w:p>
        </w:tc>
        <w:tc>
          <w:tcPr>
            <w:tcW w:w="3675" w:type="dxa"/>
          </w:tcPr>
          <w:p w14:paraId="3DBF0725" w14:textId="77777777" w:rsidR="005A5C25" w:rsidRPr="00BB6978" w:rsidRDefault="005A5C25" w:rsidP="00CE66D1">
            <w:pPr>
              <w:rPr>
                <w:rFonts w:asciiTheme="majorBidi" w:hAnsiTheme="majorBidi" w:cstheme="majorBidi"/>
                <w:b/>
                <w:bCs/>
                <w:sz w:val="24"/>
                <w:szCs w:val="24"/>
              </w:rPr>
            </w:pPr>
            <w:r w:rsidRPr="00BB6978">
              <w:rPr>
                <w:rFonts w:asciiTheme="majorBidi" w:hAnsiTheme="majorBidi" w:cstheme="majorBidi"/>
                <w:b/>
                <w:bCs/>
                <w:sz w:val="24"/>
                <w:szCs w:val="24"/>
              </w:rPr>
              <w:t>Way of measurement</w:t>
            </w:r>
          </w:p>
        </w:tc>
        <w:tc>
          <w:tcPr>
            <w:tcW w:w="2160" w:type="dxa"/>
          </w:tcPr>
          <w:p w14:paraId="6481F36D" w14:textId="77777777" w:rsidR="005A5C25" w:rsidRPr="00BB6978" w:rsidRDefault="005A5C25" w:rsidP="00CE66D1">
            <w:pPr>
              <w:rPr>
                <w:rFonts w:asciiTheme="majorBidi" w:hAnsiTheme="majorBidi" w:cstheme="majorBidi"/>
                <w:b/>
                <w:bCs/>
                <w:sz w:val="24"/>
                <w:szCs w:val="24"/>
              </w:rPr>
            </w:pPr>
            <w:r w:rsidRPr="00BB6978">
              <w:rPr>
                <w:rFonts w:asciiTheme="majorBidi" w:hAnsiTheme="majorBidi" w:cstheme="majorBidi"/>
                <w:b/>
                <w:bCs/>
                <w:sz w:val="24"/>
                <w:szCs w:val="24"/>
              </w:rPr>
              <w:t>Ease of conceptualization and measurement</w:t>
            </w:r>
          </w:p>
        </w:tc>
      </w:tr>
      <w:tr w:rsidR="00073A16" w:rsidRPr="00BB6978" w14:paraId="531A59B2" w14:textId="77777777" w:rsidTr="00CE66D1">
        <w:trPr>
          <w:trHeight w:val="607"/>
        </w:trPr>
        <w:tc>
          <w:tcPr>
            <w:tcW w:w="1270" w:type="dxa"/>
          </w:tcPr>
          <w:p w14:paraId="7384BCCF" w14:textId="77777777" w:rsidR="005A5C25" w:rsidRPr="00BB6978" w:rsidRDefault="005A5C25" w:rsidP="00CE66D1">
            <w:pPr>
              <w:rPr>
                <w:rFonts w:asciiTheme="majorBidi" w:hAnsiTheme="majorBidi" w:cstheme="majorBidi"/>
                <w:sz w:val="24"/>
                <w:szCs w:val="24"/>
              </w:rPr>
            </w:pPr>
            <w:r w:rsidRPr="00BB6978">
              <w:rPr>
                <w:rFonts w:asciiTheme="majorBidi" w:hAnsiTheme="majorBidi" w:cstheme="majorBidi"/>
                <w:sz w:val="24"/>
                <w:szCs w:val="24"/>
              </w:rPr>
              <w:t>Reputation</w:t>
            </w:r>
          </w:p>
        </w:tc>
        <w:tc>
          <w:tcPr>
            <w:tcW w:w="3675" w:type="dxa"/>
          </w:tcPr>
          <w:p w14:paraId="464C5586" w14:textId="77777777" w:rsidR="005A5C25" w:rsidRPr="00BB6978" w:rsidRDefault="005A5C25" w:rsidP="00CE66D1">
            <w:pPr>
              <w:rPr>
                <w:rFonts w:asciiTheme="majorBidi" w:hAnsiTheme="majorBidi" w:cstheme="majorBidi"/>
                <w:sz w:val="24"/>
                <w:szCs w:val="24"/>
              </w:rPr>
            </w:pPr>
            <w:r w:rsidRPr="00BB6978">
              <w:rPr>
                <w:rFonts w:asciiTheme="majorBidi" w:hAnsiTheme="majorBidi" w:cstheme="majorBidi"/>
                <w:sz w:val="24"/>
                <w:szCs w:val="24"/>
              </w:rPr>
              <w:t xml:space="preserve">This is measured informally and socially. </w:t>
            </w:r>
          </w:p>
          <w:p w14:paraId="7979C720" w14:textId="77777777" w:rsidR="005A5C25" w:rsidRPr="00BB6978" w:rsidRDefault="005A5C25" w:rsidP="00CE66D1">
            <w:pPr>
              <w:rPr>
                <w:rFonts w:asciiTheme="majorBidi" w:hAnsiTheme="majorBidi" w:cstheme="majorBidi"/>
                <w:sz w:val="24"/>
                <w:szCs w:val="24"/>
              </w:rPr>
            </w:pPr>
          </w:p>
        </w:tc>
        <w:tc>
          <w:tcPr>
            <w:tcW w:w="2160" w:type="dxa"/>
          </w:tcPr>
          <w:p w14:paraId="4FD90179" w14:textId="77777777" w:rsidR="005A5C25" w:rsidRPr="00BB6978" w:rsidRDefault="005A5C25" w:rsidP="00CE66D1">
            <w:pPr>
              <w:rPr>
                <w:rFonts w:asciiTheme="majorBidi" w:hAnsiTheme="majorBidi" w:cstheme="majorBidi"/>
                <w:sz w:val="24"/>
                <w:szCs w:val="24"/>
              </w:rPr>
            </w:pPr>
            <w:r w:rsidRPr="00BB6978">
              <w:rPr>
                <w:rFonts w:asciiTheme="majorBidi" w:hAnsiTheme="majorBidi" w:cstheme="majorBidi"/>
                <w:sz w:val="24"/>
                <w:szCs w:val="24"/>
              </w:rPr>
              <w:t>It is difficult to quantify although there is a general agreement on what are the schools known for their quality</w:t>
            </w:r>
          </w:p>
        </w:tc>
      </w:tr>
      <w:tr w:rsidR="00073A16" w:rsidRPr="00BB6978" w14:paraId="019AF9AD" w14:textId="77777777" w:rsidTr="00CE66D1">
        <w:trPr>
          <w:trHeight w:val="640"/>
        </w:trPr>
        <w:tc>
          <w:tcPr>
            <w:tcW w:w="1270" w:type="dxa"/>
          </w:tcPr>
          <w:p w14:paraId="34EFDA3B" w14:textId="77777777" w:rsidR="005A5C25" w:rsidRPr="00BB6978" w:rsidRDefault="005A5C25" w:rsidP="00CE66D1">
            <w:pPr>
              <w:rPr>
                <w:rFonts w:asciiTheme="majorBidi" w:hAnsiTheme="majorBidi" w:cstheme="majorBidi"/>
                <w:sz w:val="24"/>
                <w:szCs w:val="24"/>
              </w:rPr>
            </w:pPr>
            <w:r w:rsidRPr="00BB6978">
              <w:rPr>
                <w:rFonts w:asciiTheme="majorBidi" w:hAnsiTheme="majorBidi" w:cstheme="majorBidi"/>
                <w:sz w:val="24"/>
                <w:szCs w:val="24"/>
              </w:rPr>
              <w:t>Inputs and Resources</w:t>
            </w:r>
          </w:p>
        </w:tc>
        <w:tc>
          <w:tcPr>
            <w:tcW w:w="3675" w:type="dxa"/>
          </w:tcPr>
          <w:p w14:paraId="7093D7BB" w14:textId="77777777" w:rsidR="005A5C25" w:rsidRPr="00BB6978" w:rsidRDefault="005A5C25" w:rsidP="00CE66D1">
            <w:pPr>
              <w:rPr>
                <w:rFonts w:asciiTheme="majorBidi" w:hAnsiTheme="majorBidi" w:cstheme="majorBidi"/>
                <w:sz w:val="24"/>
                <w:szCs w:val="24"/>
              </w:rPr>
            </w:pPr>
            <w:r w:rsidRPr="00BB6978">
              <w:rPr>
                <w:rFonts w:asciiTheme="majorBidi" w:hAnsiTheme="majorBidi" w:cstheme="majorBidi"/>
                <w:sz w:val="24"/>
                <w:szCs w:val="24"/>
              </w:rPr>
              <w:t>This measure includes several inputs: number of teachers; the education level of teachers; class size; number and class of the school buildings; characteristics of students, teachers and school administrators; number of school textbooks; instruction materials used; number of laboratories, libraries and other facilities in the school</w:t>
            </w:r>
          </w:p>
        </w:tc>
        <w:tc>
          <w:tcPr>
            <w:tcW w:w="2160" w:type="dxa"/>
          </w:tcPr>
          <w:p w14:paraId="72C81A04" w14:textId="77777777" w:rsidR="005A5C25" w:rsidRPr="00BB6978" w:rsidRDefault="005A5C25" w:rsidP="00CE66D1">
            <w:pPr>
              <w:rPr>
                <w:rFonts w:asciiTheme="majorBidi" w:hAnsiTheme="majorBidi" w:cstheme="majorBidi"/>
                <w:sz w:val="24"/>
                <w:szCs w:val="24"/>
              </w:rPr>
            </w:pPr>
            <w:r w:rsidRPr="00BB6978">
              <w:rPr>
                <w:rFonts w:asciiTheme="majorBidi" w:hAnsiTheme="majorBidi" w:cstheme="majorBidi"/>
                <w:sz w:val="24"/>
                <w:szCs w:val="24"/>
              </w:rPr>
              <w:t>This is considered easy to conceptualize and quantify</w:t>
            </w:r>
          </w:p>
        </w:tc>
      </w:tr>
      <w:tr w:rsidR="00073A16" w:rsidRPr="00BB6978" w14:paraId="28D50EA6" w14:textId="77777777" w:rsidTr="00CE66D1">
        <w:trPr>
          <w:trHeight w:val="607"/>
        </w:trPr>
        <w:tc>
          <w:tcPr>
            <w:tcW w:w="1270" w:type="dxa"/>
          </w:tcPr>
          <w:p w14:paraId="31691CD1" w14:textId="77777777" w:rsidR="005A5C25" w:rsidRPr="00BB6978" w:rsidRDefault="005A5C25" w:rsidP="00CE66D1">
            <w:pPr>
              <w:rPr>
                <w:rFonts w:asciiTheme="majorBidi" w:hAnsiTheme="majorBidi" w:cstheme="majorBidi"/>
                <w:sz w:val="24"/>
                <w:szCs w:val="24"/>
              </w:rPr>
            </w:pPr>
            <w:r w:rsidRPr="00BB6978">
              <w:rPr>
                <w:rFonts w:asciiTheme="majorBidi" w:hAnsiTheme="majorBidi" w:cstheme="majorBidi"/>
                <w:sz w:val="24"/>
                <w:szCs w:val="24"/>
              </w:rPr>
              <w:t>Process</w:t>
            </w:r>
          </w:p>
        </w:tc>
        <w:tc>
          <w:tcPr>
            <w:tcW w:w="3675" w:type="dxa"/>
          </w:tcPr>
          <w:p w14:paraId="288355E5" w14:textId="77777777" w:rsidR="005A5C25" w:rsidRPr="00BB6978" w:rsidRDefault="005A5C25" w:rsidP="00CE66D1">
            <w:pPr>
              <w:rPr>
                <w:rFonts w:asciiTheme="majorBidi" w:hAnsiTheme="majorBidi" w:cstheme="majorBidi"/>
                <w:sz w:val="24"/>
                <w:szCs w:val="24"/>
              </w:rPr>
            </w:pPr>
            <w:r w:rsidRPr="00BB6978">
              <w:rPr>
                <w:rFonts w:asciiTheme="majorBidi" w:hAnsiTheme="majorBidi" w:cstheme="majorBidi"/>
                <w:sz w:val="24"/>
                <w:szCs w:val="24"/>
              </w:rPr>
              <w:t>This measure includes: the communication and interactions of students and teachers; the process of teaching and learning; the program quality of life, the school, or the whole system</w:t>
            </w:r>
          </w:p>
        </w:tc>
        <w:tc>
          <w:tcPr>
            <w:tcW w:w="2160" w:type="dxa"/>
          </w:tcPr>
          <w:p w14:paraId="5182FA9C" w14:textId="77777777" w:rsidR="005A5C25" w:rsidRPr="00BB6978" w:rsidRDefault="005A5C25" w:rsidP="00CE66D1">
            <w:pPr>
              <w:rPr>
                <w:rFonts w:asciiTheme="majorBidi" w:hAnsiTheme="majorBidi" w:cstheme="majorBidi"/>
                <w:sz w:val="24"/>
                <w:szCs w:val="24"/>
              </w:rPr>
            </w:pPr>
            <w:r w:rsidRPr="00BB6978">
              <w:rPr>
                <w:rFonts w:asciiTheme="majorBidi" w:hAnsiTheme="majorBidi" w:cstheme="majorBidi"/>
                <w:sz w:val="24"/>
                <w:szCs w:val="24"/>
              </w:rPr>
              <w:t>This is considered difficult to conceptualize and quantify due to the complexity and lack of knowledge on good process</w:t>
            </w:r>
          </w:p>
        </w:tc>
      </w:tr>
      <w:tr w:rsidR="00073A16" w:rsidRPr="00BB6978" w14:paraId="436E0C90" w14:textId="77777777" w:rsidTr="00CE66D1">
        <w:trPr>
          <w:trHeight w:val="640"/>
        </w:trPr>
        <w:tc>
          <w:tcPr>
            <w:tcW w:w="1270" w:type="dxa"/>
          </w:tcPr>
          <w:p w14:paraId="109FBB8B" w14:textId="77777777" w:rsidR="005A5C25" w:rsidRPr="00BB6978" w:rsidRDefault="005A5C25" w:rsidP="00CE66D1">
            <w:pPr>
              <w:rPr>
                <w:rFonts w:asciiTheme="majorBidi" w:hAnsiTheme="majorBidi" w:cstheme="majorBidi"/>
                <w:sz w:val="24"/>
                <w:szCs w:val="24"/>
              </w:rPr>
            </w:pPr>
            <w:r w:rsidRPr="00BB6978">
              <w:rPr>
                <w:rFonts w:asciiTheme="majorBidi" w:hAnsiTheme="majorBidi" w:cstheme="majorBidi"/>
                <w:sz w:val="24"/>
                <w:szCs w:val="24"/>
              </w:rPr>
              <w:t>Content</w:t>
            </w:r>
          </w:p>
        </w:tc>
        <w:tc>
          <w:tcPr>
            <w:tcW w:w="3675" w:type="dxa"/>
          </w:tcPr>
          <w:p w14:paraId="5AEA70AD" w14:textId="77777777" w:rsidR="005A5C25" w:rsidRPr="00BB6978" w:rsidRDefault="005A5C25" w:rsidP="00CE66D1">
            <w:pPr>
              <w:rPr>
                <w:rFonts w:asciiTheme="majorBidi" w:hAnsiTheme="majorBidi" w:cstheme="majorBidi"/>
                <w:sz w:val="24"/>
                <w:szCs w:val="24"/>
              </w:rPr>
            </w:pPr>
            <w:r w:rsidRPr="00BB6978">
              <w:rPr>
                <w:rFonts w:asciiTheme="majorBidi" w:hAnsiTheme="majorBidi" w:cstheme="majorBidi"/>
                <w:sz w:val="24"/>
                <w:szCs w:val="24"/>
              </w:rPr>
              <w:t>This measure includes: the skills, the attitudes, the behaviors, and the values that are transmitted through the intended curriculum. Although curriculum cannot be considered the right synonym for content, they are very much connected</w:t>
            </w:r>
          </w:p>
        </w:tc>
        <w:tc>
          <w:tcPr>
            <w:tcW w:w="2160" w:type="dxa"/>
          </w:tcPr>
          <w:p w14:paraId="6EF18AFD" w14:textId="77777777" w:rsidR="005A5C25" w:rsidRPr="00BB6978" w:rsidRDefault="005A5C25" w:rsidP="00CE66D1">
            <w:pPr>
              <w:rPr>
                <w:rFonts w:asciiTheme="majorBidi" w:hAnsiTheme="majorBidi" w:cstheme="majorBidi"/>
                <w:sz w:val="24"/>
                <w:szCs w:val="24"/>
              </w:rPr>
            </w:pPr>
            <w:r w:rsidRPr="00BB6978">
              <w:rPr>
                <w:rFonts w:asciiTheme="majorBidi" w:hAnsiTheme="majorBidi" w:cstheme="majorBidi"/>
                <w:sz w:val="24"/>
                <w:szCs w:val="24"/>
              </w:rPr>
              <w:t xml:space="preserve">This is easy to conceptualize and quantify </w:t>
            </w:r>
          </w:p>
        </w:tc>
      </w:tr>
      <w:tr w:rsidR="00073A16" w:rsidRPr="00BB6978" w14:paraId="693D39CA" w14:textId="77777777" w:rsidTr="00CE66D1">
        <w:trPr>
          <w:trHeight w:val="607"/>
        </w:trPr>
        <w:tc>
          <w:tcPr>
            <w:tcW w:w="1270" w:type="dxa"/>
          </w:tcPr>
          <w:p w14:paraId="6FE4C581" w14:textId="77777777" w:rsidR="005A5C25" w:rsidRPr="00BB6978" w:rsidRDefault="005A5C25" w:rsidP="00CE66D1">
            <w:pPr>
              <w:rPr>
                <w:rFonts w:asciiTheme="majorBidi" w:hAnsiTheme="majorBidi" w:cstheme="majorBidi"/>
                <w:sz w:val="24"/>
                <w:szCs w:val="24"/>
              </w:rPr>
            </w:pPr>
            <w:r w:rsidRPr="00BB6978">
              <w:rPr>
                <w:rFonts w:asciiTheme="majorBidi" w:hAnsiTheme="majorBidi" w:cstheme="majorBidi"/>
                <w:sz w:val="24"/>
                <w:szCs w:val="24"/>
              </w:rPr>
              <w:t>Outputs</w:t>
            </w:r>
          </w:p>
        </w:tc>
        <w:tc>
          <w:tcPr>
            <w:tcW w:w="3675" w:type="dxa"/>
          </w:tcPr>
          <w:p w14:paraId="3679D3DC" w14:textId="77777777" w:rsidR="005A5C25" w:rsidRPr="00BB6978" w:rsidRDefault="005A5C25" w:rsidP="00CE66D1">
            <w:pPr>
              <w:rPr>
                <w:rFonts w:asciiTheme="majorBidi" w:hAnsiTheme="majorBidi" w:cstheme="majorBidi"/>
                <w:sz w:val="24"/>
                <w:szCs w:val="24"/>
              </w:rPr>
            </w:pPr>
            <w:r w:rsidRPr="00BB6978">
              <w:rPr>
                <w:rFonts w:asciiTheme="majorBidi" w:hAnsiTheme="majorBidi" w:cstheme="majorBidi"/>
                <w:sz w:val="24"/>
                <w:szCs w:val="24"/>
              </w:rPr>
              <w:t>This measure typically includes: the cognitive achievement, the school completion/ graduation ratios; the ratio of students continuing to a higher level of education; the attainment of needed skills, attitudes, behaviors, and values</w:t>
            </w:r>
          </w:p>
        </w:tc>
        <w:tc>
          <w:tcPr>
            <w:tcW w:w="2160" w:type="dxa"/>
          </w:tcPr>
          <w:p w14:paraId="7AC16B45" w14:textId="77777777" w:rsidR="005A5C25" w:rsidRPr="00BB6978" w:rsidRDefault="005A5C25" w:rsidP="00CE66D1">
            <w:pPr>
              <w:rPr>
                <w:rFonts w:asciiTheme="majorBidi" w:hAnsiTheme="majorBidi" w:cstheme="majorBidi"/>
                <w:sz w:val="24"/>
                <w:szCs w:val="24"/>
              </w:rPr>
            </w:pPr>
            <w:r w:rsidRPr="00BB6978">
              <w:rPr>
                <w:rFonts w:asciiTheme="majorBidi" w:hAnsiTheme="majorBidi" w:cstheme="majorBidi"/>
                <w:sz w:val="24"/>
                <w:szCs w:val="24"/>
              </w:rPr>
              <w:t>This is easy to conceptualize but more difficult to measure</w:t>
            </w:r>
          </w:p>
        </w:tc>
      </w:tr>
      <w:tr w:rsidR="00073A16" w:rsidRPr="00BB6978" w14:paraId="4D694A85" w14:textId="77777777" w:rsidTr="00CE66D1">
        <w:trPr>
          <w:trHeight w:val="640"/>
        </w:trPr>
        <w:tc>
          <w:tcPr>
            <w:tcW w:w="1270" w:type="dxa"/>
          </w:tcPr>
          <w:p w14:paraId="6CDEE0CF" w14:textId="77777777" w:rsidR="005A5C25" w:rsidRPr="00BB6978" w:rsidRDefault="005A5C25" w:rsidP="00CE66D1">
            <w:pPr>
              <w:rPr>
                <w:rFonts w:asciiTheme="majorBidi" w:hAnsiTheme="majorBidi" w:cstheme="majorBidi"/>
                <w:sz w:val="24"/>
                <w:szCs w:val="24"/>
              </w:rPr>
            </w:pPr>
            <w:r w:rsidRPr="00BB6978">
              <w:rPr>
                <w:rFonts w:asciiTheme="majorBidi" w:hAnsiTheme="majorBidi" w:cstheme="majorBidi"/>
                <w:sz w:val="24"/>
                <w:szCs w:val="24"/>
              </w:rPr>
              <w:t>Outcomes</w:t>
            </w:r>
          </w:p>
        </w:tc>
        <w:tc>
          <w:tcPr>
            <w:tcW w:w="3675" w:type="dxa"/>
          </w:tcPr>
          <w:p w14:paraId="3D634AA7" w14:textId="35DB32D1" w:rsidR="005A5C25" w:rsidRPr="00BB6978" w:rsidRDefault="005A5C25" w:rsidP="00CE66D1">
            <w:pPr>
              <w:rPr>
                <w:rFonts w:asciiTheme="majorBidi" w:hAnsiTheme="majorBidi" w:cstheme="majorBidi"/>
                <w:sz w:val="24"/>
                <w:szCs w:val="24"/>
              </w:rPr>
            </w:pPr>
            <w:r w:rsidRPr="00BB6978">
              <w:rPr>
                <w:rFonts w:asciiTheme="majorBidi" w:hAnsiTheme="majorBidi" w:cstheme="majorBidi"/>
                <w:sz w:val="24"/>
                <w:szCs w:val="24"/>
              </w:rPr>
              <w:t xml:space="preserve">Typically measures </w:t>
            </w:r>
            <w:r w:rsidR="00613343" w:rsidRPr="00BB6978">
              <w:rPr>
                <w:rFonts w:asciiTheme="majorBidi" w:hAnsiTheme="majorBidi" w:cstheme="majorBidi"/>
                <w:sz w:val="24"/>
                <w:szCs w:val="24"/>
              </w:rPr>
              <w:t>include</w:t>
            </w:r>
            <w:r w:rsidRPr="00BB6978">
              <w:rPr>
                <w:rFonts w:asciiTheme="majorBidi" w:hAnsiTheme="majorBidi" w:cstheme="majorBidi"/>
                <w:sz w:val="24"/>
                <w:szCs w:val="24"/>
              </w:rPr>
              <w:t xml:space="preserve"> income, employment; health; civic engagement; social cohesion; social levels of desirable attitudes, values, skills and </w:t>
            </w:r>
            <w:r w:rsidR="008D0CC0" w:rsidRPr="00BB6978">
              <w:rPr>
                <w:rFonts w:asciiTheme="majorBidi" w:hAnsiTheme="majorBidi" w:cstheme="majorBidi"/>
                <w:sz w:val="24"/>
                <w:szCs w:val="24"/>
              </w:rPr>
              <w:t>behaviours</w:t>
            </w:r>
          </w:p>
        </w:tc>
        <w:tc>
          <w:tcPr>
            <w:tcW w:w="2160" w:type="dxa"/>
          </w:tcPr>
          <w:p w14:paraId="2533C069" w14:textId="77777777" w:rsidR="005A5C25" w:rsidRPr="00BB6978" w:rsidRDefault="005A5C25" w:rsidP="00CE66D1">
            <w:pPr>
              <w:rPr>
                <w:rFonts w:asciiTheme="majorBidi" w:hAnsiTheme="majorBidi" w:cstheme="majorBidi"/>
                <w:sz w:val="24"/>
                <w:szCs w:val="24"/>
              </w:rPr>
            </w:pPr>
            <w:r w:rsidRPr="00BB6978">
              <w:rPr>
                <w:rFonts w:asciiTheme="majorBidi" w:hAnsiTheme="majorBidi" w:cstheme="majorBidi"/>
                <w:sz w:val="24"/>
                <w:szCs w:val="24"/>
              </w:rPr>
              <w:t>Some concepts are easy to conceptualize, while others are more difficult. All outcomes are difficult to measure</w:t>
            </w:r>
          </w:p>
        </w:tc>
      </w:tr>
      <w:tr w:rsidR="00073A16" w:rsidRPr="00BB6978" w14:paraId="0B2FA29F" w14:textId="77777777" w:rsidTr="00CE66D1">
        <w:trPr>
          <w:trHeight w:val="607"/>
        </w:trPr>
        <w:tc>
          <w:tcPr>
            <w:tcW w:w="1270" w:type="dxa"/>
          </w:tcPr>
          <w:p w14:paraId="5B5CAA01" w14:textId="77777777" w:rsidR="005A5C25" w:rsidRPr="00BB6978" w:rsidRDefault="005A5C25" w:rsidP="00CE66D1">
            <w:pPr>
              <w:rPr>
                <w:rFonts w:asciiTheme="majorBidi" w:hAnsiTheme="majorBidi" w:cstheme="majorBidi"/>
                <w:sz w:val="24"/>
                <w:szCs w:val="24"/>
              </w:rPr>
            </w:pPr>
            <w:r w:rsidRPr="00BB6978">
              <w:rPr>
                <w:rFonts w:asciiTheme="majorBidi" w:hAnsiTheme="majorBidi" w:cstheme="majorBidi"/>
                <w:sz w:val="24"/>
                <w:szCs w:val="24"/>
              </w:rPr>
              <w:t>Value-added</w:t>
            </w:r>
          </w:p>
        </w:tc>
        <w:tc>
          <w:tcPr>
            <w:tcW w:w="3675" w:type="dxa"/>
          </w:tcPr>
          <w:p w14:paraId="0CF2D277" w14:textId="77777777" w:rsidR="005A5C25" w:rsidRPr="00BB6978" w:rsidRDefault="005A5C25" w:rsidP="00CE66D1">
            <w:pPr>
              <w:rPr>
                <w:rFonts w:asciiTheme="majorBidi" w:hAnsiTheme="majorBidi" w:cstheme="majorBidi"/>
                <w:sz w:val="24"/>
                <w:szCs w:val="24"/>
              </w:rPr>
            </w:pPr>
            <w:r w:rsidRPr="00BB6978">
              <w:rPr>
                <w:rFonts w:asciiTheme="majorBidi" w:hAnsiTheme="majorBidi" w:cstheme="majorBidi"/>
                <w:sz w:val="24"/>
                <w:szCs w:val="24"/>
              </w:rPr>
              <w:t xml:space="preserve">This measure </w:t>
            </w:r>
            <w:r w:rsidR="00613343" w:rsidRPr="00BB6978">
              <w:rPr>
                <w:rFonts w:asciiTheme="majorBidi" w:hAnsiTheme="majorBidi" w:cstheme="majorBidi"/>
                <w:sz w:val="24"/>
                <w:szCs w:val="24"/>
              </w:rPr>
              <w:t>extends</w:t>
            </w:r>
            <w:r w:rsidRPr="00BB6978">
              <w:rPr>
                <w:rFonts w:asciiTheme="majorBidi" w:hAnsiTheme="majorBidi" w:cstheme="majorBidi"/>
                <w:sz w:val="24"/>
                <w:szCs w:val="24"/>
              </w:rPr>
              <w:t xml:space="preserve"> of </w:t>
            </w:r>
            <w:r w:rsidR="00613343" w:rsidRPr="00BB6978">
              <w:rPr>
                <w:rFonts w:asciiTheme="majorBidi" w:hAnsiTheme="majorBidi" w:cstheme="majorBidi"/>
                <w:sz w:val="24"/>
                <w:szCs w:val="24"/>
              </w:rPr>
              <w:t>improvement.</w:t>
            </w:r>
          </w:p>
          <w:p w14:paraId="5A80DA7F" w14:textId="77777777" w:rsidR="005A5C25" w:rsidRPr="00BB6978" w:rsidRDefault="005A5C25" w:rsidP="00CE66D1">
            <w:pPr>
              <w:rPr>
                <w:rFonts w:asciiTheme="majorBidi" w:hAnsiTheme="majorBidi" w:cstheme="majorBidi"/>
                <w:sz w:val="24"/>
                <w:szCs w:val="24"/>
              </w:rPr>
            </w:pPr>
          </w:p>
        </w:tc>
        <w:tc>
          <w:tcPr>
            <w:tcW w:w="2160" w:type="dxa"/>
          </w:tcPr>
          <w:p w14:paraId="1C4B2DFA" w14:textId="77777777" w:rsidR="005A5C25" w:rsidRPr="00BB6978" w:rsidRDefault="005A5C25" w:rsidP="00CE66D1">
            <w:pPr>
              <w:rPr>
                <w:rFonts w:asciiTheme="majorBidi" w:hAnsiTheme="majorBidi" w:cstheme="majorBidi"/>
                <w:sz w:val="24"/>
                <w:szCs w:val="24"/>
              </w:rPr>
            </w:pPr>
            <w:r w:rsidRPr="00BB6978">
              <w:rPr>
                <w:rFonts w:asciiTheme="majorBidi" w:hAnsiTheme="majorBidi" w:cstheme="majorBidi"/>
                <w:sz w:val="24"/>
                <w:szCs w:val="24"/>
              </w:rPr>
              <w:t xml:space="preserve">Moderately easy to conceptualize but this </w:t>
            </w:r>
            <w:r w:rsidR="00613343" w:rsidRPr="00BB6978">
              <w:rPr>
                <w:rFonts w:asciiTheme="majorBidi" w:hAnsiTheme="majorBidi" w:cstheme="majorBidi"/>
                <w:sz w:val="24"/>
                <w:szCs w:val="24"/>
              </w:rPr>
              <w:t>depends</w:t>
            </w:r>
            <w:r w:rsidRPr="00BB6978">
              <w:rPr>
                <w:rFonts w:asciiTheme="majorBidi" w:hAnsiTheme="majorBidi" w:cstheme="majorBidi"/>
                <w:sz w:val="24"/>
                <w:szCs w:val="24"/>
              </w:rPr>
              <w:t xml:space="preserve"> on specifics. However, change is difficult to measure and requires baseline</w:t>
            </w:r>
          </w:p>
        </w:tc>
      </w:tr>
    </w:tbl>
    <w:p w14:paraId="3D7E5639" w14:textId="77777777" w:rsidR="005A5C25" w:rsidRPr="00BB6978" w:rsidRDefault="005A5C25" w:rsidP="005A5C25">
      <w:pPr>
        <w:spacing w:line="480" w:lineRule="auto"/>
        <w:rPr>
          <w:rFonts w:asciiTheme="majorBidi" w:hAnsiTheme="majorBidi" w:cstheme="majorBidi"/>
          <w:sz w:val="24"/>
          <w:szCs w:val="24"/>
        </w:rPr>
      </w:pPr>
    </w:p>
    <w:p w14:paraId="32BEA5D8" w14:textId="77777777" w:rsidR="005A5C25" w:rsidRPr="00BB6978" w:rsidRDefault="005A5C25" w:rsidP="005A5C25">
      <w:pPr>
        <w:spacing w:line="480" w:lineRule="auto"/>
        <w:rPr>
          <w:rFonts w:asciiTheme="majorBidi" w:hAnsiTheme="majorBidi" w:cstheme="majorBidi"/>
          <w:sz w:val="24"/>
          <w:szCs w:val="24"/>
        </w:rPr>
      </w:pPr>
    </w:p>
    <w:p w14:paraId="56ED20D7" w14:textId="77777777" w:rsidR="005A5C25" w:rsidRPr="00BB6978" w:rsidRDefault="005A5C25" w:rsidP="005A5C25">
      <w:pPr>
        <w:spacing w:line="480" w:lineRule="auto"/>
        <w:rPr>
          <w:rFonts w:asciiTheme="majorBidi" w:hAnsiTheme="majorBidi" w:cstheme="majorBidi"/>
          <w:sz w:val="24"/>
          <w:szCs w:val="24"/>
        </w:rPr>
      </w:pPr>
    </w:p>
    <w:p w14:paraId="6211BBFC" w14:textId="77777777" w:rsidR="005A5C25" w:rsidRPr="00BB6978" w:rsidRDefault="005A5C25" w:rsidP="005A5C25">
      <w:pPr>
        <w:spacing w:line="240" w:lineRule="auto"/>
        <w:jc w:val="center"/>
        <w:rPr>
          <w:rFonts w:asciiTheme="majorBidi" w:hAnsiTheme="majorBidi" w:cstheme="majorBidi"/>
          <w:sz w:val="20"/>
          <w:szCs w:val="20"/>
        </w:rPr>
      </w:pPr>
    </w:p>
    <w:p w14:paraId="5D659141" w14:textId="77777777" w:rsidR="005A5C25" w:rsidRPr="00BB6978" w:rsidRDefault="005A5C25" w:rsidP="005A5C25">
      <w:pPr>
        <w:spacing w:after="68" w:line="480" w:lineRule="auto"/>
        <w:jc w:val="both"/>
        <w:rPr>
          <w:rFonts w:asciiTheme="majorBidi" w:hAnsiTheme="majorBidi" w:cstheme="majorBidi"/>
          <w:sz w:val="24"/>
          <w:szCs w:val="24"/>
        </w:rPr>
      </w:pPr>
      <w:bookmarkStart w:id="85" w:name="_Toc64369125"/>
      <w:bookmarkStart w:id="86" w:name="_Toc96103743"/>
    </w:p>
    <w:p w14:paraId="1C825B3C" w14:textId="77777777" w:rsidR="00D363DA" w:rsidRPr="00BB6978" w:rsidRDefault="00D363DA" w:rsidP="005A5C25">
      <w:pPr>
        <w:spacing w:after="68" w:line="480" w:lineRule="auto"/>
        <w:ind w:firstLine="357"/>
        <w:jc w:val="both"/>
        <w:rPr>
          <w:rFonts w:asciiTheme="majorBidi" w:hAnsiTheme="majorBidi" w:cstheme="majorBidi"/>
          <w:sz w:val="24"/>
          <w:szCs w:val="24"/>
        </w:rPr>
      </w:pPr>
    </w:p>
    <w:p w14:paraId="4FF2C07F" w14:textId="77777777" w:rsidR="00D363DA" w:rsidRPr="00BB6978" w:rsidRDefault="00D363DA" w:rsidP="005A5C25">
      <w:pPr>
        <w:spacing w:after="68" w:line="480" w:lineRule="auto"/>
        <w:ind w:firstLine="357"/>
        <w:jc w:val="both"/>
        <w:rPr>
          <w:rFonts w:asciiTheme="majorBidi" w:hAnsiTheme="majorBidi" w:cstheme="majorBidi"/>
          <w:sz w:val="24"/>
          <w:szCs w:val="24"/>
        </w:rPr>
      </w:pPr>
    </w:p>
    <w:p w14:paraId="1E15C4F4" w14:textId="77777777" w:rsidR="000F568B" w:rsidRPr="00BB6978" w:rsidRDefault="000F568B" w:rsidP="005A5C25">
      <w:pPr>
        <w:spacing w:after="68" w:line="480" w:lineRule="auto"/>
        <w:ind w:firstLine="357"/>
        <w:jc w:val="both"/>
        <w:rPr>
          <w:rFonts w:asciiTheme="majorBidi" w:hAnsiTheme="majorBidi" w:cstheme="majorBidi"/>
          <w:sz w:val="24"/>
          <w:szCs w:val="24"/>
        </w:rPr>
      </w:pPr>
    </w:p>
    <w:p w14:paraId="3A6696B9" w14:textId="77777777" w:rsidR="000F568B" w:rsidRPr="00BB6978" w:rsidRDefault="000F568B" w:rsidP="005A5C25">
      <w:pPr>
        <w:spacing w:after="68" w:line="480" w:lineRule="auto"/>
        <w:ind w:firstLine="357"/>
        <w:jc w:val="both"/>
        <w:rPr>
          <w:rFonts w:asciiTheme="majorBidi" w:hAnsiTheme="majorBidi" w:cstheme="majorBidi"/>
          <w:sz w:val="24"/>
          <w:szCs w:val="24"/>
        </w:rPr>
      </w:pPr>
    </w:p>
    <w:p w14:paraId="2ECFAEB7" w14:textId="44318275" w:rsidR="005A5C25" w:rsidRPr="00BB6978" w:rsidRDefault="005A5C25" w:rsidP="005A5C25">
      <w:pPr>
        <w:spacing w:after="68"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 xml:space="preserve">Other researchers see educational quality as the benefits of education to the student and other members of the community. These benefits can include intrinsic, extrinsic, or consumption and investment benefits (Ladd &amp; Loeb, 2013). In addition, schools with high quality are perceived to facilitate learning which leads to high student achievement. These schools add value regardless of student background. To do this, these schools need to have strong mission, governance, financial, operational, and assessment quality (Education Evolving, 2016). </w:t>
      </w:r>
    </w:p>
    <w:p w14:paraId="706E6F81" w14:textId="77777777" w:rsidR="005A5C25" w:rsidRPr="00BB6978" w:rsidRDefault="005A5C25" w:rsidP="005A5C25">
      <w:pPr>
        <w:spacing w:after="68"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 xml:space="preserve">Quality assurance is essential to provide high quality education. Quality is seen as “fitness for purpose,” whereas quality assurance is defined as consisting of processes, systems, actions, and procedures capable of aiding in the attainment, monitoring, maintenance, and enhancement of quality (Akareem &amp; Hossain, 2016). High quality schools focus on facilitating students learning and have higher chances of ensuring student achievement. Although discussing "school quality" in the context of student achievement may be challenging due to the narrow definitions of the two terms, school quality is essentially based on the extent to which it facilitates learning (Education Evolving, 2016). This is based on the notion that schools accommodate students from varying backgrounds with diverse ability levels, family conditions, and personal challenges. The concept of school quality is based on “value-added” to students learning. Thus, schools can only be considered to be successful or of high quality when the learners are successful as well (Education Evolving, 2016). </w:t>
      </w:r>
    </w:p>
    <w:p w14:paraId="57B89D93" w14:textId="77777777" w:rsidR="005A5C25" w:rsidRPr="00BB6978" w:rsidRDefault="005A5C25" w:rsidP="005A5C25">
      <w:pPr>
        <w:spacing w:after="68"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In the same vein, Garira (2020) observed that school quality can be synonymously taken to mean the quality of education; thus, quality of education becomes an integral attribute in differentiating between successful and unsuccessful schools. Further, Garira (2020) quoted Williams, who claimed that the quality of education can be understood clearly based on the output, which mainly includes learners’ achievement. Students' success in examinations and tests may be perceived as a sign of good quality of education in schools. However, gaining a comprehensive holistic understanding of quality of education can be conceptualized to be composed of processes, inputs, outputs, and outcomes of education which ensure the enhancement of students’ cultural and academic knowledge, personal development, and social preparation (Garira, 2020). In one way or another, this reflects the meaning of school quality noted by Adams (1997).</w:t>
      </w:r>
    </w:p>
    <w:p w14:paraId="6081F807" w14:textId="69858ABF" w:rsidR="005A5C25" w:rsidRPr="00BB6978" w:rsidRDefault="00224C49" w:rsidP="005A5C25">
      <w:pPr>
        <w:spacing w:after="68" w:line="480" w:lineRule="auto"/>
        <w:ind w:firstLine="357"/>
        <w:jc w:val="both"/>
        <w:rPr>
          <w:rFonts w:asciiTheme="majorBidi" w:hAnsiTheme="majorBidi" w:cstheme="majorBidi"/>
          <w:sz w:val="24"/>
          <w:szCs w:val="24"/>
          <w:lang w:bidi="en-US"/>
        </w:rPr>
      </w:pPr>
      <w:r w:rsidRPr="00BB6978">
        <w:rPr>
          <w:rFonts w:asciiTheme="majorBidi" w:hAnsiTheme="majorBidi" w:cstheme="majorBidi"/>
          <w:sz w:val="24"/>
          <w:szCs w:val="24"/>
          <w:lang w:bidi="en-US"/>
        </w:rPr>
        <w:t>In 2000, t</w:t>
      </w:r>
      <w:r w:rsidR="005A5C25" w:rsidRPr="00BB6978">
        <w:rPr>
          <w:rFonts w:asciiTheme="majorBidi" w:hAnsiTheme="majorBidi" w:cstheme="majorBidi"/>
          <w:sz w:val="24"/>
          <w:szCs w:val="24"/>
          <w:lang w:bidi="en-US"/>
        </w:rPr>
        <w:t xml:space="preserve">he United Nations International Children Emergency Fund (UNICEF) defines education quality based on five dimensions: well-nourished and healthy learners who are prepared to participate, learn, and enjoy with the support of communities and families in their learning. Safe and gender-sensitive environments that provide learners with sufficient resources and learning facilities are also important. The education content should also have relevant curricula and materials needed by learners to acquire basic skills (UNICEF, 2000). Finally, in the teaching process, trained teachers should use learner-centered teaching methods in schools and classrooms that are effectively managed and </w:t>
      </w:r>
      <w:r w:rsidRPr="00BB6978">
        <w:rPr>
          <w:rFonts w:asciiTheme="majorBidi" w:hAnsiTheme="majorBidi" w:cstheme="majorBidi"/>
          <w:sz w:val="24"/>
          <w:szCs w:val="24"/>
          <w:lang w:bidi="en-US"/>
        </w:rPr>
        <w:t>skilfully</w:t>
      </w:r>
      <w:r w:rsidR="005A5C25" w:rsidRPr="00BB6978">
        <w:rPr>
          <w:rFonts w:asciiTheme="majorBidi" w:hAnsiTheme="majorBidi" w:cstheme="majorBidi"/>
          <w:sz w:val="24"/>
          <w:szCs w:val="24"/>
          <w:lang w:bidi="en-US"/>
        </w:rPr>
        <w:t xml:space="preserve"> assessed to facilitate learning and minimize disparities</w:t>
      </w:r>
      <w:r w:rsidRPr="00BB6978">
        <w:rPr>
          <w:rFonts w:asciiTheme="majorBidi" w:hAnsiTheme="majorBidi" w:cstheme="majorBidi"/>
          <w:sz w:val="24"/>
          <w:szCs w:val="24"/>
          <w:lang w:bidi="en-US"/>
        </w:rPr>
        <w:t xml:space="preserve"> (Hanushek, et al., 2006).</w:t>
      </w:r>
      <w:r w:rsidRPr="00BB6978">
        <w:rPr>
          <w:rFonts w:ascii="Arial" w:hAnsi="Arial" w:cs="Arial"/>
          <w:sz w:val="20"/>
          <w:szCs w:val="20"/>
          <w:shd w:val="clear" w:color="auto" w:fill="FFFFFF"/>
        </w:rPr>
        <w:t xml:space="preserve"> </w:t>
      </w:r>
      <w:r w:rsidR="005A5C25" w:rsidRPr="00BB6978">
        <w:rPr>
          <w:rFonts w:asciiTheme="majorBidi" w:hAnsiTheme="majorBidi" w:cstheme="majorBidi"/>
          <w:sz w:val="24"/>
          <w:szCs w:val="24"/>
          <w:lang w:bidi="en-US"/>
        </w:rPr>
        <w:t>Similar to Garira (2020), Ouda, Opiyo, and Wambiya (2015) stated that school quality is associated with outcomes, such as learners’ skills, knowledge, and attitudes, and are related to national objectives for education as well as constructive participation in society (Ouda, Opiyo, &amp; Wambiya, 2015).</w:t>
      </w:r>
    </w:p>
    <w:p w14:paraId="75150665" w14:textId="5AD9CDFF" w:rsidR="005A5C25" w:rsidRPr="00BB6978" w:rsidRDefault="005A5C25" w:rsidP="005A5C25">
      <w:pPr>
        <w:spacing w:after="68" w:line="480" w:lineRule="auto"/>
        <w:ind w:firstLine="357"/>
        <w:jc w:val="both"/>
        <w:rPr>
          <w:rFonts w:asciiTheme="majorBidi" w:hAnsiTheme="majorBidi" w:cstheme="majorBidi"/>
          <w:sz w:val="24"/>
          <w:szCs w:val="24"/>
          <w:lang w:val="en-US"/>
        </w:rPr>
      </w:pPr>
      <w:r w:rsidRPr="00BB6978">
        <w:rPr>
          <w:rFonts w:asciiTheme="majorBidi" w:hAnsiTheme="majorBidi" w:cstheme="majorBidi"/>
          <w:sz w:val="24"/>
          <w:szCs w:val="24"/>
          <w:lang w:val="en-US"/>
        </w:rPr>
        <w:t xml:space="preserve">Overall, school quality is a complex and multifaceted concept that cannot be captured by a single measure or </w:t>
      </w:r>
      <w:r w:rsidR="00613343" w:rsidRPr="00BB6978">
        <w:rPr>
          <w:rFonts w:asciiTheme="majorBidi" w:hAnsiTheme="majorBidi" w:cstheme="majorBidi"/>
          <w:sz w:val="24"/>
          <w:szCs w:val="24"/>
          <w:lang w:val="en-US"/>
        </w:rPr>
        <w:t>indicator</w:t>
      </w:r>
      <w:r w:rsidRPr="00BB6978">
        <w:rPr>
          <w:rFonts w:asciiTheme="majorBidi" w:hAnsiTheme="majorBidi" w:cstheme="majorBidi"/>
          <w:sz w:val="24"/>
          <w:szCs w:val="24"/>
          <w:lang w:val="en-US"/>
        </w:rPr>
        <w:t>. Researchers and policy makers continue to work on developing more comprehensive and nuanced approaches to defining and measuring school quality in order to better understand and address the needs of students and schools (</w:t>
      </w:r>
      <w:r w:rsidRPr="00BB6978">
        <w:rPr>
          <w:rFonts w:asciiTheme="majorBidi" w:hAnsiTheme="majorBidi" w:cstheme="majorBidi"/>
          <w:sz w:val="24"/>
          <w:szCs w:val="24"/>
        </w:rPr>
        <w:t>Leu, 2005)</w:t>
      </w:r>
    </w:p>
    <w:p w14:paraId="42D1192D" w14:textId="77777777" w:rsidR="00224C49" w:rsidRPr="00BB6978" w:rsidRDefault="005A5C25" w:rsidP="00224C49">
      <w:pPr>
        <w:spacing w:after="68"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 xml:space="preserve">Across the different views on quality education, educators agree on one thing: education quality is the heart of education. The UN added quality as of the SDG goals and defined it as satisfying basic learning </w:t>
      </w:r>
      <w:r w:rsidR="00613343" w:rsidRPr="00BB6978">
        <w:rPr>
          <w:rFonts w:asciiTheme="majorBidi" w:hAnsiTheme="majorBidi" w:cstheme="majorBidi"/>
          <w:sz w:val="24"/>
          <w:szCs w:val="24"/>
        </w:rPr>
        <w:t>needs and</w:t>
      </w:r>
      <w:r w:rsidRPr="00BB6978">
        <w:rPr>
          <w:rFonts w:asciiTheme="majorBidi" w:hAnsiTheme="majorBidi" w:cstheme="majorBidi"/>
          <w:sz w:val="24"/>
          <w:szCs w:val="24"/>
        </w:rPr>
        <w:t xml:space="preserve"> enriching the learner’s life and living experience (Pigozzi, 2009). These debates demonstrate the need to carefully evaluate school quality in the UAE context and what stakeholders mean when refer to school quality</w:t>
      </w:r>
      <w:r w:rsidR="00224C49" w:rsidRPr="00BB6978">
        <w:rPr>
          <w:rFonts w:asciiTheme="majorBidi" w:hAnsiTheme="majorBidi" w:cstheme="majorBidi"/>
          <w:sz w:val="24"/>
          <w:szCs w:val="24"/>
        </w:rPr>
        <w:t xml:space="preserve"> (Tamim &amp; Colburn, 2019).</w:t>
      </w:r>
    </w:p>
    <w:p w14:paraId="0FAAE433" w14:textId="77777777" w:rsidR="005A5C25" w:rsidRPr="00BB6978" w:rsidRDefault="005A5C25" w:rsidP="005A5C25">
      <w:pPr>
        <w:pStyle w:val="Heading2"/>
        <w:rPr>
          <w:rFonts w:asciiTheme="majorBidi" w:eastAsiaTheme="minorHAnsi" w:hAnsiTheme="majorBidi"/>
          <w:b w:val="0"/>
          <w:bCs w:val="0"/>
          <w:color w:val="auto"/>
          <w:sz w:val="24"/>
          <w:szCs w:val="24"/>
        </w:rPr>
      </w:pPr>
      <w:bookmarkStart w:id="87" w:name="_Toc138239795"/>
      <w:r w:rsidRPr="00BB6978">
        <w:rPr>
          <w:rFonts w:asciiTheme="majorBidi" w:hAnsiTheme="majorBidi"/>
          <w:color w:val="auto"/>
          <w:sz w:val="24"/>
          <w:szCs w:val="24"/>
        </w:rPr>
        <w:t>2.2.2 Quantifying school quality</w:t>
      </w:r>
      <w:bookmarkEnd w:id="85"/>
      <w:bookmarkEnd w:id="86"/>
      <w:bookmarkEnd w:id="87"/>
    </w:p>
    <w:p w14:paraId="2A012915" w14:textId="77777777" w:rsidR="005A5C25" w:rsidRPr="00BB6978" w:rsidRDefault="005A5C25" w:rsidP="005A5C25">
      <w:r w:rsidRPr="00BB6978">
        <w:t xml:space="preserve"> </w:t>
      </w:r>
    </w:p>
    <w:p w14:paraId="0991D915" w14:textId="77777777" w:rsidR="005A5C25" w:rsidRPr="00BB6978" w:rsidRDefault="005A5C25" w:rsidP="005A5C25">
      <w:pPr>
        <w:spacing w:after="68" w:line="480" w:lineRule="auto"/>
        <w:ind w:firstLine="357"/>
        <w:jc w:val="both"/>
        <w:rPr>
          <w:rFonts w:asciiTheme="majorBidi" w:hAnsiTheme="majorBidi" w:cstheme="majorBidi"/>
          <w:sz w:val="24"/>
          <w:szCs w:val="24"/>
        </w:rPr>
      </w:pPr>
      <w:bookmarkStart w:id="88" w:name="_Toc96103744"/>
      <w:r w:rsidRPr="00BB6978">
        <w:rPr>
          <w:rFonts w:asciiTheme="majorBidi" w:hAnsiTheme="majorBidi" w:cstheme="majorBidi"/>
          <w:sz w:val="24"/>
          <w:szCs w:val="24"/>
        </w:rPr>
        <w:t xml:space="preserve">Different measures and approaches have been proposed to gauge school quality </w:t>
      </w:r>
      <w:r w:rsidRPr="00BB6978">
        <w:rPr>
          <w:rFonts w:asciiTheme="majorBidi" w:hAnsiTheme="majorBidi" w:cstheme="majorBidi"/>
          <w:sz w:val="24"/>
          <w:szCs w:val="24"/>
        </w:rPr>
        <w:fldChar w:fldCharType="begin" w:fldLock="1"/>
      </w:r>
      <w:r w:rsidRPr="00BB6978">
        <w:rPr>
          <w:rFonts w:asciiTheme="majorBidi" w:hAnsiTheme="majorBidi" w:cstheme="majorBidi"/>
          <w:sz w:val="24"/>
          <w:szCs w:val="24"/>
        </w:rPr>
        <w:instrText>ADDIN CSL_CITATION {"citationItems":[{"id":"ITEM-1","itemData":{"ISSN":"0031-7217","author":[{"dropping-particle":"","family":"Schneider","given":"Jack","non-dropping-particle":"","parse-names":false,"suffix":""},{"dropping-particle":"","family":"Jacobsen","given":"Rebecca","non-dropping-particle":"","parse-names":false,"suffix":""},{"dropping-particle":"","family":"White","given":"Rachel","non-dropping-particle":"","parse-names":false,"suffix":""},{"dropping-particle":"","family":"Gehlbach","given":"Hunter","non-dropping-particle":"","parse-names":false,"suffix":""}],"container-title":"Phi Delta Kappan","id":"ITEM-1","issue":"7","issued":{"date-parts":[["2017"]]},"page":"43-48","publisher":"SAGE Publications Sage CA: Los Angeles, CA","title":"Building a better measure of school quality","type":"article-journal","volume":"98"},"uris":["http://www.mendeley.com/documents/?uuid=926064a7-bb85-4da4-9d94-16b5bd3186dc"]}],"mendeley":{"formattedCitation":"(Schneider et al., 2017)","plainTextFormattedCitation":"(Schneider et al., 2017)","previouslyFormattedCitation":"(Schneider et al. 2017)"},"properties":{"noteIndex":0},"schema":"https://github.com/citation-style-language/schema/raw/master/csl-citation.json"}</w:instrText>
      </w:r>
      <w:r w:rsidRPr="00BB6978">
        <w:rPr>
          <w:rFonts w:asciiTheme="majorBidi" w:hAnsiTheme="majorBidi" w:cstheme="majorBidi"/>
          <w:sz w:val="24"/>
          <w:szCs w:val="24"/>
        </w:rPr>
        <w:fldChar w:fldCharType="separate"/>
      </w:r>
      <w:r w:rsidRPr="00BB6978">
        <w:rPr>
          <w:rFonts w:asciiTheme="majorBidi" w:hAnsiTheme="majorBidi" w:cstheme="majorBidi"/>
          <w:sz w:val="24"/>
          <w:szCs w:val="24"/>
        </w:rPr>
        <w:t>(Schneider et al., 2017)</w:t>
      </w:r>
      <w:r w:rsidRPr="00BB6978">
        <w:rPr>
          <w:rFonts w:asciiTheme="majorBidi" w:hAnsiTheme="majorBidi" w:cstheme="majorBidi"/>
          <w:sz w:val="24"/>
          <w:szCs w:val="24"/>
        </w:rPr>
        <w:fldChar w:fldCharType="end"/>
      </w:r>
      <w:r w:rsidRPr="00BB6978">
        <w:rPr>
          <w:rFonts w:asciiTheme="majorBidi" w:hAnsiTheme="majorBidi" w:cstheme="majorBidi"/>
          <w:sz w:val="24"/>
          <w:szCs w:val="24"/>
        </w:rPr>
        <w:t xml:space="preserve">. Thornton and Arbogast </w:t>
      </w:r>
      <w:r w:rsidRPr="00BB6978">
        <w:rPr>
          <w:rFonts w:asciiTheme="majorBidi" w:hAnsiTheme="majorBidi" w:cstheme="majorBidi"/>
          <w:sz w:val="24"/>
          <w:szCs w:val="24"/>
        </w:rPr>
        <w:fldChar w:fldCharType="begin" w:fldLock="1"/>
      </w:r>
      <w:r w:rsidRPr="00BB6978">
        <w:rPr>
          <w:rFonts w:asciiTheme="majorBidi" w:hAnsiTheme="majorBidi" w:cstheme="majorBidi"/>
          <w:sz w:val="24"/>
          <w:szCs w:val="24"/>
        </w:rPr>
        <w:instrText>ADDIN CSL_CITATION {"citationItems":[{"id":"ITEM-1","itemData":{"ISSN":"1940-5847","author":[{"dropping-particle":"","family":"Thornton","given":"Barry","non-dropping-particle":"","parse-names":false,"suffix":""},{"dropping-particle":"","family":"Arbogast","given":"Gordon","non-dropping-particle":"","parse-names":false,"suffix":""}],"container-title":"Contemporary Issues in Education Research","id":"ITEM-1","issue":"2","issued":{"date-parts":[["2014"]]},"page":"69-74","publisher":"ERIC","title":"Factors Affecting School Quality in Florida.","type":"article-journal","volume":"7"},"label":"subverbo","suppress-author":1,"uris":["http://www.mendeley.com/documents/?uuid=fe343ffd-31b2-4a38-9d05-0a56c921f269"]}],"mendeley":{"formattedCitation":"(2014)","plainTextFormattedCitation":"(2014)","previouslyFormattedCitation":"(2014)"},"properties":{"noteIndex":0},"schema":"https://github.com/citation-style-language/schema/raw/master/csl-citation.json"}</w:instrText>
      </w:r>
      <w:r w:rsidRPr="00BB6978">
        <w:rPr>
          <w:rFonts w:asciiTheme="majorBidi" w:hAnsiTheme="majorBidi" w:cstheme="majorBidi"/>
          <w:sz w:val="24"/>
          <w:szCs w:val="24"/>
        </w:rPr>
        <w:fldChar w:fldCharType="separate"/>
      </w:r>
      <w:r w:rsidRPr="00BB6978">
        <w:rPr>
          <w:rFonts w:asciiTheme="majorBidi" w:hAnsiTheme="majorBidi" w:cstheme="majorBidi"/>
          <w:sz w:val="24"/>
          <w:szCs w:val="24"/>
        </w:rPr>
        <w:t>(2014)</w:t>
      </w:r>
      <w:r w:rsidRPr="00BB6978">
        <w:rPr>
          <w:rFonts w:asciiTheme="majorBidi" w:hAnsiTheme="majorBidi" w:cstheme="majorBidi"/>
          <w:sz w:val="24"/>
          <w:szCs w:val="24"/>
        </w:rPr>
        <w:fldChar w:fldCharType="end"/>
      </w:r>
      <w:r w:rsidRPr="00BB6978">
        <w:rPr>
          <w:rFonts w:asciiTheme="majorBidi" w:hAnsiTheme="majorBidi" w:cstheme="majorBidi"/>
          <w:sz w:val="24"/>
          <w:szCs w:val="24"/>
        </w:rPr>
        <w:t xml:space="preserve"> proposed a model which considered education achievement as an outcome of school quality. The authors noted that </w:t>
      </w:r>
      <w:r w:rsidRPr="00BB6978">
        <w:rPr>
          <w:rFonts w:asciiTheme="majorBidi" w:hAnsiTheme="majorBidi" w:cstheme="majorBidi"/>
          <w:i/>
          <w:iCs/>
          <w:sz w:val="24"/>
          <w:szCs w:val="24"/>
        </w:rPr>
        <w:t>ceteris paribus</w:t>
      </w:r>
      <w:r w:rsidRPr="00BB6978">
        <w:rPr>
          <w:rFonts w:asciiTheme="majorBidi" w:hAnsiTheme="majorBidi" w:cstheme="majorBidi"/>
          <w:sz w:val="24"/>
          <w:szCs w:val="24"/>
        </w:rPr>
        <w:t>,</w:t>
      </w:r>
      <w:r w:rsidRPr="00BB6978">
        <w:rPr>
          <w:rFonts w:asciiTheme="majorBidi" w:hAnsiTheme="majorBidi" w:cstheme="majorBidi"/>
          <w:i/>
          <w:iCs/>
          <w:sz w:val="24"/>
          <w:szCs w:val="24"/>
        </w:rPr>
        <w:t xml:space="preserve"> </w:t>
      </w:r>
      <w:r w:rsidRPr="00BB6978">
        <w:rPr>
          <w:rFonts w:asciiTheme="majorBidi" w:hAnsiTheme="majorBidi" w:cstheme="majorBidi"/>
          <w:sz w:val="24"/>
          <w:szCs w:val="24"/>
        </w:rPr>
        <w:t xml:space="preserve">higher education achievement in a province (Florida) was associated with improved school quality. As per their different relapse models, each extra secondary school graduate in each 1,000 occupants was related with a 0.05 increase in the school quality measure (GPA) </w:t>
      </w:r>
      <w:r w:rsidRPr="00BB6978">
        <w:rPr>
          <w:rFonts w:asciiTheme="majorBidi" w:hAnsiTheme="majorBidi" w:cstheme="majorBidi"/>
          <w:sz w:val="24"/>
          <w:szCs w:val="24"/>
        </w:rPr>
        <w:fldChar w:fldCharType="begin" w:fldLock="1"/>
      </w:r>
      <w:r w:rsidRPr="00BB6978">
        <w:rPr>
          <w:rFonts w:asciiTheme="majorBidi" w:hAnsiTheme="majorBidi" w:cstheme="majorBidi"/>
          <w:sz w:val="24"/>
          <w:szCs w:val="24"/>
        </w:rPr>
        <w:instrText>ADDIN CSL_CITATION {"citationItems":[{"id":"ITEM-1","itemData":{"ISSN":"1940-5847","author":[{"dropping-particle":"","family":"Thornton","given":"Barry","non-dropping-particle":"","parse-names":false,"suffix":""},{"dropping-particle":"","family":"Arbogast","given":"Gordon","non-dropping-particle":"","parse-names":false,"suffix":""}],"container-title":"Contemporary Issues in Education Research","id":"ITEM-1","issue":"2","issued":{"date-parts":[["2014"]]},"page":"69-74","publisher":"ERIC","title":"Factors Affecting School Quality in Florida.","type":"article-journal","volume":"7"},"uris":["http://www.mendeley.com/documents/?uuid=fe343ffd-31b2-4a38-9d05-0a56c921f269"]}],"mendeley":{"formattedCitation":"(Thornton &amp; Arbogast, 2014)","plainTextFormattedCitation":"(Thornton &amp; Arbogast, 2014)","previouslyFormattedCitation":"(Thornton and Arbogast 2014)"},"properties":{"noteIndex":0},"schema":"https://github.com/citation-style-language/schema/raw/master/csl-citation.json"}</w:instrText>
      </w:r>
      <w:r w:rsidRPr="00BB6978">
        <w:rPr>
          <w:rFonts w:asciiTheme="majorBidi" w:hAnsiTheme="majorBidi" w:cstheme="majorBidi"/>
          <w:sz w:val="24"/>
          <w:szCs w:val="24"/>
        </w:rPr>
        <w:fldChar w:fldCharType="separate"/>
      </w:r>
      <w:r w:rsidRPr="00BB6978">
        <w:rPr>
          <w:rFonts w:asciiTheme="majorBidi" w:hAnsiTheme="majorBidi" w:cstheme="majorBidi"/>
          <w:sz w:val="24"/>
          <w:szCs w:val="24"/>
        </w:rPr>
        <w:t>(Thornton &amp; Arbogast, 2014)</w:t>
      </w:r>
      <w:r w:rsidRPr="00BB6978">
        <w:rPr>
          <w:rFonts w:asciiTheme="majorBidi" w:hAnsiTheme="majorBidi" w:cstheme="majorBidi"/>
          <w:sz w:val="24"/>
          <w:szCs w:val="24"/>
        </w:rPr>
        <w:fldChar w:fldCharType="end"/>
      </w:r>
      <w:r w:rsidRPr="00BB6978">
        <w:rPr>
          <w:rFonts w:asciiTheme="majorBidi" w:hAnsiTheme="majorBidi" w:cstheme="majorBidi"/>
          <w:sz w:val="24"/>
          <w:szCs w:val="24"/>
        </w:rPr>
        <w:t xml:space="preserve">. </w:t>
      </w:r>
    </w:p>
    <w:p w14:paraId="3B41B4EC" w14:textId="77777777" w:rsidR="005A5C25" w:rsidRPr="00BB6978" w:rsidRDefault="005A5C25" w:rsidP="005A5C25">
      <w:pPr>
        <w:spacing w:after="68"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 xml:space="preserve">Student outcomes, including instructive </w:t>
      </w:r>
      <w:r w:rsidR="00C134C7" w:rsidRPr="00BB6978">
        <w:rPr>
          <w:rFonts w:asciiTheme="majorBidi" w:hAnsiTheme="majorBidi" w:cstheme="majorBidi"/>
          <w:sz w:val="24"/>
          <w:szCs w:val="24"/>
        </w:rPr>
        <w:t>fulfilment</w:t>
      </w:r>
      <w:r w:rsidRPr="00BB6978">
        <w:rPr>
          <w:rFonts w:asciiTheme="majorBidi" w:hAnsiTheme="majorBidi" w:cstheme="majorBidi"/>
          <w:sz w:val="24"/>
          <w:szCs w:val="24"/>
        </w:rPr>
        <w:t xml:space="preserve"> and achievement, may substitute student education results achieved long after finishing school. As noted before, student test performance can be a marker of higher education </w:t>
      </w:r>
      <w:r w:rsidR="00C134C7" w:rsidRPr="00BB6978">
        <w:rPr>
          <w:rFonts w:asciiTheme="majorBidi" w:hAnsiTheme="majorBidi" w:cstheme="majorBidi"/>
          <w:sz w:val="24"/>
          <w:szCs w:val="24"/>
        </w:rPr>
        <w:t>fulfilment</w:t>
      </w:r>
      <w:r w:rsidRPr="00BB6978">
        <w:rPr>
          <w:rFonts w:asciiTheme="majorBidi" w:hAnsiTheme="majorBidi" w:cstheme="majorBidi"/>
          <w:sz w:val="24"/>
          <w:szCs w:val="24"/>
        </w:rPr>
        <w:t xml:space="preserve"> as well as income. As students' mental faculties improve with education, estimated through grades, they can contribute to future income. This relationship between student test performance and future income can be used a proxy of school quality </w:t>
      </w:r>
      <w:r w:rsidRPr="00BB6978">
        <w:rPr>
          <w:rFonts w:asciiTheme="majorBidi" w:hAnsiTheme="majorBidi" w:cstheme="majorBidi"/>
          <w:sz w:val="24"/>
          <w:szCs w:val="24"/>
        </w:rPr>
        <w:fldChar w:fldCharType="begin" w:fldLock="1"/>
      </w:r>
      <w:r w:rsidRPr="00BB6978">
        <w:rPr>
          <w:rFonts w:asciiTheme="majorBidi" w:hAnsiTheme="majorBidi" w:cstheme="majorBidi"/>
          <w:sz w:val="24"/>
          <w:szCs w:val="24"/>
        </w:rPr>
        <w:instrText>ADDIN CSL_CITATION {"citationItems":[{"id":"ITEM-1","itemData":{"author":[{"dropping-particle":"","family":"Ladd","given":"Helen","non-dropping-particle":"","parse-names":false,"suffix":""},{"dropping-particle":"","family":"Loeb","given":"Susanna","non-dropping-particle":"","parse-names":false,"suffix":""}],"container-title":"Education, justice, and democracy","id":"ITEM-1","issued":{"date-parts":[["2013"]]},"publisher":"The University of Chicago Press Chicago, IL","title":"The challenges of measuring school quality","type":"article-journal","volume":"19"},"uris":["http://www.mendeley.com/documents/?uuid=a73197de-a803-47dc-b6f8-02147c9e299c"]}],"mendeley":{"formattedCitation":"(Ladd &amp; Loeb, 2013)","plainTextFormattedCitation":"(Ladd &amp; Loeb, 2013)","previouslyFormattedCitation":"(Ladd and Loeb 2013)"},"properties":{"noteIndex":0},"schema":"https://github.com/citation-style-language/schema/raw/master/csl-citation.json"}</w:instrText>
      </w:r>
      <w:r w:rsidRPr="00BB6978">
        <w:rPr>
          <w:rFonts w:asciiTheme="majorBidi" w:hAnsiTheme="majorBidi" w:cstheme="majorBidi"/>
          <w:sz w:val="24"/>
          <w:szCs w:val="24"/>
        </w:rPr>
        <w:fldChar w:fldCharType="separate"/>
      </w:r>
      <w:r w:rsidRPr="00BB6978">
        <w:rPr>
          <w:rFonts w:asciiTheme="majorBidi" w:hAnsiTheme="majorBidi" w:cstheme="majorBidi"/>
          <w:sz w:val="24"/>
          <w:szCs w:val="24"/>
        </w:rPr>
        <w:t>(Ladd &amp; Loeb, 2013)</w:t>
      </w:r>
      <w:r w:rsidRPr="00BB6978">
        <w:rPr>
          <w:rFonts w:asciiTheme="majorBidi" w:hAnsiTheme="majorBidi" w:cstheme="majorBidi"/>
          <w:sz w:val="24"/>
          <w:szCs w:val="24"/>
        </w:rPr>
        <w:fldChar w:fldCharType="end"/>
      </w:r>
      <w:r w:rsidRPr="00BB6978">
        <w:rPr>
          <w:rFonts w:asciiTheme="majorBidi" w:hAnsiTheme="majorBidi" w:cstheme="majorBidi"/>
          <w:sz w:val="24"/>
          <w:szCs w:val="24"/>
        </w:rPr>
        <w:t xml:space="preserve">. </w:t>
      </w:r>
    </w:p>
    <w:p w14:paraId="62C6A7B6" w14:textId="093F21B8" w:rsidR="005A5C25" w:rsidRPr="00BB6978" w:rsidRDefault="005A5C25" w:rsidP="005A5C25">
      <w:pPr>
        <w:spacing w:after="68"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 xml:space="preserve">However, using students' test results to quantify school quality has different disadvantages </w:t>
      </w:r>
      <w:r w:rsidRPr="00BB6978">
        <w:rPr>
          <w:rFonts w:asciiTheme="majorBidi" w:hAnsiTheme="majorBidi" w:cstheme="majorBidi"/>
          <w:sz w:val="24"/>
          <w:szCs w:val="24"/>
        </w:rPr>
        <w:fldChar w:fldCharType="begin" w:fldLock="1"/>
      </w:r>
      <w:r w:rsidRPr="00BB6978">
        <w:rPr>
          <w:rFonts w:asciiTheme="majorBidi" w:hAnsiTheme="majorBidi" w:cstheme="majorBidi"/>
          <w:sz w:val="24"/>
          <w:szCs w:val="24"/>
        </w:rPr>
        <w:instrText>ADDIN CSL_CITATION {"citationItems":[{"id":"ITEM-1","itemData":{"author":[{"dropping-particle":"","family":"Ladd","given":"Helen","non-dropping-particle":"","parse-names":false,"suffix":""},{"dropping-particle":"","family":"Loeb","given":"Susanna","non-dropping-particle":"","parse-names":false,"suffix":""}],"container-title":"Education, justice, and democracy","id":"ITEM-1","issued":{"date-parts":[["2013"]]},"publisher":"The University of Chicago Press Chicago, IL","title":"The challenges of measuring school quality","type":"article-journal","volume":"19"},"uris":["http://www.mendeley.com/documents/?uuid=a73197de-a803-47dc-b6f8-02147c9e299c"]}],"mendeley":{"formattedCitation":"(Ladd &amp; Loeb, 2013)","plainTextFormattedCitation":"(Ladd &amp; Loeb, 2013)","previouslyFormattedCitation":"(Ladd and Loeb 2013)"},"properties":{"noteIndex":0},"schema":"https://github.com/citation-style-language/schema/raw/master/csl-citation.json"}</w:instrText>
      </w:r>
      <w:r w:rsidRPr="00BB6978">
        <w:rPr>
          <w:rFonts w:asciiTheme="majorBidi" w:hAnsiTheme="majorBidi" w:cstheme="majorBidi"/>
          <w:sz w:val="24"/>
          <w:szCs w:val="24"/>
        </w:rPr>
        <w:fldChar w:fldCharType="separate"/>
      </w:r>
      <w:r w:rsidRPr="00BB6978">
        <w:rPr>
          <w:rFonts w:asciiTheme="majorBidi" w:hAnsiTheme="majorBidi" w:cstheme="majorBidi"/>
          <w:sz w:val="24"/>
          <w:szCs w:val="24"/>
        </w:rPr>
        <w:t>(Ladd &amp; Loeb, 2013)</w:t>
      </w:r>
      <w:r w:rsidRPr="00BB6978">
        <w:rPr>
          <w:rFonts w:asciiTheme="majorBidi" w:hAnsiTheme="majorBidi" w:cstheme="majorBidi"/>
          <w:sz w:val="24"/>
          <w:szCs w:val="24"/>
        </w:rPr>
        <w:fldChar w:fldCharType="end"/>
      </w:r>
      <w:r w:rsidRPr="00BB6978">
        <w:rPr>
          <w:rFonts w:asciiTheme="majorBidi" w:hAnsiTheme="majorBidi" w:cstheme="majorBidi"/>
          <w:sz w:val="24"/>
          <w:szCs w:val="24"/>
        </w:rPr>
        <w:t>. For instance, typically student outcome measures do not disguise the breadth of student results. A similar thing is observed for using how esteemed schools are to stakeholders and the general public, which is one of the basic origins of perceptions of school quality</w:t>
      </w:r>
      <w:r w:rsidR="005A5CBD" w:rsidRPr="00BB6978">
        <w:rPr>
          <w:rFonts w:asciiTheme="majorBidi" w:hAnsiTheme="majorBidi" w:cstheme="majorBidi"/>
          <w:sz w:val="24"/>
          <w:szCs w:val="24"/>
        </w:rPr>
        <w:t xml:space="preserve"> (Goe, 2007).</w:t>
      </w:r>
      <w:r w:rsidRPr="00BB6978">
        <w:rPr>
          <w:rFonts w:asciiTheme="majorBidi" w:hAnsiTheme="majorBidi" w:cstheme="majorBidi"/>
          <w:sz w:val="24"/>
          <w:szCs w:val="24"/>
        </w:rPr>
        <w:t xml:space="preserve"> In the US, the No Child Left Behind (NCLB) strategy has made it compulsory for all schools to consistently conduct student evaluations in English and math from grades three to eight. Therefore, student test scores in math and English have been utilized as a standard measure of school quality</w:t>
      </w:r>
      <w:r w:rsidR="005A5CBD" w:rsidRPr="00BB6978">
        <w:rPr>
          <w:rFonts w:asciiTheme="majorBidi" w:hAnsiTheme="majorBidi" w:cstheme="majorBidi"/>
          <w:sz w:val="24"/>
          <w:szCs w:val="24"/>
        </w:rPr>
        <w:t xml:space="preserve"> </w:t>
      </w:r>
      <w:r w:rsidR="005A5CBD" w:rsidRPr="00BB6978">
        <w:rPr>
          <w:rFonts w:asciiTheme="majorBidi" w:hAnsiTheme="majorBidi" w:cstheme="majorBidi"/>
          <w:sz w:val="24"/>
          <w:szCs w:val="24"/>
        </w:rPr>
        <w:fldChar w:fldCharType="begin" w:fldLock="1"/>
      </w:r>
      <w:r w:rsidR="005A5CBD" w:rsidRPr="00BB6978">
        <w:rPr>
          <w:rFonts w:asciiTheme="majorBidi" w:hAnsiTheme="majorBidi" w:cstheme="majorBidi"/>
          <w:sz w:val="24"/>
          <w:szCs w:val="24"/>
        </w:rPr>
        <w:instrText>ADDIN CSL_CITATION {"citationItems":[{"id":"ITEM-1","itemData":{"author":[{"dropping-particle":"","family":"Ladd","given":"Helen","non-dropping-particle":"","parse-names":false,"suffix":""},{"dropping-particle":"","family":"Loeb","given":"Susanna","non-dropping-particle":"","parse-names":false,"suffix":""}],"container-title":"Education, justice, and democracy","id":"ITEM-1","issued":{"date-parts":[["2013"]]},"publisher":"The University of Chicago Press Chicago, IL","title":"The challenges of measuring school quality","type":"article-journal","volume":"19"},"uris":["http://www.mendeley.com/documents/?uuid=a73197de-a803-47dc-b6f8-02147c9e299c"]}],"mendeley":{"formattedCitation":"(Ladd &amp; Loeb, 2013)","plainTextFormattedCitation":"(Ladd &amp; Loeb, 2013)","previouslyFormattedCitation":"(Ladd and Loeb 2013)"},"properties":{"noteIndex":0},"schema":"https://github.com/citation-style-language/schema/raw/master/csl-citation.json"}</w:instrText>
      </w:r>
      <w:r w:rsidR="005A5CBD" w:rsidRPr="00BB6978">
        <w:rPr>
          <w:rFonts w:asciiTheme="majorBidi" w:hAnsiTheme="majorBidi" w:cstheme="majorBidi"/>
          <w:sz w:val="24"/>
          <w:szCs w:val="24"/>
        </w:rPr>
        <w:fldChar w:fldCharType="separate"/>
      </w:r>
      <w:r w:rsidR="005A5CBD" w:rsidRPr="00BB6978">
        <w:rPr>
          <w:rFonts w:asciiTheme="majorBidi" w:hAnsiTheme="majorBidi" w:cstheme="majorBidi"/>
          <w:sz w:val="24"/>
          <w:szCs w:val="24"/>
        </w:rPr>
        <w:t>(Ladd &amp; Loeb, 2013)</w:t>
      </w:r>
      <w:r w:rsidR="005A5CBD" w:rsidRPr="00BB6978">
        <w:rPr>
          <w:rFonts w:asciiTheme="majorBidi" w:hAnsiTheme="majorBidi" w:cstheme="majorBidi"/>
          <w:sz w:val="24"/>
          <w:szCs w:val="24"/>
        </w:rPr>
        <w:fldChar w:fldCharType="end"/>
      </w:r>
      <w:r w:rsidR="005A5CBD" w:rsidRPr="00BB6978">
        <w:rPr>
          <w:rFonts w:asciiTheme="majorBidi" w:hAnsiTheme="majorBidi" w:cstheme="majorBidi"/>
          <w:sz w:val="24"/>
          <w:szCs w:val="24"/>
        </w:rPr>
        <w:t>.</w:t>
      </w:r>
      <w:r w:rsidRPr="00BB6978">
        <w:rPr>
          <w:rFonts w:asciiTheme="majorBidi" w:hAnsiTheme="majorBidi" w:cstheme="majorBidi"/>
          <w:sz w:val="24"/>
          <w:szCs w:val="24"/>
        </w:rPr>
        <w:t xml:space="preserve"> However, the two subjects are only a few of the subjects taught at schools. Therefore, measures of school quality that draw on the NCLB strategy neglect different aptitudes and attitudes of students that may actually result in improved student outcomes in the future </w:t>
      </w:r>
      <w:r w:rsidRPr="00BB6978">
        <w:rPr>
          <w:rFonts w:asciiTheme="majorBidi" w:hAnsiTheme="majorBidi" w:cstheme="majorBidi"/>
          <w:sz w:val="24"/>
          <w:szCs w:val="24"/>
        </w:rPr>
        <w:fldChar w:fldCharType="begin" w:fldLock="1"/>
      </w:r>
      <w:r w:rsidRPr="00BB6978">
        <w:rPr>
          <w:rFonts w:asciiTheme="majorBidi" w:hAnsiTheme="majorBidi" w:cstheme="majorBidi"/>
          <w:sz w:val="24"/>
          <w:szCs w:val="24"/>
        </w:rPr>
        <w:instrText>ADDIN CSL_CITATION {"citationItems":[{"id":"ITEM-1","itemData":{"author":[{"dropping-particle":"","family":"Ladd","given":"Helen","non-dropping-particle":"","parse-names":false,"suffix":""},{"dropping-particle":"","family":"Loeb","given":"Susanna","non-dropping-particle":"","parse-names":false,"suffix":""}],"container-title":"Education, justice, and democracy","id":"ITEM-1","issued":{"date-parts":[["2013"]]},"publisher":"The University of Chicago Press Chicago, IL","title":"The challenges of measuring school quality","type":"article-journal","volume":"19"},"uris":["http://www.mendeley.com/documents/?uuid=a73197de-a803-47dc-b6f8-02147c9e299c"]}],"mendeley":{"formattedCitation":"(Ladd &amp; Loeb, 2013)","plainTextFormattedCitation":"(Ladd &amp; Loeb, 2013)","previouslyFormattedCitation":"(Ladd and Loeb 2013)"},"properties":{"noteIndex":0},"schema":"https://github.com/citation-style-language/schema/raw/master/csl-citation.json"}</w:instrText>
      </w:r>
      <w:r w:rsidRPr="00BB6978">
        <w:rPr>
          <w:rFonts w:asciiTheme="majorBidi" w:hAnsiTheme="majorBidi" w:cstheme="majorBidi"/>
          <w:sz w:val="24"/>
          <w:szCs w:val="24"/>
        </w:rPr>
        <w:fldChar w:fldCharType="separate"/>
      </w:r>
      <w:r w:rsidRPr="00BB6978">
        <w:rPr>
          <w:rFonts w:asciiTheme="majorBidi" w:hAnsiTheme="majorBidi" w:cstheme="majorBidi"/>
          <w:sz w:val="24"/>
          <w:szCs w:val="24"/>
        </w:rPr>
        <w:t>(Ladd &amp; Loeb, 2013)</w:t>
      </w:r>
      <w:r w:rsidRPr="00BB6978">
        <w:rPr>
          <w:rFonts w:asciiTheme="majorBidi" w:hAnsiTheme="majorBidi" w:cstheme="majorBidi"/>
          <w:sz w:val="24"/>
          <w:szCs w:val="24"/>
        </w:rPr>
        <w:fldChar w:fldCharType="end"/>
      </w:r>
      <w:r w:rsidRPr="00BB6978">
        <w:rPr>
          <w:rFonts w:asciiTheme="majorBidi" w:hAnsiTheme="majorBidi" w:cstheme="majorBidi"/>
          <w:sz w:val="24"/>
          <w:szCs w:val="24"/>
        </w:rPr>
        <w:t xml:space="preserve">. </w:t>
      </w:r>
    </w:p>
    <w:p w14:paraId="7A1CD31F" w14:textId="77777777" w:rsidR="005A5C25" w:rsidRPr="00BB6978" w:rsidRDefault="005A5C25" w:rsidP="005A5C25">
      <w:pPr>
        <w:spacing w:after="68"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 xml:space="preserve">On a similar note, Schneider et al. </w:t>
      </w:r>
      <w:r w:rsidRPr="00BB6978">
        <w:rPr>
          <w:rFonts w:asciiTheme="majorBidi" w:hAnsiTheme="majorBidi" w:cstheme="majorBidi"/>
          <w:sz w:val="24"/>
          <w:szCs w:val="24"/>
        </w:rPr>
        <w:fldChar w:fldCharType="begin" w:fldLock="1"/>
      </w:r>
      <w:r w:rsidRPr="00BB6978">
        <w:rPr>
          <w:rFonts w:asciiTheme="majorBidi" w:hAnsiTheme="majorBidi" w:cstheme="majorBidi"/>
          <w:sz w:val="24"/>
          <w:szCs w:val="24"/>
        </w:rPr>
        <w:instrText>ADDIN CSL_CITATION {"citationItems":[{"id":"ITEM-1","itemData":{"ISSN":"0031-7217","author":[{"dropping-particle":"","family":"Schneider","given":"Jack","non-dropping-particle":"","parse-names":false,"suffix":""},{"dropping-particle":"","family":"Jacobsen","given":"Rebecca","non-dropping-particle":"","parse-names":false,"suffix":""},{"dropping-particle":"","family":"White","given":"Rachel","non-dropping-particle":"","parse-names":false,"suffix":""},{"dropping-particle":"","family":"Gehlbach","given":"Hunter","non-dropping-particle":"","parse-names":false,"suffix":""}],"container-title":"Phi Delta Kappan","id":"ITEM-1","issue":"7","issued":{"date-parts":[["2017"]]},"page":"43-48","publisher":"SAGE Publications Sage CA: Los Angeles, CA","title":"Building a better measure of school quality","type":"article-journal","volume":"98"},"label":"subverbo","suppress-author":1,"uris":["http://www.mendeley.com/documents/?uuid=926064a7-bb85-4da4-9d94-16b5bd3186dc"]}],"mendeley":{"formattedCitation":"(2017)","plainTextFormattedCitation":"(2017)","previouslyFormattedCitation":"(2017)"},"properties":{"noteIndex":0},"schema":"https://github.com/citation-style-language/schema/raw/master/csl-citation.json"}</w:instrText>
      </w:r>
      <w:r w:rsidRPr="00BB6978">
        <w:rPr>
          <w:rFonts w:asciiTheme="majorBidi" w:hAnsiTheme="majorBidi" w:cstheme="majorBidi"/>
          <w:sz w:val="24"/>
          <w:szCs w:val="24"/>
        </w:rPr>
        <w:fldChar w:fldCharType="separate"/>
      </w:r>
      <w:r w:rsidRPr="00BB6978">
        <w:rPr>
          <w:rFonts w:asciiTheme="majorBidi" w:hAnsiTheme="majorBidi" w:cstheme="majorBidi"/>
          <w:sz w:val="24"/>
          <w:szCs w:val="24"/>
        </w:rPr>
        <w:t>(2017)</w:t>
      </w:r>
      <w:r w:rsidRPr="00BB6978">
        <w:rPr>
          <w:rFonts w:asciiTheme="majorBidi" w:hAnsiTheme="majorBidi" w:cstheme="majorBidi"/>
          <w:sz w:val="24"/>
          <w:szCs w:val="24"/>
        </w:rPr>
        <w:fldChar w:fldCharType="end"/>
      </w:r>
      <w:r w:rsidRPr="00BB6978">
        <w:rPr>
          <w:rFonts w:asciiTheme="majorBidi" w:hAnsiTheme="majorBidi" w:cstheme="majorBidi"/>
          <w:sz w:val="24"/>
          <w:szCs w:val="24"/>
        </w:rPr>
        <w:t xml:space="preserve"> recognized the inadequacies of student results as a measure of school quality. The authors proposed a model that empowered parents to redo rankings on the premise of individual qualities, such as school assets, academic development, school culture, school availability, and variety. The model depended on choices educated by education examination, and that estimating school quality is a characteristically abstract field </w:t>
      </w:r>
      <w:r w:rsidRPr="00BB6978">
        <w:rPr>
          <w:rFonts w:asciiTheme="majorBidi" w:hAnsiTheme="majorBidi" w:cstheme="majorBidi"/>
          <w:sz w:val="24"/>
          <w:szCs w:val="24"/>
        </w:rPr>
        <w:fldChar w:fldCharType="begin" w:fldLock="1"/>
      </w:r>
      <w:r w:rsidRPr="00BB6978">
        <w:rPr>
          <w:rFonts w:asciiTheme="majorBidi" w:hAnsiTheme="majorBidi" w:cstheme="majorBidi"/>
          <w:sz w:val="24"/>
          <w:szCs w:val="24"/>
        </w:rPr>
        <w:instrText>ADDIN CSL_CITATION {"citationItems":[{"id":"ITEM-1","itemData":{"ISSN":"0031-7217","author":[{"dropping-particle":"","family":"Schneider","given":"Jack","non-dropping-particle":"","parse-names":false,"suffix":""},{"dropping-particle":"","family":"Jacobsen","given":"Rebecca","non-dropping-particle":"","parse-names":false,"suffix":""},{"dropping-particle":"","family":"White","given":"Rachel","non-dropping-particle":"","parse-names":false,"suffix":""},{"dropping-particle":"","family":"Gehlbach","given":"Hunter","non-dropping-particle":"","parse-names":false,"suffix":""}],"container-title":"Phi Delta Kappan","id":"ITEM-1","issue":"7","issued":{"date-parts":[["2017"]]},"page":"43-48","publisher":"SAGE Publications Sage CA: Los Angeles, CA","title":"Building a better measure of school quality","type":"article-journal","volume":"98"},"uris":["http://www.mendeley.com/documents/?uuid=926064a7-bb85-4da4-9d94-16b5bd3186dc"]}],"mendeley":{"formattedCitation":"(Schneider et al., 2017)","plainTextFormattedCitation":"(Schneider et al., 2017)","previouslyFormattedCitation":"(Schneider et al. 2017)"},"properties":{"noteIndex":0},"schema":"https://github.com/citation-style-language/schema/raw/master/csl-citation.json"}</w:instrText>
      </w:r>
      <w:r w:rsidRPr="00BB6978">
        <w:rPr>
          <w:rFonts w:asciiTheme="majorBidi" w:hAnsiTheme="majorBidi" w:cstheme="majorBidi"/>
          <w:sz w:val="24"/>
          <w:szCs w:val="24"/>
        </w:rPr>
        <w:fldChar w:fldCharType="separate"/>
      </w:r>
      <w:r w:rsidRPr="00BB6978">
        <w:rPr>
          <w:rFonts w:asciiTheme="majorBidi" w:hAnsiTheme="majorBidi" w:cstheme="majorBidi"/>
          <w:sz w:val="24"/>
          <w:szCs w:val="24"/>
        </w:rPr>
        <w:t>(Schneider et al., 2017)</w:t>
      </w:r>
      <w:r w:rsidRPr="00BB6978">
        <w:rPr>
          <w:rFonts w:asciiTheme="majorBidi" w:hAnsiTheme="majorBidi" w:cstheme="majorBidi"/>
          <w:sz w:val="24"/>
          <w:szCs w:val="24"/>
        </w:rPr>
        <w:fldChar w:fldCharType="end"/>
      </w:r>
      <w:r w:rsidRPr="00BB6978">
        <w:rPr>
          <w:rFonts w:asciiTheme="majorBidi" w:hAnsiTheme="majorBidi" w:cstheme="majorBidi"/>
          <w:sz w:val="24"/>
          <w:szCs w:val="24"/>
        </w:rPr>
        <w:t xml:space="preserve">. Badri and Mourad </w:t>
      </w:r>
      <w:r w:rsidRPr="00BB6978">
        <w:rPr>
          <w:rFonts w:asciiTheme="majorBidi" w:hAnsiTheme="majorBidi" w:cstheme="majorBidi"/>
          <w:sz w:val="24"/>
          <w:szCs w:val="24"/>
        </w:rPr>
        <w:fldChar w:fldCharType="begin" w:fldLock="1"/>
      </w:r>
      <w:r w:rsidRPr="00BB6978">
        <w:rPr>
          <w:rFonts w:asciiTheme="majorBidi" w:hAnsiTheme="majorBidi" w:cstheme="majorBidi"/>
          <w:sz w:val="24"/>
          <w:szCs w:val="24"/>
        </w:rPr>
        <w:instrText>ADDIN CSL_CITATION {"citationItems":[{"id":"ITEM-1","itemData":{"author":[{"dropping-particle":"","family":"Badri","given":"Masood a","non-dropping-particle":"","parse-names":false,"suffix":""},{"dropping-particle":"El","family":"Mourad","given":"Tarek","non-dropping-particle":"","parse-names":false,"suffix":""}],"container-title":"2012 International Conference on Management and Education Innovation","id":"ITEM-1","issued":{"date-parts":[["2012"]]},"page":"314-318","title":"Determinants of School Efficiencies in Abu Dhabi Using DEA","type":"article-journal","volume":"37"},"label":"subverbo","suppress-author":1,"uris":["http://www.mendeley.com/documents/?uuid=3537e4e4-3a29-444a-9a9d-66379da6662b"]}],"mendeley":{"formattedCitation":"(2012)","plainTextFormattedCitation":"(2012)","previouslyFormattedCitation":"(2012)"},"properties":{"noteIndex":0},"schema":"https://github.com/citation-style-language/schema/raw/master/csl-citation.json"}</w:instrText>
      </w:r>
      <w:r w:rsidRPr="00BB6978">
        <w:rPr>
          <w:rFonts w:asciiTheme="majorBidi" w:hAnsiTheme="majorBidi" w:cstheme="majorBidi"/>
          <w:sz w:val="24"/>
          <w:szCs w:val="24"/>
        </w:rPr>
        <w:fldChar w:fldCharType="separate"/>
      </w:r>
      <w:r w:rsidRPr="00BB6978">
        <w:rPr>
          <w:rFonts w:asciiTheme="majorBidi" w:hAnsiTheme="majorBidi" w:cstheme="majorBidi"/>
          <w:sz w:val="24"/>
          <w:szCs w:val="24"/>
        </w:rPr>
        <w:t>(2012)</w:t>
      </w:r>
      <w:r w:rsidRPr="00BB6978">
        <w:rPr>
          <w:rFonts w:asciiTheme="majorBidi" w:hAnsiTheme="majorBidi" w:cstheme="majorBidi"/>
          <w:sz w:val="24"/>
          <w:szCs w:val="24"/>
        </w:rPr>
        <w:fldChar w:fldCharType="end"/>
      </w:r>
      <w:r w:rsidRPr="00BB6978">
        <w:rPr>
          <w:rFonts w:asciiTheme="majorBidi" w:hAnsiTheme="majorBidi" w:cstheme="majorBidi"/>
          <w:sz w:val="24"/>
          <w:szCs w:val="24"/>
        </w:rPr>
        <w:t xml:space="preserve"> evaluated the effectiveness of public auxiliary schools from Abu Dhabi utilizing data envelopment analysis (DEA). Their examination tried to distinguish yields and sources of information that can help assess the efficacy of schools in metropolitan zones. The authors found that student tests, type of school, school area, cost per student, and cost per instructor are significant determinants of school effectiveness </w:t>
      </w:r>
      <w:r w:rsidRPr="00BB6978">
        <w:rPr>
          <w:rFonts w:asciiTheme="majorBidi" w:hAnsiTheme="majorBidi" w:cstheme="majorBidi"/>
          <w:sz w:val="24"/>
          <w:szCs w:val="24"/>
        </w:rPr>
        <w:fldChar w:fldCharType="begin" w:fldLock="1"/>
      </w:r>
      <w:r w:rsidRPr="00BB6978">
        <w:rPr>
          <w:rFonts w:asciiTheme="majorBidi" w:hAnsiTheme="majorBidi" w:cstheme="majorBidi"/>
          <w:sz w:val="24"/>
          <w:szCs w:val="24"/>
        </w:rPr>
        <w:instrText>ADDIN CSL_CITATION {"citationItems":[{"id":"ITEM-1","itemData":{"author":[{"dropping-particle":"","family":"Badri","given":"Masood a","non-dropping-particle":"","parse-names":false,"suffix":""},{"dropping-particle":"El","family":"Mourad","given":"Tarek","non-dropping-particle":"","parse-names":false,"suffix":""}],"container-title":"2012 International Conference on Management and Education Innovation","id":"ITEM-1","issued":{"date-parts":[["2012"]]},"page":"314-318","title":"Determinants of School Efficiencies in Abu Dhabi Using DEA","type":"article-journal","volume":"37"},"uris":["http://www.mendeley.com/documents/?uuid=3537e4e4-3a29-444a-9a9d-66379da6662b"]}],"mendeley":{"formattedCitation":"(Badri &amp; Mourad, 2012)","plainTextFormattedCitation":"(Badri &amp; Mourad, 2012)","previouslyFormattedCitation":"(Badri and Mourad 2012)"},"properties":{"noteIndex":0},"schema":"https://github.com/citation-style-language/schema/raw/master/csl-citation.json"}</w:instrText>
      </w:r>
      <w:r w:rsidRPr="00BB6978">
        <w:rPr>
          <w:rFonts w:asciiTheme="majorBidi" w:hAnsiTheme="majorBidi" w:cstheme="majorBidi"/>
          <w:sz w:val="24"/>
          <w:szCs w:val="24"/>
        </w:rPr>
        <w:fldChar w:fldCharType="separate"/>
      </w:r>
      <w:r w:rsidRPr="00BB6978">
        <w:rPr>
          <w:rFonts w:asciiTheme="majorBidi" w:hAnsiTheme="majorBidi" w:cstheme="majorBidi"/>
          <w:sz w:val="24"/>
          <w:szCs w:val="24"/>
        </w:rPr>
        <w:t>(Badri &amp; Mourad, 2012)</w:t>
      </w:r>
      <w:r w:rsidRPr="00BB6978">
        <w:rPr>
          <w:rFonts w:asciiTheme="majorBidi" w:hAnsiTheme="majorBidi" w:cstheme="majorBidi"/>
          <w:sz w:val="24"/>
          <w:szCs w:val="24"/>
        </w:rPr>
        <w:fldChar w:fldCharType="end"/>
      </w:r>
      <w:r w:rsidRPr="00BB6978">
        <w:rPr>
          <w:rFonts w:asciiTheme="majorBidi" w:hAnsiTheme="majorBidi" w:cstheme="majorBidi"/>
          <w:sz w:val="24"/>
          <w:szCs w:val="24"/>
        </w:rPr>
        <w:t xml:space="preserve">. </w:t>
      </w:r>
    </w:p>
    <w:p w14:paraId="62BCA05B" w14:textId="52158FF3" w:rsidR="005A5C25" w:rsidRPr="00BB6978" w:rsidRDefault="005A5C25" w:rsidP="005A5CBD">
      <w:pPr>
        <w:spacing w:line="480" w:lineRule="auto"/>
        <w:ind w:firstLine="357"/>
        <w:rPr>
          <w:rFonts w:asciiTheme="majorBidi" w:hAnsiTheme="majorBidi" w:cstheme="majorBidi"/>
          <w:sz w:val="24"/>
          <w:szCs w:val="24"/>
        </w:rPr>
      </w:pPr>
      <w:r w:rsidRPr="00BB6978">
        <w:rPr>
          <w:rFonts w:asciiTheme="majorBidi" w:hAnsiTheme="majorBidi" w:cstheme="majorBidi"/>
          <w:sz w:val="24"/>
          <w:szCs w:val="24"/>
        </w:rPr>
        <w:t>As shown, school quality has many qualitative aspects and is assessed as such. However, a definite agreement on specific measures or criteria to quantify school quality remains elusive. The different ways and approaches to evaluate and measure school quality are discussed in this section. However, no specific measures or criteria were officially presented by any universal agreement to be used to quantify the school quality</w:t>
      </w:r>
      <w:r w:rsidR="005A5CBD" w:rsidRPr="00BB6978">
        <w:rPr>
          <w:rFonts w:asciiTheme="majorBidi" w:hAnsiTheme="majorBidi" w:cstheme="majorBidi"/>
          <w:sz w:val="24"/>
          <w:szCs w:val="24"/>
        </w:rPr>
        <w:t xml:space="preserve"> (Alexander, 2008).</w:t>
      </w:r>
      <w:r w:rsidR="005A5CBD" w:rsidRPr="00BB6978">
        <w:rPr>
          <w:rFonts w:ascii="Arial" w:hAnsi="Arial" w:cs="Arial"/>
          <w:sz w:val="20"/>
          <w:szCs w:val="20"/>
          <w:shd w:val="clear" w:color="auto" w:fill="FFFFFF"/>
        </w:rPr>
        <w:t> </w:t>
      </w:r>
    </w:p>
    <w:p w14:paraId="7960B0D3" w14:textId="77777777" w:rsidR="005A5C25" w:rsidRPr="00BB6978" w:rsidRDefault="005A5C25" w:rsidP="005A5C25">
      <w:pPr>
        <w:pStyle w:val="Heading2"/>
        <w:rPr>
          <w:rFonts w:asciiTheme="majorBidi" w:hAnsiTheme="majorBidi"/>
          <w:color w:val="auto"/>
          <w:sz w:val="24"/>
          <w:szCs w:val="24"/>
        </w:rPr>
      </w:pPr>
      <w:bookmarkStart w:id="89" w:name="_Toc138239796"/>
      <w:r w:rsidRPr="00BB6978">
        <w:rPr>
          <w:rFonts w:asciiTheme="majorBidi" w:hAnsiTheme="majorBidi"/>
          <w:color w:val="auto"/>
          <w:sz w:val="24"/>
          <w:szCs w:val="24"/>
        </w:rPr>
        <w:t>2.2.3 Cost of education</w:t>
      </w:r>
      <w:bookmarkEnd w:id="88"/>
      <w:bookmarkEnd w:id="89"/>
    </w:p>
    <w:p w14:paraId="0D6C92D4" w14:textId="77777777" w:rsidR="005A5C25" w:rsidRPr="00BB6978" w:rsidRDefault="005A5C25" w:rsidP="005A5C25"/>
    <w:p w14:paraId="19499261" w14:textId="4FEBA670" w:rsidR="005A5C25" w:rsidRPr="00BB6978" w:rsidRDefault="005A5C25" w:rsidP="005A5C25">
      <w:pPr>
        <w:spacing w:after="68"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Generally, when we think about schooling costs, the term cost is economically used to indicate a sense of encompassing not only the price paid for specific product (school fees) but also the prospect cost to the family in terms of, say, financing.</w:t>
      </w:r>
      <w:r w:rsidRPr="00BB6978">
        <w:t xml:space="preserve"> </w:t>
      </w:r>
      <w:r w:rsidRPr="00BB6978">
        <w:rPr>
          <w:rFonts w:asciiTheme="majorBidi" w:hAnsiTheme="majorBidi" w:cstheme="majorBidi"/>
          <w:sz w:val="24"/>
          <w:szCs w:val="24"/>
        </w:rPr>
        <w:t>Therefore, the connection of business to private schooling is not a novel notion</w:t>
      </w:r>
      <w:r w:rsidR="004B001B" w:rsidRPr="00BB6978">
        <w:rPr>
          <w:rFonts w:asciiTheme="majorBidi" w:hAnsiTheme="majorBidi" w:cstheme="majorBidi"/>
          <w:sz w:val="24"/>
          <w:szCs w:val="24"/>
        </w:rPr>
        <w:t xml:space="preserve"> (Abrego &amp; Gonzales, 2010). </w:t>
      </w:r>
      <w:r w:rsidR="009600C9" w:rsidRPr="00BB6978">
        <w:rPr>
          <w:rFonts w:asciiTheme="majorBidi" w:hAnsiTheme="majorBidi" w:cstheme="majorBidi"/>
          <w:sz w:val="24"/>
          <w:szCs w:val="24"/>
        </w:rPr>
        <w:t xml:space="preserve"> </w:t>
      </w:r>
      <w:r w:rsidRPr="00BB6978">
        <w:rPr>
          <w:rFonts w:asciiTheme="majorBidi" w:hAnsiTheme="majorBidi" w:cstheme="majorBidi"/>
          <w:sz w:val="24"/>
          <w:szCs w:val="24"/>
        </w:rPr>
        <w:t>Blaney (2000) noted that private schools are tuition-based and fee-driven in the way they fund and carry out their operations. Thus, business markets principles can be implemented in schools that charge fees to provide education. When free public schooling is not available for the most residents, parents need to pay for private schools for their children. Thus, intuitively, the cost of tuition should be a key factor for parents while choosing a school for their children</w:t>
      </w:r>
      <w:r w:rsidR="006205C2" w:rsidRPr="00BB6978">
        <w:rPr>
          <w:rFonts w:asciiTheme="majorBidi" w:hAnsiTheme="majorBidi" w:cstheme="majorBidi"/>
          <w:sz w:val="24"/>
          <w:szCs w:val="24"/>
        </w:rPr>
        <w:t xml:space="preserve"> (Blaney, 2000).</w:t>
      </w:r>
    </w:p>
    <w:p w14:paraId="36815207" w14:textId="004F0CF6" w:rsidR="005A5C25" w:rsidRPr="00BB6978" w:rsidRDefault="005A5C25" w:rsidP="005A5C25">
      <w:pPr>
        <w:spacing w:after="68"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 xml:space="preserve">There have been some recent studies on the cost of k-12 schools and the findings of these studies can vary depending on the specific factors being considered and the methods used in the research, One common theme in recent research on the cost of k-12 schools is the increasing financial burden faced by many schools and districts, particularly those serving disadvantaged students </w:t>
      </w:r>
      <w:r w:rsidR="005B0B6D" w:rsidRPr="00BB6978">
        <w:rPr>
          <w:rFonts w:asciiTheme="majorBidi" w:hAnsiTheme="majorBidi" w:cstheme="majorBidi"/>
          <w:sz w:val="24"/>
          <w:szCs w:val="24"/>
        </w:rPr>
        <w:t xml:space="preserve">(e.g., Arsen &amp; DeLuca, 2016). </w:t>
      </w:r>
      <w:r w:rsidRPr="00BB6978">
        <w:rPr>
          <w:rFonts w:asciiTheme="majorBidi" w:hAnsiTheme="majorBidi" w:cstheme="majorBidi"/>
          <w:sz w:val="24"/>
          <w:szCs w:val="24"/>
        </w:rPr>
        <w:t>Many schools face significant challenges in funding sufficient resources and support for their students and research has shown that these challenges can have negative impacts on students achievements and outcomes. (Gates &amp; Shields, 2017, Hechinger, 2020, Organisation for Economic Co-operation and Development, 2018).</w:t>
      </w:r>
    </w:p>
    <w:p w14:paraId="1A34B8A0" w14:textId="77777777" w:rsidR="005A5C25" w:rsidRPr="00BB6978" w:rsidRDefault="005A5C25" w:rsidP="005A5C25">
      <w:pPr>
        <w:spacing w:after="68"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 xml:space="preserve">Other research has focused on the relationship between school spending and students’ outcomes, with some studies suggesting that higher levels of spending can be associated with improved </w:t>
      </w:r>
      <w:r w:rsidR="00613343" w:rsidRPr="00BB6978">
        <w:rPr>
          <w:rFonts w:asciiTheme="majorBidi" w:hAnsiTheme="majorBidi" w:cstheme="majorBidi"/>
          <w:sz w:val="24"/>
          <w:szCs w:val="24"/>
        </w:rPr>
        <w:t>students’</w:t>
      </w:r>
      <w:r w:rsidRPr="00BB6978">
        <w:rPr>
          <w:rFonts w:asciiTheme="majorBidi" w:hAnsiTheme="majorBidi" w:cstheme="majorBidi"/>
          <w:sz w:val="24"/>
          <w:szCs w:val="24"/>
        </w:rPr>
        <w:t xml:space="preserve"> outcomes, while others have found more complex or mixed relationships </w:t>
      </w:r>
      <w:bookmarkStart w:id="90" w:name="_Hlk122441925"/>
      <w:r w:rsidRPr="00BB6978">
        <w:rPr>
          <w:rFonts w:asciiTheme="majorBidi" w:hAnsiTheme="majorBidi" w:cstheme="majorBidi"/>
          <w:sz w:val="24"/>
          <w:szCs w:val="24"/>
        </w:rPr>
        <w:t>(Verstegen &amp; King, ,1998; Jackson, Johnson &amp; Persico, 2016; Jackson, 2020).</w:t>
      </w:r>
    </w:p>
    <w:bookmarkEnd w:id="90"/>
    <w:p w14:paraId="739BA30B" w14:textId="766822BB" w:rsidR="005A5C25" w:rsidRPr="00BB6978" w:rsidRDefault="005A5C25" w:rsidP="005A5C25">
      <w:pPr>
        <w:spacing w:after="68"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 xml:space="preserve">Some recent studies on the cost of k-12 schools have also looked at the impact of different funding sources and distribution systems on school spending and local funding. </w:t>
      </w:r>
      <w:r w:rsidR="005B0B6D" w:rsidRPr="00BB6978">
        <w:rPr>
          <w:rFonts w:asciiTheme="majorBidi" w:hAnsiTheme="majorBidi" w:cstheme="majorBidi"/>
          <w:sz w:val="24"/>
          <w:szCs w:val="24"/>
        </w:rPr>
        <w:t xml:space="preserve">For example, a 2020 study conducted by American Institute for Economic Research has </w:t>
      </w:r>
      <w:r w:rsidRPr="00BB6978">
        <w:rPr>
          <w:rFonts w:asciiTheme="majorBidi" w:hAnsiTheme="majorBidi" w:cstheme="majorBidi"/>
          <w:sz w:val="24"/>
          <w:szCs w:val="24"/>
        </w:rPr>
        <w:t xml:space="preserve">obtained expenditure data from several organizations such as the “National Income and Product Accounts, Bureau of Economic Analysis and the National Centre for Education Statistics” found that the public-school education in the US costs 89% more than a private education and that this high cost in public schooling has persisted since 1965 while the cost of private schooling has been rising at a somewhat faster rate than public schooling. Private education enrolments have not grown significantly over the past 30 years, despite a reputation for better academic outcomes, and suggests that this may be because the total cost of private education is in addition to the cost of public education, which everyone must pay for regardless of whether they send their children to private </w:t>
      </w:r>
      <w:r w:rsidR="00613343" w:rsidRPr="00BB6978">
        <w:rPr>
          <w:rFonts w:asciiTheme="majorBidi" w:hAnsiTheme="majorBidi" w:cstheme="majorBidi"/>
          <w:sz w:val="24"/>
          <w:szCs w:val="24"/>
        </w:rPr>
        <w:t>school (</w:t>
      </w:r>
      <w:r w:rsidRPr="00BB6978">
        <w:rPr>
          <w:rFonts w:asciiTheme="majorBidi" w:hAnsiTheme="majorBidi" w:cstheme="majorBidi"/>
          <w:sz w:val="24"/>
          <w:szCs w:val="24"/>
        </w:rPr>
        <w:t>American Institute for Economic Research,2020)</w:t>
      </w:r>
    </w:p>
    <w:p w14:paraId="34CAE3CB" w14:textId="50FCF1A0" w:rsidR="005A5C25" w:rsidRPr="00BB6978" w:rsidRDefault="005A5C25" w:rsidP="005A5C25">
      <w:pPr>
        <w:spacing w:after="68"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 xml:space="preserve">Parents in the GCC are concerned about the affordability of private schooling. Booz &amp; Company </w:t>
      </w:r>
      <w:r w:rsidR="005B0B6D" w:rsidRPr="00BB6978">
        <w:rPr>
          <w:rFonts w:asciiTheme="majorBidi" w:hAnsiTheme="majorBidi" w:cstheme="majorBidi"/>
          <w:sz w:val="24"/>
          <w:szCs w:val="24"/>
        </w:rPr>
        <w:t xml:space="preserve">(2008), </w:t>
      </w:r>
      <w:r w:rsidRPr="00BB6978">
        <w:rPr>
          <w:rFonts w:asciiTheme="majorBidi" w:hAnsiTheme="majorBidi" w:cstheme="majorBidi"/>
          <w:sz w:val="24"/>
          <w:szCs w:val="24"/>
        </w:rPr>
        <w:t>studied the increase in private schools in the GCC. Private schools encounter many challenges while serving people with various income levels and curriculum preferences (Moujaes, Hoteit, &amp; Hiltunen, 2011). Meanwhile, parents’ main challenge is to find the best qualified schooling that they can afford without being overloaded with debt. However, private schooling cost in the GCC are among the highest when compared universally (Thacker and Cuadra, 2014).</w:t>
      </w:r>
    </w:p>
    <w:p w14:paraId="6691B3E4" w14:textId="77777777" w:rsidR="005A5C25" w:rsidRPr="00BB6978" w:rsidRDefault="005A5C25" w:rsidP="005A5C25">
      <w:pPr>
        <w:spacing w:after="68"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Generally, in almost all schools in the UAE, private school fees increase by grade, which is a common practice in private schools globally. These fees are solely paid as tuition fees and parents have to pay other additional costs for uniforms, administration fees, textbooks, transportation, clubs and activities, and school trips (Nazzal, 2013). These extra fees additionally burden parents. The media in UAE often gives voices to parents to express their impressions regarding the expenses and affordability of private schooling charges, especially those who are schooling more than one child (Ahmed, 2012a; Qandeel, 2014).</w:t>
      </w:r>
    </w:p>
    <w:p w14:paraId="7EAF272A" w14:textId="77777777" w:rsidR="005A5C25" w:rsidRPr="00BB6978" w:rsidRDefault="005A5C25" w:rsidP="005A5C25">
      <w:pPr>
        <w:spacing w:after="68" w:line="480" w:lineRule="auto"/>
        <w:ind w:firstLine="357"/>
        <w:jc w:val="both"/>
        <w:rPr>
          <w:rFonts w:asciiTheme="majorBidi" w:hAnsiTheme="majorBidi" w:cstheme="majorBidi"/>
          <w:sz w:val="24"/>
          <w:szCs w:val="24"/>
        </w:rPr>
      </w:pPr>
      <w:bookmarkStart w:id="91" w:name="_Hlk73049442"/>
      <w:r w:rsidRPr="00BB6978">
        <w:rPr>
          <w:rFonts w:asciiTheme="majorBidi" w:hAnsiTheme="majorBidi" w:cstheme="majorBidi"/>
          <w:sz w:val="24"/>
          <w:szCs w:val="24"/>
        </w:rPr>
        <w:t xml:space="preserve">ADEK publishes school ranking annually to highlight the quality of education provided by private schools. Some high-cost schools had low ranking, suggesting a low correlation between school cost and school quality. In 2019, 47% of private schools were ranked acceptable or weak, while the rest are ranked good and above. Among the high-cost schools, 22% are ranked acceptable. </w:t>
      </w:r>
      <w:bookmarkEnd w:id="91"/>
      <w:r w:rsidRPr="00BB6978">
        <w:rPr>
          <w:rFonts w:asciiTheme="majorBidi" w:hAnsiTheme="majorBidi" w:cstheme="majorBidi"/>
          <w:sz w:val="24"/>
          <w:szCs w:val="24"/>
        </w:rPr>
        <w:t xml:space="preserve">This low ranking can be attributed to the nature of the criteria used by ADEK when evaluating school. So, a school could have high achievers, but based on some specific criteria, schools are ranked as acceptable. The provided ranks are not limited only to the school quality, but also targeting other criteria like the infrastructure of the school, the curriculum, assessment, instructions, international standards, specific policies and accountabilities, and innovation etc. (Ibrahim &amp; Alhabbash, 2022; Santoro, 2018). </w:t>
      </w:r>
    </w:p>
    <w:p w14:paraId="207E6155" w14:textId="77777777" w:rsidR="005F2ED2" w:rsidRPr="00BB6978" w:rsidRDefault="00896B01" w:rsidP="005A5C25">
      <w:pPr>
        <w:spacing w:after="68"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The question that arises is why some parents choose to enrol their kids in a private costly school with an acceptable or weak ranking? According to a recent article by Morgan (2018), parental motivations for enrolling their children in high-cost but low-ranking private schools vary. Some parents believe that private schools offer a better quality of education, while others prioritize personalized attention or religious and cultural values. However, this approach may come with potential risks and drawbacks, such as high financial burden and lack of transparency in school operations. These findings highlight the need for more rigorous evaluation and oversight of private schools.</w:t>
      </w:r>
    </w:p>
    <w:p w14:paraId="2B68C316" w14:textId="77777777" w:rsidR="000F16B0" w:rsidRPr="00BB6978" w:rsidRDefault="000F16B0" w:rsidP="000F16B0">
      <w:pPr>
        <w:pStyle w:val="Heading2"/>
        <w:rPr>
          <w:rFonts w:asciiTheme="majorBidi" w:hAnsiTheme="majorBidi"/>
          <w:color w:val="auto"/>
          <w:sz w:val="24"/>
          <w:szCs w:val="24"/>
        </w:rPr>
      </w:pPr>
      <w:bookmarkStart w:id="92" w:name="_Toc138239797"/>
      <w:r w:rsidRPr="00BB6978">
        <w:rPr>
          <w:rFonts w:asciiTheme="majorBidi" w:hAnsiTheme="majorBidi"/>
          <w:color w:val="auto"/>
          <w:sz w:val="24"/>
          <w:szCs w:val="24"/>
        </w:rPr>
        <w:t>2.2.4 Students achievement</w:t>
      </w:r>
      <w:bookmarkEnd w:id="92"/>
      <w:r w:rsidRPr="00BB6978">
        <w:rPr>
          <w:rFonts w:asciiTheme="majorBidi" w:hAnsiTheme="majorBidi"/>
          <w:color w:val="auto"/>
          <w:sz w:val="24"/>
          <w:szCs w:val="24"/>
        </w:rPr>
        <w:t xml:space="preserve"> </w:t>
      </w:r>
    </w:p>
    <w:p w14:paraId="6D10E839" w14:textId="77777777" w:rsidR="000F16B0" w:rsidRPr="00BB6978" w:rsidRDefault="000F16B0" w:rsidP="000F16B0"/>
    <w:p w14:paraId="30AD9970" w14:textId="77777777" w:rsidR="005B0B6D" w:rsidRPr="00BB6978" w:rsidRDefault="000F16B0" w:rsidP="005B0B6D">
      <w:pPr>
        <w:spacing w:after="68"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ab/>
        <w:t xml:space="preserve">Policy makers and parents evaluate the school based on students’ performance and test scores </w:t>
      </w:r>
      <w:r w:rsidRPr="00BB6978">
        <w:rPr>
          <w:rFonts w:asciiTheme="majorBidi" w:hAnsiTheme="majorBidi" w:cstheme="majorBidi"/>
          <w:sz w:val="24"/>
          <w:szCs w:val="24"/>
        </w:rPr>
        <w:fldChar w:fldCharType="begin" w:fldLock="1"/>
      </w:r>
      <w:r w:rsidRPr="00BB6978">
        <w:rPr>
          <w:rFonts w:asciiTheme="majorBidi" w:hAnsiTheme="majorBidi" w:cstheme="majorBidi"/>
          <w:sz w:val="24"/>
          <w:szCs w:val="24"/>
        </w:rPr>
        <w:instrText>ADDIN CSL_CITATION {"citationItems":[{"id":"ITEM-1","itemData":{"ISBN":"2045-6557","abstract":"In England, the \"Every Child Matters\" (ECM) initiative has driven important changes in educational services in order to support five key outcomes for children and young people identified by the ECM initiative, namely to \"be healthy\", to \"stay safe\", to \"enjoy and achieve\", to \"make a positive contribution\" and to \"achieve economic wellbeing\". The question then arises as to whether these kinds of objectives can be met in the current school context, where policy makers and parents tend to evaluate schools' excellence on the basis of academic achievement and pupils' test scores. With these issues in mind, the authors consider whether parental perceptions of school quality are based on academic standards and aligned with the wellbeing of the children. They examine children's attitudes towards their school along three dimensions: general happiness, relationships with teachers and intellectual stimulation. In parallel, they consider parents' judgement of overall school quality, and their views on teachers' relationships with their child and the progress that their child is making at school. The authors' main goal is to answer two related research questions, that is: (1) To what extent are attitudes and experiences, amongst pupils and their parents, linked to standard test-score based measures of academic performance?; and (2) To what extent are parents' perceptions of school quality linked to their children's happiness and enjoyment of school? To do so, they use direct information on stated perceptions in the Longitudinal Survey of Young People in England (LSYPE) matched to UK administrative records on pupil achievements. Their analysis reveals the following key findings: (1) Parents' judgement of school quality is dominated by school average test scores, over and above other school characteristics. This is true for parents from different backgrounds and with children of all abilities; (2) However, children's self-reported happiness and satisfaction with their learning environment is unrelated to average test results in their school: children are just as happy in schools where average test scores are low as in schools where average test scores are high; (3) Parents' satisfaction and judgements of school quality are not strongly correlated with their children's enjoyment of school. Any correspondence between the subjective views of parents and children is better explained by shared family characteristics, than by anything \"objective\" the authors can observe ab…","author":[{"dropping-particle":"","family":"Gibbons","given":"Stephen","non-dropping-particle":"","parse-names":false,"suffix":""},{"dropping-particle":"","family":"Silva","given":"Olmo","non-dropping-particle":"","parse-names":false,"suffix":""},{"dropping-particle":"","family":"London School of Economics &amp; Political Science","given":"Centre for the Economics of Education","non-dropping-particle":"","parse-names":false,"suffix":""}],"container-title":"Centre for the Economics of Education","id":"ITEM-1","issue":"January","issued":{"date-parts":[["2009"]]},"title":"School Quality, Child Wellbeing and Parents' Satisfaction. CEE DP 103","type":"article-journal"},"uris":["http://www.mendeley.com/documents/?uuid=161b764b-6dc4-4394-9b3f-087fe59e3ae9"]}],"mendeley":{"formattedCitation":"(Gibbons, Silva, &amp; London School of Economics &amp; Political Science, 2009)","manualFormatting":"(Gibbons &amp;Silva, 2009)","plainTextFormattedCitation":"(Gibbons, Silva, &amp; London School of Economics &amp; Political Science, 2009)","previouslyFormattedCitation":"(Gibbons, Silva, &amp; London School of Economics &amp; Political Science, 2009)"},"properties":{"noteIndex":0},"schema":"https://github.com/citation-style-language/schema/raw/master/csl-citation.json"}</w:instrText>
      </w:r>
      <w:r w:rsidRPr="00BB6978">
        <w:rPr>
          <w:rFonts w:asciiTheme="majorBidi" w:hAnsiTheme="majorBidi" w:cstheme="majorBidi"/>
          <w:sz w:val="24"/>
          <w:szCs w:val="24"/>
        </w:rPr>
        <w:fldChar w:fldCharType="separate"/>
      </w:r>
      <w:r w:rsidRPr="00BB6978">
        <w:rPr>
          <w:rFonts w:asciiTheme="majorBidi" w:hAnsiTheme="majorBidi" w:cstheme="majorBidi"/>
          <w:sz w:val="24"/>
          <w:szCs w:val="24"/>
        </w:rPr>
        <w:t>(Gibbons &amp; Silva, 2011)</w:t>
      </w:r>
      <w:r w:rsidRPr="00BB6978">
        <w:rPr>
          <w:rFonts w:asciiTheme="majorBidi" w:hAnsiTheme="majorBidi" w:cstheme="majorBidi"/>
          <w:sz w:val="24"/>
          <w:szCs w:val="24"/>
        </w:rPr>
        <w:fldChar w:fldCharType="end"/>
      </w:r>
      <w:r w:rsidRPr="00BB6978">
        <w:rPr>
          <w:rFonts w:asciiTheme="majorBidi" w:hAnsiTheme="majorBidi" w:cstheme="majorBidi"/>
          <w:sz w:val="24"/>
          <w:szCs w:val="24"/>
        </w:rPr>
        <w:t xml:space="preserve">. A common method is standardized assessments that measure students’ level in math, science, and English, like the Scholastic Assessment Test (SAT) and the American College Testing (ACT), which are used to predict the student’s success in university. However, research consistently tell us that the results of these tests are influenced by family background, such as family income and education as well as race </w:t>
      </w:r>
      <w:r w:rsidRPr="00BB6978">
        <w:rPr>
          <w:rFonts w:asciiTheme="majorBidi" w:hAnsiTheme="majorBidi" w:cstheme="majorBidi"/>
          <w:sz w:val="24"/>
          <w:szCs w:val="24"/>
        </w:rPr>
        <w:fldChar w:fldCharType="begin" w:fldLock="1"/>
      </w:r>
      <w:r w:rsidRPr="00BB6978">
        <w:rPr>
          <w:rFonts w:asciiTheme="majorBidi" w:hAnsiTheme="majorBidi" w:cstheme="majorBidi"/>
          <w:sz w:val="24"/>
          <w:szCs w:val="24"/>
        </w:rPr>
        <w:instrText>ADDIN CSL_CITATION {"citationItems":[{"id":"ITEM-1","itemData":{"ISBN":"978-0-87-078485-9","abstract":"A series of policy changes in federal and state governments, and at universities, have made it exceedingly difficult for students from low-income and working-class families to earn college degrees. In America's Untapped Resource: Low-Income Students in Higher Education a group of notable experts on higher education examine the substantial economic divide in higher education, discuss the ramifications of that divide, and offer specific recommendations for increasing both college access and success for economically-disadvantaged students. Chapters include “Low-Income Students and the Affordability of Higher Education,” by Lawrence Gladieux, a former official with the College Board; “Improving the Academic Preparation and Performance of Low-Income Students in Higher Education,” by P. Michael Timpane of the Aspen Institute and Arthur M. Hauptman, a higher education consultant; and “Socioeconomic Status, Race/Ethnicity and Selective College Admissions,” by Anthony P. Carnevale of the Educational Testing Service and Stephen J. Rose of ORC Macro International. The volume also includes an appendix, “Pell Grant Recipients in Selective Colleges and Universities,” by Donald Heller of Pennsylvania State University.","author":[{"dropping-particle":"","family":"Carnevale","given":"Anthony","non-dropping-particle":"","parse-names":false,"suffix":""},{"dropping-particle":"","family":"Rose","given":"Stephen","non-dropping-particle":"","parse-names":false,"suffix":""}],"container-title":"America’s Untapped Resource: Low-Income Students in Higher Education","id":"ITEM-1","issued":{"date-parts":[["2004"]]},"page":"101-156","title":"Socioeconomic Status, Race/Ethnicity, and Selective College Admissions","type":"article-journal"},"uris":["http://www.mendeley.com/documents/?uuid=14ed0084-48cb-4efb-b035-af0d5fe5a4ca"]},{"id":"ITEM-2","itemData":{"author":[{"dropping-particle":"","family":"Buchmann","given":"Claudia","non-dropping-particle":"","parse-names":false,"suffix":""},{"dropping-particle":"","family":"Condron","given":"Dennis J","non-dropping-particle":"","parse-names":false,"suffix":""},{"dropping-particle":"","family":"Roscigno","given":"Vincent J","non-dropping-particle":"","parse-names":false,"suffix":""},{"dropping-particle":"","family":"Condron","given":"J","non-dropping-particle":"","parse-names":false,"suffix":""},{"dropping-particle":"","family":"Roscigno","given":"J","non-dropping-particle":"","parse-names":false,"suffix":""}],"container-title":"Social Forces","id":"ITEM-2","issue":"2","issued":{"date-parts":[["2010"]]},"page":"435-461","title":"American Test the Shadow Style : Preparation , Enrollment","type":"article-journal","volume":"89"},"uris":["http://www.mendeley.com/documents/?uuid=bb764b7f-28e1-4fd4-bea4-743d6b461157"]},{"id":"ITEM-3","itemData":{"ISSN":"14679620","abstract":"Background: Educational policy makers and test critics often assert that standardized test scores are strongly influenced by factors beyond individual differences in academic achievement such as family income and wealth. Unfortunately, few empirical studies consider the simultaneous and related influences of family income, parental education, and high school achievement on college admissions test scores. Focus Of Study: This research was animated by the nagging question of the association of family income with SAT performance. For example, is the relationship between family income and SAT performance non-linear? Does the relationship differ markedly by race? More importantly, how strong are the effects of poverty on SAT performance? Research Design: This study is a secondary analysis of a large national sample of Black and White college-bound high school students who took the SAT in 2003 (N = 781,437). Data Collection And Analysis: Employing data from the College Board's Student Descriptive Questionnaire, this study used structural equation modeling (SEM) to estimate the effects of family income on SAT scores for Black and White examinees accounting for the simultaneous effects of parental education and high school achievement. Findings/Results: Results suggest the effects of family income on SAT scores, though relatively modest in contrasts to high school achievement, are substantial, non-linear, and nearly twice as large for Black students. Moreover, the unstandardized direct effect of high school achievement on SAT performance is not enough to address the substantial effects of poverty for Black students. Conclusions/Recommendations: The findings are discussed with respect to social inequality and educational opportunity in college admissions. © by Teachers College, Columbia University.","author":[{"dropping-particle":"","family":"Dixon-Román","given":"Ezekiel J.","non-dropping-particle":"","parse-names":false,"suffix":""},{"dropping-particle":"","family":"Everson","given":"Howard T.","non-dropping-particle":"","parse-names":false,"suffix":""},{"dropping-particle":"","family":"McArdle","given":"John J.","non-dropping-particle":"","parse-names":false,"suffix":""}],"container-title":"Teachers College Record","id":"ITEM-3","issue":"4","issued":{"date-parts":[["2013"]]},"page":"1-33","title":"Race, poverty and SAT scores: Modeling the influences of family income on black and white high school students' sat performance","type":"article-journal","volume":"115"},"uris":["http://www.mendeley.com/documents/?uuid=334bbbeb-4a95-4c88-8a06-595edbf2a569"]}],"mendeley":{"formattedCitation":"(Buchmann, Condron, Roscigno, Condron, &amp; Roscigno, 2010; Carnevale &amp; Rose, 2004; Dixon-Román, Everson, &amp; McArdle, 2013)","plainTextFormattedCitation":"(Buchmann, Condron, Roscigno, Condron, &amp; Roscigno, 2010; Carnevale &amp; Rose, 2004; Dixon-Román, Everson, &amp; McArdle, 2013)","previouslyFormattedCitation":"(Buchmann, Condron, Roscigno, Condron, &amp; Roscigno, 2010; Carnevale &amp; Rose, 2004; Dixon-Román, Everson, &amp; McArdle, 2013)"},"properties":{"noteIndex":0},"schema":"https://github.com/citation-style-language/schema/raw/master/csl-citation.json"}</w:instrText>
      </w:r>
      <w:r w:rsidRPr="00BB6978">
        <w:rPr>
          <w:rFonts w:asciiTheme="majorBidi" w:hAnsiTheme="majorBidi" w:cstheme="majorBidi"/>
          <w:sz w:val="24"/>
          <w:szCs w:val="24"/>
        </w:rPr>
        <w:fldChar w:fldCharType="separate"/>
      </w:r>
      <w:r w:rsidRPr="00BB6978">
        <w:rPr>
          <w:rFonts w:asciiTheme="majorBidi" w:hAnsiTheme="majorBidi" w:cstheme="majorBidi"/>
          <w:sz w:val="24"/>
          <w:szCs w:val="24"/>
        </w:rPr>
        <w:t>(Buchmann, Condron, Roscigno, Condron, &amp; Roscigno, 2010; Carnevale &amp; Rose, 2003; Dixon-Román, Everson, &amp; McArdle, 2013)</w:t>
      </w:r>
      <w:r w:rsidRPr="00BB6978">
        <w:rPr>
          <w:rFonts w:asciiTheme="majorBidi" w:hAnsiTheme="majorBidi" w:cstheme="majorBidi"/>
          <w:sz w:val="24"/>
          <w:szCs w:val="24"/>
        </w:rPr>
        <w:fldChar w:fldCharType="end"/>
      </w:r>
      <w:r w:rsidRPr="00BB6978">
        <w:rPr>
          <w:rFonts w:asciiTheme="majorBidi" w:hAnsiTheme="majorBidi" w:cstheme="majorBidi"/>
          <w:sz w:val="24"/>
          <w:szCs w:val="24"/>
        </w:rPr>
        <w:t>. Globally, students from homes with more educational resources and more educated parents had higher average achievements in science and math (</w:t>
      </w:r>
      <w:r w:rsidRPr="00BB6978">
        <w:rPr>
          <w:rFonts w:asciiTheme="majorBidi" w:hAnsiTheme="majorBidi" w:cstheme="majorBidi"/>
          <w:sz w:val="24"/>
          <w:szCs w:val="24"/>
          <w:shd w:val="clear" w:color="auto" w:fill="FFFFFF"/>
        </w:rPr>
        <w:t>Mullis, et. al ,2020)</w:t>
      </w:r>
      <w:r w:rsidRPr="00BB6978">
        <w:rPr>
          <w:rFonts w:asciiTheme="majorBidi" w:hAnsiTheme="majorBidi" w:cstheme="majorBidi"/>
          <w:sz w:val="24"/>
          <w:szCs w:val="24"/>
        </w:rPr>
        <w:t xml:space="preserve">. However, a body of research on school choice is grounded on assumptions that aim to emphasis on the notion of whether students who enrol in private schools may achieve higher success than those who join public schools. These appraisals are typically limited to the obvious influence on test scores in reading and mathematics (Levin, 2000). Additionally, there is a growing bulk of research scrutinizing the longer-term effects of market changes on education in terms of factors that may impact parents’ school choice like school efficacy, race, outcome, and social class (Gorard et al., 2001; Gewirtz, 2002). There are, however, many other overlooked aspects that are challenging to measure. These aspects attributed to the differences among parents who select alternative private </w:t>
      </w:r>
      <w:r w:rsidR="00613343" w:rsidRPr="00BB6978">
        <w:rPr>
          <w:rFonts w:asciiTheme="majorBidi" w:hAnsiTheme="majorBidi" w:cstheme="majorBidi"/>
          <w:sz w:val="24"/>
          <w:szCs w:val="24"/>
        </w:rPr>
        <w:t>schools and</w:t>
      </w:r>
      <w:r w:rsidRPr="00BB6978">
        <w:rPr>
          <w:rFonts w:asciiTheme="majorBidi" w:hAnsiTheme="majorBidi" w:cstheme="majorBidi"/>
          <w:sz w:val="24"/>
          <w:szCs w:val="24"/>
        </w:rPr>
        <w:t xml:space="preserve"> put a lot of emphasis on student achievement (Greene, 2001). Examples of these aspects </w:t>
      </w:r>
      <w:r w:rsidR="00613343" w:rsidRPr="00BB6978">
        <w:rPr>
          <w:rFonts w:asciiTheme="majorBidi" w:hAnsiTheme="majorBidi" w:cstheme="majorBidi"/>
          <w:sz w:val="24"/>
          <w:szCs w:val="24"/>
        </w:rPr>
        <w:t>are</w:t>
      </w:r>
      <w:r w:rsidRPr="00BB6978">
        <w:rPr>
          <w:rFonts w:asciiTheme="majorBidi" w:hAnsiTheme="majorBidi" w:cstheme="majorBidi"/>
          <w:sz w:val="24"/>
          <w:szCs w:val="24"/>
        </w:rPr>
        <w:t xml:space="preserve"> the education of parents, predominantly mothers as they are the main decision makers, family income, level of the parents involvement in the learning of their child, their participation in their children school-associated events and activities, and the parents’ beliefs about the purpose and the aims of schooling (Bosetti, 2004). For </w:t>
      </w:r>
      <w:r w:rsidR="00613343" w:rsidRPr="00BB6978">
        <w:rPr>
          <w:rFonts w:asciiTheme="majorBidi" w:hAnsiTheme="majorBidi" w:cstheme="majorBidi"/>
          <w:sz w:val="24"/>
          <w:szCs w:val="24"/>
        </w:rPr>
        <w:t>example,</w:t>
      </w:r>
      <w:r w:rsidRPr="00BB6978">
        <w:rPr>
          <w:rFonts w:asciiTheme="majorBidi" w:hAnsiTheme="majorBidi" w:cstheme="majorBidi"/>
          <w:sz w:val="24"/>
          <w:szCs w:val="24"/>
        </w:rPr>
        <w:t xml:space="preserve"> a study conducted by Holmes Erickson (2017) demonstrated that although parents show confidence with respect to their school choice and they expressed that it gives them the free will to look for schools that fit their families’ preferences and needs. Despite the fact that there is not much identified on ways parents employ to search private school options, beliefs driving compromises between these private schools, and impact of student achievement regarding the parents’ selection (Della Cerra, 2021). Similarly, Beavis’ (2004) study examining </w:t>
      </w:r>
      <w:r w:rsidR="00613343" w:rsidRPr="00BB6978">
        <w:rPr>
          <w:rFonts w:asciiTheme="majorBidi" w:hAnsiTheme="majorBidi" w:cstheme="majorBidi"/>
          <w:sz w:val="24"/>
          <w:szCs w:val="24"/>
        </w:rPr>
        <w:t>parents’</w:t>
      </w:r>
      <w:r w:rsidRPr="00BB6978">
        <w:rPr>
          <w:rFonts w:asciiTheme="majorBidi" w:hAnsiTheme="majorBidi" w:cstheme="majorBidi"/>
          <w:sz w:val="24"/>
          <w:szCs w:val="24"/>
        </w:rPr>
        <w:t xml:space="preserve"> selection from the private schools for their children schooling, this study was based on three main inquiries to the interview participants: the background elements of the family that impact their selection of a private school; the economic aspects that affect their selection of a private school; the views that parents have about the school that may drive their selection of private schools. The study gained multiple results such as the parents feeling of importance to do the school selection for their children. Also, parents indicated some factors that should be available in their children school like having values, school discipline, and morals of the society. The majority of parents had a positive view toward schools of high academic achievement which strengthen their satisfaction that it will subsequently affect their children academic level</w:t>
      </w:r>
      <w:r w:rsidR="005B0B6D" w:rsidRPr="00BB6978">
        <w:rPr>
          <w:rFonts w:asciiTheme="majorBidi" w:hAnsiTheme="majorBidi" w:cstheme="majorBidi"/>
          <w:sz w:val="24"/>
          <w:szCs w:val="24"/>
        </w:rPr>
        <w:t xml:space="preserve"> (Beavis, 2004).</w:t>
      </w:r>
    </w:p>
    <w:p w14:paraId="591B9141" w14:textId="77777777" w:rsidR="000F16B0" w:rsidRPr="00BB6978" w:rsidRDefault="000F16B0" w:rsidP="000F16B0">
      <w:pPr>
        <w:spacing w:after="68"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 xml:space="preserve">Generally, students who attend schools with high emphasis on academic success, fewer school discipline problems, and safer and more orderly environment score better in the TIMSS (2019) assessment. Furthermore, students who have higher sense of school belonging and experienced little or no bullying score better. Moreover, standardized tests, according to the National Center for Fair and Open Testing's argument, are not really fair or helpful as evaluation tools. This is because they reward quick answers, while not measuring the creative or deep thinking, which is encouraged by “narrowed curriculum, outdated methods of instruction, and harmful practices such as grade retention and tracking” </w:t>
      </w:r>
      <w:r w:rsidRPr="00BB6978">
        <w:rPr>
          <w:rFonts w:asciiTheme="majorBidi" w:hAnsiTheme="majorBidi" w:cstheme="majorBidi"/>
          <w:sz w:val="24"/>
          <w:szCs w:val="24"/>
        </w:rPr>
        <w:fldChar w:fldCharType="begin" w:fldLock="1"/>
      </w:r>
      <w:r w:rsidRPr="00BB6978">
        <w:rPr>
          <w:rFonts w:asciiTheme="majorBidi" w:hAnsiTheme="majorBidi" w:cstheme="majorBidi"/>
          <w:sz w:val="24"/>
          <w:szCs w:val="24"/>
        </w:rPr>
        <w:instrText>ADDIN CSL_CITATION {"citationItems":[{"id":"ITEM-1","itemData":{"URL":"https://www.fairtest.org/facts/whatwron.htm","accessed":{"date-parts":[["2020","2","2"]]},"id":"ITEM-1","issued":{"date-parts":[["0"]]},"title":"What's Wrong With Standardized Tests? | FairTest","type":"webpage"},"uris":["http://www.mendeley.com/documents/?uuid=51334865-acc7-3880-ba71-9b19aad5bbec"]}],"mendeley":{"formattedCitation":"(“What’s Wrong With Standardized Tests? | FairTest,” n.d.)","manualFormatting":"(“What’s Wrong With Standardized Tests?,” n.d.)","plainTextFormattedCitation":"(“What’s Wrong With Standardized Tests? | FairTest,” n.d.)","previouslyFormattedCitation":"(“What’s Wrong With Standardized Tests? | FairTest,” n.d.)"},"properties":{"noteIndex":0},"schema":"https://github.com/citation-style-language/schema/raw/master/csl-citation.json"}</w:instrText>
      </w:r>
      <w:r w:rsidRPr="00BB6978">
        <w:rPr>
          <w:rFonts w:asciiTheme="majorBidi" w:hAnsiTheme="majorBidi" w:cstheme="majorBidi"/>
          <w:sz w:val="24"/>
          <w:szCs w:val="24"/>
        </w:rPr>
        <w:fldChar w:fldCharType="separate"/>
      </w:r>
      <w:r w:rsidRPr="00BB6978">
        <w:rPr>
          <w:rFonts w:asciiTheme="majorBidi" w:hAnsiTheme="majorBidi" w:cstheme="majorBidi"/>
          <w:sz w:val="24"/>
          <w:szCs w:val="24"/>
        </w:rPr>
        <w:t>(Test, 1992)</w:t>
      </w:r>
      <w:r w:rsidRPr="00BB6978">
        <w:rPr>
          <w:rFonts w:asciiTheme="majorBidi" w:hAnsiTheme="majorBidi" w:cstheme="majorBidi"/>
          <w:sz w:val="24"/>
          <w:szCs w:val="24"/>
        </w:rPr>
        <w:fldChar w:fldCharType="end"/>
      </w:r>
      <w:r w:rsidRPr="00BB6978">
        <w:rPr>
          <w:rFonts w:asciiTheme="majorBidi" w:hAnsiTheme="majorBidi" w:cstheme="majorBidi"/>
          <w:sz w:val="24"/>
          <w:szCs w:val="24"/>
        </w:rPr>
        <w:t xml:space="preserve">. </w:t>
      </w:r>
    </w:p>
    <w:p w14:paraId="11A04BE0" w14:textId="77777777" w:rsidR="000F16B0" w:rsidRPr="00BB6978" w:rsidRDefault="000F16B0" w:rsidP="000F16B0">
      <w:pPr>
        <w:spacing w:after="68"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 xml:space="preserve">Consequently, 50 universities dropped SAT and ACT as admission requirements for </w:t>
      </w:r>
      <w:r w:rsidR="00613343" w:rsidRPr="00BB6978">
        <w:rPr>
          <w:rFonts w:asciiTheme="majorBidi" w:hAnsiTheme="majorBidi" w:cstheme="majorBidi"/>
          <w:sz w:val="24"/>
          <w:szCs w:val="24"/>
        </w:rPr>
        <w:t>bachelor’s</w:t>
      </w:r>
      <w:r w:rsidRPr="00BB6978">
        <w:rPr>
          <w:rFonts w:asciiTheme="majorBidi" w:hAnsiTheme="majorBidi" w:cstheme="majorBidi"/>
          <w:sz w:val="24"/>
          <w:szCs w:val="24"/>
        </w:rPr>
        <w:t xml:space="preserve"> degree programs in the 2018-2019 academic year, taking this number to 1,050 universities. Two Ivy League universities, Brown University and Princeton University, have also decided to remove the Graduate Record Examinations (GRE) as a requirement for entering a graduate program, including those in neuroscience and psychology </w:t>
      </w:r>
      <w:r w:rsidRPr="00BB6978">
        <w:rPr>
          <w:rFonts w:asciiTheme="majorBidi" w:hAnsiTheme="majorBidi" w:cstheme="majorBidi"/>
          <w:sz w:val="24"/>
          <w:szCs w:val="24"/>
        </w:rPr>
        <w:fldChar w:fldCharType="begin" w:fldLock="1"/>
      </w:r>
      <w:r w:rsidRPr="00BB6978">
        <w:rPr>
          <w:rFonts w:asciiTheme="majorBidi" w:hAnsiTheme="majorBidi" w:cstheme="majorBidi"/>
          <w:sz w:val="24"/>
          <w:szCs w:val="24"/>
        </w:rPr>
        <w:instrText>ADDIN CSL_CITATION {"citationItems":[{"id":"ITEM-1","itemData":{"author":[{"dropping-particle":"","family":"Strauss","given":"Valerie","non-dropping-particle":"","parse-names":false,"suffix":""}],"container-title":"The Washington Post","id":"ITEM-1","issued":{"date-parts":[["2019"]]},"title":"Record number of colleges drop SAT/ACT admissions requirements amid growing disenchantment with standardized tests - The Washington Post","type":"article-newspaper"},"uris":["http://www.mendeley.com/documents/?uuid=c8085a42-cfeb-3774-9101-2a2ad86504b8"]}],"mendeley":{"formattedCitation":"(Strauss, 2019)","plainTextFormattedCitation":"(Strauss, 2019)","previouslyFormattedCitation":"(Strauss, 2019)"},"properties":{"noteIndex":0},"schema":"https://github.com/citation-style-language/schema/raw/master/csl-citation.json"}</w:instrText>
      </w:r>
      <w:r w:rsidRPr="00BB6978">
        <w:rPr>
          <w:rFonts w:asciiTheme="majorBidi" w:hAnsiTheme="majorBidi" w:cstheme="majorBidi"/>
          <w:sz w:val="24"/>
          <w:szCs w:val="24"/>
        </w:rPr>
        <w:fldChar w:fldCharType="separate"/>
      </w:r>
      <w:r w:rsidRPr="00BB6978">
        <w:rPr>
          <w:rFonts w:asciiTheme="majorBidi" w:hAnsiTheme="majorBidi" w:cstheme="majorBidi"/>
          <w:sz w:val="24"/>
          <w:szCs w:val="24"/>
        </w:rPr>
        <w:t>(Henning, Dreiskämper, &amp; Strauss, 2019)</w:t>
      </w:r>
      <w:r w:rsidRPr="00BB6978">
        <w:rPr>
          <w:rFonts w:asciiTheme="majorBidi" w:hAnsiTheme="majorBidi" w:cstheme="majorBidi"/>
          <w:sz w:val="24"/>
          <w:szCs w:val="24"/>
        </w:rPr>
        <w:fldChar w:fldCharType="end"/>
      </w:r>
      <w:r w:rsidRPr="00BB6978">
        <w:rPr>
          <w:rFonts w:asciiTheme="majorBidi" w:hAnsiTheme="majorBidi" w:cstheme="majorBidi"/>
          <w:sz w:val="24"/>
          <w:szCs w:val="24"/>
        </w:rPr>
        <w:t xml:space="preserve"> </w:t>
      </w:r>
    </w:p>
    <w:p w14:paraId="4D8B7B02" w14:textId="77777777" w:rsidR="000F16B0" w:rsidRPr="00BB6978" w:rsidRDefault="000F16B0" w:rsidP="000F16B0">
      <w:pPr>
        <w:spacing w:after="68"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 xml:space="preserve">There are other forms of standardized assessment such </w:t>
      </w:r>
      <w:r w:rsidR="00B551CC" w:rsidRPr="00BB6978">
        <w:rPr>
          <w:rFonts w:asciiTheme="majorBidi" w:hAnsiTheme="majorBidi" w:cstheme="majorBidi"/>
          <w:sz w:val="24"/>
          <w:szCs w:val="24"/>
        </w:rPr>
        <w:t>as the</w:t>
      </w:r>
      <w:r w:rsidRPr="00BB6978">
        <w:rPr>
          <w:rFonts w:asciiTheme="majorBidi" w:hAnsiTheme="majorBidi" w:cstheme="majorBidi"/>
          <w:sz w:val="24"/>
          <w:szCs w:val="24"/>
        </w:rPr>
        <w:t xml:space="preserve"> Program for International Student Evaluation (PISA). It tests 15-year-old students’ knowledge from different countries in an internationally recognized assessment in Reading, Mathematics, and Science Literacy. PISA is organized and coordinated by the Organization for Economic Co-operation and Development (OECD). It mainly evaluates the extent to which learners who are almost completing compulsory education perform on the acquisition of certain skills and knowledge critical for full participation in society (Department for International Development (DFID), n.d.). The results of this standardized assessment show the status of the countries regarding the curriculum quality, instructions, and other factors related to education (Productivity Commission, 2019). Similarly, the International Association for the Evaluation of Educational Achievement (IEA) is organizing the standardized test Trends in Global Mathematics and Science Study (TIMSS). It is another international assessment system involving learners in years four and eight which enables countries to measure their development in education achievement in science and mathematics (DFID, n.d.). All these standardized tests allow for global comparison among developing and developed countries, and have influenced policy makers, curriculum, teacher preparation programs, and educators </w:t>
      </w:r>
      <w:r w:rsidRPr="00BB6978">
        <w:rPr>
          <w:rFonts w:asciiTheme="majorBidi" w:hAnsiTheme="majorBidi" w:cstheme="majorBidi"/>
          <w:sz w:val="24"/>
          <w:szCs w:val="24"/>
        </w:rPr>
        <w:fldChar w:fldCharType="begin" w:fldLock="1"/>
      </w:r>
      <w:r w:rsidRPr="00BB6978">
        <w:rPr>
          <w:rFonts w:asciiTheme="majorBidi" w:hAnsiTheme="majorBidi" w:cstheme="majorBidi"/>
          <w:sz w:val="24"/>
          <w:szCs w:val="24"/>
        </w:rPr>
        <w:instrText>ADDIN CSL_CITATION {"citationItems":[{"id":"ITEM-1","itemData":{"DOI":"10.4159/9780674981157","ISBN":"9780674981157","author":[{"dropping-particle":"","family":"Schneider","given":"Jack","non-dropping-particle":"","parse-names":false,"suffix":""}],"container-title":"Beyond Test Scores","id":"ITEM-1","issue":"January","issued":{"date-parts":[["2018"]]},"title":"Beyond Test Scores","type":"book"},"uris":["http://www.mendeley.com/documents/?uuid=96bedb0c-7f01-4e06-8da8-4eaf5f30267f"]},{"id":"ITEM-2","itemData":{"DOI":"10.1007/978-94-6091-951-0","ISBN":"9789460919510","abstract":"Quality and Qualities: Tensions in Education Reforms is a provocative call for understanding and further exploring the elusive concept of quality in education. Although education quality has acquired high priority in the past few decades, the multiplicity of conceptualizations of quality also reflects the concerns and foci of multiple stakeholders. Coming to an understanding of quality education involves careful analysis of the context from which any particular reform or program emerges and of the continuing struggle to define and achieve it. Two main questions persist: who benefits from particular policies focused on quality? And what are the potential tradeoffs between a focus on quality, equitable distribution of education, and inclusion of various traditional expectations? This book explores notions of quality as understood within various systems of national, formal, and nonformal education. Also it considers the tensions that arise with the introduction of new standardized notions of quality in relation to international measures and educational reforms in developing countries. In all cases, specific national issues and concerns compete with global agendas.Challenges to quality that are given particular attention in the book chapters include changing definitions of quality, high expectations for education and issues with implementation, and the introduction of English as a means to achieve quality in a globalizing world. Special attention is also given to possible actions that support a more equitable education without ignoring the requisite of quality. The final chapter suggests three models/choices for seeking higher quality and guiding the educational future of nations.","author":[{"dropping-particle":"","family":"Acedo","given":"Clementina","non-dropping-particle":"","parse-names":false,"suffix":""},{"dropping-particle":"","family":"Adams","given":"Don","non-dropping-particle":"","parse-names":false,"suffix":""},{"dropping-particle":"","family":"Popa","given":"Simona","non-dropping-particle":"","parse-names":false,"suffix":""}],"container-title":"Quality and Qualities: Tensions in Education Reforms","id":"ITEM-2","issued":{"date-parts":[["2012"]]},"number-of-pages":"1-221","title":"Quality and qualities: Tensions in education reforms","type":"book"},"uris":["http://www.mendeley.com/documents/?uuid=bbe260b1-fc71-42e7-b485-ee027491d2ad"]}],"mendeley":{"formattedCitation":"(Acedo et al., 2012; Schneider, 2018)","plainTextFormattedCitation":"(Acedo et al., 2012; Schneider, 2018)","previouslyFormattedCitation":"(Acedo et al., 2012; Schneider, 2018)"},"properties":{"noteIndex":0},"schema":"https://github.com/citation-style-language/schema/raw/master/csl-citation.json"}</w:instrText>
      </w:r>
      <w:r w:rsidRPr="00BB6978">
        <w:rPr>
          <w:rFonts w:asciiTheme="majorBidi" w:hAnsiTheme="majorBidi" w:cstheme="majorBidi"/>
          <w:sz w:val="24"/>
          <w:szCs w:val="24"/>
        </w:rPr>
        <w:fldChar w:fldCharType="separate"/>
      </w:r>
      <w:r w:rsidRPr="00BB6978">
        <w:rPr>
          <w:rFonts w:asciiTheme="majorBidi" w:hAnsiTheme="majorBidi" w:cstheme="majorBidi"/>
          <w:sz w:val="24"/>
          <w:szCs w:val="24"/>
        </w:rPr>
        <w:t>(Acedo et al., 2012; Schneider, 2018)</w:t>
      </w:r>
      <w:r w:rsidRPr="00BB6978">
        <w:rPr>
          <w:rFonts w:asciiTheme="majorBidi" w:hAnsiTheme="majorBidi" w:cstheme="majorBidi"/>
          <w:sz w:val="24"/>
          <w:szCs w:val="24"/>
        </w:rPr>
        <w:fldChar w:fldCharType="end"/>
      </w:r>
      <w:r w:rsidRPr="00BB6978">
        <w:rPr>
          <w:rFonts w:asciiTheme="majorBidi" w:hAnsiTheme="majorBidi" w:cstheme="majorBidi"/>
          <w:sz w:val="24"/>
          <w:szCs w:val="24"/>
        </w:rPr>
        <w:t xml:space="preserve">. </w:t>
      </w:r>
    </w:p>
    <w:p w14:paraId="7AFAE320" w14:textId="77777777" w:rsidR="000F16B0" w:rsidRPr="00BB6978" w:rsidRDefault="000F16B0" w:rsidP="000F16B0">
      <w:pPr>
        <w:spacing w:after="68"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 xml:space="preserve">Many studies have </w:t>
      </w:r>
      <w:r w:rsidR="00896B01" w:rsidRPr="00BB6978">
        <w:rPr>
          <w:rFonts w:asciiTheme="majorBidi" w:hAnsiTheme="majorBidi" w:cstheme="majorBidi"/>
          <w:sz w:val="24"/>
          <w:szCs w:val="24"/>
        </w:rPr>
        <w:t>analysed</w:t>
      </w:r>
      <w:r w:rsidRPr="00BB6978">
        <w:rPr>
          <w:rFonts w:asciiTheme="majorBidi" w:hAnsiTheme="majorBidi" w:cstheme="majorBidi"/>
          <w:sz w:val="24"/>
          <w:szCs w:val="24"/>
        </w:rPr>
        <w:t xml:space="preserve"> these results and provided recommendations for policymakers </w:t>
      </w:r>
      <w:r w:rsidRPr="00BB6978">
        <w:rPr>
          <w:rFonts w:asciiTheme="majorBidi" w:hAnsiTheme="majorBidi" w:cstheme="majorBidi"/>
          <w:sz w:val="24"/>
          <w:szCs w:val="24"/>
        </w:rPr>
        <w:fldChar w:fldCharType="begin" w:fldLock="1"/>
      </w:r>
      <w:r w:rsidRPr="00BB6978">
        <w:rPr>
          <w:rFonts w:asciiTheme="majorBidi" w:hAnsiTheme="majorBidi" w:cstheme="majorBidi"/>
          <w:sz w:val="24"/>
          <w:szCs w:val="24"/>
        </w:rPr>
        <w:instrText>ADDIN CSL_CITATION {"citationItems":[{"id":"ITEM-1","itemData":{"abstract":"El estudio proporcionó un modelo de ecuación estructural multigrupo (SEM) de las opiniones de los líderes escolares sobre las características de los maestros, padres y estudiantes relacionadas con el desempeño de los estudiantes en la evaluación de ciencia y matemáticas de TIMSS 2015 para estudiantes de 4º y 8º grado en los Estados Unidos. Emiratos Árabes (EAU). Para ambos grupos de alumnos, se utilizaron para el análisis los ítems del cuestionario escolar sobre la percepción de los maestros, padres y alumnos de los líderes escolares (13 ítems). El análisis empleó el análisis factorial exploratorio (EPT) y el análisis factorial confirmatorio (CFA) para construir los modelos. Ambos modelos proporcionaron estadísticas de ajuste aceptables con varias, pero diferentes rutas significativas. Los modelos SEM tanto de los estudiantes de Grado 4 como de Grado 8 casi se replican entre sí. Los resultados apuntaron a la importancia de las actitudes y el comportamiento de los maestros, padres y estudiantes. Hubo caminos significativos de maestros a estudiantes, de padres a estudiantes y de puntajes de TIMSS, y de estudiantes a puntajes de TIMSS. El impacto directo de la construcción de los padres en las puntuaciones de TIMSS se elaboró ​​cuidadosamente.","author":[{"dropping-particle":"","family":"Masood A., Badri. Guang, Yang. Yousef, Al Sheryani. Asma","given":"Al Rashedi.","non-dropping-particle":"","parse-names":false,"suffix":""},{"dropping-particle":"","family":"Badri","given":"Masood A.","non-dropping-particle":"","parse-names":false,"suffix":""},{"dropping-particle":"Al","family":"Sheryani","given":"Yousef","non-dropping-particle":"","parse-names":false,"suffix":""},{"dropping-particle":"","family":"Yang","given":"Guang","non-dropping-particle":"","parse-names":false,"suffix":""},{"dropping-particle":"Al","family":"Rashedi","given":"Asma","non-dropping-particle":"","parse-names":false,"suffix":""},{"dropping-particle":"Al","family":"Sumaiti","given":"Rabaa","non-dropping-particle":"","parse-names":false,"suffix":""},{"dropping-particle":"Al","family":"Mazroui","given":"Karima","non-dropping-particle":"","parse-names":false,"suffix":""}],"container-title":"International Journal on Engineering, Science and Technology","id":"ITEM-1","issue":"1","issued":{"date-parts":[["2019"]]},"page":"22-37","title":"The Effects of Teachers’, Parents’, and Students’ Attitudes and Behavior on 4th and 8th Graders’ Science/math Achievements: A model of School Leaders’ Perspectives","type":"article-journal","volume":"1"},"uris":["http://www.mendeley.com/documents/?uuid=b5a53833-8ff4-4af8-95eb-ca38f97422dd"]},{"id":"ITEM-2","itemData":{"DOI":"10.18502/aqf.0120","abstract":"This working paper examines how low-income Emiratis are doing in secondary schools in the United Arab Emirates (UAE). Using PISA 2015 data on Emiratis’ performance to assess academic performance in math, science, and reading, it disaggregates students’ performance by key student and school characteristics, including: family wealth, gender, school sector, and emirate. It finds strong evidence that low-income Emiratis are performing much worse than their middle and upper-income peers, and the gap between the top and bottom wealth quintiles is as large or larger than the gap between girls and boys. It argues that despite the significant attention paid to the male-female gender gap, this “other gap” – the wealth gap – also deserves attention. The findings also indicate that other student characteristics also shape performance: low-income boys are performing worse than low-income girls and private schools in general are serving low-income students better. However, there are also important differences in performance across emirates, with the Northern Emirates serving low-income students in the public sector better than Dubai, where low-income students seem to benefit more from being in the private sector. The second half of the paper examines low-income Emiratis’ home and school environments, and finds that low-income students are often uncomfortable in school and the recipients of negative attention from teachers and peers. The paper argues that low-income Emiratis are not being served well by the existing school system and policies must address the distinct needs of low-income Emiratis.","author":[{"dropping-particle":"","family":"Buckner","given":"Elizabeth","non-dropping-particle":"","parse-names":false,"suffix":""}],"container-title":"Al Qasimi Foundation","id":"ITEM-2","issue":"September","issued":{"date-parts":[["2018"]]},"title":"The Other Gap: Examining Low-income Emiratis’ Educational Achievement","type":"article-journal"},"uris":["http://www.mendeley.com/documents/?uuid=e23cb7fa-ecd9-4698-8228-94c7294fff09"]},{"id":"ITEM-3","itemData":{"author":[{"dropping-particle":"","family":"Dronkers","given":"Jaap","non-dropping-particle":"","parse-names":false,"suffix":""}],"id":"ITEM-3","issue":"January 2003","issued":{"date-parts":[["2018"]]},"title":"Perspective EUI Working Paper SPS No . 2003 / 13","type":"article-journal"},"uris":["http://www.mendeley.com/documents/?uuid=32125cbf-6d19-48b2-a5b1-6b8c0b6bee49"]}],"mendeley":{"formattedCitation":"(Buckner, 2018; Dronkers, 2018; Masood A., Badri. Guang, Yang. Yousef, Al Sheryani. Asma et al., 2019)","plainTextFormattedCitation":"(Buckner, 2018; Dronkers, 2018; Masood A., Badri. Guang, Yang. Yousef, Al Sheryani. Asma et al., 2019)","previouslyFormattedCitation":"(Buckner, 2018; Dronkers, 2018; Masood A., Badri. Guang, Yang. Yousef, Al Sheryani. Asma et al., 2019)"},"properties":{"noteIndex":0},"schema":"https://github.com/citation-style-language/schema/raw/master/csl-citation.json"}</w:instrText>
      </w:r>
      <w:r w:rsidRPr="00BB6978">
        <w:rPr>
          <w:rFonts w:asciiTheme="majorBidi" w:hAnsiTheme="majorBidi" w:cstheme="majorBidi"/>
          <w:sz w:val="24"/>
          <w:szCs w:val="24"/>
        </w:rPr>
        <w:fldChar w:fldCharType="separate"/>
      </w:r>
      <w:r w:rsidRPr="00BB6978">
        <w:rPr>
          <w:rFonts w:asciiTheme="majorBidi" w:hAnsiTheme="majorBidi" w:cstheme="majorBidi"/>
          <w:sz w:val="24"/>
          <w:szCs w:val="24"/>
        </w:rPr>
        <w:t>(Buckner, 2018; Badri et al., 2019)</w:t>
      </w:r>
      <w:r w:rsidRPr="00BB6978">
        <w:rPr>
          <w:rFonts w:asciiTheme="majorBidi" w:hAnsiTheme="majorBidi" w:cstheme="majorBidi"/>
          <w:sz w:val="24"/>
          <w:szCs w:val="24"/>
        </w:rPr>
        <w:fldChar w:fldCharType="end"/>
      </w:r>
      <w:r w:rsidRPr="00BB6978">
        <w:rPr>
          <w:rFonts w:asciiTheme="majorBidi" w:hAnsiTheme="majorBidi" w:cstheme="majorBidi"/>
          <w:sz w:val="24"/>
          <w:szCs w:val="24"/>
        </w:rPr>
        <w:t>. The latest PISA results ranked the UAE 50</w:t>
      </w:r>
      <w:r w:rsidRPr="00BB6978">
        <w:rPr>
          <w:rFonts w:asciiTheme="majorBidi" w:hAnsiTheme="majorBidi" w:cstheme="majorBidi"/>
          <w:sz w:val="24"/>
          <w:szCs w:val="24"/>
          <w:vertAlign w:val="superscript"/>
        </w:rPr>
        <w:t>th</w:t>
      </w:r>
      <w:r w:rsidRPr="00BB6978">
        <w:rPr>
          <w:rFonts w:asciiTheme="majorBidi" w:hAnsiTheme="majorBidi" w:cstheme="majorBidi"/>
          <w:sz w:val="24"/>
          <w:szCs w:val="24"/>
        </w:rPr>
        <w:t xml:space="preserve"> globally, with the country leading the Arab countries </w:t>
      </w:r>
      <w:r w:rsidRPr="00BB6978">
        <w:rPr>
          <w:rFonts w:asciiTheme="majorBidi" w:hAnsiTheme="majorBidi" w:cstheme="majorBidi"/>
          <w:sz w:val="24"/>
          <w:szCs w:val="24"/>
        </w:rPr>
        <w:fldChar w:fldCharType="begin" w:fldLock="1"/>
      </w:r>
      <w:r w:rsidRPr="00BB6978">
        <w:rPr>
          <w:rFonts w:asciiTheme="majorBidi" w:hAnsiTheme="majorBidi" w:cstheme="majorBidi"/>
          <w:sz w:val="24"/>
          <w:szCs w:val="24"/>
        </w:rPr>
        <w:instrText>ADDIN CSL_CITATION {"citationItems":[{"id":"ITEM-1","itemData":{"author":[{"dropping-particle":"","family":"Summaries","given":"Combined Executive","non-dropping-particle":"","parse-names":false,"suffix":""}],"id":"ITEM-1","issued":{"date-parts":[["2018"]]},"title":"PISA 2018 Results","type":"article-journal","volume":"I"},"uris":["http://www.mendeley.com/documents/?uuid=3a13a29d-ca74-4216-ade7-49ac5f383995"]}],"mendeley":{"formattedCitation":"(Summaries, 2018)","plainTextFormattedCitation":"(Summaries, 2018)","previouslyFormattedCitation":"(Summaries, 2018)"},"properties":{"noteIndex":0},"schema":"https://github.com/citation-style-language/schema/raw/master/csl-citation.json"}</w:instrText>
      </w:r>
      <w:r w:rsidRPr="00BB6978">
        <w:rPr>
          <w:rFonts w:asciiTheme="majorBidi" w:hAnsiTheme="majorBidi" w:cstheme="majorBidi"/>
          <w:sz w:val="24"/>
          <w:szCs w:val="24"/>
        </w:rPr>
        <w:fldChar w:fldCharType="separate"/>
      </w:r>
      <w:r w:rsidRPr="00BB6978">
        <w:rPr>
          <w:rFonts w:asciiTheme="majorBidi" w:hAnsiTheme="majorBidi" w:cstheme="majorBidi"/>
          <w:sz w:val="24"/>
          <w:szCs w:val="24"/>
        </w:rPr>
        <w:t>(Summaries, 2019)</w:t>
      </w:r>
      <w:r w:rsidRPr="00BB6978">
        <w:rPr>
          <w:rFonts w:asciiTheme="majorBidi" w:hAnsiTheme="majorBidi" w:cstheme="majorBidi"/>
          <w:sz w:val="24"/>
          <w:szCs w:val="24"/>
        </w:rPr>
        <w:fldChar w:fldCharType="end"/>
      </w:r>
      <w:r w:rsidRPr="00BB6978">
        <w:rPr>
          <w:rFonts w:asciiTheme="majorBidi" w:hAnsiTheme="majorBidi" w:cstheme="majorBidi"/>
          <w:sz w:val="24"/>
          <w:szCs w:val="24"/>
        </w:rPr>
        <w:t xml:space="preserve">. However, these results are far from the UAE national 2021 target of being among the top 20 countries globally </w:t>
      </w:r>
      <w:r w:rsidRPr="00BB6978">
        <w:rPr>
          <w:rFonts w:asciiTheme="majorBidi" w:hAnsiTheme="majorBidi" w:cstheme="majorBidi"/>
          <w:sz w:val="24"/>
          <w:szCs w:val="24"/>
        </w:rPr>
        <w:fldChar w:fldCharType="begin" w:fldLock="1"/>
      </w:r>
      <w:r w:rsidRPr="00BB6978">
        <w:rPr>
          <w:rFonts w:asciiTheme="majorBidi" w:hAnsiTheme="majorBidi" w:cstheme="majorBidi"/>
          <w:sz w:val="24"/>
          <w:szCs w:val="24"/>
        </w:rPr>
        <w:instrText>ADDIN CSL_CITATION {"citationItems":[{"id":"ITEM-1","itemData":{"URL":"https://www.vision2021.ae/en/national-agenda-2021/list/first-rate-circle","accessed":{"date-parts":[["2020","2","2"]]},"id":"ITEM-1","issued":{"date-parts":[["0"]]},"title":"First-Rate Education System","type":"webpage"},"uris":["http://www.mendeley.com/documents/?uuid=b53a6602-bb6d-3853-81de-81bc1802576c"]}],"mendeley":{"formattedCitation":"(“First-Rate Education System,” n.d.)","plainTextFormattedCitation":"(“First-Rate Education System,” n.d.)","previouslyFormattedCitation":"(“First-Rate Education System,” n.d.)"},"properties":{"noteIndex":0},"schema":"https://github.com/citation-style-language/schema/raw/master/csl-citation.json"}</w:instrText>
      </w:r>
      <w:r w:rsidRPr="00BB6978">
        <w:rPr>
          <w:rFonts w:asciiTheme="majorBidi" w:hAnsiTheme="majorBidi" w:cstheme="majorBidi"/>
          <w:sz w:val="24"/>
          <w:szCs w:val="24"/>
        </w:rPr>
        <w:fldChar w:fldCharType="separate"/>
      </w:r>
      <w:r w:rsidRPr="00BB6978">
        <w:rPr>
          <w:rFonts w:asciiTheme="majorBidi" w:hAnsiTheme="majorBidi" w:cstheme="majorBidi"/>
          <w:sz w:val="24"/>
          <w:szCs w:val="24"/>
        </w:rPr>
        <w:t>(First-Rate Education System, 2018)</w:t>
      </w:r>
      <w:r w:rsidRPr="00BB6978">
        <w:rPr>
          <w:rFonts w:asciiTheme="majorBidi" w:hAnsiTheme="majorBidi" w:cstheme="majorBidi"/>
          <w:sz w:val="24"/>
          <w:szCs w:val="24"/>
        </w:rPr>
        <w:fldChar w:fldCharType="end"/>
      </w:r>
      <w:r w:rsidRPr="00BB6978">
        <w:rPr>
          <w:rFonts w:asciiTheme="majorBidi" w:hAnsiTheme="majorBidi" w:cstheme="majorBidi"/>
          <w:sz w:val="24"/>
          <w:szCs w:val="24"/>
        </w:rPr>
        <w:t>. Furthermore, while budgets and education reform efforts have increased over the last decade, UAE's scores have not substantially improved. A closer look at the results indicate that private schools are outperforming public schools, with students from schools ranked higher in school inspection reports scoring higher in PISA (OECD, 2019).</w:t>
      </w:r>
    </w:p>
    <w:p w14:paraId="05E835F2" w14:textId="77777777" w:rsidR="002B0E27" w:rsidRPr="00BB6978" w:rsidRDefault="000F16B0" w:rsidP="006921BE">
      <w:pPr>
        <w:spacing w:before="240" w:after="200"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 xml:space="preserve">To the best of our knowledge, few studies have examined the relationships between school cost, school quality, and student achievement in the UAE, in particular, and the Arab region, in general. Student achievement in schools is crucial to acceptance in colleges and universities. </w:t>
      </w:r>
    </w:p>
    <w:p w14:paraId="44CA2C7B" w14:textId="4F64E341" w:rsidR="00F77EBE" w:rsidRPr="00BB6978" w:rsidRDefault="00F77EBE" w:rsidP="00F77EBE">
      <w:pPr>
        <w:spacing w:before="240" w:after="200" w:line="480" w:lineRule="auto"/>
        <w:jc w:val="both"/>
        <w:rPr>
          <w:rFonts w:ascii="Times New Roman" w:hAnsi="Times New Roman" w:cs="Times New Roman"/>
          <w:b/>
          <w:bCs/>
          <w:sz w:val="24"/>
          <w:szCs w:val="24"/>
        </w:rPr>
      </w:pPr>
      <w:r w:rsidRPr="00BB6978">
        <w:rPr>
          <w:rFonts w:ascii="Times New Roman" w:hAnsi="Times New Roman" w:cs="Times New Roman"/>
          <w:b/>
          <w:bCs/>
          <w:sz w:val="24"/>
          <w:szCs w:val="24"/>
        </w:rPr>
        <w:t>2.2.5 Parents’ Socioeconomic Status</w:t>
      </w:r>
    </w:p>
    <w:p w14:paraId="4BECFFAB" w14:textId="538F8ABC" w:rsidR="00F77EBE" w:rsidRPr="00BB6978" w:rsidRDefault="00F77EBE" w:rsidP="00F77EBE">
      <w:pPr>
        <w:spacing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Ensuring the quality of students' academic performance is a pressing concern for educators. Educators, trainers, and researchers have been keen on studying various factors that significantly contribute to learners' academic achievement for quite some time. These factors are both within and outside the school environment, affecting students' academic performance (Farooq et al., 2011).</w:t>
      </w:r>
    </w:p>
    <w:p w14:paraId="5E191FBB" w14:textId="77777777" w:rsidR="00F77EBE" w:rsidRPr="00BB6978" w:rsidRDefault="00F77EBE" w:rsidP="00F77EBE">
      <w:pPr>
        <w:spacing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Various factors influencing academic performance can be classified as student, family, school, and peer factors (Crosnoe et al., 2004). The formal inquiry into the significance of these demographic variables dates back to the 17th century, according to Mann (1985). Typically, these factors comprise age, gender, ethnicity, socioeconomic status (SES), marital status, parental education level and profession, language, income, and religion (Farooq et al., 2011).</w:t>
      </w:r>
    </w:p>
    <w:p w14:paraId="3AD90DBF" w14:textId="77777777" w:rsidR="00F70306" w:rsidRPr="00BB6978" w:rsidRDefault="00F70306" w:rsidP="00F70306">
      <w:pPr>
        <w:spacing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Educational professionals have extensively researched and debated the impact of socioeconomic status on academic performance. It is widely argued that students' socioeconomic status affects the quality of their academic achievements. However, the nature of this relationship may differ depending on various sociocultural environments (Farooq et al., 2011; Liu et al., 2020). For example, a study conducted by Sirin (2005) discovered that the connection between socioeconomic status (SES) and academic performance in the USA has declined over time. Liu et al. (2020) also found a moderate correlation between the two factors in 2020. In contrast, Farooq et al. (2011) revealed that SES and parents' education have a noteworthy impact on students' academic achievements overall.</w:t>
      </w:r>
    </w:p>
    <w:p w14:paraId="33F11FF2" w14:textId="77777777" w:rsidR="00F70306" w:rsidRPr="00BB6978" w:rsidRDefault="00F70306" w:rsidP="00F70306">
      <w:pPr>
        <w:spacing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Even after considering other demographic factors, the influence of socioeconomic status (SES) is still evident at the individual level (Capraro et al., 2000). SES can be measured in various ways, with parents' educational levels, occupation, income, and resources used by individuals being the most common factors. Research shows that there is a positive relationship between parents' education, their SES level, and students' academic performance (Caldas &amp; Bankston, 1997; Jeynes, 2002; Parelius &amp; Parelius, 1987; Mitchell &amp; Collom, 2001; Ma &amp; Klinger, 2000).</w:t>
      </w:r>
    </w:p>
    <w:p w14:paraId="4463634D" w14:textId="77777777" w:rsidR="00F70306" w:rsidRPr="00BB6978" w:rsidRDefault="00F70306" w:rsidP="00F70306">
      <w:pPr>
        <w:spacing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Regarding the relationship between SES status, school quality, and students' achievement, Lim et al. (2014) found that schools with high academic quality had a significant impact on academic achievement, especially for low-achieving students, regardless of their socioeconomic status. However, low-quality schools had a significant impact on academic achievement, particularly for students from high socioeconomic backgrounds. On the other hand, Abenawe (2022) found a different result based on students' and teachers' perspectives. The study showed that there was no statistical confirmation of the relationship between socioeconomic status and school quality regarding the quality of the learning environment and students' performance. This suggests that there is no connection between the socioeconomic status of families and their children's academic achievement.</w:t>
      </w:r>
    </w:p>
    <w:p w14:paraId="33E55964" w14:textId="77777777" w:rsidR="00F70306" w:rsidRPr="00BB6978" w:rsidRDefault="00F70306" w:rsidP="00F70306">
      <w:pPr>
        <w:spacing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In a study looking at how socioeconomic status, along with school cost, affects student enrollment and study decisions in higher education, Declercq and Verboven (2015) found that disadvantaged students' abilities and preferences have a greater impact than cost sensitivity on their lower enrollment rates. On the other hand, Greenwald et al. (1996) concluded that higher spending on learning resources that affect school costs leads to better student outcomes.</w:t>
      </w:r>
    </w:p>
    <w:p w14:paraId="388D805D" w14:textId="4A042083" w:rsidR="00F77EBE" w:rsidRPr="00BB6978" w:rsidRDefault="00F70306" w:rsidP="00F70306">
      <w:pPr>
        <w:spacing w:line="480" w:lineRule="auto"/>
        <w:ind w:firstLine="357"/>
        <w:jc w:val="both"/>
        <w:rPr>
          <w:rFonts w:ascii="Times New Roman" w:hAnsi="Times New Roman" w:cs="Times New Roman"/>
          <w:sz w:val="24"/>
          <w:szCs w:val="24"/>
          <w:lang w:val="en-US"/>
        </w:rPr>
      </w:pPr>
      <w:r w:rsidRPr="00BB6978">
        <w:rPr>
          <w:rFonts w:asciiTheme="majorBidi" w:hAnsiTheme="majorBidi" w:cstheme="majorBidi"/>
          <w:sz w:val="24"/>
          <w:szCs w:val="24"/>
        </w:rPr>
        <w:t>To the best of the researcher's knowledge, there is currently no direct study that shows the moderating role of parents' SES status in the relationship between school cost and students' achievement, as well as school quality and students' achievement. Therefore, further investigation is required, with a focus on parents' income and educational levels in this study.</w:t>
      </w:r>
    </w:p>
    <w:p w14:paraId="386A2702" w14:textId="77777777" w:rsidR="002B0E27" w:rsidRPr="00BB6978" w:rsidRDefault="002B0E27" w:rsidP="002B0E27">
      <w:pPr>
        <w:spacing w:line="480" w:lineRule="auto"/>
        <w:jc w:val="both"/>
        <w:rPr>
          <w:rFonts w:asciiTheme="majorBidi" w:hAnsiTheme="majorBidi"/>
          <w:b/>
          <w:bCs/>
          <w:sz w:val="24"/>
          <w:szCs w:val="24"/>
        </w:rPr>
      </w:pPr>
      <w:r w:rsidRPr="00BB6978">
        <w:rPr>
          <w:rFonts w:asciiTheme="majorBidi" w:hAnsiTheme="majorBidi"/>
          <w:b/>
          <w:bCs/>
          <w:sz w:val="24"/>
          <w:szCs w:val="24"/>
        </w:rPr>
        <w:t>2.3 Theoretical framework</w:t>
      </w:r>
    </w:p>
    <w:p w14:paraId="5B674401" w14:textId="77777777" w:rsidR="002B0E27" w:rsidRPr="00BB6978" w:rsidRDefault="002B0E27" w:rsidP="002B0E27">
      <w:pPr>
        <w:spacing w:line="480" w:lineRule="auto"/>
        <w:ind w:firstLine="357"/>
        <w:jc w:val="both"/>
        <w:rPr>
          <w:rFonts w:asciiTheme="majorBidi" w:hAnsiTheme="majorBidi" w:cstheme="majorBidi"/>
          <w:sz w:val="24"/>
          <w:szCs w:val="24"/>
        </w:rPr>
      </w:pPr>
      <w:r w:rsidRPr="00BB6978">
        <w:rPr>
          <w:rFonts w:asciiTheme="majorBidi" w:hAnsiTheme="majorBidi" w:cstheme="majorBidi"/>
          <w:b/>
          <w:bCs/>
          <w:sz w:val="24"/>
          <w:szCs w:val="24"/>
        </w:rPr>
        <w:tab/>
      </w:r>
      <w:r w:rsidRPr="00BB6978">
        <w:rPr>
          <w:rFonts w:asciiTheme="majorBidi" w:hAnsiTheme="majorBidi" w:cstheme="majorBidi"/>
          <w:sz w:val="24"/>
          <w:szCs w:val="24"/>
        </w:rPr>
        <w:t>Theoretically, the topic of this study was seen mainly through the Education Production Function perspective. Next, this theory is discussed thoroughly, especially how it developed to be used in business and education.</w:t>
      </w:r>
    </w:p>
    <w:p w14:paraId="23A8B0C2" w14:textId="77777777" w:rsidR="002B0E27" w:rsidRPr="00BB6978" w:rsidRDefault="002B0E27" w:rsidP="002B0E27">
      <w:pPr>
        <w:pStyle w:val="Heading2"/>
        <w:rPr>
          <w:rFonts w:asciiTheme="majorBidi" w:eastAsiaTheme="minorHAnsi" w:hAnsiTheme="majorBidi"/>
          <w:b w:val="0"/>
          <w:bCs w:val="0"/>
          <w:color w:val="auto"/>
          <w:sz w:val="24"/>
          <w:szCs w:val="24"/>
        </w:rPr>
      </w:pPr>
      <w:bookmarkStart w:id="93" w:name="_Toc138239798"/>
      <w:r w:rsidRPr="00BB6978">
        <w:rPr>
          <w:rFonts w:asciiTheme="majorBidi" w:hAnsiTheme="majorBidi"/>
          <w:color w:val="auto"/>
          <w:sz w:val="24"/>
          <w:szCs w:val="24"/>
        </w:rPr>
        <w:t>2.3.1 Education production function</w:t>
      </w:r>
      <w:bookmarkEnd w:id="93"/>
    </w:p>
    <w:p w14:paraId="1991C684" w14:textId="77777777" w:rsidR="002B0E27" w:rsidRPr="00BB6978" w:rsidRDefault="002B0E27" w:rsidP="002B0E27">
      <w:r w:rsidRPr="00BB6978">
        <w:t xml:space="preserve"> </w:t>
      </w:r>
    </w:p>
    <w:p w14:paraId="087966BC" w14:textId="06DFDCBC" w:rsidR="002B0E27" w:rsidRPr="00BB6978" w:rsidRDefault="002B0E27" w:rsidP="002B0E27">
      <w:pPr>
        <w:spacing w:after="68"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ab/>
        <w:t>Education economics is the use of economic concepts and principles in the educational process. For instance, it examines how educational administrators allocate available resources to accomplish the best educational outputs</w:t>
      </w:r>
      <w:r w:rsidR="00F70306" w:rsidRPr="00BB6978">
        <w:rPr>
          <w:rFonts w:asciiTheme="majorBidi" w:hAnsiTheme="majorBidi" w:cstheme="majorBidi"/>
          <w:sz w:val="24"/>
          <w:szCs w:val="24"/>
        </w:rPr>
        <w:t xml:space="preserve"> (</w:t>
      </w:r>
      <w:r w:rsidR="00F70306" w:rsidRPr="00BB6978">
        <w:rPr>
          <w:rFonts w:asciiTheme="majorBidi" w:hAnsiTheme="majorBidi" w:cstheme="majorBidi"/>
          <w:sz w:val="24"/>
          <w:szCs w:val="24"/>
          <w:shd w:val="clear" w:color="auto" w:fill="FFFFFF"/>
        </w:rPr>
        <w:t>Malczewski &amp; Jackson, 2000).</w:t>
      </w:r>
      <w:r w:rsidR="00F70306" w:rsidRPr="00BB6978">
        <w:rPr>
          <w:rFonts w:ascii="Arial" w:hAnsi="Arial" w:cs="Arial"/>
          <w:sz w:val="20"/>
          <w:szCs w:val="20"/>
          <w:shd w:val="clear" w:color="auto" w:fill="FFFFFF"/>
        </w:rPr>
        <w:t xml:space="preserve"> </w:t>
      </w:r>
      <w:r w:rsidRPr="00BB6978">
        <w:rPr>
          <w:rFonts w:asciiTheme="majorBidi" w:hAnsiTheme="majorBidi" w:cstheme="majorBidi"/>
          <w:sz w:val="24"/>
          <w:szCs w:val="24"/>
        </w:rPr>
        <w:t>In its universal logic, the economics of education can be viewed as the branch of economics that connects the different aspects of economics to education to ensure the effective distribution and application of resources in education. Education is one of the important investments that provides several benefits, such as a valued, active, and competent individual. Students with good schooling earn more, occupy higher positions of employment, satisfied in their jobs, and are social people who contribute to their nation's progress (Mann, Denis, Schleicher, Ekhtiari, Forsyth, Liu, &amp; Chambers, 2020; Vance, 2006).</w:t>
      </w:r>
    </w:p>
    <w:p w14:paraId="3466F74A" w14:textId="51A1C8D2" w:rsidR="002B0E27" w:rsidRPr="00BB6978" w:rsidRDefault="002B0E27" w:rsidP="002B0E27">
      <w:pPr>
        <w:spacing w:after="68" w:line="480" w:lineRule="auto"/>
        <w:ind w:firstLine="357"/>
        <w:jc w:val="both"/>
        <w:rPr>
          <w:rFonts w:asciiTheme="majorBidi" w:hAnsiTheme="majorBidi" w:cstheme="majorBidi"/>
          <w:sz w:val="24"/>
          <w:szCs w:val="24"/>
          <w:lang w:val="en-US"/>
        </w:rPr>
      </w:pPr>
      <w:r w:rsidRPr="00BB6978">
        <w:rPr>
          <w:rFonts w:asciiTheme="majorBidi" w:hAnsiTheme="majorBidi" w:cstheme="majorBidi"/>
          <w:sz w:val="24"/>
          <w:szCs w:val="24"/>
          <w:lang w:val="en-US"/>
        </w:rPr>
        <w:t xml:space="preserve">Global trading demands all countries’ economies to compete. Economically prosperous countries hold </w:t>
      </w:r>
      <w:r w:rsidR="00613343" w:rsidRPr="00BB6978">
        <w:rPr>
          <w:rFonts w:asciiTheme="majorBidi" w:hAnsiTheme="majorBidi" w:cstheme="majorBidi"/>
          <w:sz w:val="24"/>
          <w:szCs w:val="24"/>
          <w:lang w:val="en-US"/>
        </w:rPr>
        <w:t>a competitive</w:t>
      </w:r>
      <w:r w:rsidRPr="00BB6978">
        <w:rPr>
          <w:rFonts w:asciiTheme="majorBidi" w:hAnsiTheme="majorBidi" w:cstheme="majorBidi"/>
          <w:sz w:val="24"/>
          <w:szCs w:val="24"/>
          <w:lang w:val="en-US"/>
        </w:rPr>
        <w:t xml:space="preserve"> advantage over other markets because no single country specializes in a specific production</w:t>
      </w:r>
      <w:r w:rsidR="00232C05" w:rsidRPr="00BB6978">
        <w:rPr>
          <w:rFonts w:asciiTheme="majorBidi" w:hAnsiTheme="majorBidi" w:cstheme="majorBidi"/>
          <w:sz w:val="24"/>
          <w:szCs w:val="24"/>
          <w:lang w:val="en-US"/>
        </w:rPr>
        <w:t>.</w:t>
      </w:r>
      <w:r w:rsidRPr="00BB6978">
        <w:rPr>
          <w:rFonts w:asciiTheme="majorBidi" w:hAnsiTheme="majorBidi" w:cstheme="majorBidi"/>
          <w:sz w:val="24"/>
          <w:szCs w:val="24"/>
          <w:lang w:val="en-US"/>
        </w:rPr>
        <w:t xml:space="preserve"> Therefore, a typical developed </w:t>
      </w:r>
      <w:r w:rsidRPr="00BB6978">
        <w:rPr>
          <w:rFonts w:asciiTheme="majorBidi" w:hAnsiTheme="majorBidi" w:cstheme="majorBidi"/>
          <w:sz w:val="24"/>
          <w:szCs w:val="24"/>
        </w:rPr>
        <w:t>country</w:t>
      </w:r>
      <w:r w:rsidRPr="00BB6978">
        <w:rPr>
          <w:rFonts w:asciiTheme="majorBidi" w:hAnsiTheme="majorBidi" w:cstheme="majorBidi"/>
          <w:sz w:val="24"/>
          <w:szCs w:val="24"/>
          <w:lang w:val="en-US"/>
        </w:rPr>
        <w:t xml:space="preserve"> comprises many industries with various competitive advantages and disadvantages in the international marketplace</w:t>
      </w:r>
      <w:r w:rsidR="00232C05" w:rsidRPr="00BB6978">
        <w:rPr>
          <w:rFonts w:asciiTheme="majorBidi" w:hAnsiTheme="majorBidi" w:cstheme="majorBidi"/>
          <w:sz w:val="24"/>
          <w:szCs w:val="24"/>
          <w:lang w:val="en-US"/>
        </w:rPr>
        <w:t xml:space="preserve"> (</w:t>
      </w:r>
      <w:r w:rsidR="00232C05" w:rsidRPr="00BB6978">
        <w:rPr>
          <w:rFonts w:asciiTheme="majorBidi" w:hAnsiTheme="majorBidi" w:cstheme="majorBidi"/>
          <w:sz w:val="24"/>
          <w:szCs w:val="24"/>
          <w:shd w:val="clear" w:color="auto" w:fill="FFFFFF"/>
        </w:rPr>
        <w:t>Porter, 2011).</w:t>
      </w:r>
      <w:r w:rsidR="00232C05" w:rsidRPr="00BB6978">
        <w:rPr>
          <w:rFonts w:ascii="Arial" w:hAnsi="Arial" w:cs="Arial"/>
          <w:sz w:val="20"/>
          <w:szCs w:val="20"/>
          <w:shd w:val="clear" w:color="auto" w:fill="FFFFFF"/>
        </w:rPr>
        <w:t> </w:t>
      </w:r>
      <w:r w:rsidR="00232C05" w:rsidRPr="00BB6978">
        <w:rPr>
          <w:rFonts w:asciiTheme="majorBidi" w:hAnsiTheme="majorBidi" w:cstheme="majorBidi"/>
          <w:sz w:val="24"/>
          <w:szCs w:val="24"/>
          <w:lang w:val="en-US"/>
        </w:rPr>
        <w:t xml:space="preserve"> </w:t>
      </w:r>
      <w:r w:rsidRPr="00BB6978">
        <w:rPr>
          <w:rFonts w:asciiTheme="majorBidi" w:hAnsiTheme="majorBidi" w:cstheme="majorBidi"/>
          <w:sz w:val="24"/>
          <w:szCs w:val="24"/>
          <w:lang w:val="en-US"/>
        </w:rPr>
        <w:t>Subsequently, the education of that country’s workforce is a key feature in shaping how well the country’s economy will accomplish.</w:t>
      </w:r>
      <w:r w:rsidRPr="00BB6978">
        <w:rPr>
          <w:rFonts w:ascii="Arial" w:hAnsi="Arial" w:cs="Arial"/>
          <w:spacing w:val="1"/>
          <w:sz w:val="27"/>
          <w:szCs w:val="27"/>
          <w:shd w:val="clear" w:color="auto" w:fill="FFFFFF"/>
        </w:rPr>
        <w:t xml:space="preserve"> </w:t>
      </w:r>
      <w:r w:rsidRPr="00BB6978">
        <w:rPr>
          <w:rFonts w:asciiTheme="majorBidi" w:hAnsiTheme="majorBidi" w:cstheme="majorBidi"/>
          <w:sz w:val="24"/>
          <w:szCs w:val="24"/>
        </w:rPr>
        <w:t>All companies value having a skilful labour pool for hiring employees. Sometimes, the highly well-trained work force might be focused in a particular geographic area. Accordingly, alike industries may band together because of those capable workers like the Silicon Oasis.</w:t>
      </w:r>
      <w:r w:rsidRPr="00BB6978">
        <w:rPr>
          <w:rFonts w:ascii="Arial" w:hAnsi="Arial" w:cs="Arial"/>
          <w:spacing w:val="1"/>
          <w:sz w:val="27"/>
          <w:szCs w:val="27"/>
          <w:shd w:val="clear" w:color="auto" w:fill="FFFFFF"/>
        </w:rPr>
        <w:t xml:space="preserve"> </w:t>
      </w:r>
      <w:r w:rsidRPr="00BB6978">
        <w:rPr>
          <w:rFonts w:asciiTheme="majorBidi" w:hAnsiTheme="majorBidi" w:cstheme="majorBidi"/>
          <w:sz w:val="24"/>
          <w:szCs w:val="24"/>
        </w:rPr>
        <w:t>In an ideal framework, employers want employees who are dynamic and need less supervision. On the other side, employees themselves increase their earnings by refining their capabilities and skills through education. Following the assumption that says the more they have knowledge about a specific job’s function, the more valued they are to an employer (</w:t>
      </w:r>
      <w:r w:rsidRPr="00BB6978">
        <w:rPr>
          <w:rFonts w:asciiTheme="majorBidi" w:hAnsiTheme="majorBidi" w:cstheme="majorBidi"/>
          <w:sz w:val="24"/>
          <w:szCs w:val="24"/>
          <w:lang w:val="en-US"/>
        </w:rPr>
        <w:t>Radcliffe, Boyle &amp; Kvilhaug, 2022).</w:t>
      </w:r>
    </w:p>
    <w:p w14:paraId="6D29A62D" w14:textId="77777777" w:rsidR="002B0E27" w:rsidRPr="00BB6978" w:rsidRDefault="002B0E27" w:rsidP="002B0E27">
      <w:pPr>
        <w:spacing w:after="68"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 xml:space="preserve">Education has an essential position in every country. UAE allocates approximately 20% of its annual budget to formal schooling. As such, consistent efforts have been made to examine which school inputs are substantial determinants of school outputs (Glasman &amp; Biniaminov, 1981). Traditionally, the concern was to use the scarce resources of the schools efficiently and effectively. Therefore, what was important was to identify the desired outcomes, and then the necessary time and financial resources were allocated to these factors to enhance the aspects that impact student outcomes. It was an input-output analysis that tries to recognize the input factors related to productive schooling, and then </w:t>
      </w:r>
      <w:r w:rsidR="00896B01" w:rsidRPr="00BB6978">
        <w:rPr>
          <w:rFonts w:asciiTheme="majorBidi" w:hAnsiTheme="majorBidi" w:cstheme="majorBidi"/>
          <w:sz w:val="24"/>
          <w:szCs w:val="24"/>
        </w:rPr>
        <w:t>analysing</w:t>
      </w:r>
      <w:r w:rsidRPr="00BB6978">
        <w:rPr>
          <w:rFonts w:asciiTheme="majorBidi" w:hAnsiTheme="majorBidi" w:cstheme="majorBidi"/>
          <w:sz w:val="24"/>
          <w:szCs w:val="24"/>
        </w:rPr>
        <w:t xml:space="preserve"> them against the identified outputs (Monk, 1989). This process is performed using a statistical technique called the education production function. Its aim is to detect the relationship among the various inputs and outputs of the educational process (Hanushek, 1986).</w:t>
      </w:r>
    </w:p>
    <w:p w14:paraId="71D8F372" w14:textId="77777777" w:rsidR="002B0E27" w:rsidRPr="00BB6978" w:rsidRDefault="002B0E27" w:rsidP="002B0E27">
      <w:pPr>
        <w:spacing w:after="68"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According to Hanushek (1986), serious attention was paid to the input-output analysis after the Coleman Report (1966) that inspired a great deal of research on the study of input-output analysis or the educational production function.</w:t>
      </w:r>
    </w:p>
    <w:p w14:paraId="2B005A38" w14:textId="77777777" w:rsidR="002B0E27" w:rsidRPr="00BB6978" w:rsidRDefault="002B0E27" w:rsidP="002B0E27">
      <w:pPr>
        <w:spacing w:after="68"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When economists began investigating the educational field, they were specifically concerned about the way in which learning outputs transformed with some extra changes in some specific inputs (Brown &amp; Saks, 1981). Production function analysis tries to identify which inputs cause the most effective operational outcomes. When it is applied to education, one can expect what would happen if some resources were added or taken out. This leads to applicable and successful actions and decisions (Hanushek, 1986).</w:t>
      </w:r>
    </w:p>
    <w:p w14:paraId="4791EF49" w14:textId="77777777" w:rsidR="002B0E27" w:rsidRPr="00BB6978" w:rsidRDefault="002B0E27" w:rsidP="002B0E27">
      <w:pPr>
        <w:spacing w:after="68"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 xml:space="preserve">Several studies have used the education production function, but only focused on test score achievement in standardized tests (Coleman et al., 1966; Dolan &amp; Schmidt, 1987; Fairchild, 1984; Ferguson, 1991; MacPhail-Wilcox &amp; King, 1986; Margo, 1986; Murnane, 1975). There are many other factors than just student outcomes. These studies revealed that there are three input areas that generally related to student achievement: student, educator, and school factors (Stariha, 1989). </w:t>
      </w:r>
    </w:p>
    <w:p w14:paraId="44958E4C" w14:textId="77777777" w:rsidR="002B0E27" w:rsidRPr="00BB6978" w:rsidRDefault="002B0E27" w:rsidP="002B0E27">
      <w:pPr>
        <w:spacing w:after="68"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 xml:space="preserve">Many countries try to shift the economy to a knowledge-based one, accordingly investing in schooling in a profitable project. This is positive in various ways: First provide schools with quality education through hiring qualified teachers and offer different facilities to boost learning and consider it as competitive advantage to attract costumers (parents). Secondly, based on the Education Production Function using good inputs produce good output, which indicate that investing correctly in the private education will enable countries to get qualified and prepared graduates. </w:t>
      </w:r>
    </w:p>
    <w:p w14:paraId="3880DE17" w14:textId="77777777" w:rsidR="002B0E27" w:rsidRPr="00BB6978" w:rsidRDefault="002B0E27" w:rsidP="002B0E27">
      <w:pPr>
        <w:spacing w:after="68" w:line="480" w:lineRule="auto"/>
        <w:ind w:firstLine="357"/>
        <w:jc w:val="both"/>
        <w:rPr>
          <w:rFonts w:ascii="Helvetica" w:hAnsi="Helvetica"/>
          <w:spacing w:val="5"/>
          <w:sz w:val="21"/>
          <w:szCs w:val="21"/>
          <w:shd w:val="clear" w:color="auto" w:fill="FFFFFF"/>
        </w:rPr>
      </w:pPr>
      <w:r w:rsidRPr="00BB6978">
        <w:rPr>
          <w:rFonts w:asciiTheme="majorBidi" w:hAnsiTheme="majorBidi" w:cstheme="majorBidi"/>
          <w:sz w:val="24"/>
          <w:szCs w:val="24"/>
        </w:rPr>
        <w:t>With respect to the various school systems in the UAE that serve different nationalities and cultures, thus UAE has great variety in its education sector. The variety is boosted by the point that most schools are functioned privately with a collection of business models.</w:t>
      </w:r>
      <w:r w:rsidRPr="00BB6978">
        <w:rPr>
          <w:rFonts w:ascii="Georgia" w:hAnsi="Georgia"/>
          <w:sz w:val="27"/>
          <w:szCs w:val="27"/>
        </w:rPr>
        <w:t xml:space="preserve"> </w:t>
      </w:r>
      <w:r w:rsidRPr="00BB6978">
        <w:rPr>
          <w:rFonts w:asciiTheme="majorBidi" w:hAnsiTheme="majorBidi" w:cstheme="majorBidi"/>
          <w:sz w:val="24"/>
          <w:szCs w:val="24"/>
        </w:rPr>
        <w:t xml:space="preserve">Few countries have the advantageous features of the economic, social and educational structures similar to those of the UAE which support the investments especially in education </w:t>
      </w:r>
      <w:r w:rsidRPr="00BB6978">
        <w:rPr>
          <w:rFonts w:ascii="Times New Roman" w:eastAsia="Calibri" w:hAnsi="Times New Roman" w:cs="Times New Roman"/>
          <w:sz w:val="24"/>
          <w:szCs w:val="24"/>
        </w:rPr>
        <w:t>(Bray &amp; Ventura, 2022).</w:t>
      </w:r>
      <w:r w:rsidRPr="00BB6978">
        <w:rPr>
          <w:rFonts w:ascii="Helvetica" w:hAnsi="Helvetica"/>
          <w:spacing w:val="5"/>
          <w:sz w:val="21"/>
          <w:szCs w:val="21"/>
          <w:shd w:val="clear" w:color="auto" w:fill="FFFFFF"/>
        </w:rPr>
        <w:t xml:space="preserve"> </w:t>
      </w:r>
    </w:p>
    <w:p w14:paraId="6192652A" w14:textId="68FAFFFE" w:rsidR="002D0259" w:rsidRPr="00BB6978" w:rsidRDefault="002D0259" w:rsidP="002D0259">
      <w:pPr>
        <w:spacing w:after="68"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The</w:t>
      </w:r>
      <w:r w:rsidR="00232C05" w:rsidRPr="00BB6978">
        <w:rPr>
          <w:rFonts w:asciiTheme="majorBidi" w:hAnsiTheme="majorBidi" w:cstheme="majorBidi"/>
          <w:sz w:val="24"/>
          <w:szCs w:val="24"/>
        </w:rPr>
        <w:t xml:space="preserve"> education production function theory was employed to comprehend the relationship between the quality of education, the cost of education, and students' achievement from the perspectives of parents. </w:t>
      </w:r>
      <w:r w:rsidRPr="00BB6978">
        <w:rPr>
          <w:rFonts w:asciiTheme="majorBidi" w:hAnsiTheme="majorBidi" w:cstheme="majorBidi"/>
          <w:sz w:val="24"/>
          <w:szCs w:val="24"/>
        </w:rPr>
        <w:t>The findings of this study have significant implications for the advancement and extension of the education production function theory on a global scale. By revealing a positive correlation between school quality and cost, and highlighting the influential role of school quality on student achievement, this research adds empirical evidence to the existing body of literature and strengthens the theoretical foundations of this framework.</w:t>
      </w:r>
    </w:p>
    <w:p w14:paraId="2C8E14BC" w14:textId="3626FE05" w:rsidR="00232C05" w:rsidRPr="00BB6978" w:rsidRDefault="002D0259" w:rsidP="00CB1B22">
      <w:pPr>
        <w:spacing w:after="68" w:line="480" w:lineRule="auto"/>
        <w:ind w:firstLine="357"/>
        <w:jc w:val="both"/>
        <w:rPr>
          <w:rFonts w:asciiTheme="majorBidi" w:hAnsiTheme="majorBidi" w:cstheme="majorBidi"/>
          <w:sz w:val="24"/>
          <w:szCs w:val="24"/>
        </w:rPr>
      </w:pPr>
      <w:r w:rsidRPr="00BB6978">
        <w:rPr>
          <w:rFonts w:asciiTheme="majorBidi" w:hAnsiTheme="majorBidi" w:cstheme="majorBidi"/>
          <w:sz w:val="24"/>
          <w:szCs w:val="24"/>
        </w:rPr>
        <w:t>Moreover, this study contributes to the application of the education production function theory by providing insights into how parents make informed choices regarding private schools for their children. Understanding the factors that influence parental decision-making, such as income and educational levels, is crucial for policymakers and stakeholders in the education sector. These findings can guide the development of universal investment standards for the private education sector, aiming to enhance economic profits while ensuring the provision of high-quality education. Furthermore, the study opens avenues for further research and exploration, such as investigating the specific mechanisms through which school quality impacts student achievement and examining the long-term economic outcomes associated with investments in education.</w:t>
      </w:r>
    </w:p>
    <w:p w14:paraId="1600B1A4" w14:textId="77777777" w:rsidR="00896B01" w:rsidRPr="00BB6978" w:rsidRDefault="00896B01" w:rsidP="00232C05">
      <w:pPr>
        <w:spacing w:after="68" w:line="480" w:lineRule="auto"/>
        <w:jc w:val="both"/>
        <w:rPr>
          <w:rFonts w:ascii="Times New Roman" w:eastAsia="Calibri" w:hAnsi="Times New Roman" w:cs="Times New Roman"/>
          <w:sz w:val="24"/>
          <w:szCs w:val="24"/>
        </w:rPr>
      </w:pPr>
    </w:p>
    <w:p w14:paraId="33ABAB22" w14:textId="77777777" w:rsidR="002B0E27" w:rsidRPr="00BB6978" w:rsidRDefault="002B0E27" w:rsidP="002B0E27">
      <w:pPr>
        <w:spacing w:line="480" w:lineRule="auto"/>
        <w:jc w:val="both"/>
        <w:rPr>
          <w:rFonts w:asciiTheme="majorBidi" w:hAnsiTheme="majorBidi"/>
          <w:b/>
          <w:bCs/>
          <w:sz w:val="24"/>
          <w:szCs w:val="24"/>
        </w:rPr>
      </w:pPr>
      <w:r w:rsidRPr="00BB6978">
        <w:rPr>
          <w:rFonts w:asciiTheme="majorBidi" w:hAnsiTheme="majorBidi"/>
          <w:b/>
          <w:bCs/>
          <w:sz w:val="24"/>
          <w:szCs w:val="24"/>
        </w:rPr>
        <w:t xml:space="preserve">2.4 Relevant previous research </w:t>
      </w:r>
    </w:p>
    <w:p w14:paraId="5BD106ED" w14:textId="77777777" w:rsidR="002B0E27" w:rsidRPr="00BB6978" w:rsidRDefault="002B0E27" w:rsidP="002B0E27">
      <w:pPr>
        <w:pStyle w:val="Heading2"/>
        <w:spacing w:before="240" w:after="240" w:line="480" w:lineRule="auto"/>
        <w:rPr>
          <w:rFonts w:asciiTheme="majorBidi" w:hAnsiTheme="majorBidi"/>
          <w:color w:val="auto"/>
          <w:sz w:val="24"/>
          <w:szCs w:val="24"/>
        </w:rPr>
      </w:pPr>
      <w:bookmarkStart w:id="94" w:name="_Toc138239799"/>
      <w:r w:rsidRPr="00BB6978">
        <w:rPr>
          <w:rFonts w:asciiTheme="majorBidi" w:hAnsiTheme="majorBidi"/>
          <w:color w:val="auto"/>
          <w:sz w:val="24"/>
          <w:szCs w:val="24"/>
        </w:rPr>
        <w:t>2.4.1 Comparative investigation of research on school quality components</w:t>
      </w:r>
      <w:bookmarkEnd w:id="94"/>
      <w:r w:rsidRPr="00BB6978">
        <w:rPr>
          <w:rFonts w:asciiTheme="majorBidi" w:hAnsiTheme="majorBidi"/>
          <w:color w:val="auto"/>
          <w:sz w:val="24"/>
          <w:szCs w:val="24"/>
        </w:rPr>
        <w:t xml:space="preserve"> </w:t>
      </w:r>
    </w:p>
    <w:p w14:paraId="7D038830" w14:textId="77777777" w:rsidR="002B0E27" w:rsidRPr="00BB6978" w:rsidRDefault="002B0E27" w:rsidP="002B0E27">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 xml:space="preserve">School quality comprises of a few factors. Pianta et al.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{"citationItems":[{"id":"ITEM-1","itemData":{"ISSN":"0885-2006","author":[{"dropping-particle":"","family":"Downer","given":"Jason T","non-dropping-particle":"","parse-names":false,"suffix":""},{"dropping-particle":"","family":"Goble","given":"Priscilla","non-dropping-particle":"","parse-names":false,"suffix":""},{"dropping-particle":"","family":"Myers","given":"Sonya S","non-dropping-particle":"","parse-names":false,"suffix":""},{"dropping-particle":"","family":"Pianta","given":"Robert C","non-dropping-particle":"","parse-names":false,"suffix":""}],"container-title":"Early Childhood Research Quarterly","id":"ITEM-1","issued":{"date-parts":[["2016"]]},"page":"26-38","publisher":"Elsevier","title":"Teacher-child racial/ethnic match within pre-kindergarten classrooms and children's early school adjustment","type":"article-journal","volume":"37"},"label":"subverbo","suppress-author":1,"uris":["http://www.mendeley.com/documents/?uuid=d9a35e01-ed0c-4a79-ac3b-df73b6047d7b"]}],"mendeley":{"formattedCitation":"(2016)","plainTextFormattedCitation":"(2016)","previouslyFormattedCitation":"(2016)"},"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(2016)</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recognized factors like a program’s underlying components, measurements of student and instructor connections, characteristics of homeroom climate, and complete records for improvement and quality rating as key significant viewpoints characterizing quality in early education. Interestingly, Thornton and Arbogast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ISSN":"1940-5847","author":[{"dropping-particle":"","family":"Thornton","given":"Barry","non-dropping-particle":"","parse-names":false,"suffix":""},{"dropping-particle":"","family":"Arbogast","given":"Gordon","non-dropping-particle":"","parse-names":false,"suffix":""}],"container-title":"Contemporary Issues in Education Research","id":"ITEM-1","issue":"2","issued":{"date-parts":[["2014"]]},"page":"69-74","publisher":"ERIC","title":"Factors Affecting School Quality in Florida.","type":"article-journal","volume":"7"},"label":"subverbo","suppress-author":1,"uris":["http://www.mendeley.com/documents/?uuid=fe343ffd-31b2-4a38-9d05-0a56c921f269"]}],"mendeley":{"formattedCitation":"(2014)","plainTextFormattedCitation":"(2014)","previouslyFormattedCitation":"(2014)"},"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(2014)</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examined the elements influencing school quality in Florida and found that it is influenced by social monetary variables, such as both family income and the district's financial conditions. More grounded financial conditions can influence cutting edge school quality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ISSN":"1940-5847","author":[{"dropping-particle":"","family":"Thornton","given":"Barry","non-dropping-particle":"","parse-names":false,"suffix":""},{"dropping-particle":"","family":"Arbogast","given":"Gordon","non-dropping-particle":"","parse-names":false,"suffix":""}],"container-title":"Contemporary Issues in Education Research","id":"ITEM-1","issue":"2","issued":{"date-parts":[["2014"]]},"page":"69-74","publisher":"ERIC","title":"Factors Affecting School Quality in Florida.","type":"article-journal","volume":"7"},"uris":["http://www.mendeley.com/documents/?uuid=fe343ffd-31b2-4a38-9d05-0a56c921f269"]}],"mendeley":{"formattedCitation":"(Thornton &amp; Arbogast, 2014)","plainTextFormattedCitation":"(Thornton &amp; Arbogast, 2014)","previouslyFormattedCitation":"(Thornton and Arbogast 2014)"},"properties":{"noteIndex":0},"schema":"https://github.com/citation-style-language/schema/raw/master/csl-citation.json"}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(Thornton &amp; Arbogast, 2014)</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Akareem and Hossain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{"citationItems":[{"id":"ITEM-1","itemData":{"DOI":"10.1080/23265507.2016.1155167","ISSN":"2326-5507","author":[{"dropping-particle":"","family":"Akareem","given":"Husain Salilul","non-dropping-particle":"","parse-names":false,"suffix":""},{"dropping-particle":"","family":"Hossain","given":"Syed Shahadat","non-dropping-particle":"","parse-names":false,"suffix":""}],"container-title":"Open Review of Educational Research","id":"ITEM-1","issue":"1","issued":{"date-parts":[["2016","1","18"]]},"page":"52-67","title":"Determinants of education quality: what makes students’ perception different?","type":"article-journal","volume":"3"},"label":"subverbo","suppress-author":1,"uris":["http://www.mendeley.com/documents/?uuid=7ed63274-a1d3-4584-b7e1-94335337bc4b"]}],"mendeley":{"formattedCitation":"(2016)","plainTextFormattedCitation":"(2016)","previouslyFormattedCitation":"(2016)"},"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(2016)</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showed that students' attributes, such as financial foundation and current status, significantly affected their impression of education correspondence. </w:t>
      </w:r>
    </w:p>
    <w:p w14:paraId="0B8C8E54" w14:textId="77777777" w:rsidR="002B0E27" w:rsidRPr="00BB6978" w:rsidRDefault="002B0E27" w:rsidP="002B0E27">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UNICEF (2020) considered that five aspects capture the quality of education: 1) sound and well students who are very much persistent, interested in learning, and sustained by families and networks; 2) protected, defensive environments and providing satisfactory resources and offices; 3) content which is organized in substantial plans and materials to ensure the fundamental capabilities as good members of society, like reading and math; 4) information in areas, such as comfort and wellbeing, nourishment and nutrition, and congruence; besides these, it includes good processes and approaches through which the teachers develop students, are able to evaluate them, and encourage learning and lessen variations; and 5) outcomes that include knowledge, skills, and perceptions, and are associated to the objectives for schooling and constructive support in the society (UNICEF</w:t>
      </w:r>
      <w:r w:rsidRPr="00BB6978">
        <w:rPr>
          <w:rFonts w:ascii="Arial" w:hAnsi="Arial" w:cs="Arial"/>
          <w:sz w:val="21"/>
          <w:szCs w:val="21"/>
          <w:shd w:val="clear" w:color="auto" w:fill="FFFFFF"/>
        </w:rPr>
        <w:t xml:space="preserve"> </w:t>
      </w:r>
      <w:r w:rsidRPr="00BB6978">
        <w:rPr>
          <w:rFonts w:ascii="Times New Roman" w:hAnsi="Times New Roman" w:cs="Times New Roman"/>
          <w:sz w:val="24"/>
          <w:szCs w:val="24"/>
        </w:rPr>
        <w:t>annual report, 2000). This five-point plan of students, conditions, substance, cycles, and results appropriately captures the basic segments of education quality.</w:t>
      </w:r>
    </w:p>
    <w:p w14:paraId="2A3CEDC8" w14:textId="77777777" w:rsidR="002B0E27" w:rsidRPr="00BB6978" w:rsidRDefault="002B0E27" w:rsidP="002B0E27">
      <w:pPr>
        <w:spacing w:after="68" w:line="480" w:lineRule="auto"/>
        <w:ind w:firstLine="357"/>
        <w:jc w:val="both"/>
        <w:rPr>
          <w:lang w:val="en-US"/>
        </w:rPr>
      </w:pPr>
      <w:r w:rsidRPr="00BB6978">
        <w:rPr>
          <w:rFonts w:ascii="Times New Roman" w:hAnsi="Times New Roman" w:cs="Times New Roman"/>
          <w:sz w:val="24"/>
          <w:szCs w:val="24"/>
        </w:rPr>
        <w:t xml:space="preserve">Furthermore, Maxwell et al. (2017) recognized school climate and school identification as key aspects of school quality which can comprehensively impact students' success and accomplishment in learning establishments. The authors define school atmosphere as social highlights of a school that depend on teacher/student relationship, qualities and standards, educating, and learning accentuation, just as shared practices and approaches, which all can boost the school quality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{"citationItems":[{"id":"ITEM-1","itemData":{"ISSN":"1664-1078","author":[{"dropping-particle":"","family":"Maxwell","given":"Sophie","non-dropping-particle":"","parse-names":false,"suffix":""},{"dropping-particle":"","family":"Reynolds","given":"Katherine J","non-dropping-particle":"","parse-names":false,"suffix":""},{"dropping-particle":"","family":"Lee","given":"Eunro","non-dropping-particle":"","parse-names":false,"suffix":""},{"dropping-particle":"","family":"Subasic","given":"Emina","non-dropping-particle":"","parse-names":false,"suffix":""},{"dropping-particle":"","family":"Bromhead","given":"David","non-dropping-particle":"","parse-names":false,"suffix":""}],"container-title":"Frontiers in psychology","id":"ITEM-1","issued":{"date-parts":[["2017"]]},"page":"2069","publisher":"Frontiers","title":"The impact of school climate and school identification on academic achievement: Multilevel modeling with student and teacher data","type":"article-journal","volume":"8"},"uris":["http://www.mendeley.com/documents/?uuid=d12577b2-a4fb-4011-a0b2-426e1ea19aa8"]}],"mendeley":{"formattedCitation":"(Maxwell et al., 2017)","plainTextFormattedCitation":"(Maxwell et al., 2017)","previouslyFormattedCitation":"(Maxwell et al. 2017)"},"properties":{"noteIndex":0},"schema":"https://github.com/citation-style-language/schema/raw/master/csl-citation.json"}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(Maxwell et al., 2017)</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By utilizing staggered model joined with evaluation of different viewpoints of school atmosphere, Maxwell et al.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{"citationItems":[{"id":"ITEM-1","itemData":{"ISSN":"1664-1078","author":[{"dropping-particle":"","family":"Maxwell","given":"Sophie","non-dropping-particle":"","parse-names":false,"suffix":""},{"dropping-particle":"","family":"Reynolds","given":"Katherine J","non-dropping-particle":"","parse-names":false,"suffix":""},{"dropping-particle":"","family":"Lee","given":"Eunro","non-dropping-particle":"","parse-names":false,"suffix":""},{"dropping-particle":"","family":"Subasic","given":"Emina","non-dropping-particle":"","parse-names":false,"suffix":""},{"dropping-particle":"","family":"Bromhead","given":"David","non-dropping-particle":"","parse-names":false,"suffix":""}],"container-title":"Frontiers in psychology","id":"ITEM-1","issued":{"date-parts":[["2017"]]},"page":"2069","publisher":"Frontiers","title":"The impact of school climate and school identification on academic achievement: Multilevel modeling with student and teacher data","type":"article-journal","volume":"8"},"label":"subverbo","suppress-author":1,"uris":["http://www.mendeley.com/documents/?uuid=d12577b2-a4fb-4011-a0b2-426e1ea19aa8"]}],"mendeley":{"formattedCitation":"(2017)","plainTextFormattedCitation":"(2017)","previouslyFormattedCitation":"(2017)"},"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(2017)</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merged climate of school noteworthiness and school ID in guaranteeing improved nature of education quality and students' achievement. Others also show that school atmosphere is an incredible factor that can decide the achievement of students, and consequently, the quality of education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{"citationItems":[{"id":"ITEM-1","itemData":{"author":[{"dropping-particle":"","family":"Collins","given":"Thomas N","non-dropping-particle":"","parse-names":false,"suffix":""},{"dropping-particle":"","family":"Parson","given":"Kyleah A","non-dropping-particle":"","parse-names":false,"suffix":""}],"container-title":"Journal of Cross-Disciplinary Perspectives in Education","id":"ITEM-1","issue":"1","issued":{"date-parts":[["2010"]]},"page":"34-39","title":"School climate and student outcomes","type":"article-journal","volume":"3"},"uris":["http://www.mendeley.com/documents/?uuid=bf1fce7e-60c0-49ea-ad14-1f344732e04f"]}],"mendeley":{"formattedCitation":"(Collins &amp; Parson, 2010)","plainTextFormattedCitation":"(Collins &amp; Parson, 2010)","previouslyFormattedCitation":"(Collins and Parson 2010)"},"properties":{"noteIndex":0},"schema":"https://github.com/citation-style-language/schema/raw/master/csl-citation.json"}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(Collins &amp; Parson, 2010)</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School climate can shape the learning environment, influence student motivation, and impact academic performance. Schools that foster a positive climate with supportive relationships between teachers and students, clear expectations and standards, and engaging learning experiences are more likely to lead to better student outcomes (Thapa et al., 2013; Wang &amp; Degol, 2016). Therefore, school climate is an important component of school quality that should be considered when making decisions about education policy and school choice.</w:t>
      </w:r>
    </w:p>
    <w:p w14:paraId="7E7ACD25" w14:textId="77777777" w:rsidR="002B0E27" w:rsidRPr="00BB6978" w:rsidRDefault="002B0E27" w:rsidP="002B0E27">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 xml:space="preserve">A few different studies have shown that students who are profoundly occupied with school have high scholarly achievement when there is a positive school atmosphere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ISSN":"0034-6543","author":[{"dropping-particle":"","family":"Thapa","given":"Amrit","non-dropping-particle":"","parse-names":false,"suffix":""},{"dropping-particle":"","family":"Cohen","given":"Jonathan","non-dropping-particle":"","parse-names":false,"suffix":""},{"dropping-particle":"","family":"Guffey","given":"Shawn","non-dropping-particle":"","parse-names":false,"suffix":""},{"dropping-particle":"","family":"Higgins-D</w:instrText>
      </w:r>
      <w:r w:rsidRPr="00BB6978">
        <w:rPr>
          <w:rFonts w:ascii="Tahoma" w:hAnsi="Tahoma" w:cs="Tahoma"/>
          <w:sz w:val="24"/>
          <w:szCs w:val="24"/>
        </w:rPr>
        <w:instrText>�</w:instrText>
      </w:r>
      <w:r w:rsidRPr="00BB6978">
        <w:rPr>
          <w:rFonts w:ascii="Times New Roman" w:hAnsi="Times New Roman" w:cs="Times New Roman"/>
          <w:sz w:val="24"/>
          <w:szCs w:val="24"/>
        </w:rPr>
        <w:instrText>Alessandro","given":"Ann","non-dropping-particle":"","parse-names":false,"suffix":""}],"container-title":"Review of educational research","id":"ITEM-1","issue":"3","issued":{"date-parts":[["2013"]]},"page":"357-385","publisher":"Sage Publications Sage CA: Los Angeles, CA","title":"A review of school climate research","type":"article-journal","volume":"83"},"uris":["http://www.mendeley.com/documents/?uuid=5cfe3c89-841e-4586-98ed-e56f00a5df97"]}],"mendeley":{"formattedCitation":"(Thapa et al., 2013)","plainTextFormattedCitation":"(Thapa et al., 2013)","previouslyFormattedCitation":"(Thapa et al. 2013)"},"properties":{"noteIndex":0},"schema":"https://github.com/citation-style-language/schema/raw/master/csl-citation.json"}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(Thapa et al., 2013)</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A meta investigation of 78 articles found that a positive school atmosphere improves academic performance and limits the negative impacts related to poor financial status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ISSN":"0034-6543","author":[{"dropping-particle":"","family":"Berkowitz","given":"Ruth","non-dropping-particle":"","parse-names":false,"suffix":""},{"dropping-particle":"","family":"Moore","given":"Hadass","non-dropping-particle":"","parse-names":false,"suffix":""},{"dropping-particle":"","family":"Astor","given":"Ron Avi","non-dropping-particle":"","parse-names":false,"suffix":""},{"dropping-particle":"","family":"Benbenishty","given":"Rami","non-dropping-particle":"","parse-names":false,"suffix":""}],"container-title":"Review of Educational Research","id":"ITEM-1","issue":"2","issued":{"date-parts":[["2017"]]},"page":"425-469","publisher":"Sage Publications Sage CA: Los Angeles, CA","title":"A research synthesis of the associations between socioeconomic background, inequality, school climate, and academic achievement","type":"article-journal","volume":"87"},"uris":["http://www.mendeley.com/documents/?uuid=1202ff93-fb24-4390-af6f-8e0105ed8ae3"]}],"mendeley":{"formattedCitation":"(Berkowitz et al., 2017)","plainTextFormattedCitation":"(Berkowitz et al., 2017)","previouslyFormattedCitation":"(Berkowitz et al. 2017)"},"properties":{"noteIndex":0},"schema":"https://github.com/citation-style-language/schema/raw/master/csl-citation.json"}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(Berkowitz et al., 2017)</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w:t>
      </w:r>
    </w:p>
    <w:p w14:paraId="481D0D2F" w14:textId="77777777" w:rsidR="002B0E27" w:rsidRPr="00BB6978" w:rsidRDefault="002B0E27" w:rsidP="002B0E27">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 xml:space="preserve">To improve school quality in developing countries, the literature proposes four simple plans for the educational field: </w:t>
      </w:r>
    </w:p>
    <w:p w14:paraId="1D8FB0F3" w14:textId="671CA457" w:rsidR="002B0E27" w:rsidRPr="00BB6978" w:rsidRDefault="002B0E27" w:rsidP="002B0E27">
      <w:pPr>
        <w:spacing w:before="240" w:after="200" w:line="480" w:lineRule="auto"/>
        <w:ind w:left="357" w:hanging="357"/>
        <w:jc w:val="both"/>
        <w:rPr>
          <w:rFonts w:ascii="Times New Roman" w:hAnsi="Times New Roman" w:cs="Times New Roman"/>
          <w:sz w:val="24"/>
          <w:szCs w:val="24"/>
        </w:rPr>
      </w:pPr>
      <w:r w:rsidRPr="00BB6978">
        <w:rPr>
          <w:rFonts w:ascii="Times New Roman" w:hAnsi="Times New Roman" w:cs="Times New Roman"/>
          <w:sz w:val="24"/>
          <w:szCs w:val="24"/>
        </w:rPr>
        <w:t>1. Usually, the quality of education is interpreted in various ways, which mostly depends on the principles and values of the stakeholders. Furthermore, the strategies of promoting school quality vary according to the stakeholder’s area of interest, such as whether they want to improve school quality to gain reputation, as resources for input provision, as a process for delivering education, as materials and content, or as outcomes that are recognized as the schools’ output</w:t>
      </w:r>
      <w:r w:rsidR="00232C05" w:rsidRPr="00BB6978">
        <w:rPr>
          <w:rFonts w:ascii="Times New Roman" w:hAnsi="Times New Roman" w:cs="Times New Roman"/>
          <w:sz w:val="24"/>
          <w:szCs w:val="24"/>
        </w:rPr>
        <w:t xml:space="preserve"> </w:t>
      </w:r>
      <w:r w:rsidR="00232C05" w:rsidRPr="00BB6978">
        <w:rPr>
          <w:rFonts w:ascii="Times New Roman" w:eastAsia="Calibri" w:hAnsi="Times New Roman" w:cs="Times New Roman"/>
          <w:sz w:val="24"/>
          <w:szCs w:val="24"/>
        </w:rPr>
        <w:fldChar w:fldCharType="begin" w:fldLock="1"/>
      </w:r>
      <w:r w:rsidR="00232C05" w:rsidRPr="00BB6978">
        <w:rPr>
          <w:rFonts w:ascii="Times New Roman" w:eastAsia="Calibri" w:hAnsi="Times New Roman" w:cs="Times New Roman"/>
          <w:sz w:val="24"/>
          <w:szCs w:val="24"/>
        </w:rPr>
        <w:instrText>ADDIN CSL_CITATION {"citationItems":[{"id":"ITEM-1","itemData":{"URL":"https://www.unicef.org/coronavirus/everything-you-need-know-about-washing-your-hands-protect-against-coronavirus-covid-19","author":[{"dropping-particle":"","family":"Unicef","given":"","non-dropping-particle":"","parse-names":false,"suffix":""}],"id":"ITEM-1","issued":{"date-parts":[["2020"]]},"title":"Everything you need to know about washing your hands to protect against coronavirus (COVID-19)","type":"webpage"},"uris":["http://www.mendeley.com/documents/?uuid=c151fa07-a06a-4238-aa65-df4a87687b72"]}],"mendeley":{"formattedCitation":"(Unicef, 2020)","plainTextFormattedCitation":"(Unicef, 2020)","previouslyFormattedCitation":"(Unicef 2020)"},"properties":{"noteIndex":0},"schema":"https://github.com/citation-style-language/schema/raw/master/csl-citation.json"}</w:instrText>
      </w:r>
      <w:r w:rsidR="00232C05" w:rsidRPr="00BB6978">
        <w:rPr>
          <w:rFonts w:ascii="Times New Roman" w:eastAsia="Calibri" w:hAnsi="Times New Roman" w:cs="Times New Roman"/>
          <w:sz w:val="24"/>
          <w:szCs w:val="24"/>
        </w:rPr>
        <w:fldChar w:fldCharType="separate"/>
      </w:r>
      <w:r w:rsidR="00232C05" w:rsidRPr="00BB6978">
        <w:rPr>
          <w:rFonts w:ascii="Times New Roman" w:eastAsia="Calibri" w:hAnsi="Times New Roman" w:cs="Times New Roman"/>
          <w:sz w:val="24"/>
          <w:szCs w:val="24"/>
        </w:rPr>
        <w:t>(</w:t>
      </w:r>
      <w:r w:rsidR="00232C05" w:rsidRPr="00BB6978">
        <w:rPr>
          <w:rFonts w:ascii="Times New Roman" w:eastAsia="Calibri" w:hAnsi="Times New Roman" w:cs="Times New Roman"/>
        </w:rPr>
        <w:t xml:space="preserve"> </w:t>
      </w:r>
      <w:r w:rsidR="00232C05" w:rsidRPr="00BB6978">
        <w:rPr>
          <w:rFonts w:ascii="Times New Roman" w:eastAsia="Calibri" w:hAnsi="Times New Roman" w:cs="Times New Roman"/>
          <w:sz w:val="24"/>
          <w:szCs w:val="24"/>
        </w:rPr>
        <w:t>Penuel, 2020)</w:t>
      </w:r>
      <w:r w:rsidR="00232C05" w:rsidRPr="00BB6978">
        <w:rPr>
          <w:rFonts w:ascii="Times New Roman" w:eastAsia="Calibri" w:hAnsi="Times New Roman" w:cs="Times New Roman"/>
          <w:sz w:val="24"/>
          <w:szCs w:val="24"/>
        </w:rPr>
        <w:fldChar w:fldCharType="end"/>
      </w:r>
      <w:r w:rsidR="00232C05" w:rsidRPr="00BB6978">
        <w:rPr>
          <w:rFonts w:ascii="Times New Roman" w:eastAsia="Calibri" w:hAnsi="Times New Roman" w:cs="Times New Roman"/>
          <w:sz w:val="24"/>
          <w:szCs w:val="24"/>
        </w:rPr>
        <w:t>.</w:t>
      </w:r>
    </w:p>
    <w:p w14:paraId="2C840AD5" w14:textId="2FF05992" w:rsidR="002B0E27" w:rsidRPr="00BB6978" w:rsidRDefault="002B0E27" w:rsidP="002B0E27">
      <w:pPr>
        <w:spacing w:before="240" w:after="200" w:line="480" w:lineRule="auto"/>
        <w:ind w:left="357" w:hanging="357"/>
        <w:jc w:val="both"/>
        <w:rPr>
          <w:rFonts w:ascii="Times New Roman" w:hAnsi="Times New Roman" w:cs="Times New Roman"/>
          <w:sz w:val="24"/>
          <w:szCs w:val="24"/>
        </w:rPr>
      </w:pPr>
      <w:r w:rsidRPr="00BB6978">
        <w:rPr>
          <w:rFonts w:ascii="Times New Roman" w:hAnsi="Times New Roman" w:cs="Times New Roman"/>
          <w:sz w:val="24"/>
          <w:szCs w:val="24"/>
        </w:rPr>
        <w:t xml:space="preserve"> 2. Improving school quality need not always involves massive investments. Several elements among the educational quality key factors noted above do not require large investments and expensive resources. Rather, many of them are influenced by the inputs' administration, and the involvement of critical stakeholders like principals, staff, teachers, and parents. Thus, cost is not the major restriction for improving school quality. Conversely, quality advances probably necessitate further organizational investment than simply providing inputs. Furthermore, centrally controlling the process of improvements of quality is more challenging</w:t>
      </w:r>
      <w:r w:rsidR="00232C05" w:rsidRPr="00BB6978">
        <w:rPr>
          <w:rFonts w:ascii="Times New Roman" w:hAnsi="Times New Roman" w:cs="Times New Roman"/>
          <w:sz w:val="24"/>
          <w:szCs w:val="24"/>
        </w:rPr>
        <w:t xml:space="preserve"> </w:t>
      </w:r>
      <w:r w:rsidR="00232C05" w:rsidRPr="00BB6978">
        <w:rPr>
          <w:rFonts w:ascii="Times New Roman" w:eastAsia="Calibri" w:hAnsi="Times New Roman" w:cs="Times New Roman"/>
          <w:sz w:val="24"/>
          <w:szCs w:val="24"/>
        </w:rPr>
        <w:t xml:space="preserve">(Madani, 2019).  </w:t>
      </w:r>
    </w:p>
    <w:p w14:paraId="60A05BD4" w14:textId="0FBFCD2E" w:rsidR="002B0E27" w:rsidRPr="00BB6978" w:rsidRDefault="002B0E27" w:rsidP="002B0E27">
      <w:pPr>
        <w:spacing w:before="240" w:after="200" w:line="480" w:lineRule="auto"/>
        <w:ind w:left="357" w:hanging="357"/>
        <w:jc w:val="both"/>
        <w:rPr>
          <w:rFonts w:ascii="Times New Roman" w:hAnsi="Times New Roman" w:cs="Times New Roman"/>
          <w:sz w:val="24"/>
          <w:szCs w:val="24"/>
        </w:rPr>
      </w:pPr>
      <w:r w:rsidRPr="00BB6978">
        <w:rPr>
          <w:rFonts w:ascii="Times New Roman" w:hAnsi="Times New Roman" w:cs="Times New Roman"/>
          <w:sz w:val="24"/>
          <w:szCs w:val="24"/>
        </w:rPr>
        <w:t xml:space="preserve">3. School quality can be articulated in several ways. One construction comprises four interrelating groups of features—the student’s characteristics, supportive input resources, empowering environments, and educational development. When the improvement approach pays no attention to one of these aspects, it can lose an indispensable constituent of the total construction. Another integral formula perceives quality with five elements—the students’ aptitudes, learning environments' support, appropriate content, the learning practices' effectiveness, and outcome realization. Again, improvements must happen across the five elements </w:t>
      </w:r>
      <w:r w:rsidR="00232C05" w:rsidRPr="00BB6978">
        <w:rPr>
          <w:rFonts w:ascii="Times New Roman" w:eastAsia="Calibri" w:hAnsi="Times New Roman" w:cs="Times New Roman"/>
          <w:sz w:val="24"/>
          <w:szCs w:val="24"/>
        </w:rPr>
        <w:t>(Leu, 2005).</w:t>
      </w:r>
    </w:p>
    <w:p w14:paraId="4BF6A1EC" w14:textId="77777777" w:rsidR="00232C05" w:rsidRPr="00BB6978" w:rsidRDefault="002B0E27" w:rsidP="00232C05">
      <w:pPr>
        <w:spacing w:before="240" w:after="200" w:line="480" w:lineRule="auto"/>
        <w:ind w:left="357" w:hanging="357"/>
        <w:jc w:val="both"/>
        <w:rPr>
          <w:rFonts w:ascii="Times New Roman" w:eastAsia="Calibri" w:hAnsi="Times New Roman" w:cs="Times New Roman"/>
          <w:sz w:val="24"/>
          <w:szCs w:val="24"/>
        </w:rPr>
      </w:pPr>
      <w:r w:rsidRPr="00BB6978">
        <w:rPr>
          <w:rFonts w:ascii="Times New Roman" w:hAnsi="Times New Roman" w:cs="Times New Roman"/>
          <w:sz w:val="24"/>
          <w:szCs w:val="24"/>
        </w:rPr>
        <w:t>4. School quality enhancement tactics are more operative and effective when carried out on the school site as the efforts need to be localized according to the real needs and in partnership with all stakeholders. However, an exterior backing may be required to offer a far-reaching perspective about school quality along with necessary inputs. For instance, cooperation is necessary throughout this process to identify problems and find appropriate solutions. This continuous collaboration always needs to be supported. Furthermore, fostering on-site support environment for constant enactment is essential</w:t>
      </w:r>
      <w:r w:rsidR="00232C05" w:rsidRPr="00BB6978">
        <w:rPr>
          <w:rFonts w:ascii="Times New Roman" w:hAnsi="Times New Roman" w:cs="Times New Roman"/>
          <w:sz w:val="24"/>
          <w:szCs w:val="24"/>
        </w:rPr>
        <w:t xml:space="preserve"> </w:t>
      </w:r>
      <w:r w:rsidR="00232C05" w:rsidRPr="00BB6978">
        <w:rPr>
          <w:rFonts w:ascii="Times New Roman" w:eastAsia="Calibri" w:hAnsi="Times New Roman" w:cs="Times New Roman"/>
          <w:sz w:val="24"/>
          <w:szCs w:val="24"/>
        </w:rPr>
        <w:fldChar w:fldCharType="begin" w:fldLock="1"/>
      </w:r>
      <w:r w:rsidR="00232C05" w:rsidRPr="00BB6978">
        <w:rPr>
          <w:rFonts w:ascii="Times New Roman" w:eastAsia="Calibri" w:hAnsi="Times New Roman" w:cs="Times New Roman"/>
          <w:sz w:val="24"/>
          <w:szCs w:val="24"/>
        </w:rPr>
        <w:instrText>ADDIN CSL_CITATION {"citationItems":[{"id":"ITEM-1","itemData":{"URL":"https://www.unicef.org/coronavirus/everything-you-need-know-about-washing-your-hands-protect-against-coronavirus-covid-19","author":[{"dropping-particle":"","family":"Unicef","given":"","non-dropping-particle":"","parse-names":false,"suffix":""}],"id":"ITEM-1","issued":{"date-parts":[["2020"]]},"title":"Everything you need to know about washing your hands to protect against coronavirus (COVID-19)","type":"webpage"},"uris":["http://www.mendeley.com/documents/?uuid=c151fa07-a06a-4238-aa65-df4a87687b72"]}],"mendeley":{"formattedCitation":"(Unicef, 2020)","plainTextFormattedCitation":"(Unicef, 2020)","previouslyFormattedCitation":"(Unicef 2020)"},"properties":{"noteIndex":0},"schema":"https://github.com/citation-style-language/schema/raw/master/csl-citation.json"}</w:instrText>
      </w:r>
      <w:r w:rsidR="00232C05" w:rsidRPr="00BB6978">
        <w:rPr>
          <w:rFonts w:ascii="Times New Roman" w:eastAsia="Calibri" w:hAnsi="Times New Roman" w:cs="Times New Roman"/>
          <w:sz w:val="24"/>
          <w:szCs w:val="24"/>
        </w:rPr>
        <w:fldChar w:fldCharType="separate"/>
      </w:r>
      <w:r w:rsidR="00232C05" w:rsidRPr="00BB6978">
        <w:rPr>
          <w:rFonts w:ascii="Times New Roman" w:eastAsia="Calibri" w:hAnsi="Times New Roman" w:cs="Times New Roman"/>
          <w:sz w:val="24"/>
          <w:szCs w:val="24"/>
        </w:rPr>
        <w:t>(UNICEF, 2020)</w:t>
      </w:r>
      <w:r w:rsidR="00232C05" w:rsidRPr="00BB6978">
        <w:rPr>
          <w:rFonts w:ascii="Times New Roman" w:eastAsia="Calibri" w:hAnsi="Times New Roman" w:cs="Times New Roman"/>
          <w:sz w:val="24"/>
          <w:szCs w:val="24"/>
        </w:rPr>
        <w:fldChar w:fldCharType="end"/>
      </w:r>
      <w:r w:rsidR="00232C05" w:rsidRPr="00BB6978">
        <w:rPr>
          <w:rFonts w:ascii="Times New Roman" w:eastAsia="Calibri" w:hAnsi="Times New Roman" w:cs="Times New Roman"/>
          <w:sz w:val="24"/>
          <w:szCs w:val="24"/>
        </w:rPr>
        <w:t xml:space="preserve">.  </w:t>
      </w:r>
    </w:p>
    <w:p w14:paraId="42B3CFEE" w14:textId="77777777" w:rsidR="00CB1B22" w:rsidRPr="00BB6978" w:rsidRDefault="00CB1B22" w:rsidP="002B0E27">
      <w:pPr>
        <w:spacing w:after="68" w:line="480" w:lineRule="auto"/>
        <w:ind w:firstLine="357"/>
        <w:jc w:val="both"/>
        <w:rPr>
          <w:rFonts w:ascii="Times New Roman" w:hAnsi="Times New Roman" w:cs="Times New Roman"/>
          <w:sz w:val="24"/>
          <w:szCs w:val="24"/>
        </w:rPr>
      </w:pPr>
    </w:p>
    <w:p w14:paraId="40F31076" w14:textId="10EBD76B" w:rsidR="002B0E27" w:rsidRPr="00BB6978" w:rsidRDefault="002B0E27" w:rsidP="002B0E27">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 xml:space="preserve">The school atmosphere's effect on school quality has been invalidated by Benbenishty et al.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ISSN":"1939-0025","author":[{"dropping-particle":"","family":"Benbenishty","given":"Rami","non-dropping-particle":"","parse-names":false,"suffix":""},{"dropping-particle":"","family":"Siegel","given":"Alana","non-dropping-particle":"","parse-names":false,"suffix":""},{"dropping-particle":"","family":"Astor","given":"Ron Avi","non-dropping-particle":"","parse-names":false,"suffix":""}],"container-title":"American Journal of Orthopsychiatry","id":"ITEM-1","issue":"3","issued":{"date-parts":[["2018"]]},"page":"261","publisher":"Educational Publishing Foundation","title":"School-related experiences of adolescents in foster care: A comparison with their high-school peers.","type":"article-journal","volume":"88"},"label":"subverbo","suppress-author":1,"uris":["http://www.mendeley.com/documents/?uuid=7496b32a-7eab-4e79-b222-2a6649b829cf"]}],"mendeley":{"formattedCitation":"(2018)","plainTextFormattedCitation":"(2018)","previouslyFormattedCitation":"(2018)"},"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(2018)</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The authors showed that the school atmosphere assumption is restricted for its powerlessness to develop calculated models that sort the instrument through which certain traits of school atmosphere bring about students' academic achievement. Others contend that school atmosphere should be viewed as an arrangement of school that includes various that mutually affect one another and are related with noteworthy students' achievement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{"citationItems":[{"id":"ITEM-1","itemData":{"ISSN":"0013-1644","author":[{"dropping-particle":"","family":"Jia","given":"Yuane","non-dropping-particle":"","parse-names":false,"suffix":""},{"dropping-particle":"","family":"Konold","given":"Timothy R","non-dropping-particle":"","parse-names":false,"suffix":""},{"dropping-particle":"","family":"Cornell","given":"Dewey","non-dropping-particle":"","parse-names":false,"suffix":""},{"dropping-particle":"","family":"Huang","given":"Francis","non-dropping-particle":"","parse-names":false,"suffix":""}],"container-title":"Educational and psychological measurement","id":"ITEM-1","issue":"1","issued":{"date-parts":[["2018"]]},"page":"80-102","publisher":"SAGE Publications Sage CA: Los Angeles, CA","title":"The impact of validity screening on associations between self-reports of bullying victimization and student outcomes","type":"article-journal","volume":"78"},"uris":["http://www.mendeley.com/documents/?uuid=71c1c846-3aec-4b75-a110-b335e4dd092c"]}],"mendeley":{"formattedCitation":"(Jia et al., 2018)","plainTextFormattedCitation":"(Jia et al., 2018)","previouslyFormattedCitation":"(Jia et al. 2018)"},"properties":{"noteIndex":0},"schema":"https://github.com/citation-style-language/schema/raw/master/csl-citation.json"}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(Jia et al., 2018)</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On this, Huang and Cornell (2018) suggested that relational characteristics (e.g., the quality of student-instructor relationship) that are characteristically connected to class atmosphere should be separated from individual characteristics. For example, students' commitment and inspiration should be dealt with uniquely compared to conduct accomplishments, for example, school participation and test performance. </w:t>
      </w:r>
    </w:p>
    <w:p w14:paraId="47CB60E0" w14:textId="77777777" w:rsidR="002B0E27" w:rsidRPr="00BB6978" w:rsidRDefault="002B0E27" w:rsidP="002B0E27">
      <w:pPr>
        <w:spacing w:after="68" w:line="480" w:lineRule="auto"/>
        <w:ind w:firstLine="357"/>
        <w:jc w:val="both"/>
        <w:rPr>
          <w:lang w:val="en-US"/>
        </w:rPr>
      </w:pPr>
      <w:r w:rsidRPr="00BB6978">
        <w:rPr>
          <w:rFonts w:ascii="Times New Roman" w:hAnsi="Times New Roman" w:cs="Times New Roman"/>
          <w:sz w:val="24"/>
          <w:szCs w:val="24"/>
        </w:rPr>
        <w:t xml:space="preserve">Other studies pay attention to individual qualities. For instance, Fredricks et al.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{"citationItems":[{"id":"ITEM-1","itemData":{"ISBN":"0959-4752","author":[{"dropping-particle":"","family":"Fredricks","given":"Jennifer A","non-dropping-particle":"","parse-names":false,"suffix":""},{"dropping-particle":"","family":"Filsecker","given":"Michael","non-dropping-particle":"","parse-names":false,"suffix":""},{"dropping-particle":"","family":"Lawson","given":"Michael A","non-dropping-particle":"","parse-names":false,"suffix":""}],"id":"ITEM-1","issued":{"date-parts":[["2016"]]},"publisher":"Elsevier","title":"Student engagement, context, and adjustment: Addressing definitional, measurement, and methodological issues","type":"article"},"label":"subverbo","suppress-author":1,"uris":["http://www.mendeley.com/documents/?uuid=1877b318-f0fc-475d-ac80-11c909877180"]}],"mendeley":{"formattedCitation":"(2016)","plainTextFormattedCitation":"(2016)","previouslyFormattedCitation":"(2016)"},"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(2016)</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focused on student commitment and portrayed it as a key factor in students’ learning and corresponding outcomes. Student commitment is normally seen as ownership of full of feeling, social and psychological perspectives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{"citationItems":[{"id":"ITEM-1","itemData":{"ISBN":"0959-4752","author":[{"dropping-particle":"","family":"Fredricks","given":"Jennifer A","non-dropping-particle":"","parse-names":false,"suffix":""},{"dropping-particle":"","family":"Filsecker","given":"Michael","non-dropping-particle":"","parse-names":false,"suffix":""},{"dropping-particle":"","family":"Lawson","given":"Michael A","non-dropping-particle":"","parse-names":false,"suffix":""}],"id":"ITEM-1","issued":{"date-parts":[["2016"]]},"publisher":"Elsevier","title":"Student engagement, context, and adjustment: Addressing definitional, measurement, and methodological issues","type":"article"},"label":"subverbo","uris":["http://www.mendeley.com/documents/?uuid=1877b318-f0fc-475d-ac80-11c909877180"]}],"mendeley":{"formattedCitation":"(Fredricks et al., 2016)","plainTextFormattedCitation":"(Fredricks et al., 2016)","previouslyFormattedCitation":"(Fredricks et al. 2016)"},"properties":{"noteIndex":0},"schema":"https://github.com/citation-style-language/schema/raw/master/csl-citation.json"}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(Fredricks et al., 2016)</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Student commitment contemplates have reported that consolidated proportion of general students' commitment can be an inexorably vigorous indicator of student achievements contrasted with singular segments as singled out by a person's intellectual tendency. Buckner et al.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{"citationItems":[{"id":"ITEM-1","itemData":{"ISSN":"0902-4441","author":[{"dropping-particle":"","family":"Buckner","given":"Tyler W","non-dropping-particle":"","parse-names":false,"suffix":""},{"dropping-particle":"","family":"Witkop","given":"Michelle","non-dropping-particle":"","parse-names":false,"suffix":""},{"dropping-particle":"","family":"Guelcher","given":"Christine","non-dropping-particle":"","parse-names":false,"suffix":""},{"dropping-particle":"","family":"Sidonio","given":"Robert","non-dropping-particle":"","parse-names":false,"suffix":""},{"dropping-particle":"","family":"Kessler","given":"Craig M","non-dropping-particle":"","parse-names":false,"suffix":""},{"dropping-particle":"","family":"Clark","given":"David B","non-dropping-particle":"","parse-names":false,"suffix":""},{"dropping-particle":"","family":"Owens","given":"Wendy","non-dropping-particle":"","parse-names":false,"suffix":""},{"dropping-particle":"","family":"Frick","given":"Neil","non-dropping-particle":"","parse-names":false,"suffix":""},{"dropping-particle":"","family":"Iyer","given":"Neeraj N","non-dropping-particle":"","parse-names":false,"suffix":""},{"dropping-particle":"","family":"Cooper","given":"David L","non-dropping-particle":"","parse-names":false,"suffix":""}],"container-title":"European Journal of Haematology","id":"ITEM-1","issue":"6","issued":{"date-parts":[["2018"]]},"page":"592-602","publisher":"Wiley Online Library","title":"Impact of hemophilia B on quality of life in affected men, women, and caregivers Assessment of patient reported outcomes in the B HERO S study","type":"article-journal","volume":"100"},"label":"subverbo","suppress-author":1,"uris":["http://www.mendeley.com/documents/?uuid=7d9416e6-f486-4fd4-b3d9-41adc95709cd"]}],"mendeley":{"formattedCitation":"(2018)","plainTextFormattedCitation":"(2018)","previouslyFormattedCitation":"(2018b)"},"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(2018)</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demonstrated that parental commitment as described by parental help, for example, indicating revenue in the students' school exercises may affect their academic achievement. By recognizing the discoveries of past examination, Buckner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{"citationItems":[{"id":"ITEM-1","itemData":{"ISSN":"0902-4441","author":[{"dropping-particle":"","family":"Buckner","given":"Tyler W","non-dropping-particle":"","parse-names":false,"suffix":""},{"dropping-particle":"","family":"Witkop","given":"Michelle","non-dropping-particle":"","parse-names":false,"suffix":""},{"dropping-particle":"","family":"Guelcher","given":"Christine","non-dropping-particle":"","parse-names":false,"suffix":""},{"dropping-particle":"","family":"Sidonio","given":"Robert","non-dropping-particle":"","parse-names":false,"suffix":""},{"dropping-particle":"","family":"Kessler","given":"Craig M","non-dropping-particle":"","parse-names":false,"suffix":""},{"dropping-particle":"","family":"Clark","given":"David B","non-dropping-particle":"","parse-names":false,"suffix":""},{"dropping-particle":"","family":"Owens","given":"Wendy","non-dropping-particle":"","parse-names":false,"suffix":""},{"dropping-particle":"","family":"Frick","given":"Neil","non-dropping-particle":"","parse-names":false,"suffix":""},{"dropping-particle":"","family":"Iyer","given":"Neeraj N","non-dropping-particle":"","parse-names":false,"suffix":""},{"dropping-particle":"","family":"Cooper","given":"David L","non-dropping-particle":"","parse-names":false,"suffix":""}],"container-title":"European Journal of Haematology","id":"ITEM-1","issue":"6","issued":{"date-parts":[["2018"]]},"page":"592-602","publisher":"Wiley Online Library","title":"Impact of hemophilia B on quality of life in affected men, women, and caregivers Assessment of patient reported outcomes in the B HERO S study","type":"article-journal","volume":"100"},"label":"subverbo","suppress-author":1,"uris":["http://www.mendeley.com/documents/?uuid=7d9416e6-f486-4fd4-b3d9-41adc95709cd"]}],"mendeley":{"formattedCitation":"(2018)","plainTextFormattedCitation":"(2018)","previouslyFormattedCitation":"(2018b)"},"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(2018)</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affirmed that indicating backing and premium in students' academic achievement positively affects students' achievement. This can help in explaining why lower parental commitment in academics is a major factor among lower-income students. </w:t>
      </w:r>
    </w:p>
    <w:p w14:paraId="60505255" w14:textId="77777777" w:rsidR="002B0E27" w:rsidRPr="00BB6978" w:rsidRDefault="002B0E27" w:rsidP="002B0E27">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Another study conducted by Badri et al. (2018) evaluated the relationship between home, school, and family factors and students' joy in Abu Dhabi schools. The results indicated that both home and school factors had an impact on students' joy</w:t>
      </w:r>
      <w:r w:rsidR="009B502B" w:rsidRPr="00BB6978">
        <w:rPr>
          <w:rFonts w:ascii="Times New Roman" w:hAnsi="Times New Roman" w:cs="Times New Roman"/>
          <w:sz w:val="24"/>
          <w:szCs w:val="24"/>
        </w:rPr>
        <w:t>, which reflects the nature of the school quality itself and thus affect students’ achievement</w:t>
      </w:r>
      <w:r w:rsidRPr="00BB6978">
        <w:rPr>
          <w:rFonts w:ascii="Times New Roman" w:hAnsi="Times New Roman" w:cs="Times New Roman"/>
          <w:sz w:val="24"/>
          <w:szCs w:val="24"/>
        </w:rPr>
        <w:t>. However, the study did not elaborate on the specific home and school factors that influenced joy. Interestingly, the authors found that the home factor could impact joy through the school, highlighting the significance of the home-school interface. This implies that parents' involvement and support in their children's education can significantly contribute to their academic and emotional well-being. In another study, Yang et al. (2018) found that parents perceived different aspects of school satisfaction to be more important than students. Specifically, parents reported that cleanliness, harassment at school, and parental involvement were more crucial than students perceived them to be. This demonstrates the importance of understanding the differing perspectives of parents and students regarding school satisfaction and the need for effective communication and collaboration between home and school to ensure students' academic and emotional success</w:t>
      </w:r>
      <w:r w:rsidR="0088538B" w:rsidRPr="00BB6978">
        <w:rPr>
          <w:rFonts w:ascii="Times New Roman" w:hAnsi="Times New Roman" w:cs="Times New Roman"/>
          <w:sz w:val="24"/>
          <w:szCs w:val="24"/>
        </w:rPr>
        <w:t xml:space="preserve"> as a good indication of high school quality</w:t>
      </w:r>
      <w:r w:rsidR="009B502B" w:rsidRPr="00BB6978">
        <w:rPr>
          <w:rFonts w:ascii="Times New Roman" w:hAnsi="Times New Roman" w:cs="Times New Roman"/>
          <w:sz w:val="24"/>
          <w:szCs w:val="24"/>
        </w:rPr>
        <w:t xml:space="preserve"> (</w:t>
      </w:r>
      <w:r w:rsidR="009B502B" w:rsidRPr="00BB6978">
        <w:rPr>
          <w:rFonts w:ascii="Times New Roman" w:eastAsia="Times New Roman" w:hAnsi="Times New Roman" w:cs="Times New Roman"/>
          <w:sz w:val="24"/>
          <w:szCs w:val="24"/>
        </w:rPr>
        <w:t>Tooley &amp; Dixon, 2006)</w:t>
      </w:r>
      <w:r w:rsidR="009B502B" w:rsidRPr="00BB6978">
        <w:rPr>
          <w:rFonts w:ascii="Times New Roman" w:eastAsia="Times New Roman" w:hAnsi="Times New Roman" w:cs="Times New Roman"/>
          <w:sz w:val="24"/>
          <w:szCs w:val="24"/>
          <w:lang w:val="en-US"/>
        </w:rPr>
        <w:t>.</w:t>
      </w:r>
    </w:p>
    <w:p w14:paraId="0473625F" w14:textId="77777777" w:rsidR="002B0E27" w:rsidRPr="00BB6978" w:rsidRDefault="002B0E27" w:rsidP="002B0E27">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 xml:space="preserve">Another factor for school quality incorporates the degree of assets as schools from created nations accomplish expanded autonomy concerning spending choices and educator remuneration. This infers that the degree of a school's spending can significantly affect students' achievement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DOI":"10.1016/j.econedurev.2019.101924","ISSN":"02727757","author":[{"dropping-particle":"","family":"Greaves","given":"Ellen","non-dropping-particle":"","parse-names":false,"suffix":""},{"dropping-particle":"","family":"Sibieta","given":"Luke","non-dropping-particle":"","parse-names":false,"suffix":""}],"container-title":"Economics of Education Review","id":"ITEM-1","issued":{"date-parts":[["2019","12"]]},"page":"101924","title":"Constrained optimisation? Teacher salaries, school resources and student achievement","type":"article-journal","volume":"73"},"uris":["http://www.mendeley.com/documents/?uuid=8020fbaa-bde9-40f6-a9e5-eb20aef7037d"]}],"mendeley":{"formattedCitation":"(Greaves &amp; Sibieta, 2019)","plainTextFormattedCitation":"(Greaves &amp; Sibieta, 2019)","previouslyFormattedCitation":"(Greaves and Sibieta 2019)"},"properties":{"noteIndex":0},"schema":"https://github.com/citation-style-language/schema/raw/master/csl-citation.json"}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(Greaves &amp; Sibieta, 2019)</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Some studies have affirmed the impact of improving school assets. Jackson, Johnson, and Persico (2015) found beneficial outcomes related with more significant levels of school assets. The authors showed that better compensating staff was the causal mechanism of this impact. Despite the fact that the proof demonstrating the impact of giving more significant compensations to training staff and the causal component through which this may impact on students' achievement. This does not exist as Greavas and Sibieta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DOI":"10.1016/j.econedurev.2019.101924","ISSN":"02727757","author":[{"dropping-particle":"","family":"Greaves","given":"Ellen","non-dropping-particle":"","parse-names":false,"suffix":""},{"dropping-particle":"","family":"Sibieta","given":"Luke","non-dropping-particle":"","parse-names":false,"suffix":""}],"container-title":"Economics of Education Review","id":"ITEM-1","issued":{"date-parts":[["2019","12"]]},"page":"101924","title":"Constrained optimisation? Teacher salaries, school resources and student achievement","type":"article-journal","volume":"73"},"label":"subverbo","suppress-author":1,"uris":["http://www.mendeley.com/documents/?uuid=8020fbaa-bde9-40f6-a9e5-eb20aef7037d"]}],"mendeley":{"formattedCitation":"(2019)","plainTextFormattedCitation":"(2019)","previouslyFormattedCitation":"(2019)"},"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(2019)</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brings up. Britton and Propper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DOI":"10.1016/j.jpubeco.2015.12.004","ISSN":"00472727","author":[{"dropping-particle":"","family":"Britton","given":"Jack","non-dropping-particle":"","parse-names":false,"suffix":""},{"dropping-particle":"","family":"Propper","given":"Carol","non-dropping-particle":"","parse-names":false,"suffix":""}],"container-title":"Journal of Public Economics","id":"ITEM-1","issued":{"date-parts":[["2016","1"]]},"page":"75-89","title":"Teacher pay and school productivity: Exploiting wage regulation","type":"article-journal","volume":"133"},"label":"subverbo","suppress-author":1,"uris":["http://www.mendeley.com/documents/?uuid=3252d692-7105-4756-9423-95876232a6c4"]}],"mendeley":{"formattedCitation":"(2016)","plainTextFormattedCitation":"(2016)","previouslyFormattedCitation":"(2016)"},"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(2016)</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provided evidence across geographies that paying educators more can improve student achievement. </w:t>
      </w:r>
    </w:p>
    <w:p w14:paraId="599181AB" w14:textId="77777777" w:rsidR="002B0E27" w:rsidRPr="00BB6978" w:rsidRDefault="002B0E27" w:rsidP="002B0E27">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 xml:space="preserve">Studies on school quality inside the UAE zeroed in on framework difficulties and results of change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DOI":"10.2304/pfie.2014.12.2.200","ISSN":"1478-2103","author":[{"dropping-particle":"","family":"Badri","given":"Masood","non-dropping-particle":"","parse-names":false,"suffix":""},{"dropping-particle":"Al","family":"Khaili","given":"Mugheer","non-dropping-particle":"","parse-names":false,"suffix":""}],"container-title":"Policy Futures in Education","id":"ITEM-1","issue":"2","issued":{"date-parts":[["2014","2"]]},"page":"200-220","title":"Migration of P–12 Education from its Current State to One of High Quality: The Aspirations of Abu Dhabi","type":"article-journal","volume":"12"},"uris":["http://www.mendeley.com/documents/?uuid=985229a8-0964-4808-9017-ca856a6d4627"]}],"mendeley":{"formattedCitation":"(Badri &amp; Khaili, 2014)","plainTextFormattedCitation":"(Badri &amp; Khaili, 2014)","previouslyFormattedCitation":"(Badri and Khaili 2014)"},"properties":{"noteIndex":0},"schema":"https://github.com/citation-style-language/schema/raw/master/csl-citation.json"}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(Badri &amp; Khaili, 2014)</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school reviews as a framework to gauge school performance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DOI":"10.1108/IJEM-09-2014-0123","ISSN":"0951-354X","author":[{"dropping-particle":"","family":"Qubaisi","given":"Amal","non-dropping-particle":"Al","parse-names":false,"suffix":""},{"dropping-particle":"","family":"Badri","given":"Masood","non-dropping-particle":"","parse-names":false,"suffix":""},{"dropping-particle":"","family":"Mohaidat","given":"Jihad","non-dropping-particle":"","parse-names":false,"suffix":""},{"dropping-particle":"","family":"Dhaheri","given":"Hamad","non-dropping-particle":"Al","parse-names":false,"suffix":""},{"dropping-particle":"","family":"Yang","given":"Guang","non-dropping-particle":"","parse-names":false,"suffix":""},{"dropping-particle":"","family":"Rashedi","given":"Asma","non-dropping-particle":"Al","parse-names":false,"suffix":""},{"dropping-particle":"","family":"Greer","given":"Kenneth","non-dropping-particle":"","parse-names":false,"suffix":""}],"container-title":"International Journal of Educational Management","id":"ITEM-1","issue":"3","issued":{"date-parts":[["2016","4","11"]]},"page":"437-459","title":"An analytic hierarchy process for school quality and inspection","type":"article-journal","volume":"30"},"uris":["http://www.mendeley.com/documents/?uuid=d275f15b-6510-4e2e-9135-33f2f3a5f2e1"]}],"mendeley":{"formattedCitation":"(Al Qubaisi et al., 2016)","plainTextFormattedCitation":"(Al Qubaisi et al., 2016)","previouslyFormattedCitation":"(Al Qubaisi et al. 2016)"},"properties":{"noteIndex":0},"schema":"https://github.com/citation-style-language/schema/raw/master/csl-citation.json"}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(Al Qubaisi et al., 2016)</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and estimating school productivity data sources and yields in provincial territories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{"citationItems":[{"id":"ITEM-1","itemData":{"author":[{"dropping-particle":"","family":"Badri","given":"Masood a","non-dropping-particle":"","parse-names":false,"suffix":""},{"dropping-particle":"El","family":"Mourad","given":"Tarek","non-dropping-particle":"","parse-names":false,"suffix":""}],"container-title":"2012 International Conference on Management and Education Innovation","id":"ITEM-1","issued":{"date-parts":[["2012"]]},"page":"314-318","title":"Determinants of School Efficiencies in Abu Dhabi Using DEA","type":"article-journal","volume":"37"},"uris":["http://www.mendeley.com/documents/?uuid=3537e4e4-3a29-444a-9a9d-66379da6662b"]}],"mendeley":{"formattedCitation":"(Badri &amp; Mourad, 2012)","plainTextFormattedCitation":"(Badri &amp; Mourad, 2012)","previouslyFormattedCitation":"(Badri and Mourad 2012)"},"properties":{"noteIndex":0},"schema":"https://github.com/citation-style-language/schema/raw/master/csl-citation.json"}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(Badri &amp; Mourad, 2012)</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The last study found that cost per student and per instructor are significant determinants of school productivity, which shows the ramifications of costs on school quality. </w:t>
      </w:r>
    </w:p>
    <w:p w14:paraId="3E286EF0" w14:textId="77777777" w:rsidR="002B0E27" w:rsidRPr="00BB6978" w:rsidRDefault="002B0E27" w:rsidP="002B0E27">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 xml:space="preserve">From parents' perspective, the quality of school is significant. Indeed, parents are happy to pay more to have their children in a superior school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{"citationItems":[{"id":"ITEM-1","itemData":{"DOI":"10.1016/j.jjie.2018.05.002","ISSN":"08891583","author":[{"dropping-particle":"","family":"Kuroda","given":"Yuta","non-dropping-particle":"","parse-names":false,"suffix":""}],"container-title":"Journal of the Japanese and International Economies","id":"ITEM-1","issued":{"date-parts":[["2018","12"]]},"page":"16-25","title":"The effect of school quality on housing rents: Evidence from Matsue city in Japan","type":"article-journal","volume":"50"},"uris":["http://www.mendeley.com/documents/?uuid=24d38888-27ec-4b92-97cc-fefc857d951f"]}],"mendeley":{"formattedCitation":"(Kuroda, 2018)","plainTextFormattedCitation":"(Kuroda, 2018)","previouslyFormattedCitation":"(Kuroda 2018)"},"properties":{"noteIndex":0},"schema":"https://github.com/citation-style-language/schema/raw/master/csl-citation.json"}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(Kuroda, 2018)</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A few investigations demonstrated that the presence of great schools positively affect house costs around the school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DOI":"10.1016/j.jebo.2017.11.015","ISSN":"01672681","author":[{"dropping-particle":"","family":"Haisken-DeNew","given":"John","non-dropping-particle":"","parse-names":false,"suffix":""},{"dropping-particle":"","family":"Hasan","given":"Syed","non-dropping-particle":"","parse-names":false,"suffix":""},{"dropping-particle":"","family":"Jha","given":"Nikhil","non-dropping-particle":"","parse-names":false,"suffix":""},{"dropping-particle":"","family":"Sinning","given":"Mathias","non-dropping-particle":"","parse-names":false,"suffix":""}],"container-title":"Journal of Economic Behavior &amp; Organization","id":"ITEM-1","issued":{"date-parts":[["2018","1"]]},"page":"449-464","title":"Unawareness and selective disclosure: The effect of school quality information on property prices","type":"article-journal","volume":"145"},"uris":["http://www.mendeley.com/documents/?uuid=de6d88df-fb72-4adf-94ca-26dba70400ea"]},{"id":"ITEM-2","itemData":{"DOI":"10.1016/j.jjie.2018.05.002","ISSN":"08891583","author":[{"dropping-particle":"","family":"Kuroda","given":"Yuta","non-dropping-particle":"","parse-names":false,"suffix":""}],"container-title":"Journal of the Japanese and International Economies","id":"ITEM-2","issued":{"date-parts":[["2018","12"]]},"page":"16-25","title":"The effect of school quality on housing rents: Evidence from Matsue city in Japan","type":"article-journal","volume":"50"},"uris":["http://www.mendeley.com/documents/?uuid=24d38888-27ec-4b92-97cc-fefc857d951f"]}],"mendeley":{"formattedCitation":"(Haisken-DeNew et al., 2018; Kuroda, 2018)","plainTextFormattedCitation":"(Haisken-DeNew et al., 2018; Kuroda, 2018)","previouslyFormattedCitation":"(Haisken-DeNew et al. 2018; Kuroda 2018)"},"properties":{"noteIndex":0},"schema":"https://github.com/citation-style-language/schema/raw/master/csl-citation.json"}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(Haisken-DeNew, Hasan, Jha, &amp; Sinning, 2018; Kuroda, 2018)</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Moreover, most parents believe scholarly achievements to be a measure of value. Consequently, they think that tuition-based schools offer quality when contrasted with government funded schools because of their amazing academic achievements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{"citationItems":[{"id":"ITEM-1","itemData":{"DOI":"10.1016/j.sbspro.2014.10.058","ISSN":"18770428","author":[{"dropping-particle":"","family":"Yaacob","given":"Noor Alyani","non-dropping-particle":"","parse-names":false,"suffix":""},{"dropping-particle":"","family":"Osman","given":"Mariana Mohamed","non-dropping-particle":"","parse-names":false,"suffix":""},{"dropping-particle":"","family":"Bachok","given":"Syahirah","non-dropping-particle":"","parse-names":false,"suffix":""}],"container-title":"Procedia - Social and Behavioral Sciences","id":"ITEM-1","issued":{"date-parts":[["2014","10"]]},"page":"242-253","title":"Factors Influencing Parents’ Decision in Choosing Private Schools","type":"article-journal","volume":"153"},"uris":["http://www.mendeley.com/documents/?uuid=64fb6179-6ae0-402e-9ebb-e3d711f8ddb7"]}],"mendeley":{"formattedCitation":"(Yaacob et al., 2014)","plainTextFormattedCitation":"(Yaacob et al., 2014)","previouslyFormattedCitation":"(Yaacob et al. 2014)"},"properties":{"noteIndex":0},"schema":"https://github.com/citation-style-language/schema/raw/master/csl-citation.json"}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(Yaacob et al., 2014)</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w:t>
      </w:r>
    </w:p>
    <w:p w14:paraId="3034C3A8" w14:textId="77777777" w:rsidR="002B0E27" w:rsidRPr="00BB6978" w:rsidRDefault="002B0E27" w:rsidP="002B0E27">
      <w:pPr>
        <w:pStyle w:val="Heading2"/>
        <w:rPr>
          <w:rFonts w:asciiTheme="majorBidi" w:hAnsiTheme="majorBidi"/>
          <w:color w:val="auto"/>
          <w:sz w:val="24"/>
          <w:szCs w:val="24"/>
        </w:rPr>
      </w:pPr>
      <w:bookmarkStart w:id="95" w:name="_Toc138239800"/>
      <w:r w:rsidRPr="00BB6978">
        <w:rPr>
          <w:rFonts w:asciiTheme="majorBidi" w:hAnsiTheme="majorBidi"/>
          <w:color w:val="auto"/>
          <w:sz w:val="24"/>
          <w:szCs w:val="24"/>
        </w:rPr>
        <w:t>2.4.2 How to measure student achievement?</w:t>
      </w:r>
      <w:bookmarkEnd w:id="95"/>
      <w:r w:rsidRPr="00BB6978">
        <w:rPr>
          <w:rFonts w:asciiTheme="majorBidi" w:hAnsiTheme="majorBidi"/>
          <w:color w:val="auto"/>
          <w:sz w:val="24"/>
          <w:szCs w:val="24"/>
        </w:rPr>
        <w:t xml:space="preserve"> </w:t>
      </w:r>
    </w:p>
    <w:p w14:paraId="7342CF08" w14:textId="77777777" w:rsidR="002B0E27" w:rsidRPr="00BB6978" w:rsidRDefault="002B0E27" w:rsidP="002B0E27"/>
    <w:p w14:paraId="650D5F4A" w14:textId="77777777" w:rsidR="002B0E27" w:rsidRPr="00BB6978" w:rsidRDefault="002B0E27" w:rsidP="002B0E27">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 xml:space="preserve">In the past decade, researchers have debated about what influences student achievement intensively (Darling-Hammond, 2000; Erdem, 2018). Due to its importance and since its seen as the ultimate outcome of schooling, several studies have investigated different variables that play a role in students’ achievements. For example, Waters and Marzano (2007) believed that school district leadership has a significant effect on students' achievement, and that effective leaders should focus greatly on creating goal-oriented districts. Meanwhile, Van Ewijk and Sleegers (2010) observed that peer SES may influence educational outcomes. Scholars note that involving parents makes a vital influence on their children’s achievement. Parental models that are most linked to students’ high achievement focus on child learning activities' supervision. The relationship is strongest when the family puts high expectations on their children academic outcomes, which helps preserve mutual communication with their children about their study and supports them to develop reading routines (Castro, Expósito-Casas, López-Martín, Lizasoain, Navarro-Asencio, &amp; Gaviria, 2015). Others like Bektas, Çogaltay, Karadag, and Ay (2015) and Wang, Degol, Amemiya, Parr, and Guo (2020) considerably emphasized on the school culture and class environment as essential factors that promote positive relation with social competence, motivation and engagement, and academic achievement.  </w:t>
      </w:r>
    </w:p>
    <w:p w14:paraId="4D0D7D9D" w14:textId="77777777" w:rsidR="002B0E27" w:rsidRPr="00BB6978" w:rsidRDefault="002B0E27" w:rsidP="002B0E27">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According to Bücker, Nuraydin, Simonsmeier, Schneider, and Luhmann (2018), subjective well-being may not affect students’ achievement as low (high) achieving students are not essentially student with low (high) well-being. Pinquart and Ebeling (2020) conducted a meta-analysis about the expected and actual student academic accomplishment. They found that expectations of success are linked to previous performance and the hope for future improvement. Furthermore, the authors found SES to be the high impact factor. Meanwhile, efficacy, behavior, school environment, school cultural aspects, anticipations, school principals’ leadership performances, and cooperative teacher effectiveness were moderate impact factors, while incentive, self-organization, concern, parent contribution, goal management, learning styles, and self-confidence were low impact factors.</w:t>
      </w:r>
    </w:p>
    <w:p w14:paraId="1998C0CF" w14:textId="77777777" w:rsidR="002B0E27" w:rsidRPr="00BB6978" w:rsidRDefault="002B0E27" w:rsidP="002B0E27">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As noted before, while policy makers and parents evaluate the school based on students’ performance and test scores (Gibbons &amp; Silva, 2011), such as common tests like SAT and ACT, the results of these tests tend to be influenced more by family background, such as family income and education, as well as race (Buchmann, Condron, Roscigno, Condron, &amp; Roscigno, 2010; Carnevale &amp; Rose, 2003; Dixon-Román, Everson, &amp; McArdle, 2013). Globally, students from homes with more educational resources and higher level of educated parents had higher average achievements in science and math (</w:t>
      </w:r>
      <w:r w:rsidRPr="00BB6978">
        <w:rPr>
          <w:rFonts w:asciiTheme="majorBidi" w:hAnsiTheme="majorBidi" w:cstheme="majorBidi"/>
          <w:sz w:val="24"/>
          <w:szCs w:val="24"/>
        </w:rPr>
        <w:t>(</w:t>
      </w:r>
      <w:r w:rsidRPr="00BB6978">
        <w:rPr>
          <w:rFonts w:asciiTheme="majorBidi" w:hAnsiTheme="majorBidi" w:cstheme="majorBidi"/>
          <w:sz w:val="24"/>
          <w:szCs w:val="24"/>
          <w:shd w:val="clear" w:color="auto" w:fill="FFFFFF"/>
        </w:rPr>
        <w:t>Mullis, et. al ,2020)</w:t>
      </w:r>
      <w:r w:rsidRPr="00BB6978">
        <w:rPr>
          <w:rFonts w:asciiTheme="majorBidi" w:hAnsiTheme="majorBidi" w:cstheme="majorBidi"/>
          <w:sz w:val="24"/>
          <w:szCs w:val="24"/>
        </w:rPr>
        <w:t>.</w:t>
      </w:r>
      <w:r w:rsidRPr="00BB6978">
        <w:rPr>
          <w:rFonts w:ascii="Times New Roman" w:hAnsi="Times New Roman" w:cs="Times New Roman"/>
          <w:sz w:val="24"/>
          <w:szCs w:val="24"/>
        </w:rPr>
        <w:t xml:space="preserve"> Students who attend schools with high emphasis on academic success, fewer school discipline problems, and safer and more orderly environment score better on the 2019 TIMSS assessment. A UAE-focused study provided strong evidence that low-income students performed much worse than their higher income peers (Buckner, 2018). </w:t>
      </w:r>
    </w:p>
    <w:p w14:paraId="142997B3" w14:textId="77777777" w:rsidR="002B0E27" w:rsidRPr="00BB6978" w:rsidRDefault="002B0E27" w:rsidP="002B0E27">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Many studies recognize school climate as a key factor that can comprehensively influence student achievement (Jia, Konold, Cornell, &amp; Huang, 2018; Benbenishty et al., 2017; Collins &amp; Parson, 2010; Maxwell, Reynolds, Lee, Subasic, &amp; Bromhead, 2017; Thapa, Cohen, Guffey, &amp; Higgins-D’Alessandro, 2013). Other researchers note that individual qualities, such as student and parental commitment, affect students' learning outcomes (Buckner, Witkop, Guelcher, Sidonio, Kessler, Clark, Owens, Frick, Iyer, &amp; Cooper, 2018b; Fredricks et al., 2016). Conversely, a study examining the links between socioeconomic factors, school environment, and educational achievement concluded that school climate mitigates the relationship of low socio-economic background on poor students' achievement (Berkowitz, Moore, Astor, &amp; Benbenishty, 2017).</w:t>
      </w:r>
    </w:p>
    <w:p w14:paraId="1AAD60FB" w14:textId="77777777" w:rsidR="002B0E27" w:rsidRPr="00BB6978" w:rsidRDefault="002B0E27" w:rsidP="002B0E27">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Many studies looked at variables that result in high student achievement (Sirin, 2005; Waters &amp; Marzano, 2007; Ewijka &amp; Sleegers, 2010; Castro et al., 2015; Bektas et al., 2015; Bücker et al., 2018; Edrem, 2018;</w:t>
      </w:r>
      <w:r w:rsidRPr="00BB6978">
        <w:rPr>
          <w:rFonts w:ascii="Times New Roman" w:eastAsia="Calibri" w:hAnsi="Times New Roman" w:cs="Times New Roman"/>
          <w:sz w:val="24"/>
          <w:szCs w:val="24"/>
        </w:rPr>
        <w:t xml:space="preserve"> </w:t>
      </w:r>
      <w:r w:rsidRPr="00BB6978">
        <w:rPr>
          <w:rFonts w:ascii="Times New Roman" w:hAnsi="Times New Roman" w:cs="Times New Roman"/>
          <w:sz w:val="24"/>
          <w:szCs w:val="24"/>
        </w:rPr>
        <w:t xml:space="preserve">Hanushek &amp; Woessmann, 2020), including family background and SES (Buchmann et al., 2010; Carnevale &amp; Rose, 2003; Dixon-Román et al., 2013). Overall, researchers agree that there is no one answer as many factors play an important role. Usually, student achievement is measured through standardized assessments. While these assessments are considered important and do measure student achievement in several aspects, many researchers highlight that it is not holistic and not appropriate for everyone (Schneider, 2018). One needs to look beyond test scores. Here, the three dimensions of Education Evolving, personal, social, and economic, are considered that prepare a student to lead good lives, and contribute to society and the national economy (Education Evolving, 2016). </w:t>
      </w:r>
    </w:p>
    <w:p w14:paraId="086E4472" w14:textId="77777777" w:rsidR="002B0E27" w:rsidRPr="00BB6978" w:rsidRDefault="002B0E27" w:rsidP="002B0E27">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 xml:space="preserve">Academic feeling of incompetency in education and the feeling of being controlled in the school may reflect an experience of motivation loss in learning, which can decrease academic performance in the long run. Fortier et al.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{"citationItems":[{"id":"ITEM-1","itemData":{"DOI":"10.1006/ceps.1995.1017","ISSN":"0361476X","author":[{"dropping-particle":"","family":"Fortier","given":"Michelle S.","non-dropping-particle":"","parse-names":false,"suffix":""},{"dropping-particle":"","family":"Vallerand","given":"Robert J.","non-dropping-particle":"","parse-names":false,"suffix":""},{"dropping-particle":"","family":"Guay","given":"Frédéric","non-dropping-particle":"","parse-names":false,"suffix":""}],"container-title":"Contemporary Educational Psychology","id":"ITEM-1","issue":"3","issued":{"date-parts":[["1995","7"]]},"page":"257-274","title":"Academic Motivation and School Performance: Toward a Structural Model","type":"article-journal","volume":"20"},"label":"subverbo","suppress-author":1,"uris":["http://www.mendeley.com/documents/?uuid=f55a7e99-449f-439f-82bc-5d75d2d00362"]}],"mendeley":{"formattedCitation":"(1995)","plainTextFormattedCitation":"(1995)","previouslyFormattedCitation":"(1995)"},"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(1995)</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developed a motivational model to test students’ performance by employing SEM using a sample of 263 ninth grade students from two schools. The authors found that academically apparent competence and observed academic independence positively impact students' self-motivation, which then affects their academic performance. The motivational model elucidates 28% of the discrepancy in school enactment, which demonstrates the significance of educational motivation. The authors concluded that not only students’ achievement and test results but also their life management and self-esteem should be considered for their success. Another important study was conducted by Rothstein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{"citationItems":[{"id":"ITEM-1","itemData":{"DOI":"10.1086/499649","ISSN":"0013-5984","author":[{"dropping-particle":"","family":"Rothstein","given":"Richard","non-dropping-particle":"","parse-names":false,"suffix":""}],"container-title":"The Elementary School Journal","id":"ITEM-1","issue":"5","issued":{"date-parts":[["2000","5"]]},"page":"409-441","title":"Toward a Composite Index of School Performance","type":"article-journal","volume":"100"},"label":"subverbo","suppress-author":1,"uris":["http://www.mendeley.com/documents/?uuid=7b02c59f-4da3-446e-893a-3e3fff305592"]}],"mendeley":{"formattedCitation":"(2000)","plainTextFormattedCitation":"(2000)","previouslyFormattedCitation":"(2000)"},"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(2000)</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who developed a comprehensive index for measuring school achievement based on four focal aspects: 1) learning outcomes; 2) life’s goal achievements; 3) progression signs, and 4) whether students are protected and safe in school, receive attention, and school facilities are provided. The four aspects are weighted 40%, 25%, 15%, and 20%. The researcher justified using this index that most studies measure students’ academic outcomes by subject grading, which is easy to do, but do explore other outcomes due to the difficulty and lack of methodologies.</w:t>
      </w:r>
    </w:p>
    <w:p w14:paraId="094472EE" w14:textId="77777777" w:rsidR="002B0E27" w:rsidRPr="00BB6978" w:rsidRDefault="002B0E27" w:rsidP="002B0E27">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 xml:space="preserve"> Other methods used for measuring outcomes are the status-based methods, which observe the students’ scores in their current year. This method deploys regression models in which the fixed value is the school effect but does not change students’ received level of knowledge. It is mainly used when scores of preceding year are not measured. Various levels of knowledge of entering students produce different results when assessing schools' educational quality, which is not preferred in educational quality assessment at class quality level. Tekwe, Carter, Ma, Algina, Lucas, Roth, and Resnick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{"citationItems":[{"id":"ITEM-1","itemData":{"DOI":"10.3102/10769986029001011","ISSN":"1076-9986","author":[{"dropping-particle":"","family":"Tekwe","given":"Carmen D.","non-dropping-particle":"","parse-names":false,"suffix":""},{"dropping-particle":"","family":"Carter","given":"Randy L.","non-dropping-particle":"","parse-names":false,"suffix":""},{"dropping-particle":"","family":"Ma","given":"Chang-Xing","non-dropping-particle":"","parse-names":false,"suffix":""},{"dropping-particle":"","family":"Algina","given":"James","non-dropping-particle":"","parse-names":false,"suffix":""},{"dropping-particle":"","family":"Lucas","given":"Maurice E.","non-dropping-particle":"","parse-names":false,"suffix":""},{"dropping-particle":"","family":"Roth","given":"Jeffrey","non-dropping-particle":"","parse-names":false,"suffix":""},{"dropping-particle":"","family":"Ariet","given":"Mario","non-dropping-particle":"","parse-names":false,"suffix":""},{"dropping-particle":"","family":"Fisher","given":"Thomas","non-dropping-particle":"","parse-names":false,"suffix":""},{"dropping-particle":"","family":"Resnick","given":"Michael B.","non-dropping-particle":"","parse-names":false,"suffix":""}],"container-title":"Journal of Educational and Behavioral Statistics","id":"ITEM-1","issue":"1","issued":{"date-parts":[["2004","3","23"]]},"page":"11-36","title":"An Empirical Comparison of Statistical Models for Value-Added Assessment of School Performance","type":"article-journal","volume":"29"},"label":"subverbo","suppress-author":1,"uris":["http://www.mendeley.com/documents/?uuid=26792fae-ce6a-4959-bd91-0dfa7a901c38"]}],"mendeley":{"formattedCitation":"(2004)","plainTextFormattedCitation":"(2004)","previouslyFormattedCitation":"(2004)"},"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(2004)</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applied assessments by adding values technique to gauge students by their received understanding level. Othman and Abd Rauf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{"citationItems":[{"id":"ITEM-1","itemData":{"DOI":"10.1108/09513540910981032","ISSN":"0951-354X","author":[{"dropping-particle":"","family":"Othman","given":"Radiah","non-dropping-particle":"","parse-names":false,"suffix":""},{"dropping-particle":"","family":"Abd Rauf","given":"Fatimah","non-dropping-particle":"","parse-names":false,"suffix":""}],"container-title":"International Journal of Educational Management","id":"ITEM-1","issue":"6","issued":{"date-parts":[["2009","8","14"]]},"page":"505-522","title":"Implementing school performance index (SPIn) in Malaysian primary schools","type":"article-journal","volume":"23"},"label":"subverbo","suppress-author":1,"uris":["http://www.mendeley.com/documents/?uuid=9019eaeb-211f-442d-b8be-72c4da8407fe"]}],"mendeley":{"formattedCitation":"(2009)","plainTextFormattedCitation":"(2009)","previouslyFormattedCitation":"(2009)"},"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(2009)</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examined that school’s operative efficacy and proficiency are different through using four major criteria: 1) management; 2) measurement procedures; 3) management of analysis and knowledge received; and 4) tests results and intentional planning. High student scores do not necessarily reflect school performance versus other categories of outcomes.</w:t>
      </w:r>
    </w:p>
    <w:p w14:paraId="21F9B9B4" w14:textId="0F7DC0A3" w:rsidR="002B0E27" w:rsidRPr="00BB6978" w:rsidRDefault="002B0E27" w:rsidP="002B0E27">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 xml:space="preserve">Different school systems across the world have adopted various approaches of testing and measuring student achievements. One method is continuous testing or monitoring of student learning at the classroom level, also referred to as formative evaluation. This helps teachers to monitor the student’s capability of mastering the curriculum after the instruction session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DOI":"10.1080/00071005.2016.1199772","ISSN":"0007-1005","author":[{"dropping-particle":"","family":"Clarke","given":"Simon","non-dropping-particle":"","parse-names":false,"suffix":""},{"dropping-particle":"","family":"O’Donoghue","given":"Tom","non-dropping-particle":"","parse-names":false,"suffix":""}],"container-title":"British Journal of Educational Studies","id":"ITEM-1","issue":"2","issued":{"date-parts":[["2017","4","3"]]},"page":"167-182","title":"Educational Leadership and Context: A Rendering of an Inseparable Relationship","type":"article-journal","volume":"65"},"uris":["http://www.mendeley.com/documents/?uuid=c0f3447f-8c47-4efc-8c90-054923cb3601"]}],"mendeley":{"formattedCitation":"(Clarke &amp; O’Donoghue, 2017)","plainTextFormattedCitation":"(Clarke &amp; O’Donoghue, 2017)","previouslyFormattedCitation":"(Clarke and O’Donoghue 2017)"},"properties":{"noteIndex":0},"schema":"https://github.com/citation-style-language/schema/raw/master/csl-citation.json"}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(Clarke &amp; O’Donoghue, 2017)</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Meanwhile, large-scale measurement of student achievement can take place at country level, including assessments and examinations provided to students in varying grades and different disciplines. Examinations are essentially norm-referenced, indicating that the performance of students is evaluated based on the performance of fellow students who took the same examination</w:t>
      </w:r>
      <w:r w:rsidR="00232C05" w:rsidRPr="00BB6978">
        <w:rPr>
          <w:rFonts w:ascii="Times New Roman" w:hAnsi="Times New Roman" w:cs="Times New Roman"/>
          <w:sz w:val="24"/>
          <w:szCs w:val="24"/>
        </w:rPr>
        <w:t xml:space="preserve"> </w:t>
      </w:r>
      <w:r w:rsidR="00232C05" w:rsidRPr="00BB6978">
        <w:rPr>
          <w:rFonts w:ascii="Times New Roman" w:eastAsia="Calibri" w:hAnsi="Times New Roman" w:cs="Times New Roman"/>
          <w:sz w:val="24"/>
          <w:szCs w:val="24"/>
        </w:rPr>
        <w:fldChar w:fldCharType="begin" w:fldLock="1"/>
      </w:r>
      <w:r w:rsidR="00232C05" w:rsidRPr="00BB6978">
        <w:rPr>
          <w:rFonts w:ascii="Times New Roman" w:eastAsia="Calibri" w:hAnsi="Times New Roman" w:cs="Times New Roman"/>
          <w:sz w:val="24"/>
          <w:szCs w:val="24"/>
        </w:rPr>
        <w:instrText>ADDIN CSL_CITATION {"citationItems":[{"id":"ITEM-1","itemData":{"DOI":"10.1080/00071005.2016.1199772","ISSN":"0007-1005","author":[{"dropping-particle":"","family":"Clarke","given":"Simon","non-dropping-particle":"","parse-names":false,"suffix":""},{"dropping-particle":"","family":"O’Donoghue","given":"Tom","non-dropping-particle":"","parse-names":false,"suffix":""}],"container-title":"British Journal of Educational Studies","id":"ITEM-1","issue":"2","issued":{"date-parts":[["2017","4","3"]]},"page":"167-182","title":"Educational Leadership and Context: A Rendering of an Inseparable Relationship","type":"article-journal","volume":"65"},"uris":["http://www.mendeley.com/documents/?uuid=c0f3447f-8c47-4efc-8c90-054923cb3601"]}],"mendeley":{"formattedCitation":"(Clarke &amp; O’Donoghue, 2017)","plainTextFormattedCitation":"(Clarke &amp; O’Donoghue, 2017)","previouslyFormattedCitation":"(Clarke and O’Donoghue 2017)"},"properties":{"noteIndex":0},"schema":"https://github.com/citation-style-language/schema/raw/master/csl-citation.json"}</w:instrText>
      </w:r>
      <w:r w:rsidR="00232C05" w:rsidRPr="00BB6978">
        <w:rPr>
          <w:rFonts w:ascii="Times New Roman" w:eastAsia="Calibri" w:hAnsi="Times New Roman" w:cs="Times New Roman"/>
          <w:sz w:val="24"/>
          <w:szCs w:val="24"/>
        </w:rPr>
        <w:fldChar w:fldCharType="separate"/>
      </w:r>
      <w:r w:rsidR="00232C05" w:rsidRPr="00BB6978">
        <w:rPr>
          <w:rFonts w:ascii="Times New Roman" w:eastAsia="Calibri" w:hAnsi="Times New Roman" w:cs="Times New Roman"/>
          <w:sz w:val="24"/>
          <w:szCs w:val="24"/>
        </w:rPr>
        <w:t>(Clarke &amp; O’Donoghue, 2017)</w:t>
      </w:r>
      <w:r w:rsidR="00232C05" w:rsidRPr="00BB6978">
        <w:rPr>
          <w:rFonts w:ascii="Times New Roman" w:eastAsia="Calibri" w:hAnsi="Times New Roman" w:cs="Times New Roman"/>
          <w:sz w:val="24"/>
          <w:szCs w:val="24"/>
        </w:rPr>
        <w:fldChar w:fldCharType="end"/>
      </w:r>
      <w:r w:rsidR="00232C05" w:rsidRPr="00BB6978">
        <w:rPr>
          <w:rFonts w:ascii="Times New Roman" w:eastAsia="Calibri" w:hAnsi="Times New Roman" w:cs="Times New Roman"/>
          <w:sz w:val="24"/>
          <w:szCs w:val="24"/>
        </w:rPr>
        <w:t xml:space="preserve">. </w:t>
      </w:r>
      <w:r w:rsidRPr="00BB6978">
        <w:rPr>
          <w:rFonts w:ascii="Times New Roman" w:hAnsi="Times New Roman" w:cs="Times New Roman"/>
          <w:sz w:val="24"/>
          <w:szCs w:val="24"/>
        </w:rPr>
        <w:t xml:space="preserve"> In contrast, national assessments are essentially criterion-referenced, implying that they measure whether a given section of students have mastered certain skills or knowledge expected from a particular age-group of learners. Unlike examinations which are specific to the context of classroom in a given school, abilities and knowledge acquired in national assessments are mostly generic and applied across populations. While examinations focus on students’ individual outcomes, assessments, particularly those administered at intervals and on a section of students, are not related to individual students but rather are a reflection of how effective is the education system in fostering learning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DOI":"10.1080/00071005.2016.1199772","ISSN":"0007-1005","author":[{"dropping-particle":"","family":"Clarke","given":"Simon","non-dropping-particle":"","parse-names":false,"suffix":""},{"dropping-particle":"","family":"O’Donoghue","given":"Tom","non-dropping-particle":"","parse-names":false,"suffix":""}],"container-title":"British Journal of Educational Studies","id":"ITEM-1","issue":"2","issued":{"date-parts":[["2017","4","3"]]},"page":"167-182","title":"Educational Leadership and Context: A Rendering of an Inseparable Relationship","type":"article-journal","volume":"65"},"uris":["http://www.mendeley.com/documents/?uuid=c0f3447f-8c47-4efc-8c90-054923cb3601"]}],"mendeley":{"formattedCitation":"(Clarke &amp; O’Donoghue, 2017)","plainTextFormattedCitation":"(Clarke &amp; O’Donoghue, 2017)","previouslyFormattedCitation":"(Clarke and O’Donoghue 2017)"},"properties":{"noteIndex":0},"schema":"https://github.com/citation-style-language/schema/raw/master/csl-citation.json"}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(Clarke &amp; O’Donoghue, 2017)</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w:t>
      </w:r>
    </w:p>
    <w:p w14:paraId="0455EC6F" w14:textId="77777777" w:rsidR="002B0E27" w:rsidRPr="00BB6978" w:rsidRDefault="002B0E27" w:rsidP="002B0E27">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 xml:space="preserve">In this context, both the U.S. and England have lately presented prominent frameworks of value performance measures the Quality Performance Mark  (QPMs) of student achievements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DOI":"10.1111/j.1475-5890.2011.00132.x","ISSN":"01435671","author":[{"dropping-particle":"","family":"Muriel","given":"Alastair","non-dropping-particle":"","parse-names":false,"suffix":""},{"dropping-particle":"","family":"Smith","given":"Jeffrey","non-dropping-particle":"","parse-names":false,"suffix":""}],"container-title":"Fiscal Studies","id":"ITEM-1","issue":"2","issued":{"date-parts":[["2011","6"]]},"page":"187-206","title":"On Educational Performance Measures*","type":"article-journal","volume":"32"},"uris":["http://www.mendeley.com/documents/?uuid=f4e45361-397e-42f8-b6aa-143231ef75a1"]}],"mendeley":{"formattedCitation":"(Muriel &amp; Smith, 2011)","plainTextFormattedCitation":"(Muriel &amp; Smith, 2011)","previouslyFormattedCitation":"(Muriel and Smith 2011)"},"properties":{"noteIndex":0},"schema":"https://github.com/citation-style-language/schema/raw/master/csl-citation.json"}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(Muriel &amp; Smith, 2011)</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The U.S. QPM is significantly founded on the NCLB strategy of 2001, mandating that all schools which enjoy government funding should conduct direct state-wide tests to evaluate student' performance in arithmetic and perusing from grades three to eight. Similarly, the UK education framework follows a broadly fit evaluation for students at ages 16 (known as GCSEs) and 18 (known as A-levels)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DOI":"10.1111/j.1475-5890.2011.00132.x","ISSN":"01435671","author":[{"dropping-particle":"","family":"Muriel","given":"Alastair","non-dropping-particle":"","parse-names":false,"suffix":""},{"dropping-particle":"","family":"Smith","given":"Jeffrey","non-dropping-particle":"","parse-names":false,"suffix":""}],"container-title":"Fiscal Studies","id":"ITEM-1","issue":"2","issued":{"date-parts":[["2011","6"]]},"page":"187-206","title":"On Educational Performance Measures*","type":"article-journal","volume":"32"},"uris":["http://www.mendeley.com/documents/?uuid=f4e45361-397e-42f8-b6aa-143231ef75a1"]}],"mendeley":{"formattedCitation":"(Muriel &amp; Smith, 2011)","plainTextFormattedCitation":"(Muriel &amp; Smith, 2011)","previouslyFormattedCitation":"(Muriel and Smith 2011)"},"properties":{"noteIndex":0},"schema":"https://github.com/citation-style-language/schema/raw/master/csl-citation.json"}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(Muriel &amp; Smith, 2011)</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w:t>
      </w:r>
    </w:p>
    <w:p w14:paraId="6F5C2115" w14:textId="77777777" w:rsidR="002B0E27" w:rsidRPr="00BB6978" w:rsidRDefault="002B0E27" w:rsidP="002B0E27">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By 1991, the UK framework was extended fundamentally as normalized achievement tests were established for seven-year-old students (one assessment), and later for eleven- (two assessments) and fourteen-year-olds (three assessments). These test results for various gatherings of students are unveiled through separate plans in this manner considering the correlation of school performance. At first, performance tables for England state funded schools involved straightforward measurements, for example, the extent of the number of students in each school who have achieved five GCSEs at grades A to C. Because of the issues related with the "crude" scores which reflect both school performance and admission quality, esteem added measures of student achievement were presented in 1997 showing the normal improvement of students in Key Stages 1 and 2 at each school</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DOI":"10.1111/j.1475-5890.2011.00132.x","ISSN":"01435671","author":[{"dropping-particle":"","family":"Muriel","given":"Alastair","non-dropping-particle":"","parse-names":false,"suffix":""},{"dropping-particle":"","family":"Smith","given":"Jeffrey","non-dropping-particle":"","parse-names":false,"suffix":""}],"container-title":"Fiscal Studies","id":"ITEM-1","issue":"2","issued":{"date-parts":[["2011","6"]]},"page":"187-206","title":"On Educational Performance Measures*","type":"article-journal","volume":"32"},"uris":["http://www.mendeley.com/documents/?uuid=f4e45361-397e-42f8-b6aa-143231ef75a1"]}],"mendeley":{"formattedCitation":"(Muriel &amp; Smith, 2011)","plainTextFormattedCitation":"(Muriel &amp; Smith, 2011)","previouslyFormattedCitation":"(Muriel and Smith 2011)"},"properties":{"noteIndex":0},"schema":"https://github.com/citation-style-language/schema/raw/master/csl-citation.json"}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(Muriel &amp; Smith, 2011)</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.In 2007, these esteem added measures were additionally improved to incorporate "logical worth added" scores, which saw the crude worth added scores acclimated to consider components not inside the control of school, including student's identity, sex, family pay, and first language. However, following the ceaseless resistance of the entire test-based framework by the educator worker's guilds combined with prominent issues experienced during the checking of Key Stage tests in 2008, the tests were removed and rather supplanted by very surprising framework dependent on appraisal by only the instructors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DOI":"10.1111/j.1475-5890.2011.00132.x","ISSN":"01435671","author":[{"dropping-particle":"","family":"Muriel","given":"Alastair","non-dropping-particle":"","parse-names":false,"suffix":""},{"dropping-particle":"","family":"Smith","given":"Jeffrey","non-dropping-particle":"","parse-names":false,"suffix":""}],"container-title":"Fiscal Studies","id":"ITEM-1","issue":"2","issued":{"date-parts":[["2011","6"]]},"page":"187-206","title":"On Educational Performance Measures*","type":"article-journal","volume":"32"},"uris":["http://www.mendeley.com/documents/?uuid=f4e45361-397e-42f8-b6aa-143231ef75a1"]}],"mendeley":{"formattedCitation":"(Muriel &amp; Smith, 2011)","plainTextFormattedCitation":"(Muriel &amp; Smith, 2011)","previouslyFormattedCitation":"(Muriel and Smith 2011)"},"properties":{"noteIndex":0},"schema":"https://github.com/citation-style-language/schema/raw/master/csl-citation.json"}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(Muriel &amp; Smith, 2011)</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w:t>
      </w:r>
    </w:p>
    <w:p w14:paraId="3C6E1CC3" w14:textId="77777777" w:rsidR="00C83E4D" w:rsidRPr="00BB6978" w:rsidRDefault="002B0E27" w:rsidP="00C83E4D">
      <w:pPr>
        <w:spacing w:after="68" w:line="480" w:lineRule="auto"/>
        <w:ind w:firstLine="357"/>
        <w:jc w:val="both"/>
        <w:rPr>
          <w:rFonts w:ascii="Times New Roman" w:hAnsi="Times New Roman" w:cs="Times New Roman"/>
          <w:sz w:val="24"/>
          <w:szCs w:val="24"/>
          <w:lang w:val="en-US"/>
        </w:rPr>
      </w:pPr>
      <w:r w:rsidRPr="00BB6978">
        <w:rPr>
          <w:rFonts w:ascii="Times New Roman" w:hAnsi="Times New Roman" w:cs="Times New Roman"/>
          <w:sz w:val="24"/>
          <w:szCs w:val="24"/>
        </w:rPr>
        <w:t xml:space="preserve">Unlike in most other countries, Abu Dhabi introduced a new student assessment program whereby student achievement for grades 10 and 11 would be measured using No Achievement, Emerging, Developing, and Mastered. ADEK notes that leaders of public high schools have been trained on the new achievement assessment, whose purpose is to improve a student’s accomplishment level without using the normal grade system, such as a score or proportion (The National, 2016). </w:t>
      </w:r>
      <w:r w:rsidR="00504111" w:rsidRPr="00BB6978">
        <w:rPr>
          <w:rFonts w:ascii="Times New Roman" w:hAnsi="Times New Roman" w:cs="Times New Roman"/>
          <w:sz w:val="24"/>
          <w:szCs w:val="24"/>
        </w:rPr>
        <w:t xml:space="preserve">Based on that </w:t>
      </w:r>
      <w:r w:rsidR="00504111" w:rsidRPr="00BB6978">
        <w:rPr>
          <w:rFonts w:ascii="Times New Roman" w:hAnsi="Times New Roman" w:cs="Times New Roman"/>
          <w:sz w:val="24"/>
          <w:szCs w:val="24"/>
          <w:lang w:val="en-US"/>
        </w:rPr>
        <w:t>m</w:t>
      </w:r>
      <w:r w:rsidRPr="00BB6978">
        <w:rPr>
          <w:rFonts w:ascii="Times New Roman" w:hAnsi="Times New Roman" w:cs="Times New Roman"/>
          <w:sz w:val="24"/>
          <w:szCs w:val="24"/>
          <w:lang w:val="en-US"/>
        </w:rPr>
        <w:t>easuring student achievement is an important aspect of the educational system. It provides insight into how well students are learning and how effective teaching strategies are in achieving desired learning outcomes. There are various ways to measure student achievement, including standardized tests, performance assessments, and student portfolios.</w:t>
      </w:r>
      <w:r w:rsidR="00504111" w:rsidRPr="00BB6978">
        <w:rPr>
          <w:rFonts w:ascii="Times New Roman" w:hAnsi="Times New Roman" w:cs="Times New Roman"/>
          <w:sz w:val="24"/>
          <w:szCs w:val="24"/>
          <w:lang w:val="en-US"/>
        </w:rPr>
        <w:t xml:space="preserve"> Part to understand the nature of students’ achievement could be happened by parents’ side through reflecting on their experiences with their children, which ultimately affect their decision-making when selecting high quality schools for their children. </w:t>
      </w:r>
      <w:r w:rsidR="00E7366D" w:rsidRPr="00BB6978">
        <w:rPr>
          <w:rFonts w:ascii="Times New Roman" w:hAnsi="Times New Roman" w:cs="Times New Roman"/>
          <w:sz w:val="24"/>
          <w:szCs w:val="24"/>
          <w:lang w:val="en-US"/>
        </w:rPr>
        <w:t>As Alabdulkareem (2023) revealed that parents’ school judgement and choice is mainly based on what their children achieved, in which parents have a major criterion, academic achievement, to measure school quality and thus affect their school selection.</w:t>
      </w:r>
      <w:r w:rsidR="00C83E4D" w:rsidRPr="00BB6978">
        <w:rPr>
          <w:rFonts w:ascii="Times New Roman" w:hAnsi="Times New Roman" w:cs="Times New Roman"/>
          <w:sz w:val="24"/>
          <w:szCs w:val="24"/>
          <w:lang w:val="en-US"/>
        </w:rPr>
        <w:t xml:space="preserve"> Based on that, </w:t>
      </w:r>
      <w:r w:rsidR="00501C21" w:rsidRPr="00BB6978">
        <w:rPr>
          <w:rFonts w:ascii="Times New Roman" w:hAnsi="Times New Roman" w:cs="Times New Roman"/>
          <w:sz w:val="24"/>
          <w:szCs w:val="24"/>
          <w:lang w:val="en-US"/>
        </w:rPr>
        <w:t xml:space="preserve">using </w:t>
      </w:r>
      <w:r w:rsidR="00C83E4D" w:rsidRPr="00BB6978">
        <w:rPr>
          <w:rFonts w:ascii="Times New Roman" w:hAnsi="Times New Roman" w:cs="Times New Roman"/>
          <w:sz w:val="24"/>
          <w:szCs w:val="24"/>
          <w:lang w:val="en-US"/>
        </w:rPr>
        <w:t xml:space="preserve">parents’ perspectives toward their children’s achievement </w:t>
      </w:r>
      <w:r w:rsidR="00501C21" w:rsidRPr="00BB6978">
        <w:rPr>
          <w:rFonts w:ascii="Times New Roman" w:hAnsi="Times New Roman" w:cs="Times New Roman"/>
          <w:sz w:val="24"/>
          <w:szCs w:val="24"/>
          <w:lang w:val="en-US"/>
        </w:rPr>
        <w:t xml:space="preserve">in this study </w:t>
      </w:r>
      <w:r w:rsidR="00C83E4D" w:rsidRPr="00BB6978">
        <w:rPr>
          <w:rFonts w:ascii="Times New Roman" w:hAnsi="Times New Roman" w:cs="Times New Roman"/>
          <w:sz w:val="24"/>
          <w:szCs w:val="24"/>
          <w:lang w:val="en-US"/>
        </w:rPr>
        <w:t xml:space="preserve">helps in better </w:t>
      </w:r>
      <w:r w:rsidR="00501C21" w:rsidRPr="00BB6978">
        <w:rPr>
          <w:rFonts w:ascii="Times New Roman" w:hAnsi="Times New Roman" w:cs="Times New Roman"/>
          <w:sz w:val="24"/>
          <w:szCs w:val="24"/>
          <w:lang w:val="en-US"/>
        </w:rPr>
        <w:t>understanding the nature of relationship between school quality and students’ achievement. Addressing this relationship from the perspective of parents adds to the literature as a methodological approach in which the other studies tackled this relationship from the students’ and teachers’ perspectives (Fehérvári, 2023).</w:t>
      </w:r>
    </w:p>
    <w:p w14:paraId="675241AD" w14:textId="77777777" w:rsidR="002B0E27" w:rsidRPr="00BB6978" w:rsidRDefault="009502A7" w:rsidP="002B0E27">
      <w:pPr>
        <w:pStyle w:val="Heading2"/>
        <w:rPr>
          <w:rFonts w:asciiTheme="majorBidi" w:hAnsiTheme="majorBidi"/>
          <w:color w:val="auto"/>
          <w:sz w:val="24"/>
          <w:szCs w:val="24"/>
        </w:rPr>
      </w:pPr>
      <w:bookmarkStart w:id="96" w:name="_Toc138239801"/>
      <w:r w:rsidRPr="00BB6978">
        <w:rPr>
          <w:rFonts w:asciiTheme="majorBidi" w:hAnsiTheme="majorBidi"/>
          <w:color w:val="auto"/>
          <w:sz w:val="24"/>
          <w:szCs w:val="24"/>
        </w:rPr>
        <w:t>2</w:t>
      </w:r>
      <w:r w:rsidR="002B0E27" w:rsidRPr="00BB6978">
        <w:rPr>
          <w:rFonts w:asciiTheme="majorBidi" w:hAnsiTheme="majorBidi"/>
          <w:color w:val="auto"/>
          <w:sz w:val="24"/>
          <w:szCs w:val="24"/>
        </w:rPr>
        <w:t>.4.3 Critique of school quality and student achievement research</w:t>
      </w:r>
      <w:bookmarkEnd w:id="96"/>
      <w:r w:rsidR="002B0E27" w:rsidRPr="00BB6978">
        <w:rPr>
          <w:rFonts w:asciiTheme="majorBidi" w:hAnsiTheme="majorBidi"/>
          <w:color w:val="auto"/>
          <w:sz w:val="24"/>
          <w:szCs w:val="24"/>
        </w:rPr>
        <w:t xml:space="preserve"> </w:t>
      </w:r>
    </w:p>
    <w:p w14:paraId="59AE65B5" w14:textId="77777777" w:rsidR="002B0E27" w:rsidRPr="00BB6978" w:rsidRDefault="002B0E27" w:rsidP="002B0E27"/>
    <w:p w14:paraId="1280C51F" w14:textId="77777777" w:rsidR="002B0E27" w:rsidRPr="00BB6978" w:rsidRDefault="002B0E27" w:rsidP="002B0E27">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 xml:space="preserve">Several studies in the field of educational effectiveness and related factors have shown that students’ accomplishments are significantly impacted by school quality, or school environment as some researchers call it (Thapa et al., 2013; Wang et al., 2020). One significant aspect of school environment is how much the school stresses on academic performance or students’ achievement, which is a key measure of school quality (Martin et al., 2013). In numerous nations, schools put substantial emphasis on these aspects (Martin, Foy, Mullis, &amp; O’Dwyer, 2013). Other features related to school level, such as teacher quality, have been shown to influence student achievements (Fong-Yee &amp; Normore, 2013). </w:t>
      </w:r>
    </w:p>
    <w:p w14:paraId="7116ED1B" w14:textId="77777777" w:rsidR="002B0E27" w:rsidRPr="00BB6978" w:rsidRDefault="002B0E27" w:rsidP="002B0E27">
      <w:pPr>
        <w:spacing w:after="68" w:line="480" w:lineRule="auto"/>
        <w:ind w:firstLine="357"/>
        <w:jc w:val="both"/>
        <w:rPr>
          <w:rFonts w:ascii="Times New Roman" w:hAnsi="Times New Roman"/>
          <w:sz w:val="24"/>
          <w:szCs w:val="24"/>
        </w:rPr>
      </w:pPr>
      <w:r w:rsidRPr="00BB6978">
        <w:rPr>
          <w:rFonts w:ascii="Times New Roman" w:hAnsi="Times New Roman" w:cs="Times New Roman"/>
          <w:sz w:val="24"/>
          <w:szCs w:val="24"/>
        </w:rPr>
        <w:t xml:space="preserve">Nonetheless, several studies focusing on the effect of schools' emphasis on academic success and quality of teachers have constantly changing levels of factors that may result in biased causal inference. Therefore, in most instances, research has only identified the correlation that associates quality of the teacher and student success, and relationship that correlate educational achievement with school’s emphasis on academic success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ISBN":"9788776843236","author":[{"dropping-particle":"","family":"Nordenbo","given":"","non-dropping-particle":"","parse-names":false,"suffix":""},{"dropping-particle":"","family":"Holm","given":"","non-dropping-particle":"","parse-names":false,"suffix":""},{"dropping-particle":"","family":"Elstad","given":"","non-dropping-particle":"","parse-names":false,"suffix":""},{"dropping-particle":"","family":"Scheerens","given":"","non-dropping-particle":"","parse-names":false,"suffix":""},{"dropping-particle":"","family":"Søg@ård","given":"Larsen","non-dropping-particle":"","parse-names":false,"suffix":""},{"dropping-particle":"","family":"Uljens","given":"","non-dropping-particle":"","parse-names":false,"suffix":""},{"dropping-particle":"","family":"Fibæk","given":"Laursen","non-dropping-particle":"","parse-names":false,"suffix":""},{"dropping-particle":"","family":"Hauge","given":"","non-dropping-particle":"","parse-names":false,"suffix":""},{"dropping-particle":"","family":"Uddannelsesforskning","given":"Dansk Clearinghouse for","non-dropping-particle":"","parse-names":false,"suffix":""}],"container-title":"Clearinghouse-research series","id":"ITEM-1","issue":"06","issued":{"date-parts":[["2010"]]},"number-of-pages":"256 s.","title":"Input, process, and learning in primary and lower secondary schools","type":"book"},"uris":["http://www.mendeley.com/documents/?uuid=9abe1121-2af0-48ac-a7b5-d326d8fd4b32"]}],"mendeley":{"formattedCitation":"(Nordenbo et al., 2010)","plainTextFormattedCitation":"(Nordenbo et al., 2010)","previouslyFormattedCitation":"(Nordenbo et al. 2010)"},"properties":{"noteIndex":0},"schema":"https://github.com/citation-style-language/schema/raw/master/csl-citation.json"}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(Nordenbo, Holm, Elstad, Scheerens, Larsen,Uljens,  &amp;Hauge, 2010).</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Moreover, several studies have found contradictory results on the relationship between school quality and students’ achievement. For example, research on the impact of complex construction projects in situations where school buildings were initially in deprived status or did not exist show that setting up new and improved buildings can improve students’ attainment (Neilson &amp; Zimmerman, 2014). Nevertheless, a study of the effect of 1400 school capital campaigns on students’ achievements by Martorell, Stange, and McFarlin (2016) found little evidence supporting this claim.  The contrasting findings of Neilson and Zimmerman (2014) and Martorell, Stange, and McFarlin (2016) on the impact of school infrastructure on student achievement highlight the complexity of the issue. It is essential to consider various factors that could contribute to the differences in the results, such as the quality of the new facilities, the cost of the construction projects, and the perceptions of parents and students regarding the changes.</w:t>
      </w:r>
    </w:p>
    <w:p w14:paraId="17932384" w14:textId="77777777" w:rsidR="002B0E27" w:rsidRPr="00BB6978" w:rsidRDefault="002B0E27" w:rsidP="002B0E27">
      <w:pPr>
        <w:spacing w:after="68" w:line="480" w:lineRule="auto"/>
        <w:ind w:firstLine="357"/>
        <w:jc w:val="both"/>
        <w:rPr>
          <w:rFonts w:ascii="Arial" w:eastAsia="Times New Roman" w:hAnsi="Arial" w:cs="Arial"/>
          <w:vanish/>
          <w:sz w:val="16"/>
          <w:szCs w:val="16"/>
          <w:lang w:val="en-US"/>
        </w:rPr>
      </w:pPr>
      <w:r w:rsidRPr="00BB6978">
        <w:rPr>
          <w:rFonts w:ascii="Times New Roman" w:hAnsi="Times New Roman" w:cs="Times New Roman"/>
          <w:sz w:val="24"/>
          <w:szCs w:val="24"/>
        </w:rPr>
        <w:t>The study by Neilson and Zimmerman (2014) suggests that improving school buildings can lead to better student achievement, particularly in underprivileged areas. The implication is that investing in infrastructure can help close the achievement gap and improve educational outcomes for disadvantaged students. However, the study by Martorell, Stange, and McFarlin (2016) challenges this assumption, indicating that simply constructing new buildings does not necessarily translate to improved student performance. This finding raises important questions about the quality of the new facilities and the cost of the construction projects. It is possible that the new buildings in the study by Martorell, Stange, and McFarlin (2016) were not of high quality, or that the construction projects were too expensive and diverted funds away from other essential educational programs. It is also possible that the new facilities did not align with the needs and preferences of the students and their families, leading to a lack of buy-in and reduced motivation among students. Overall, these findings highlight the importance of considering various factors when investing in school infrastructure</w:t>
      </w:r>
      <w:r w:rsidR="00912193" w:rsidRPr="00BB6978">
        <w:rPr>
          <w:rFonts w:ascii="Times New Roman" w:hAnsi="Times New Roman" w:cs="Times New Roman"/>
          <w:sz w:val="24"/>
          <w:szCs w:val="24"/>
        </w:rPr>
        <w:t xml:space="preserve"> as part of school quality</w:t>
      </w:r>
      <w:r w:rsidRPr="00BB6978">
        <w:rPr>
          <w:rFonts w:ascii="Times New Roman" w:hAnsi="Times New Roman" w:cs="Times New Roman"/>
          <w:sz w:val="24"/>
          <w:szCs w:val="24"/>
        </w:rPr>
        <w:t>. While new buildings can be beneficial, it is crucial to ensure that they are of high quality and align with the needs and preferences of the students and their families.</w:t>
      </w:r>
      <w:r w:rsidRPr="00BB6978">
        <w:rPr>
          <w:rFonts w:ascii="Arial" w:eastAsia="Times New Roman" w:hAnsi="Arial" w:cs="Arial"/>
          <w:vanish/>
          <w:sz w:val="16"/>
          <w:szCs w:val="16"/>
          <w:lang w:val="en-US"/>
        </w:rPr>
        <w:t>Top of Form</w:t>
      </w:r>
    </w:p>
    <w:p w14:paraId="02C6386D" w14:textId="77777777" w:rsidR="002B0E27" w:rsidRPr="00BB6978" w:rsidRDefault="002B0E27" w:rsidP="002B0E27">
      <w:pPr>
        <w:spacing w:after="68" w:line="480" w:lineRule="auto"/>
        <w:ind w:firstLine="357"/>
        <w:jc w:val="both"/>
        <w:rPr>
          <w:rFonts w:ascii="Times New Roman" w:hAnsi="Times New Roman" w:cs="Times New Roman"/>
          <w:sz w:val="24"/>
          <w:szCs w:val="24"/>
          <w:lang w:val="en-US"/>
        </w:rPr>
      </w:pPr>
    </w:p>
    <w:p w14:paraId="096F6D4A" w14:textId="77777777" w:rsidR="002B0E27" w:rsidRPr="00BB6978" w:rsidRDefault="002B0E27" w:rsidP="002B0E27">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 xml:space="preserve">Competition for </w:t>
      </w:r>
      <w:r w:rsidR="00DC0595" w:rsidRPr="00BB6978">
        <w:rPr>
          <w:rFonts w:ascii="Times New Roman" w:hAnsi="Times New Roman" w:cs="Times New Roman"/>
          <w:sz w:val="24"/>
          <w:szCs w:val="24"/>
        </w:rPr>
        <w:t>enrolment</w:t>
      </w:r>
      <w:r w:rsidRPr="00BB6978">
        <w:rPr>
          <w:rFonts w:ascii="Times New Roman" w:hAnsi="Times New Roman" w:cs="Times New Roman"/>
          <w:sz w:val="24"/>
          <w:szCs w:val="24"/>
        </w:rPr>
        <w:t xml:space="preserve"> among schools may entice them to improve the quality of education offered, and thus, student outcomes. However, Gajardo and Grau (2019) found that standard deviation increases in competition among </w:t>
      </w:r>
      <w:r w:rsidR="00DC0595" w:rsidRPr="00BB6978">
        <w:rPr>
          <w:rFonts w:ascii="Times New Roman" w:hAnsi="Times New Roman" w:cs="Times New Roman"/>
          <w:sz w:val="24"/>
          <w:szCs w:val="24"/>
        </w:rPr>
        <w:t>schools’</w:t>
      </w:r>
      <w:r w:rsidRPr="00BB6978">
        <w:rPr>
          <w:rFonts w:ascii="Times New Roman" w:hAnsi="Times New Roman" w:cs="Times New Roman"/>
          <w:sz w:val="24"/>
          <w:szCs w:val="24"/>
        </w:rPr>
        <w:t xml:space="preserve"> results in a moderate improvement in standardized test outcomes, but an increasingly notable decline in other markers of quality. The authors concluded that there exists tension among schools between different goals of educational policies, whereby demands to promote standardized test scores caused by competition between schools may result in the </w:t>
      </w:r>
      <w:r w:rsidR="00DC0595" w:rsidRPr="00BB6978">
        <w:rPr>
          <w:rFonts w:ascii="Times New Roman" w:hAnsi="Times New Roman" w:cs="Times New Roman"/>
          <w:sz w:val="24"/>
          <w:szCs w:val="24"/>
        </w:rPr>
        <w:t>unfavourable</w:t>
      </w:r>
      <w:r w:rsidRPr="00BB6978">
        <w:rPr>
          <w:rFonts w:ascii="Times New Roman" w:hAnsi="Times New Roman" w:cs="Times New Roman"/>
          <w:sz w:val="24"/>
          <w:szCs w:val="24"/>
        </w:rPr>
        <w:t xml:space="preserve"> effect of worsening other indicators of quality.      </w:t>
      </w:r>
    </w:p>
    <w:p w14:paraId="12C07280" w14:textId="77777777" w:rsidR="002B0E27" w:rsidRPr="00BB6978" w:rsidRDefault="002B0E27" w:rsidP="002B0E27">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 xml:space="preserve">Furthermore, Othman and Rauf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{"citationItems":[{"id":"ITEM-1","itemData":{"DOI":"10.1108/09513540910981032","ISSN":"0951-354X","author":[{"dropping-particle":"","family":"Othman","given":"Radiah","non-dropping-particle":"","parse-names":false,"suffix":""},{"dropping-particle":"","family":"Abd Rauf","given":"Fatimah","non-dropping-particle":"","parse-names":false,"suffix":""}],"container-title":"International Journal of Educational Management","id":"ITEM-1","issue":"6","issued":{"date-parts":[["2009","8","14"]]},"page":"505-522","title":"Implementing school performance index (SPIn) in Malaysian primary schools","type":"article-journal","volume":"23"},"label":"subverbo","suppress-author":1,"uris":["http://www.mendeley.com/documents/?uuid=9019eaeb-211f-442d-b8be-72c4da8407fe"]}],"mendeley":{"formattedCitation":"(2009)","plainTextFormattedCitation":"(2009)","previouslyFormattedCitation":"(2009)"},"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(2009)</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found that schools' functioning efficacy and competence differ based on four criteria: 1) administration; 2) evaluation; 3) knowledge analysis; and 4) planning and tests results. The authors randomly sampled 76 Malaysian schools from five different areas, and used document analysis, field observations, and interviews with the parents-teachers association representatives and school inspectors. The authors observed that a school with high examination scores may not be well accomplished in other types of competence. </w:t>
      </w:r>
    </w:p>
    <w:p w14:paraId="7BF54EF6" w14:textId="3D672FE2" w:rsidR="002B0E27" w:rsidRPr="00BB6978" w:rsidRDefault="002B0E27" w:rsidP="002B0E27">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 xml:space="preserve">Due to the variance in school capacity, the researchers developed a unique version index to assess each according to its capabilities. They contended that integrating some components, like administration, evaluation analysis, and the planning for the functioning efficacy and proficiency, is the best assessment for evaluating the performance of the schools. </w:t>
      </w:r>
      <w:r w:rsidR="00976BE5" w:rsidRPr="00BB6978">
        <w:rPr>
          <w:rFonts w:ascii="Times New Roman" w:eastAsia="Calibri" w:hAnsi="Times New Roman" w:cs="Times New Roman"/>
          <w:sz w:val="24"/>
          <w:szCs w:val="24"/>
        </w:rPr>
        <w:t xml:space="preserve">Othman and Rauf </w:t>
      </w:r>
      <w:r w:rsidR="00976BE5" w:rsidRPr="00BB6978">
        <w:rPr>
          <w:rFonts w:ascii="Times New Roman" w:eastAsia="Calibri" w:hAnsi="Times New Roman" w:cs="Times New Roman"/>
          <w:sz w:val="24"/>
          <w:szCs w:val="24"/>
        </w:rPr>
        <w:fldChar w:fldCharType="begin" w:fldLock="1"/>
      </w:r>
      <w:r w:rsidR="00976BE5" w:rsidRPr="00BB6978">
        <w:rPr>
          <w:rFonts w:ascii="Times New Roman" w:eastAsia="Calibri" w:hAnsi="Times New Roman" w:cs="Times New Roman"/>
          <w:sz w:val="24"/>
          <w:szCs w:val="24"/>
        </w:rPr>
        <w:instrText>ADDIN CSL_CITATION {"citationItems":[{"id":"ITEM-1","itemData":{"DOI":"10.1108/09513540910981032","ISSN":"0951-354X","author":[{"dropping-particle":"","family":"Othman","given":"Radiah","non-dropping-particle":"","parse-names":false,"suffix":""},{"dropping-particle":"","family":"Abd Rauf","given":"Fatimah","non-dropping-particle":"","parse-names":false,"suffix":""}],"container-title":"International Journal of Educational Management","id":"ITEM-1","issue":"6","issued":{"date-parts":[["2009","8","14"]]},"page":"505-522","title":"Implementing school performance index (SPIn) in Malaysian primary schools","type":"article-journal","volume":"23"},"label":"subverbo","suppress-author":1,"uris":["http://www.mendeley.com/documents/?uuid=9019eaeb-211f-442d-b8be-72c4da8407fe"]}],"mendeley":{"formattedCitation":"(2009)","plainTextFormattedCitation":"(2009)","previouslyFormattedCitation":"(2009)"},"properties":{"noteIndex":0},"schema":"https://github.com/citation-style-language/schema/raw/master/csl-citation.json"}</w:instrText>
      </w:r>
      <w:r w:rsidR="00976BE5" w:rsidRPr="00BB6978">
        <w:rPr>
          <w:rFonts w:ascii="Times New Roman" w:eastAsia="Calibri" w:hAnsi="Times New Roman" w:cs="Times New Roman"/>
          <w:sz w:val="24"/>
          <w:szCs w:val="24"/>
        </w:rPr>
        <w:fldChar w:fldCharType="separate"/>
      </w:r>
      <w:r w:rsidR="00976BE5" w:rsidRPr="00BB6978">
        <w:rPr>
          <w:rFonts w:ascii="Times New Roman" w:eastAsia="Calibri" w:hAnsi="Times New Roman" w:cs="Times New Roman"/>
          <w:sz w:val="24"/>
          <w:szCs w:val="24"/>
        </w:rPr>
        <w:t>(2009)</w:t>
      </w:r>
      <w:r w:rsidR="00976BE5" w:rsidRPr="00BB6978">
        <w:rPr>
          <w:rFonts w:ascii="Times New Roman" w:eastAsia="Calibri" w:hAnsi="Times New Roman" w:cs="Times New Roman"/>
          <w:sz w:val="24"/>
          <w:szCs w:val="24"/>
        </w:rPr>
        <w:fldChar w:fldCharType="end"/>
      </w:r>
      <w:r w:rsidR="00976BE5" w:rsidRPr="00BB6978">
        <w:rPr>
          <w:rFonts w:ascii="Times New Roman" w:eastAsia="Calibri" w:hAnsi="Times New Roman" w:cs="Times New Roman"/>
          <w:sz w:val="24"/>
          <w:szCs w:val="24"/>
        </w:rPr>
        <w:t xml:space="preserve"> </w:t>
      </w:r>
      <w:r w:rsidRPr="00BB6978">
        <w:rPr>
          <w:rFonts w:ascii="Times New Roman" w:hAnsi="Times New Roman" w:cs="Times New Roman"/>
          <w:sz w:val="24"/>
          <w:szCs w:val="24"/>
        </w:rPr>
        <w:t xml:space="preserve"> revealed schools with high performance stress on evaluation and knowledge analysis management. These schools were persevering to achieve their own vision and mission in that way, and eventually, improved their whole working performance. The achievement of those schools can be taken as a sample for monitoring the other schools' performance. </w:t>
      </w:r>
    </w:p>
    <w:p w14:paraId="0CE32659" w14:textId="7EF860B4" w:rsidR="002B0E27" w:rsidRPr="00BB6978" w:rsidRDefault="002B0E27" w:rsidP="002B0E27">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In many areas in education, school performance is measured by inspecting specific criteria using various models</w:t>
      </w:r>
      <w:r w:rsidR="00976BE5" w:rsidRPr="00BB6978">
        <w:rPr>
          <w:rFonts w:ascii="Times New Roman" w:hAnsi="Times New Roman" w:cs="Times New Roman"/>
          <w:sz w:val="24"/>
          <w:szCs w:val="24"/>
        </w:rPr>
        <w:t xml:space="preserve"> </w:t>
      </w:r>
      <w:r w:rsidR="00976BE5" w:rsidRPr="00BB6978">
        <w:rPr>
          <w:rFonts w:ascii="Times New Roman" w:eastAsia="Calibri" w:hAnsi="Times New Roman" w:cs="Times New Roman"/>
        </w:rPr>
        <w:t xml:space="preserve">Namoun &amp; Alshanqiti (2020). </w:t>
      </w:r>
      <w:r w:rsidR="00976BE5" w:rsidRPr="00BB6978">
        <w:rPr>
          <w:rFonts w:ascii="Times New Roman" w:eastAsia="Calibri" w:hAnsi="Times New Roman" w:cs="Times New Roman"/>
          <w:sz w:val="24"/>
          <w:szCs w:val="24"/>
        </w:rPr>
        <w:t xml:space="preserve"> </w:t>
      </w:r>
      <w:r w:rsidRPr="00BB6978">
        <w:rPr>
          <w:rFonts w:ascii="Times New Roman" w:hAnsi="Times New Roman" w:cs="Times New Roman"/>
          <w:sz w:val="24"/>
          <w:szCs w:val="24"/>
        </w:rPr>
        <w:t xml:space="preserve">Models are constructed on three basic themes. First, the status model explores the total number of the students who meet the prerequisite criteria with the simple indicators. Second, the growth model examines the changes in performance in more than one year. Third, the value-added model attempts to regulate the aspects presumed to be pertinent to student success patterns. While Finch and Cassady </w:t>
      </w:r>
      <w:r w:rsidRPr="00BB6978">
        <w:rPr>
          <w:rFonts w:ascii="Times New Roman" w:hAnsi="Times New Roman" w:cs="Times New Roman"/>
          <w:sz w:val="24"/>
          <w:szCs w:val="24"/>
        </w:rPr>
        <w:fldChar w:fldCharType="begin" w:fldLock="1"/>
      </w:r>
      <w:r w:rsidRPr="00BB6978">
        <w:rPr>
          <w:rFonts w:ascii="Times New Roman" w:hAnsi="Times New Roman" w:cs="Times New Roman"/>
          <w:sz w:val="24"/>
          <w:szCs w:val="24"/>
        </w:rPr>
        <w:instrText>ADDIN CSL_CITATION {"citationItems":[{"id":"ITEM-1","itemData":{"DOI":"10.1007/s11092-013-9186-6","ISSN":"1874-8597","author":[{"dropping-particle":"","family":"Finch","given":"W. Holmes","non-dropping-particle":"","parse-names":false,"suffix":""},{"dropping-particle":"","family":"Cassady","given":"Jerrell C.","non-dropping-particle":"","parse-names":false,"suffix":""}],"container-title":"Educational Assessment, Evaluation and Accountability","id":"ITEM-1","issue":"2","issued":{"date-parts":[["2014","5","18"]]},"page":"177-201","title":"Use of the probit model to estimate school performance in student attainment of achievement testing standards","type":"article-journal","volume":"26"},"uris":["http://www.mendeley.com/documents/?uuid=6e2f84e4-1868-4b91-a53a-14461441f4db"]}],"mendeley":{"formattedCitation":"(Finch &amp; Cassady, 2014)","plainTextFormattedCitation":"(Finch &amp; Cassady, 2014)","previouslyFormattedCitation":"(Finch and Cassady 2014)"},"properties":{"noteIndex":0},"schema":"https://github.com/citation-style-language/schema/raw/master/csl-citation.json"}</w:instrText>
      </w:r>
      <w:r w:rsidRPr="00BB6978">
        <w:rPr>
          <w:rFonts w:ascii="Times New Roman" w:hAnsi="Times New Roman" w:cs="Times New Roman"/>
          <w:sz w:val="24"/>
          <w:szCs w:val="24"/>
        </w:rPr>
        <w:fldChar w:fldCharType="separate"/>
      </w:r>
      <w:r w:rsidRPr="00BB6978">
        <w:rPr>
          <w:rFonts w:ascii="Times New Roman" w:hAnsi="Times New Roman" w:cs="Times New Roman"/>
          <w:sz w:val="24"/>
          <w:szCs w:val="24"/>
        </w:rPr>
        <w:t>(2014)</w:t>
      </w:r>
      <w:r w:rsidRPr="00BB6978">
        <w:rPr>
          <w:rFonts w:ascii="Times New Roman" w:hAnsi="Times New Roman" w:cs="Times New Roman"/>
          <w:sz w:val="24"/>
          <w:szCs w:val="24"/>
        </w:rPr>
        <w:fldChar w:fldCharType="end"/>
      </w:r>
      <w:r w:rsidRPr="00BB6978">
        <w:rPr>
          <w:rFonts w:ascii="Times New Roman" w:hAnsi="Times New Roman" w:cs="Times New Roman"/>
          <w:sz w:val="24"/>
          <w:szCs w:val="24"/>
        </w:rPr>
        <w:t xml:space="preserve"> employed the Probit model that tries to guess the extent to which the students meet a criterion level and appraise the total of students who meet this same criteria within a specific school. The researchers also used the Probit regression model that included a value of an output with two sets, to show whether students meet the academic criterion level. Their study employed simple models; however, they were operative statistical instruments for all stakeholders who are interested people in producing a wide range of performance assessment results.</w:t>
      </w:r>
    </w:p>
    <w:p w14:paraId="0142E0A7" w14:textId="77777777" w:rsidR="002B0E27" w:rsidRPr="00BB6978" w:rsidRDefault="002B0E27" w:rsidP="002B0E27">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The impact of students on the overall school quality image is widely discussed in this section and the next one along with detailed elaboration on school fees or the cost to parents for schooling, and the quality and performance of the students.</w:t>
      </w:r>
    </w:p>
    <w:p w14:paraId="7DB1229B" w14:textId="77777777" w:rsidR="002B0E27" w:rsidRPr="00BB6978" w:rsidRDefault="002B0E27" w:rsidP="002B0E27">
      <w:pPr>
        <w:pStyle w:val="Heading2"/>
        <w:rPr>
          <w:rFonts w:asciiTheme="majorBidi" w:hAnsiTheme="majorBidi"/>
          <w:color w:val="auto"/>
          <w:sz w:val="24"/>
          <w:szCs w:val="24"/>
        </w:rPr>
      </w:pPr>
      <w:bookmarkStart w:id="97" w:name="_Toc138239802"/>
      <w:r w:rsidRPr="00BB6978">
        <w:rPr>
          <w:rFonts w:asciiTheme="majorBidi" w:hAnsiTheme="majorBidi"/>
          <w:color w:val="auto"/>
          <w:sz w:val="24"/>
          <w:szCs w:val="24"/>
        </w:rPr>
        <w:t>2.4.4 Relationship between school cost, quality and student achievement</w:t>
      </w:r>
      <w:bookmarkEnd w:id="97"/>
      <w:r w:rsidRPr="00BB6978">
        <w:rPr>
          <w:rFonts w:asciiTheme="majorBidi" w:hAnsiTheme="majorBidi"/>
          <w:color w:val="auto"/>
          <w:sz w:val="24"/>
          <w:szCs w:val="24"/>
        </w:rPr>
        <w:t xml:space="preserve"> </w:t>
      </w:r>
    </w:p>
    <w:p w14:paraId="0F89A081" w14:textId="77777777" w:rsidR="002B0E27" w:rsidRPr="00BB6978" w:rsidRDefault="002B0E27" w:rsidP="002B0E27"/>
    <w:p w14:paraId="2DDF2E2F" w14:textId="77777777" w:rsidR="002B0E27" w:rsidRPr="00BB6978" w:rsidRDefault="002B0E27" w:rsidP="002B0E27">
      <w:pPr>
        <w:autoSpaceDE w:val="0"/>
        <w:autoSpaceDN w:val="0"/>
        <w:adjustRightInd w:val="0"/>
        <w:spacing w:after="68" w:line="480" w:lineRule="auto"/>
        <w:ind w:firstLine="357"/>
        <w:jc w:val="both"/>
        <w:rPr>
          <w:rFonts w:ascii="Times New Roman" w:eastAsia="Times New Roman" w:hAnsi="Times New Roman" w:cs="Times New Roman"/>
          <w:sz w:val="24"/>
          <w:szCs w:val="24"/>
        </w:rPr>
      </w:pPr>
      <w:r w:rsidRPr="00BB6978">
        <w:rPr>
          <w:rFonts w:ascii="Times New Roman" w:eastAsiaTheme="minorEastAsia" w:hAnsi="Times New Roman" w:cs="Times New Roman"/>
          <w:sz w:val="24"/>
          <w:szCs w:val="24"/>
        </w:rPr>
        <w:t xml:space="preserve">Policymakers and stakeholder tend to ask if providing more school resources can improve the quality of education. However, research has shown that </w:t>
      </w:r>
      <w:r w:rsidRPr="00BB6978">
        <w:rPr>
          <w:rFonts w:ascii="Times New Roman" w:eastAsia="Times New Roman" w:hAnsi="Times New Roman" w:cs="Times New Roman"/>
          <w:sz w:val="24"/>
          <w:szCs w:val="24"/>
        </w:rPr>
        <w:t xml:space="preserve">the cost per student and student achievement on standardized assessments are not related; rather, socio-economic factors account for differences in student outcomes </w:t>
      </w:r>
      <w:r w:rsidRPr="00BB6978">
        <w:rPr>
          <w:rFonts w:ascii="Times New Roman" w:eastAsia="Times New Roman" w:hAnsi="Times New Roman" w:cs="Times New Roman"/>
          <w:sz w:val="24"/>
          <w:szCs w:val="24"/>
        </w:rPr>
        <w:fldChar w:fldCharType="begin" w:fldLock="1"/>
      </w:r>
      <w:r w:rsidRPr="00BB6978">
        <w:rPr>
          <w:rFonts w:ascii="Times New Roman" w:eastAsia="Times New Roman" w:hAnsi="Times New Roman" w:cs="Times New Roman"/>
          <w:sz w:val="24"/>
          <w:szCs w:val="24"/>
        </w:rPr>
        <w:instrText>ADDIN CSL_CITATION {"citationItems":[{"id":"ITEM-1","itemData":{"author":[{"dropping-particle":"","family":"Mcdermott","given":"John E","non-dropping-particle":"","parse-names":false,"suffix":""},{"dropping-particle":"","family":"Klein","given":"Stephen P","non-dropping-particle":"","parse-names":false,"suffix":""}],"id":"ITEM-1","issue":"March 1973","issued":{"date-parts":[["1974"]]},"title":"THE COST-QUALITY DEBATE IN SCHOOL FINANCE LITIGATION : DO DOLLARS MAKE A DIFFERENCE ?","type":"article-journal","volume":"23"},"uris":["http://www.mendeley.com/documents/?uuid=f889c164-61f5-4b82-bbe4-fb8c42e0ac58"]}],"mendeley":{"formattedCitation":"(Mcdermott &amp; Klein, 1974)","plainTextFormattedCitation":"(Mcdermott &amp; Klein, 1974)","previouslyFormattedCitation":"(Mcdermott &amp; Klein, 1974)"},"properties":{"noteIndex":0},"schema":"https://github.com/citation-style-language/schema/raw/master/csl-citation.json"}</w:instrText>
      </w:r>
      <w:r w:rsidRPr="00BB6978">
        <w:rPr>
          <w:rFonts w:ascii="Times New Roman" w:eastAsia="Times New Roman" w:hAnsi="Times New Roman" w:cs="Times New Roman"/>
          <w:sz w:val="24"/>
          <w:szCs w:val="24"/>
        </w:rPr>
        <w:fldChar w:fldCharType="separate"/>
      </w:r>
      <w:r w:rsidRPr="00BB6978">
        <w:rPr>
          <w:rFonts w:ascii="Times New Roman" w:eastAsia="Times New Roman" w:hAnsi="Times New Roman" w:cs="Times New Roman"/>
          <w:sz w:val="24"/>
          <w:szCs w:val="24"/>
        </w:rPr>
        <w:t>(Mcdermott &amp; Klein, 1974)</w:t>
      </w:r>
      <w:r w:rsidRPr="00BB6978">
        <w:rPr>
          <w:rFonts w:ascii="Times New Roman" w:eastAsia="Times New Roman" w:hAnsi="Times New Roman" w:cs="Times New Roman"/>
          <w:sz w:val="24"/>
          <w:szCs w:val="24"/>
        </w:rPr>
        <w:fldChar w:fldCharType="end"/>
      </w:r>
      <w:r w:rsidRPr="00BB6978">
        <w:rPr>
          <w:rFonts w:ascii="Times New Roman" w:eastAsia="Times New Roman" w:hAnsi="Times New Roman" w:cs="Times New Roman"/>
          <w:sz w:val="24"/>
          <w:szCs w:val="24"/>
        </w:rPr>
        <w:t>.</w:t>
      </w:r>
    </w:p>
    <w:p w14:paraId="65FB9930" w14:textId="59222F55" w:rsidR="002B0E27" w:rsidRPr="00BB6978" w:rsidRDefault="002B0E27" w:rsidP="002B0E27">
      <w:pPr>
        <w:autoSpaceDE w:val="0"/>
        <w:autoSpaceDN w:val="0"/>
        <w:adjustRightInd w:val="0"/>
        <w:spacing w:after="68" w:line="480" w:lineRule="auto"/>
        <w:ind w:firstLine="357"/>
        <w:jc w:val="both"/>
        <w:rPr>
          <w:rFonts w:ascii="Times New Roman" w:eastAsia="Times New Roman" w:hAnsi="Times New Roman" w:cs="Times New Roman"/>
          <w:sz w:val="24"/>
          <w:szCs w:val="24"/>
        </w:rPr>
      </w:pPr>
      <w:r w:rsidRPr="00BB6978">
        <w:rPr>
          <w:rFonts w:ascii="Times New Roman" w:hAnsi="Times New Roman" w:cs="Times New Roman"/>
          <w:sz w:val="24"/>
          <w:szCs w:val="24"/>
          <w:lang w:val="en-US"/>
        </w:rPr>
        <w:t>The debate on the relationship between school expenditures and students’ performance is a contentious one, with researchers presenting contrasting views</w:t>
      </w:r>
      <w:r w:rsidR="001B70A5" w:rsidRPr="00BB6978">
        <w:rPr>
          <w:rFonts w:ascii="Times New Roman" w:hAnsi="Times New Roman" w:cs="Times New Roman"/>
          <w:sz w:val="24"/>
          <w:szCs w:val="24"/>
          <w:lang w:val="en-US"/>
        </w:rPr>
        <w:t xml:space="preserve"> </w:t>
      </w:r>
      <w:r w:rsidR="001B70A5" w:rsidRPr="00BB6978">
        <w:rPr>
          <w:rFonts w:ascii="Times New Roman" w:eastAsia="Calibri" w:hAnsi="Times New Roman" w:cs="Times New Roman"/>
          <w:sz w:val="24"/>
          <w:szCs w:val="24"/>
        </w:rPr>
        <w:t>(Jackson, 2020).</w:t>
      </w:r>
      <w:r w:rsidR="001B70A5" w:rsidRPr="00BB6978">
        <w:rPr>
          <w:rFonts w:ascii="Times New Roman" w:eastAsia="Calibri" w:hAnsi="Times New Roman" w:cs="Times New Roman"/>
        </w:rPr>
        <w:t xml:space="preserve"> Some </w:t>
      </w:r>
      <w:r w:rsidRPr="00BB6978">
        <w:rPr>
          <w:rFonts w:ascii="Times New Roman" w:hAnsi="Times New Roman" w:cs="Times New Roman"/>
          <w:sz w:val="24"/>
          <w:szCs w:val="24"/>
          <w:lang w:val="en-US"/>
        </w:rPr>
        <w:t>studies have found that school expenditures have little to no impact on students’ academic performance, while others have found a positive correlation between the two. Similarly, while some researchers argue that graduates from rich schools perform better in the labor market than those from poorer schools, others contend that resources do not matter. It is crucial to understand the contextual factors that may influence these relationships</w:t>
      </w:r>
      <w:r w:rsidR="001B70A5" w:rsidRPr="00BB6978">
        <w:rPr>
          <w:rFonts w:ascii="Times New Roman" w:hAnsi="Times New Roman" w:cs="Times New Roman"/>
          <w:sz w:val="24"/>
          <w:szCs w:val="24"/>
          <w:lang w:val="en-US"/>
        </w:rPr>
        <w:t xml:space="preserve"> </w:t>
      </w:r>
      <w:r w:rsidR="001B70A5" w:rsidRPr="00BB6978">
        <w:rPr>
          <w:rFonts w:ascii="Times New Roman" w:eastAsia="Calibri" w:hAnsi="Times New Roman" w:cs="Times New Roman"/>
          <w:sz w:val="24"/>
          <w:szCs w:val="24"/>
        </w:rPr>
        <w:t xml:space="preserve">(Liu et al, 2020). </w:t>
      </w:r>
      <w:r w:rsidRPr="00BB6978">
        <w:rPr>
          <w:rFonts w:ascii="Times New Roman" w:hAnsi="Times New Roman" w:cs="Times New Roman"/>
          <w:sz w:val="24"/>
          <w:szCs w:val="24"/>
          <w:lang w:val="en-US"/>
        </w:rPr>
        <w:t xml:space="preserve"> For instance, factors such as school leadership, teacher quality, and curriculum content could also play a significant role in shaping the relationship between school expenditures and academic performance. Furthermore, it is essential to consider how these relationships vary across different socioeconomic backgrounds, as students from low-income families may have different educational needs and may benefit more from additional resources</w:t>
      </w:r>
      <w:r w:rsidR="00186C6C" w:rsidRPr="00BB6978">
        <w:rPr>
          <w:rFonts w:ascii="Times New Roman" w:hAnsi="Times New Roman" w:cs="Times New Roman"/>
          <w:sz w:val="24"/>
          <w:szCs w:val="24"/>
          <w:lang w:val="en-US"/>
        </w:rPr>
        <w:t xml:space="preserve"> </w:t>
      </w:r>
      <w:r w:rsidR="00186C6C" w:rsidRPr="00BB6978">
        <w:rPr>
          <w:rFonts w:ascii="Times New Roman" w:eastAsia="Calibri" w:hAnsi="Times New Roman" w:cs="Times New Roman"/>
          <w:sz w:val="24"/>
          <w:szCs w:val="24"/>
        </w:rPr>
        <w:t xml:space="preserve">(Liu et al., 2020). </w:t>
      </w:r>
      <w:r w:rsidRPr="00BB6978">
        <w:rPr>
          <w:rFonts w:ascii="Times New Roman" w:hAnsi="Times New Roman" w:cs="Times New Roman"/>
          <w:sz w:val="24"/>
          <w:szCs w:val="24"/>
          <w:lang w:val="en-US"/>
        </w:rPr>
        <w:t>The researcher in question refrains from drawing a firm conclusion, recognizing that both arguments hold some validity. Nonetheless, the study aims to provide valuable insights and recommendations that will contribute to this ongoing debate on the impact of school expenditures on academic performance and provide actionable insights for improving educational outcomes for all students</w:t>
      </w:r>
      <w:r w:rsidR="006A6126" w:rsidRPr="00BB6978">
        <w:rPr>
          <w:rFonts w:ascii="Times New Roman" w:hAnsi="Times New Roman" w:cs="Times New Roman"/>
          <w:sz w:val="24"/>
          <w:szCs w:val="24"/>
          <w:lang w:val="en-US"/>
        </w:rPr>
        <w:t xml:space="preserve">. </w:t>
      </w:r>
      <w:r w:rsidRPr="00BB6978">
        <w:rPr>
          <w:rFonts w:ascii="Times New Roman" w:hAnsi="Times New Roman" w:cs="Times New Roman"/>
          <w:sz w:val="24"/>
          <w:szCs w:val="24"/>
          <w:lang w:val="en-US"/>
        </w:rPr>
        <w:t>.</w:t>
      </w:r>
      <w:r w:rsidRPr="00BB6978">
        <w:rPr>
          <w:rFonts w:ascii="Times New Roman" w:eastAsia="Times New Roman" w:hAnsi="Times New Roman" w:cs="Times New Roman"/>
          <w:sz w:val="24"/>
          <w:szCs w:val="24"/>
        </w:rPr>
        <w:t>In his book entitled "</w:t>
      </w:r>
      <w:r w:rsidRPr="00BB6978">
        <w:rPr>
          <w:rFonts w:ascii="Times New Roman" w:eastAsia="Times New Roman" w:hAnsi="Times New Roman" w:cs="Times New Roman"/>
          <w:i/>
          <w:iCs/>
          <w:sz w:val="24"/>
          <w:szCs w:val="24"/>
        </w:rPr>
        <w:t>Does money matter?</w:t>
      </w:r>
      <w:r w:rsidRPr="00BB6978">
        <w:rPr>
          <w:rFonts w:ascii="Times New Roman" w:eastAsia="Times New Roman" w:hAnsi="Times New Roman" w:cs="Times New Roman"/>
          <w:sz w:val="24"/>
          <w:szCs w:val="24"/>
        </w:rPr>
        <w:t>", Gary Burtless (</w:t>
      </w:r>
      <w:r w:rsidRPr="00BB6978">
        <w:rPr>
          <w:rFonts w:ascii="Times New Roman" w:eastAsia="Times New Roman" w:hAnsi="Times New Roman" w:cs="Times New Roman"/>
          <w:sz w:val="24"/>
          <w:szCs w:val="24"/>
          <w:lang w:bidi="en-US"/>
        </w:rPr>
        <w:t>2011)</w:t>
      </w:r>
      <w:r w:rsidRPr="00BB6978">
        <w:rPr>
          <w:rFonts w:ascii="Times New Roman" w:eastAsia="Times New Roman" w:hAnsi="Times New Roman" w:cs="Times New Roman"/>
          <w:sz w:val="24"/>
          <w:szCs w:val="24"/>
        </w:rPr>
        <w:t xml:space="preserve"> reviewed the debates among researchers and economists about the relationship between school expenses and student outcomes. Some researchers find no strong evidence of a relationship between school expenditures and students’ performance, while others see the opposite. Debates continue on the effects of schools’ resources on graduates entering the labour market. While some argue that graduates from rich schools perform better in the labour market than poorer schools, others note that resources do not matter. Eventually, the author had no conclusions other than noting that both arguments can be correct </w:t>
      </w:r>
      <w:r w:rsidRPr="00BB6978">
        <w:rPr>
          <w:rFonts w:ascii="Times New Roman" w:eastAsia="Times New Roman" w:hAnsi="Times New Roman" w:cs="Times New Roman"/>
          <w:sz w:val="24"/>
          <w:szCs w:val="24"/>
        </w:rPr>
        <w:fldChar w:fldCharType="begin" w:fldLock="1"/>
      </w:r>
      <w:r w:rsidRPr="00BB6978">
        <w:rPr>
          <w:rFonts w:ascii="Times New Roman" w:eastAsia="Times New Roman" w:hAnsi="Times New Roman" w:cs="Times New Roman"/>
          <w:sz w:val="24"/>
          <w:szCs w:val="24"/>
        </w:rPr>
        <w:instrText>ADDIN CSL_CITATION {"citationItems":[{"id":"ITEM-1","itemData":{"URL":"https://books.google.ae/books?hl=en&amp;lr=&amp;id=N3UIwF9P1WUC&amp;oi=fnd&amp;pg=PA1&amp;dq=policymakers++increasing+school+expenditures+improve+the+quality+of+education&amp;ots=SWGzQBekmh&amp;sig=k2uHKQZoP21bKcLy33OCVR96wcw&amp;redir_esc=y#v=onepage&amp;q=policymakers  increasing school e","accessed":{"date-parts":[["2020","1","10"]]},"author":[{"dropping-particle":"","family":"Burtless Gary","given":"","non-dropping-particle":"","parse-names":false,"suffix":""}],"container-title":"Does MOney Matter?","id":"ITEM-1","issued":{"date-parts":[["1996"]]},"page":"1-32","title":"Does Money Matter?: The Effect of School Resources on Student Achievement ... - Google Books","type":"webpage"},"uris":["http://www.mendeley.com/documents/?uuid=c64dc4d8-cf84-372f-bd67-55635eeac7ea"]}],"mendeley":{"formattedCitation":"(Burtless Gary, 1996)","plainTextFormattedCitation":"(Burtless Gary, 1996)","previouslyFormattedCitation":"(Burtless Gary, 1996)"},"properties":{"noteIndex":0},"schema":"https://github.com/citation-style-language/schema/raw/master/csl-citation.json"}</w:instrText>
      </w:r>
      <w:r w:rsidRPr="00BB6978">
        <w:rPr>
          <w:rFonts w:ascii="Times New Roman" w:eastAsia="Times New Roman" w:hAnsi="Times New Roman" w:cs="Times New Roman"/>
          <w:sz w:val="24"/>
          <w:szCs w:val="24"/>
        </w:rPr>
        <w:fldChar w:fldCharType="separate"/>
      </w:r>
      <w:r w:rsidRPr="00BB6978">
        <w:rPr>
          <w:rFonts w:ascii="Times New Roman" w:eastAsia="Times New Roman" w:hAnsi="Times New Roman" w:cs="Times New Roman"/>
          <w:sz w:val="24"/>
          <w:szCs w:val="24"/>
        </w:rPr>
        <w:t>(Burtless, 2011)</w:t>
      </w:r>
      <w:r w:rsidRPr="00BB6978">
        <w:rPr>
          <w:rFonts w:ascii="Times New Roman" w:eastAsia="Times New Roman" w:hAnsi="Times New Roman" w:cs="Times New Roman"/>
          <w:sz w:val="24"/>
          <w:szCs w:val="24"/>
        </w:rPr>
        <w:fldChar w:fldCharType="end"/>
      </w:r>
      <w:r w:rsidRPr="00BB6978">
        <w:rPr>
          <w:rFonts w:ascii="Times New Roman" w:eastAsia="Times New Roman" w:hAnsi="Times New Roman" w:cs="Times New Roman"/>
          <w:sz w:val="24"/>
          <w:szCs w:val="24"/>
        </w:rPr>
        <w:t>.</w:t>
      </w:r>
    </w:p>
    <w:p w14:paraId="0030B7A9" w14:textId="77777777" w:rsidR="002B0E27" w:rsidRPr="00BB6978" w:rsidRDefault="002B0E27" w:rsidP="002B0E27">
      <w:pPr>
        <w:autoSpaceDE w:val="0"/>
        <w:autoSpaceDN w:val="0"/>
        <w:adjustRightInd w:val="0"/>
        <w:spacing w:after="68" w:line="480" w:lineRule="auto"/>
        <w:ind w:firstLine="357"/>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 xml:space="preserve">More recent studies on education cost or fees are focused on education quality access and affordability in developing countries </w:t>
      </w:r>
      <w:r w:rsidRPr="00BB6978">
        <w:rPr>
          <w:rFonts w:ascii="Times New Roman" w:eastAsia="Times New Roman" w:hAnsi="Times New Roman" w:cs="Times New Roman"/>
          <w:sz w:val="24"/>
          <w:szCs w:val="24"/>
        </w:rPr>
        <w:fldChar w:fldCharType="begin" w:fldLock="1"/>
      </w:r>
      <w:r w:rsidRPr="00BB6978">
        <w:rPr>
          <w:rFonts w:ascii="Times New Roman" w:eastAsia="Times New Roman" w:hAnsi="Times New Roman" w:cs="Times New Roman"/>
          <w:sz w:val="24"/>
          <w:szCs w:val="24"/>
        </w:rPr>
        <w:instrText>ADDIN CSL_CITATION {"citationItems":[{"id":"ITEM-1","itemData":{"DOI":"10.1080/03054985.2017.1421153","ISSN":"14653915","abstract":"Using data from a census of private schools in one of Lagos, Nigeria’s administrative jurisdictions, this paper explores the linkages between a heterogeneous sector of private schools and issues of school access, affordability, quality, and ultimately social mobility for households at the bottom of the income distribution. Although a large private education market has buoyed Lagos’s growth towards near-universal primary enrolment, this heterogeneous school sector appears to be providing socially stratifying paths towards educational attainment. We apply Lucas’s theory of effectively maintained inequality to assess the extent to which access to higher quality education services within the private sector is determined by cost. We find that higher-cost private schools provide students with greater opportunities to study in institutions with higher quality inputs and increased potential for progression within the educational system. As such, it is highly likely that these schools are primarily accessible to students at the upper ends of the income distribution.","author":[{"dropping-particle":"","family":"Baum","given":"Donald R.","non-dropping-particle":"","parse-names":false,"suffix":""},{"dropping-particle":"","family":"Abdul-Hamid","given":"Husein","non-dropping-particle":"","parse-names":false,"suffix":""},{"dropping-particle":"","family":"Wesley","given":"Hugo T.","non-dropping-particle":"","parse-names":false,"suffix":""}],"container-title":"Oxford Review of Education","id":"ITEM-1","issue":"4","issued":{"date-parts":[["2018"]]},"page":"459-475","publisher":"Routledge","title":"Inequality of educational opportunity: the relationship between access, affordability, and quality of private schools in Lagos, Nigeria","type":"article-journal","volume":"44"},"uris":["http://www.mendeley.com/documents/?uuid=c577203a-0a00-4c87-bb6d-8d5ff1186cf0"]},{"id":"ITEM-2","itemData":{"DOI":"10.1080/03054985.2017.1391084","ISSN":"14653915","abstract":"Low-cost private schools (LCPS) are widespread in Kenya, particularly in urban areas. This study examines the reasons that parents send children to fee-charging schools in a context of free public primary education. Drawing on parent survey and interview data, as well as interviews with national policy makers, we found that parents who chose LCPS for their children were more driven by quality concerns than were public school parents. We also present data on the costs of the school types, compared to household income. Despite being termed ‘low cost’, the fees charged by schools primarily serving the poor were often a heavy burden on families. We conclude with recommendations for maximising the impact of LCPS on educational access and quality.","author":[{"dropping-particle":"","family":"Zuilkowski","given":"Stephanie Simmons","non-dropping-particle":"","parse-names":false,"suffix":""},{"dropping-particle":"","family":"Piper","given":"Benjamin","non-dropping-particle":"","parse-names":false,"suffix":""},{"dropping-particle":"","family":"Ong’ele","given":"Salome","non-dropping-particle":"","parse-names":false,"suffix":""},{"dropping-particle":"","family":"Kiminza","given":"Onesmus","non-dropping-particle":"","parse-names":false,"suffix":""}],"container-title":"Oxford Review of Education","id":"ITEM-2","issue":"2","issued":{"date-parts":[["2018"]]},"page":"258-274","publisher":"Routledge","title":"Parents, quality, and school choice: why parents in Nairobi choose low-cost private schools over public schools in Kenya’s free primary education era","type":"article-journal","volume":"44"},"uris":["http://www.mendeley.com/documents/?uuid=395e2dd7-4d83-46dd-97ac-5e23310da12f"]},{"id":"ITEM-3","itemData":{"ISSN":"1933527X","abstract":"Over the past decade, low-cost private schools have burgeoned in developing countries. In some areas, the majority of children are attending the low-cost private unaided schools. Children seem to do better in low-cost private schools compared to government ones, and at a fraction of the teacher cost. Figures show that many children currently purported to be out of school are in fact attending private schools that are unregistered/unrecognised, which are often missing from official data and statistics. But many writers, including some at UNESCO and Oxfam, are in denial over the reality and potentiality of private schooling or, despite the evidence, still assume that in order to provide greater access for the poor the government sector needs to be \"fixed.\" According to such voices, international aid money through bilateral and multilateral aid needs to focus on government schools. This essay critically examines the arguments of some of those who discount or deny the success and potentiality of private schooling. Some initiatives are also considered that focus on aiding low-cost private schools rather than government ones.","author":[{"dropping-particle":"","family":"Dixon","given":"Pauline","non-dropping-particle":"","parse-names":false,"suffix":""}],"container-title":"Econ Journal Watch","id":"ITEM-3","issue":"3","issued":{"date-parts":[["2012"]]},"page":"186-209","title":"Why the denial? Low-cost private schools in developing countries and their contributions to education","type":"article-journal","volume":"9"},"uris":["http://www.mendeley.com/documents/?uuid=f0ea4aa8-b886-4b03-93be-744c29d48a08"]}],"mendeley":{"formattedCitation":"(Baum, Abdul-Hamid, &amp; Wesley, 2018; Dixon, 2012; Zuilkowski, Piper, Ong’ele, &amp; Kiminza, 2018)","plainTextFormattedCitation":"(Baum, Abdul-Hamid, &amp; Wesley, 2018; Dixon, 2012; Zuilkowski, Piper, Ong’ele, &amp; Kiminza, 2018)","previouslyFormattedCitation":"(Baum, Abdul-Hamid, &amp; Wesley, 2018; Dixon, 2012; Zuilkowski, Piper, Ong’ele, &amp; Kiminza, 2018)"},"properties":{"noteIndex":0},"schema":"https://github.com/citation-style-language/schema/raw/master/csl-citation.json"}</w:instrText>
      </w:r>
      <w:r w:rsidRPr="00BB6978">
        <w:rPr>
          <w:rFonts w:ascii="Times New Roman" w:eastAsia="Times New Roman" w:hAnsi="Times New Roman" w:cs="Times New Roman"/>
          <w:sz w:val="24"/>
          <w:szCs w:val="24"/>
        </w:rPr>
        <w:fldChar w:fldCharType="separate"/>
      </w:r>
      <w:r w:rsidRPr="00BB6978">
        <w:rPr>
          <w:rFonts w:ascii="Times New Roman" w:eastAsia="Times New Roman" w:hAnsi="Times New Roman" w:cs="Times New Roman"/>
          <w:sz w:val="24"/>
          <w:szCs w:val="24"/>
        </w:rPr>
        <w:t>(Baum, Abdul-Hamid, &amp; Wesley, 2018; Dixon, 2012; Zuilkowski, Piper, Ong’ele, &amp; Kiminza, 2018)</w:t>
      </w:r>
      <w:r w:rsidRPr="00BB6978">
        <w:rPr>
          <w:rFonts w:ascii="Times New Roman" w:eastAsia="Times New Roman" w:hAnsi="Times New Roman" w:cs="Times New Roman"/>
          <w:sz w:val="24"/>
          <w:szCs w:val="24"/>
        </w:rPr>
        <w:fldChar w:fldCharType="end"/>
      </w:r>
      <w:r w:rsidRPr="00BB6978">
        <w:rPr>
          <w:rFonts w:ascii="Times New Roman" w:eastAsia="Times New Roman" w:hAnsi="Times New Roman" w:cs="Times New Roman"/>
          <w:sz w:val="24"/>
          <w:szCs w:val="24"/>
        </w:rPr>
        <w:t>, or higher education cost for high quality (Martin, 2005). However, studies have rarely looked at the cost and quality of school education in wealthy countries such as the UAE. Generally, due to the difference in school efficacy school costs poorly define school quality level (Ladd and Loeb, 2013).</w:t>
      </w:r>
    </w:p>
    <w:p w14:paraId="68026D1D" w14:textId="67E5FCED" w:rsidR="002B0E27" w:rsidRPr="00BB6978" w:rsidRDefault="002B0E27" w:rsidP="002B0E27">
      <w:pPr>
        <w:spacing w:after="68" w:line="480" w:lineRule="auto"/>
        <w:ind w:firstLine="357"/>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The cost and quality of education are often considered to be synonyms by most people in Abu Dhabi. This is unsurprising considering the huge sums of money most people pay for education, assuming that the more they pay the greater the assurance of quality. For-profit private schools in the UAE have gone to great lengths to prove their performance and show the dominance they have in the educational sector</w:t>
      </w:r>
      <w:r w:rsidR="00186C6C" w:rsidRPr="00BB6978">
        <w:rPr>
          <w:rFonts w:ascii="Times New Roman" w:eastAsia="Times New Roman" w:hAnsi="Times New Roman" w:cs="Times New Roman"/>
          <w:sz w:val="24"/>
          <w:szCs w:val="24"/>
          <w:lang w:bidi="en-US"/>
        </w:rPr>
        <w:t xml:space="preserve"> (Ridge, Shami, &amp; Kippels, 2016). </w:t>
      </w:r>
      <w:r w:rsidRPr="00BB6978">
        <w:rPr>
          <w:rFonts w:ascii="Times New Roman" w:eastAsia="Times New Roman" w:hAnsi="Times New Roman" w:cs="Times New Roman"/>
          <w:sz w:val="24"/>
          <w:szCs w:val="24"/>
          <w:lang w:bidi="en-US"/>
        </w:rPr>
        <w:t>However, the relationship between cost and quality is not entirely cast in stone and is highly subjective. In the UAE, the majority of households send their children to private institutions not because they are likely to get quality for the cost of schooling, but because there is rarely any other option than the for-profit private schools in most parts of the country (Ridge, Shami, &amp; Kippels, 2016).</w:t>
      </w:r>
    </w:p>
    <w:p w14:paraId="4020DD82" w14:textId="77777777" w:rsidR="002B0E27" w:rsidRPr="00BB6978" w:rsidRDefault="002B0E27" w:rsidP="002B0E27">
      <w:pPr>
        <w:spacing w:after="68" w:line="480" w:lineRule="auto"/>
        <w:ind w:firstLine="357"/>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 xml:space="preserve">Generally, parents tend to believe that private schooling is better in quality than public schooling and pay more for private school </w:t>
      </w:r>
      <w:r w:rsidRPr="00BB6978">
        <w:rPr>
          <w:rFonts w:ascii="Times New Roman" w:eastAsia="Times New Roman" w:hAnsi="Times New Roman" w:cs="Times New Roman"/>
          <w:sz w:val="24"/>
          <w:szCs w:val="24"/>
          <w:lang w:bidi="en-US"/>
        </w:rPr>
        <w:fldChar w:fldCharType="begin" w:fldLock="1"/>
      </w:r>
      <w:r w:rsidRPr="00BB6978">
        <w:rPr>
          <w:rFonts w:ascii="Times New Roman" w:eastAsia="Times New Roman" w:hAnsi="Times New Roman" w:cs="Times New Roman"/>
          <w:sz w:val="24"/>
          <w:szCs w:val="24"/>
          <w:lang w:bidi="en-US"/>
        </w:rPr>
        <w:instrText>ADDIN CSL_CITATION {"citationItems":[{"id":"ITEM-1","itemData":{"author":[{"dropping-particle":"","family":"Davis","given":"Ava M.","non-dropping-particle":"","parse-names":false,"suffix":""}],"container-title":"Electronic These &amp; Dissertations","id":"ITEM-1","issued":{"date-parts":[["2011"]]},"page":"382","title":"Why Do Parents Choose To Send Their Children To Private","type":"article-journal"},"uris":["http://www.mendeley.com/documents/?uuid=9486e297-fbf6-451a-9c50-577eface674d"]}],"mendeley":{"formattedCitation":"(Davis, 2011)","plainTextFormattedCitation":"(Davis, 2011)","previouslyFormattedCitation":"(Davis, 2011)"},"properties":{"noteIndex":0},"schema":"https://github.com/citation-style-language/schema/raw/master/csl-citation.json"}</w:instrText>
      </w:r>
      <w:r w:rsidRPr="00BB6978">
        <w:rPr>
          <w:rFonts w:ascii="Times New Roman" w:eastAsia="Times New Roman" w:hAnsi="Times New Roman" w:cs="Times New Roman"/>
          <w:sz w:val="24"/>
          <w:szCs w:val="24"/>
          <w:lang w:bidi="en-US"/>
        </w:rPr>
        <w:fldChar w:fldCharType="separate"/>
      </w:r>
      <w:r w:rsidRPr="00BB6978">
        <w:rPr>
          <w:rFonts w:ascii="Times New Roman" w:eastAsia="Times New Roman" w:hAnsi="Times New Roman" w:cs="Times New Roman"/>
          <w:sz w:val="24"/>
          <w:szCs w:val="24"/>
          <w:lang w:bidi="en-US"/>
        </w:rPr>
        <w:t>(Davis, 2011)</w:t>
      </w:r>
      <w:r w:rsidRPr="00BB6978">
        <w:rPr>
          <w:rFonts w:ascii="Times New Roman" w:eastAsia="Times New Roman" w:hAnsi="Times New Roman" w:cs="Times New Roman"/>
          <w:sz w:val="24"/>
          <w:szCs w:val="24"/>
          <w:lang w:bidi="en-US"/>
        </w:rPr>
        <w:fldChar w:fldCharType="end"/>
      </w:r>
      <w:r w:rsidRPr="00BB6978">
        <w:rPr>
          <w:rFonts w:ascii="Times New Roman" w:eastAsia="Times New Roman" w:hAnsi="Times New Roman" w:cs="Times New Roman"/>
          <w:sz w:val="24"/>
          <w:szCs w:val="24"/>
          <w:lang w:bidi="en-US"/>
        </w:rPr>
        <w:t>. This was demonstrated by research by the National Center for Education Statistics in 2005, which showed that private school students were more likely to enroll for college a year after graduating from high school as compared to their peers who in public schools. This speaks to the perceived and actual quality of public schools (Snyder, Dillow, &amp; Hoffman, 2009).</w:t>
      </w:r>
    </w:p>
    <w:p w14:paraId="47DEA2A3" w14:textId="77777777" w:rsidR="002B0E27" w:rsidRPr="00BB6978" w:rsidRDefault="002B0E27" w:rsidP="002B0E27">
      <w:pPr>
        <w:spacing w:after="68" w:line="480" w:lineRule="auto"/>
        <w:ind w:firstLine="357"/>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 xml:space="preserve">Meanwhile, many studies looked at the value added of extra school spending or funding, changes in allocating fees, and extra resources on student’s achievement. For example, Hanushek (2003) found no noticeable impact of an increase in school resources on students’ achievement. Badri and Mourad (2012) focused on the determinants of school efficacy in Abu Dhabi using </w:t>
      </w:r>
      <w:r w:rsidR="00B551CC" w:rsidRPr="00BB6978">
        <w:rPr>
          <w:rFonts w:ascii="Times New Roman" w:eastAsia="Times New Roman" w:hAnsi="Times New Roman" w:cs="Times New Roman"/>
          <w:sz w:val="24"/>
          <w:szCs w:val="24"/>
          <w:lang w:bidi="en-US"/>
        </w:rPr>
        <w:t>DEA and</w:t>
      </w:r>
      <w:r w:rsidRPr="00BB6978">
        <w:rPr>
          <w:rFonts w:ascii="Times New Roman" w:eastAsia="Times New Roman" w:hAnsi="Times New Roman" w:cs="Times New Roman"/>
          <w:sz w:val="24"/>
          <w:szCs w:val="24"/>
          <w:lang w:bidi="en-US"/>
        </w:rPr>
        <w:t xml:space="preserve"> found that the cost per student and cost per instructor were significant determinants of school productivity. </w:t>
      </w:r>
    </w:p>
    <w:p w14:paraId="43121BF5" w14:textId="77777777" w:rsidR="002B0E27" w:rsidRPr="00BB6978" w:rsidRDefault="002B0E27" w:rsidP="002B0E27">
      <w:pPr>
        <w:spacing w:after="68" w:line="480" w:lineRule="auto"/>
        <w:ind w:firstLine="357"/>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Meanwhile, Britton and Propper (2016) and Greaves and Sibieta (2019) investigated whether teacher compensation can impact students’ achievement. The former found a positive effect, while the latter found no effect. Yaacob, Osman, and Bachok (2014) focused on the issues that impact parents’ perspectives regarding private school selection for their children. Their findings suggested that most parents believed that tuition-based schools offer quality when contrasted with government funded schools. Martorell, Stange, and McFarlin (2016), and Dragoset, Thomas, Herrmann, Deke, James-Burdumy, and Lee Luca (2019) examined school facility investments and improvement grants, respectively, but found no much evidence of improved student outcomes. However, some other studies found that with increasing primary school spending and school revenue, there are positive effects on students’ future life through college enrollment and completion, and increased students’ achievement and wages earning in adulthood (Baker, 2019;</w:t>
      </w:r>
      <w:r w:rsidRPr="00BB6978">
        <w:rPr>
          <w:rFonts w:ascii="Calibri" w:eastAsia="Times New Roman" w:hAnsi="Calibri" w:cs="Times New Roman"/>
          <w:sz w:val="24"/>
          <w:szCs w:val="24"/>
          <w:lang w:bidi="en-US"/>
        </w:rPr>
        <w:t xml:space="preserve"> </w:t>
      </w:r>
      <w:r w:rsidRPr="00BB6978">
        <w:rPr>
          <w:rFonts w:ascii="Times New Roman" w:eastAsia="Times New Roman" w:hAnsi="Times New Roman" w:cs="Times New Roman"/>
          <w:sz w:val="24"/>
          <w:szCs w:val="24"/>
          <w:lang w:bidi="en-US"/>
        </w:rPr>
        <w:t>Hyman, 2017).</w:t>
      </w:r>
    </w:p>
    <w:p w14:paraId="28C7708E" w14:textId="77777777" w:rsidR="002B0E27" w:rsidRPr="00BB6978" w:rsidRDefault="002B0E27" w:rsidP="002B0E27">
      <w:pPr>
        <w:spacing w:after="68" w:line="480" w:lineRule="auto"/>
        <w:ind w:firstLine="357"/>
        <w:jc w:val="both"/>
        <w:rPr>
          <w:rFonts w:ascii="Times New Roman" w:hAnsi="Times New Roman" w:cs="Times New Roman"/>
          <w:sz w:val="24"/>
          <w:szCs w:val="24"/>
        </w:rPr>
      </w:pPr>
      <w:r w:rsidRPr="00BB6978">
        <w:rPr>
          <w:rFonts w:ascii="Times New Roman" w:hAnsi="Times New Roman" w:cs="Times New Roman"/>
          <w:sz w:val="24"/>
          <w:szCs w:val="24"/>
        </w:rPr>
        <w:t xml:space="preserve">The private education sector within the UAE has been rapidly expanding and there is no sign of slowing down. Again, the schools are found to maintain the inspection through the authorities and the fees caps that are typically enforced to ensure that tuition is not excessive (Strietholt, Hogrebe, &amp; Zachrisson, 2020). </w:t>
      </w:r>
    </w:p>
    <w:p w14:paraId="0635B64E" w14:textId="77777777" w:rsidR="000F16B0" w:rsidRPr="00BB6978" w:rsidRDefault="002B0E27" w:rsidP="00B96B54">
      <w:pPr>
        <w:spacing w:before="240" w:after="200" w:line="480" w:lineRule="auto"/>
        <w:ind w:firstLine="720"/>
        <w:jc w:val="both"/>
        <w:rPr>
          <w:rFonts w:ascii="Times New Roman" w:hAnsi="Times New Roman" w:cs="Times New Roman"/>
          <w:sz w:val="24"/>
          <w:szCs w:val="24"/>
        </w:rPr>
      </w:pPr>
      <w:r w:rsidRPr="00BB6978">
        <w:rPr>
          <w:rFonts w:ascii="Times New Roman" w:hAnsi="Times New Roman" w:cs="Times New Roman"/>
          <w:sz w:val="24"/>
          <w:szCs w:val="24"/>
        </w:rPr>
        <w:t>This section looked at the relation between school costs, quality and student achievement in literature and how is it seen in the UA</w:t>
      </w:r>
      <w:r w:rsidR="00896B01" w:rsidRPr="00BB6978">
        <w:rPr>
          <w:rFonts w:ascii="Times New Roman" w:hAnsi="Times New Roman" w:cs="Times New Roman"/>
          <w:sz w:val="24"/>
          <w:szCs w:val="24"/>
        </w:rPr>
        <w:t>E.</w:t>
      </w:r>
    </w:p>
    <w:p w14:paraId="559F8316" w14:textId="77777777" w:rsidR="00896B01" w:rsidRPr="00BB6978" w:rsidRDefault="00896B01" w:rsidP="00B96B54">
      <w:pPr>
        <w:spacing w:before="240" w:after="200" w:line="480" w:lineRule="auto"/>
        <w:ind w:firstLine="720"/>
        <w:jc w:val="both"/>
        <w:rPr>
          <w:rFonts w:ascii="Times New Roman" w:hAnsi="Times New Roman" w:cs="Times New Roman"/>
          <w:sz w:val="24"/>
          <w:szCs w:val="24"/>
        </w:rPr>
      </w:pPr>
    </w:p>
    <w:p w14:paraId="6374B809" w14:textId="77777777" w:rsidR="00896B01" w:rsidRPr="00BB6978" w:rsidRDefault="00896B01" w:rsidP="00B96B54">
      <w:pPr>
        <w:spacing w:before="240" w:after="200" w:line="480" w:lineRule="auto"/>
        <w:ind w:firstLine="720"/>
        <w:jc w:val="both"/>
        <w:rPr>
          <w:rFonts w:ascii="Times New Roman" w:hAnsi="Times New Roman" w:cs="Times New Roman"/>
          <w:sz w:val="24"/>
          <w:szCs w:val="24"/>
        </w:rPr>
      </w:pPr>
    </w:p>
    <w:p w14:paraId="0FC51155" w14:textId="77777777" w:rsidR="00896B01" w:rsidRPr="00BB6978" w:rsidRDefault="00896B01" w:rsidP="00B96B54">
      <w:pPr>
        <w:spacing w:before="240" w:after="200" w:line="480" w:lineRule="auto"/>
        <w:ind w:firstLine="720"/>
        <w:jc w:val="both"/>
        <w:rPr>
          <w:rFonts w:ascii="Times New Roman" w:hAnsi="Times New Roman" w:cs="Times New Roman"/>
          <w:sz w:val="24"/>
          <w:szCs w:val="24"/>
        </w:rPr>
      </w:pPr>
    </w:p>
    <w:p w14:paraId="1636981D" w14:textId="77777777" w:rsidR="00896B01" w:rsidRPr="00BB6978" w:rsidRDefault="00896B01" w:rsidP="00B96B54">
      <w:pPr>
        <w:spacing w:before="240" w:after="200" w:line="480" w:lineRule="auto"/>
        <w:ind w:firstLine="720"/>
        <w:jc w:val="both"/>
        <w:rPr>
          <w:rFonts w:ascii="Times New Roman" w:hAnsi="Times New Roman" w:cs="Times New Roman"/>
          <w:sz w:val="24"/>
          <w:szCs w:val="24"/>
        </w:rPr>
      </w:pPr>
    </w:p>
    <w:p w14:paraId="477646C8" w14:textId="77777777" w:rsidR="00896B01" w:rsidRPr="00BB6978" w:rsidRDefault="00896B01" w:rsidP="00B96B54">
      <w:pPr>
        <w:spacing w:before="240" w:after="200" w:line="480" w:lineRule="auto"/>
        <w:ind w:firstLine="720"/>
        <w:jc w:val="both"/>
        <w:rPr>
          <w:rFonts w:ascii="Times New Roman" w:hAnsi="Times New Roman" w:cs="Times New Roman"/>
          <w:sz w:val="24"/>
          <w:szCs w:val="24"/>
        </w:rPr>
      </w:pPr>
    </w:p>
    <w:p w14:paraId="1F8653FB" w14:textId="77777777" w:rsidR="00896B01" w:rsidRPr="00BB6978" w:rsidRDefault="00896B01" w:rsidP="00B96B54">
      <w:pPr>
        <w:spacing w:before="240" w:after="200" w:line="480" w:lineRule="auto"/>
        <w:ind w:firstLine="720"/>
        <w:jc w:val="both"/>
        <w:rPr>
          <w:rFonts w:ascii="Times New Roman" w:hAnsi="Times New Roman" w:cs="Times New Roman"/>
          <w:sz w:val="24"/>
          <w:szCs w:val="24"/>
        </w:rPr>
      </w:pPr>
    </w:p>
    <w:p w14:paraId="7F50782E" w14:textId="77777777" w:rsidR="00896B01" w:rsidRPr="00BB6978" w:rsidRDefault="00896B01" w:rsidP="00B96B54">
      <w:pPr>
        <w:spacing w:before="240" w:after="200" w:line="480" w:lineRule="auto"/>
        <w:ind w:firstLine="720"/>
        <w:jc w:val="both"/>
        <w:rPr>
          <w:rFonts w:ascii="Times New Roman" w:hAnsi="Times New Roman" w:cs="Times New Roman"/>
          <w:sz w:val="24"/>
          <w:szCs w:val="24"/>
        </w:rPr>
      </w:pPr>
    </w:p>
    <w:p w14:paraId="3E316394" w14:textId="77777777" w:rsidR="00CB1B22" w:rsidRPr="00BB6978" w:rsidRDefault="00CB1B22" w:rsidP="00B96B54">
      <w:pPr>
        <w:spacing w:before="240" w:after="200" w:line="480" w:lineRule="auto"/>
        <w:ind w:firstLine="720"/>
        <w:jc w:val="both"/>
        <w:rPr>
          <w:rFonts w:ascii="Times New Roman" w:hAnsi="Times New Roman" w:cs="Times New Roman"/>
          <w:sz w:val="24"/>
          <w:szCs w:val="24"/>
        </w:rPr>
      </w:pPr>
    </w:p>
    <w:p w14:paraId="029210A6" w14:textId="77777777" w:rsidR="00CB1B22" w:rsidRPr="00BB6978" w:rsidRDefault="00CB1B22" w:rsidP="00B96B54">
      <w:pPr>
        <w:spacing w:before="240" w:after="200" w:line="480" w:lineRule="auto"/>
        <w:ind w:firstLine="720"/>
        <w:jc w:val="both"/>
        <w:rPr>
          <w:rFonts w:ascii="Times New Roman" w:hAnsi="Times New Roman" w:cs="Times New Roman"/>
          <w:sz w:val="24"/>
          <w:szCs w:val="24"/>
        </w:rPr>
      </w:pPr>
    </w:p>
    <w:p w14:paraId="443F2608" w14:textId="77777777" w:rsidR="00CB1B22" w:rsidRPr="00BB6978" w:rsidRDefault="00CB1B22" w:rsidP="00B96B54">
      <w:pPr>
        <w:spacing w:before="240" w:after="200" w:line="480" w:lineRule="auto"/>
        <w:ind w:firstLine="720"/>
        <w:jc w:val="both"/>
        <w:rPr>
          <w:rFonts w:ascii="Times New Roman" w:hAnsi="Times New Roman" w:cs="Times New Roman"/>
          <w:sz w:val="24"/>
          <w:szCs w:val="24"/>
        </w:rPr>
      </w:pPr>
    </w:p>
    <w:p w14:paraId="7E0C573E" w14:textId="77777777" w:rsidR="00CB1B22" w:rsidRPr="00BB6978" w:rsidRDefault="00CB1B22" w:rsidP="00B96B54">
      <w:pPr>
        <w:spacing w:before="240" w:after="200" w:line="480" w:lineRule="auto"/>
        <w:ind w:firstLine="720"/>
        <w:jc w:val="both"/>
        <w:rPr>
          <w:rFonts w:ascii="Times New Roman" w:hAnsi="Times New Roman" w:cs="Times New Roman"/>
          <w:sz w:val="24"/>
          <w:szCs w:val="24"/>
        </w:rPr>
      </w:pPr>
    </w:p>
    <w:p w14:paraId="119B7898" w14:textId="77777777" w:rsidR="00CB1B22" w:rsidRPr="00BB6978" w:rsidRDefault="00CB1B22" w:rsidP="00B96B54">
      <w:pPr>
        <w:spacing w:before="240" w:after="200" w:line="480" w:lineRule="auto"/>
        <w:ind w:firstLine="720"/>
        <w:jc w:val="both"/>
        <w:rPr>
          <w:rFonts w:ascii="Times New Roman" w:hAnsi="Times New Roman" w:cs="Times New Roman"/>
          <w:sz w:val="24"/>
          <w:szCs w:val="24"/>
        </w:rPr>
      </w:pPr>
    </w:p>
    <w:p w14:paraId="539FAB31" w14:textId="77777777" w:rsidR="00161F8B" w:rsidRPr="00BB6978" w:rsidRDefault="00161F8B" w:rsidP="00161F8B">
      <w:pPr>
        <w:pStyle w:val="Heading1"/>
        <w:jc w:val="center"/>
        <w:rPr>
          <w:rFonts w:asciiTheme="majorBidi" w:hAnsiTheme="majorBidi"/>
          <w:b w:val="0"/>
          <w:bCs w:val="0"/>
          <w:color w:val="auto"/>
          <w:lang w:eastAsia="en-GB" w:bidi="en-GB"/>
        </w:rPr>
      </w:pPr>
      <w:bookmarkStart w:id="98" w:name="_Toc138239803"/>
      <w:r w:rsidRPr="00BB6978">
        <w:rPr>
          <w:rFonts w:asciiTheme="majorBidi" w:hAnsiTheme="majorBidi"/>
          <w:color w:val="auto"/>
          <w:lang w:eastAsia="en-GB" w:bidi="en-GB"/>
        </w:rPr>
        <w:t xml:space="preserve">CHAPTER III: </w:t>
      </w:r>
      <w:r w:rsidR="00105FAF" w:rsidRPr="00BB6978">
        <w:rPr>
          <w:rFonts w:asciiTheme="majorBidi" w:hAnsiTheme="majorBidi"/>
          <w:color w:val="auto"/>
          <w:lang w:eastAsia="en-GB" w:bidi="en-GB"/>
        </w:rPr>
        <w:t xml:space="preserve">Research </w:t>
      </w:r>
      <w:bookmarkEnd w:id="73"/>
      <w:bookmarkEnd w:id="74"/>
      <w:r w:rsidR="00105FAF" w:rsidRPr="00BB6978">
        <w:rPr>
          <w:rFonts w:asciiTheme="majorBidi" w:hAnsiTheme="majorBidi"/>
          <w:color w:val="auto"/>
          <w:lang w:eastAsia="en-GB" w:bidi="en-GB"/>
        </w:rPr>
        <w:t>methodology</w:t>
      </w:r>
      <w:bookmarkEnd w:id="98"/>
    </w:p>
    <w:p w14:paraId="2F774C25" w14:textId="77777777" w:rsidR="00161F8B" w:rsidRPr="00BB6978" w:rsidRDefault="00161F8B" w:rsidP="00161F8B">
      <w:pPr>
        <w:pStyle w:val="Heading1"/>
        <w:rPr>
          <w:rFonts w:asciiTheme="majorBidi" w:eastAsia="Times New Roman" w:hAnsiTheme="majorBidi"/>
          <w:b w:val="0"/>
          <w:bCs w:val="0"/>
          <w:color w:val="auto"/>
          <w:sz w:val="24"/>
          <w:szCs w:val="24"/>
        </w:rPr>
      </w:pPr>
      <w:bookmarkStart w:id="99" w:name="_Toc64369131"/>
      <w:bookmarkStart w:id="100" w:name="_Toc96103754"/>
      <w:bookmarkStart w:id="101" w:name="_Toc138239804"/>
      <w:r w:rsidRPr="00BB6978">
        <w:rPr>
          <w:rFonts w:asciiTheme="majorBidi" w:eastAsia="Times New Roman" w:hAnsiTheme="majorBidi"/>
          <w:color w:val="auto"/>
          <w:sz w:val="24"/>
          <w:szCs w:val="24"/>
        </w:rPr>
        <w:t>3.1 Introduction</w:t>
      </w:r>
      <w:bookmarkEnd w:id="75"/>
      <w:bookmarkEnd w:id="99"/>
      <w:bookmarkEnd w:id="100"/>
      <w:bookmarkEnd w:id="101"/>
    </w:p>
    <w:p w14:paraId="0EB0FD03" w14:textId="77777777" w:rsidR="00491730" w:rsidRPr="00BB6978" w:rsidRDefault="00491730" w:rsidP="00491730">
      <w:pPr>
        <w:spacing w:before="240" w:after="200" w:line="480" w:lineRule="auto"/>
        <w:ind w:firstLine="360"/>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This chapter outlines the research methods and procedures. It includes a detailed description of the research design, participants and techniques used for sample selection, instruments, and data collection procedures. Furthermore, it describes the data analysis methods. Finally, the instrument validity and reliability, and ethical considerations are also presented. The study was directed by the following five research questions:</w:t>
      </w:r>
    </w:p>
    <w:p w14:paraId="36E72033" w14:textId="77777777" w:rsidR="00491730" w:rsidRPr="00BB6978" w:rsidRDefault="00491730" w:rsidP="00B91029">
      <w:pPr>
        <w:numPr>
          <w:ilvl w:val="0"/>
          <w:numId w:val="8"/>
        </w:numPr>
        <w:autoSpaceDE w:val="0"/>
        <w:autoSpaceDN w:val="0"/>
        <w:adjustRightInd w:val="0"/>
        <w:spacing w:after="68" w:line="360" w:lineRule="auto"/>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What is the relationship between school cost and school quality in private schools in Abu Dhabi?</w:t>
      </w:r>
    </w:p>
    <w:p w14:paraId="5BCB22A3" w14:textId="77777777" w:rsidR="00491730" w:rsidRPr="00BB6978" w:rsidRDefault="00491730" w:rsidP="00B91029">
      <w:pPr>
        <w:numPr>
          <w:ilvl w:val="0"/>
          <w:numId w:val="8"/>
        </w:numPr>
        <w:autoSpaceDE w:val="0"/>
        <w:autoSpaceDN w:val="0"/>
        <w:adjustRightInd w:val="0"/>
        <w:spacing w:after="68" w:line="360" w:lineRule="auto"/>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What is the relationship between school costs and students’ achievements in private schools in Abu Dhabi?</w:t>
      </w:r>
    </w:p>
    <w:p w14:paraId="1AFCA674" w14:textId="77777777" w:rsidR="00491730" w:rsidRPr="00BB6978" w:rsidRDefault="00491730" w:rsidP="00B91029">
      <w:pPr>
        <w:numPr>
          <w:ilvl w:val="0"/>
          <w:numId w:val="8"/>
        </w:numPr>
        <w:autoSpaceDE w:val="0"/>
        <w:autoSpaceDN w:val="0"/>
        <w:adjustRightInd w:val="0"/>
        <w:spacing w:after="68" w:line="360" w:lineRule="auto"/>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What is the relationship between school quality and students’ achievements in private schools in Abu Dhabi?</w:t>
      </w:r>
    </w:p>
    <w:p w14:paraId="698A5E72" w14:textId="77777777" w:rsidR="00EF7B0C" w:rsidRPr="00BB6978" w:rsidRDefault="00EF7B0C" w:rsidP="00B91029">
      <w:pPr>
        <w:numPr>
          <w:ilvl w:val="0"/>
          <w:numId w:val="8"/>
        </w:numPr>
        <w:autoSpaceDE w:val="0"/>
        <w:autoSpaceDN w:val="0"/>
        <w:adjustRightInd w:val="0"/>
        <w:spacing w:after="68" w:line="360" w:lineRule="auto"/>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Does the school quality mediate the relationship between school cost and students’ achievement</w:t>
      </w:r>
      <w:r w:rsidR="002C69C4" w:rsidRPr="00BB6978">
        <w:rPr>
          <w:rFonts w:ascii="Times New Roman" w:eastAsia="Times New Roman" w:hAnsi="Times New Roman" w:cs="Times New Roman"/>
          <w:sz w:val="24"/>
          <w:szCs w:val="24"/>
        </w:rPr>
        <w:t xml:space="preserve"> in private schools in Abu Dhabi</w:t>
      </w:r>
      <w:r w:rsidRPr="00BB6978">
        <w:rPr>
          <w:rFonts w:ascii="Times New Roman" w:eastAsia="Times New Roman" w:hAnsi="Times New Roman" w:cs="Times New Roman"/>
          <w:sz w:val="24"/>
          <w:szCs w:val="24"/>
        </w:rPr>
        <w:t xml:space="preserve">? </w:t>
      </w:r>
    </w:p>
    <w:p w14:paraId="7C561EFE" w14:textId="77777777" w:rsidR="00491730" w:rsidRPr="00BB6978" w:rsidRDefault="00491730" w:rsidP="00B91029">
      <w:pPr>
        <w:numPr>
          <w:ilvl w:val="0"/>
          <w:numId w:val="8"/>
        </w:numPr>
        <w:autoSpaceDE w:val="0"/>
        <w:autoSpaceDN w:val="0"/>
        <w:adjustRightInd w:val="0"/>
        <w:spacing w:after="68" w:line="360" w:lineRule="auto"/>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D</w:t>
      </w:r>
      <w:r w:rsidR="00EF7B0C" w:rsidRPr="00BB6978">
        <w:rPr>
          <w:rFonts w:ascii="Times New Roman" w:eastAsia="Times New Roman" w:hAnsi="Times New Roman" w:cs="Times New Roman"/>
          <w:sz w:val="24"/>
          <w:szCs w:val="24"/>
        </w:rPr>
        <w:t xml:space="preserve">oes parents’ income </w:t>
      </w:r>
      <w:r w:rsidRPr="00BB6978">
        <w:rPr>
          <w:rFonts w:ascii="Times New Roman" w:eastAsia="Times New Roman" w:hAnsi="Times New Roman" w:cs="Times New Roman"/>
          <w:sz w:val="24"/>
          <w:szCs w:val="24"/>
        </w:rPr>
        <w:t>moderate the relationship between school cost and students’ achievement</w:t>
      </w:r>
      <w:r w:rsidR="002C69C4" w:rsidRPr="00BB6978">
        <w:rPr>
          <w:rFonts w:ascii="Times New Roman" w:eastAsia="Times New Roman" w:hAnsi="Times New Roman" w:cs="Times New Roman"/>
          <w:sz w:val="24"/>
          <w:szCs w:val="24"/>
        </w:rPr>
        <w:t xml:space="preserve"> in private schools in Abu Dhabi</w:t>
      </w:r>
      <w:r w:rsidRPr="00BB6978">
        <w:rPr>
          <w:rFonts w:ascii="Times New Roman" w:eastAsia="Times New Roman" w:hAnsi="Times New Roman" w:cs="Times New Roman"/>
          <w:sz w:val="24"/>
          <w:szCs w:val="24"/>
        </w:rPr>
        <w:t xml:space="preserve">? </w:t>
      </w:r>
    </w:p>
    <w:p w14:paraId="0EEFDF7A" w14:textId="77777777" w:rsidR="002D6554" w:rsidRPr="00BB6978" w:rsidRDefault="00491730" w:rsidP="00B91029">
      <w:pPr>
        <w:numPr>
          <w:ilvl w:val="0"/>
          <w:numId w:val="8"/>
        </w:numPr>
        <w:autoSpaceDE w:val="0"/>
        <w:autoSpaceDN w:val="0"/>
        <w:adjustRightInd w:val="0"/>
        <w:spacing w:after="68" w:line="360" w:lineRule="auto"/>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Do</w:t>
      </w:r>
      <w:r w:rsidR="00EF7B0C" w:rsidRPr="00BB6978">
        <w:rPr>
          <w:rFonts w:ascii="Times New Roman" w:eastAsia="Times New Roman" w:hAnsi="Times New Roman" w:cs="Times New Roman"/>
          <w:sz w:val="24"/>
          <w:szCs w:val="24"/>
        </w:rPr>
        <w:t xml:space="preserve">es parents’ education </w:t>
      </w:r>
      <w:r w:rsidRPr="00BB6978">
        <w:rPr>
          <w:rFonts w:ascii="Times New Roman" w:eastAsia="Times New Roman" w:hAnsi="Times New Roman" w:cs="Times New Roman"/>
          <w:sz w:val="24"/>
          <w:szCs w:val="24"/>
        </w:rPr>
        <w:t>moderate the relationship between school quality and students’ achievement</w:t>
      </w:r>
      <w:r w:rsidR="002C69C4" w:rsidRPr="00BB6978">
        <w:rPr>
          <w:rFonts w:ascii="Times New Roman" w:eastAsia="Times New Roman" w:hAnsi="Times New Roman" w:cs="Times New Roman"/>
          <w:sz w:val="24"/>
          <w:szCs w:val="24"/>
        </w:rPr>
        <w:t xml:space="preserve"> in private schools in Abu Dhabi</w:t>
      </w:r>
      <w:r w:rsidRPr="00BB6978">
        <w:rPr>
          <w:rFonts w:ascii="Times New Roman" w:eastAsia="Times New Roman" w:hAnsi="Times New Roman" w:cs="Times New Roman"/>
          <w:sz w:val="24"/>
          <w:szCs w:val="24"/>
        </w:rPr>
        <w:t xml:space="preserve">? </w:t>
      </w:r>
    </w:p>
    <w:p w14:paraId="235CFFB3" w14:textId="77777777" w:rsidR="00A82AC4" w:rsidRPr="00BB6978" w:rsidRDefault="00A82AC4" w:rsidP="005D0213">
      <w:pPr>
        <w:autoSpaceDE w:val="0"/>
        <w:autoSpaceDN w:val="0"/>
        <w:adjustRightInd w:val="0"/>
        <w:spacing w:after="68" w:line="480" w:lineRule="auto"/>
        <w:ind w:firstLine="360"/>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 xml:space="preserve">Based on the </w:t>
      </w:r>
      <w:r w:rsidR="00646868" w:rsidRPr="00BB6978">
        <w:rPr>
          <w:rFonts w:ascii="Times New Roman" w:eastAsia="Times New Roman" w:hAnsi="Times New Roman" w:cs="Times New Roman"/>
          <w:sz w:val="24"/>
          <w:szCs w:val="24"/>
        </w:rPr>
        <w:t>literature</w:t>
      </w:r>
      <w:r w:rsidRPr="00BB6978">
        <w:rPr>
          <w:rFonts w:ascii="Times New Roman" w:eastAsia="Times New Roman" w:hAnsi="Times New Roman" w:cs="Times New Roman"/>
          <w:sz w:val="24"/>
          <w:szCs w:val="24"/>
        </w:rPr>
        <w:t xml:space="preserve"> review and research questions, five hypotheses were formed:</w:t>
      </w:r>
    </w:p>
    <w:p w14:paraId="41CA283B" w14:textId="77777777" w:rsidR="002C69C4" w:rsidRPr="00BB6978" w:rsidRDefault="002C69C4" w:rsidP="002C69C4">
      <w:pPr>
        <w:spacing w:before="240" w:after="200" w:line="276" w:lineRule="auto"/>
        <w:ind w:left="426" w:hanging="426"/>
        <w:jc w:val="both"/>
        <w:rPr>
          <w:rFonts w:ascii="Times New Roman" w:eastAsia="Calibri" w:hAnsi="Times New Roman" w:cs="Times New Roman"/>
          <w:sz w:val="24"/>
          <w:szCs w:val="24"/>
        </w:rPr>
      </w:pPr>
      <w:bookmarkStart w:id="102" w:name="_Toc96103755"/>
      <w:r w:rsidRPr="00BB6978">
        <w:rPr>
          <w:rFonts w:ascii="Times New Roman" w:eastAsia="Calibri" w:hAnsi="Times New Roman" w:cs="Times New Roman"/>
          <w:sz w:val="24"/>
          <w:szCs w:val="24"/>
        </w:rPr>
        <w:t>H</w:t>
      </w:r>
      <w:r w:rsidRPr="00BB6978">
        <w:rPr>
          <w:rFonts w:ascii="Times New Roman" w:eastAsia="Calibri" w:hAnsi="Times New Roman" w:cs="Times New Roman"/>
          <w:sz w:val="24"/>
          <w:szCs w:val="24"/>
          <w:vertAlign w:val="subscript"/>
        </w:rPr>
        <w:t>1</w:t>
      </w:r>
      <w:r w:rsidRPr="00BB6978">
        <w:rPr>
          <w:rFonts w:ascii="Times New Roman" w:eastAsia="Calibri" w:hAnsi="Times New Roman" w:cs="Times New Roman"/>
          <w:sz w:val="24"/>
          <w:szCs w:val="24"/>
        </w:rPr>
        <w:t>: There is a positive relationship between school cost and school quality in private schools in Abu Dhabi.</w:t>
      </w:r>
    </w:p>
    <w:p w14:paraId="03762DBD" w14:textId="77777777" w:rsidR="002C69C4" w:rsidRPr="00BB6978" w:rsidRDefault="002C69C4" w:rsidP="002C69C4">
      <w:pPr>
        <w:spacing w:before="240" w:after="200" w:line="276" w:lineRule="auto"/>
        <w:ind w:left="426" w:hanging="426"/>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H</w:t>
      </w:r>
      <w:r w:rsidRPr="00BB6978">
        <w:rPr>
          <w:rFonts w:ascii="Times New Roman" w:eastAsia="Calibri" w:hAnsi="Times New Roman" w:cs="Times New Roman"/>
          <w:sz w:val="24"/>
          <w:szCs w:val="24"/>
          <w:vertAlign w:val="subscript"/>
        </w:rPr>
        <w:t>2</w:t>
      </w:r>
      <w:r w:rsidRPr="00BB6978">
        <w:rPr>
          <w:rFonts w:ascii="Times New Roman" w:eastAsia="Calibri" w:hAnsi="Times New Roman" w:cs="Times New Roman"/>
          <w:sz w:val="24"/>
          <w:szCs w:val="24"/>
        </w:rPr>
        <w:t>: There is a positive relationship between school cost and students’ achievements in private schools in Abu Dhabi.</w:t>
      </w:r>
    </w:p>
    <w:p w14:paraId="67C55804" w14:textId="77777777" w:rsidR="002C69C4" w:rsidRPr="00BB6978" w:rsidRDefault="002C69C4" w:rsidP="002C69C4">
      <w:pPr>
        <w:spacing w:before="240" w:after="200" w:line="276" w:lineRule="auto"/>
        <w:ind w:left="426" w:hanging="426"/>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H</w:t>
      </w:r>
      <w:r w:rsidRPr="00BB6978">
        <w:rPr>
          <w:rFonts w:ascii="Times New Roman" w:eastAsia="Calibri" w:hAnsi="Times New Roman" w:cs="Times New Roman"/>
          <w:sz w:val="24"/>
          <w:szCs w:val="24"/>
          <w:vertAlign w:val="subscript"/>
        </w:rPr>
        <w:t>3</w:t>
      </w:r>
      <w:r w:rsidRPr="00BB6978">
        <w:rPr>
          <w:rFonts w:ascii="Times New Roman" w:eastAsia="Calibri" w:hAnsi="Times New Roman" w:cs="Times New Roman"/>
          <w:sz w:val="24"/>
          <w:szCs w:val="24"/>
        </w:rPr>
        <w:t>: There is a positive relationship between school quality and students’ achievement in private schools in Abu Dhabi.</w:t>
      </w:r>
    </w:p>
    <w:p w14:paraId="18CE7FAD" w14:textId="77777777" w:rsidR="002C69C4" w:rsidRPr="00BB6978" w:rsidRDefault="002C69C4" w:rsidP="002C69C4">
      <w:pPr>
        <w:spacing w:before="240" w:after="200" w:line="276" w:lineRule="auto"/>
        <w:ind w:left="426" w:hanging="426"/>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H</w:t>
      </w:r>
      <w:r w:rsidRPr="00BB6978">
        <w:rPr>
          <w:rFonts w:ascii="Times New Roman" w:eastAsia="Calibri" w:hAnsi="Times New Roman" w:cs="Times New Roman"/>
          <w:sz w:val="24"/>
          <w:szCs w:val="24"/>
          <w:vertAlign w:val="subscript"/>
        </w:rPr>
        <w:t xml:space="preserve">4: </w:t>
      </w:r>
      <w:r w:rsidRPr="00BB6978">
        <w:rPr>
          <w:rFonts w:ascii="Times New Roman" w:eastAsia="Calibri" w:hAnsi="Times New Roman" w:cs="Times New Roman"/>
          <w:sz w:val="24"/>
          <w:szCs w:val="24"/>
        </w:rPr>
        <w:t>School quality mediates the relationship between school cost and students’ achievement in private schools in Abu Dhabi.</w:t>
      </w:r>
    </w:p>
    <w:p w14:paraId="4504CABE" w14:textId="77777777" w:rsidR="002C69C4" w:rsidRPr="00BB6978" w:rsidRDefault="002C69C4" w:rsidP="002C69C4">
      <w:pPr>
        <w:spacing w:before="240" w:after="200" w:line="360" w:lineRule="auto"/>
        <w:ind w:left="426" w:hanging="426"/>
        <w:jc w:val="both"/>
        <w:rPr>
          <w:rFonts w:ascii="Times New Roman" w:eastAsia="Calibri" w:hAnsi="Times New Roman" w:cs="Times New Roman"/>
          <w:sz w:val="24"/>
          <w:szCs w:val="24"/>
          <w:lang w:val="en-US"/>
        </w:rPr>
      </w:pPr>
      <w:r w:rsidRPr="00BB6978">
        <w:rPr>
          <w:rFonts w:ascii="Times New Roman" w:eastAsia="Calibri" w:hAnsi="Times New Roman" w:cs="Times New Roman"/>
          <w:sz w:val="24"/>
          <w:szCs w:val="24"/>
        </w:rPr>
        <w:t>H</w:t>
      </w:r>
      <w:r w:rsidRPr="00BB6978">
        <w:rPr>
          <w:rFonts w:ascii="Times New Roman" w:eastAsia="Calibri" w:hAnsi="Times New Roman" w:cs="Times New Roman"/>
          <w:sz w:val="24"/>
          <w:szCs w:val="24"/>
          <w:vertAlign w:val="subscript"/>
        </w:rPr>
        <w:t xml:space="preserve">5: </w:t>
      </w:r>
      <w:r w:rsidRPr="00BB6978">
        <w:rPr>
          <w:rFonts w:ascii="Times New Roman" w:eastAsia="Calibri" w:hAnsi="Times New Roman" w:cs="Times New Roman"/>
          <w:sz w:val="24"/>
          <w:szCs w:val="24"/>
        </w:rPr>
        <w:t xml:space="preserve">Parents’ income moderates the relationship between school cost and students’ achievements in private schools in Abu Dhabi. </w:t>
      </w:r>
    </w:p>
    <w:p w14:paraId="63E2AC05" w14:textId="77777777" w:rsidR="002C69C4" w:rsidRPr="00BB6978" w:rsidRDefault="002C69C4" w:rsidP="002C69C4">
      <w:pPr>
        <w:spacing w:before="240" w:after="200" w:line="276" w:lineRule="auto"/>
        <w:ind w:left="426" w:hanging="426"/>
        <w:jc w:val="both"/>
        <w:rPr>
          <w:rFonts w:ascii="Times New Roman" w:eastAsia="Calibri" w:hAnsi="Times New Roman" w:cs="Times New Roman"/>
          <w:sz w:val="24"/>
          <w:szCs w:val="24"/>
          <w:lang w:val="en-US"/>
        </w:rPr>
      </w:pPr>
      <w:r w:rsidRPr="00BB6978">
        <w:rPr>
          <w:rFonts w:ascii="Times New Roman" w:eastAsia="Calibri" w:hAnsi="Times New Roman" w:cs="Times New Roman"/>
          <w:sz w:val="24"/>
          <w:szCs w:val="24"/>
        </w:rPr>
        <w:t>H</w:t>
      </w:r>
      <w:r w:rsidRPr="00BB6978">
        <w:rPr>
          <w:rFonts w:ascii="Times New Roman" w:eastAsia="Calibri" w:hAnsi="Times New Roman" w:cs="Times New Roman"/>
          <w:sz w:val="24"/>
          <w:szCs w:val="24"/>
          <w:vertAlign w:val="subscript"/>
        </w:rPr>
        <w:t xml:space="preserve">6: </w:t>
      </w:r>
      <w:r w:rsidRPr="00BB6978">
        <w:rPr>
          <w:rFonts w:ascii="Times New Roman" w:eastAsia="Calibri" w:hAnsi="Times New Roman" w:cs="Times New Roman"/>
          <w:sz w:val="24"/>
          <w:szCs w:val="24"/>
        </w:rPr>
        <w:t>Parents’ education moderates the relationship between school quality and students’ achievements in private schools in Abu Dhabi.</w:t>
      </w:r>
    </w:p>
    <w:p w14:paraId="09EE2339" w14:textId="77777777" w:rsidR="00161F8B" w:rsidRPr="00BB6978" w:rsidRDefault="00161F8B" w:rsidP="00161F8B">
      <w:pPr>
        <w:pStyle w:val="Heading1"/>
        <w:rPr>
          <w:rStyle w:val="Heading1Char"/>
          <w:rFonts w:asciiTheme="majorBidi" w:hAnsiTheme="majorBidi"/>
          <w:b/>
          <w:bCs/>
          <w:color w:val="auto"/>
          <w:sz w:val="24"/>
          <w:szCs w:val="24"/>
        </w:rPr>
      </w:pPr>
      <w:bookmarkStart w:id="103" w:name="_Toc138239805"/>
      <w:r w:rsidRPr="00BB6978">
        <w:rPr>
          <w:rFonts w:asciiTheme="majorBidi" w:eastAsia="Times New Roman" w:hAnsiTheme="majorBidi"/>
          <w:color w:val="auto"/>
          <w:sz w:val="24"/>
          <w:szCs w:val="24"/>
        </w:rPr>
        <w:t>3.2</w:t>
      </w:r>
      <w:r w:rsidRPr="00BB6978">
        <w:rPr>
          <w:rFonts w:ascii="Times New Roman" w:eastAsia="Times New Roman" w:hAnsi="Times New Roman" w:cs="Times New Roman"/>
          <w:b w:val="0"/>
          <w:bCs w:val="0"/>
          <w:color w:val="auto"/>
        </w:rPr>
        <w:tab/>
      </w:r>
      <w:r w:rsidRPr="00BB6978">
        <w:rPr>
          <w:rStyle w:val="Heading1Char"/>
          <w:rFonts w:asciiTheme="majorBidi" w:hAnsiTheme="majorBidi"/>
          <w:b/>
          <w:bCs/>
          <w:color w:val="auto"/>
          <w:sz w:val="24"/>
          <w:szCs w:val="24"/>
        </w:rPr>
        <w:t xml:space="preserve">The </w:t>
      </w:r>
      <w:r w:rsidR="00B70D12" w:rsidRPr="00BB6978">
        <w:rPr>
          <w:rStyle w:val="Heading1Char"/>
          <w:rFonts w:asciiTheme="majorBidi" w:hAnsiTheme="majorBidi"/>
          <w:b/>
          <w:bCs/>
          <w:color w:val="auto"/>
          <w:sz w:val="24"/>
          <w:szCs w:val="24"/>
        </w:rPr>
        <w:t>r</w:t>
      </w:r>
      <w:r w:rsidRPr="00BB6978">
        <w:rPr>
          <w:rStyle w:val="Heading1Char"/>
          <w:rFonts w:asciiTheme="majorBidi" w:hAnsiTheme="majorBidi"/>
          <w:b/>
          <w:bCs/>
          <w:color w:val="auto"/>
          <w:sz w:val="24"/>
          <w:szCs w:val="24"/>
        </w:rPr>
        <w:t xml:space="preserve">esearch </w:t>
      </w:r>
      <w:r w:rsidR="00486434" w:rsidRPr="00BB6978">
        <w:rPr>
          <w:rStyle w:val="Heading1Char"/>
          <w:rFonts w:asciiTheme="majorBidi" w:hAnsiTheme="majorBidi"/>
          <w:b/>
          <w:bCs/>
          <w:color w:val="auto"/>
          <w:sz w:val="24"/>
          <w:szCs w:val="24"/>
        </w:rPr>
        <w:t>d</w:t>
      </w:r>
      <w:r w:rsidRPr="00BB6978">
        <w:rPr>
          <w:rStyle w:val="Heading1Char"/>
          <w:rFonts w:asciiTheme="majorBidi" w:hAnsiTheme="majorBidi"/>
          <w:b/>
          <w:bCs/>
          <w:color w:val="auto"/>
          <w:sz w:val="24"/>
          <w:szCs w:val="24"/>
        </w:rPr>
        <w:t>esign</w:t>
      </w:r>
      <w:bookmarkEnd w:id="102"/>
      <w:bookmarkEnd w:id="103"/>
      <w:r w:rsidRPr="00BB6978">
        <w:rPr>
          <w:rStyle w:val="Heading1Char"/>
          <w:rFonts w:asciiTheme="majorBidi" w:hAnsiTheme="majorBidi"/>
          <w:b/>
          <w:bCs/>
          <w:color w:val="auto"/>
          <w:sz w:val="24"/>
          <w:szCs w:val="24"/>
        </w:rPr>
        <w:t xml:space="preserve"> </w:t>
      </w:r>
    </w:p>
    <w:p w14:paraId="0FC9E84C" w14:textId="77777777" w:rsidR="00161F8B" w:rsidRPr="00BB6978" w:rsidRDefault="00161F8B" w:rsidP="00161F8B"/>
    <w:p w14:paraId="4FE173FD" w14:textId="77777777" w:rsidR="00491730" w:rsidRPr="00BB6978" w:rsidRDefault="00491730" w:rsidP="00491730">
      <w:pPr>
        <w:spacing w:after="68" w:line="480" w:lineRule="auto"/>
        <w:ind w:firstLine="357"/>
        <w:jc w:val="both"/>
        <w:rPr>
          <w:rFonts w:ascii="Times New Roman" w:eastAsia="Calibri" w:hAnsi="Times New Roman" w:cs="Times New Roman"/>
          <w:sz w:val="24"/>
          <w:szCs w:val="24"/>
        </w:rPr>
      </w:pPr>
      <w:bookmarkStart w:id="104" w:name="_Toc64369133"/>
      <w:bookmarkStart w:id="105" w:name="_Toc96103756"/>
      <w:bookmarkStart w:id="106" w:name="_Toc59692575"/>
      <w:r w:rsidRPr="00BB6978">
        <w:rPr>
          <w:rFonts w:ascii="Times New Roman" w:eastAsia="Calibri" w:hAnsi="Times New Roman" w:cs="Times New Roman"/>
          <w:sz w:val="24"/>
          <w:szCs w:val="24"/>
        </w:rPr>
        <w:t>The research design of the research is described as the blueprint of any research project as it includes the procedure details to get the information required to solve the research problem</w:t>
      </w:r>
      <w:r w:rsidR="000C1E2A" w:rsidRPr="00BB6978">
        <w:rPr>
          <w:rFonts w:ascii="Times New Roman" w:eastAsia="Calibri" w:hAnsi="Times New Roman" w:cs="Times New Roman"/>
          <w:sz w:val="24"/>
          <w:szCs w:val="24"/>
        </w:rPr>
        <w:t>.</w:t>
      </w:r>
    </w:p>
    <w:p w14:paraId="172B9C96" w14:textId="77777777" w:rsidR="00491730" w:rsidRPr="00BB6978" w:rsidRDefault="00491730" w:rsidP="00491730">
      <w:pPr>
        <w:spacing w:after="68" w:line="480" w:lineRule="auto"/>
        <w:ind w:firstLine="357"/>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 xml:space="preserve">This study uses a quantitative design to fit the study problem and objectives. Quantitative data allow us to test the </w:t>
      </w:r>
      <w:r w:rsidR="002D6554" w:rsidRPr="00BB6978">
        <w:rPr>
          <w:rFonts w:ascii="Times New Roman" w:eastAsia="Calibri" w:hAnsi="Times New Roman" w:cs="Times New Roman"/>
          <w:sz w:val="24"/>
          <w:szCs w:val="24"/>
        </w:rPr>
        <w:t>hypothesis and</w:t>
      </w:r>
      <w:r w:rsidRPr="00BB6978">
        <w:rPr>
          <w:rFonts w:ascii="Times New Roman" w:eastAsia="Calibri" w:hAnsi="Times New Roman" w:cs="Times New Roman"/>
          <w:sz w:val="24"/>
          <w:szCs w:val="24"/>
        </w:rPr>
        <w:t xml:space="preserve"> determine the reliability and validity of study variables (Zikmund &amp; Babin, 2007). </w:t>
      </w:r>
      <w:r w:rsidR="00815721" w:rsidRPr="00BB6978">
        <w:rPr>
          <w:rFonts w:ascii="Times New Roman" w:eastAsia="Calibri" w:hAnsi="Times New Roman" w:cs="Times New Roman"/>
          <w:sz w:val="24"/>
          <w:szCs w:val="24"/>
        </w:rPr>
        <w:t>Additionally, quantitative approach is the method of gathering and analyzing statistical data that quantify relationships between variables. Usually, it is employed to find averages and patterns, create estimations, and findings generalizing to broader populations.</w:t>
      </w:r>
      <w:r w:rsidR="00A82AC4" w:rsidRPr="00BB6978">
        <w:rPr>
          <w:rFonts w:ascii="Times New Roman" w:eastAsia="Calibri" w:hAnsi="Times New Roman" w:cs="Times New Roman"/>
          <w:sz w:val="24"/>
          <w:szCs w:val="24"/>
        </w:rPr>
        <w:t xml:space="preserve"> </w:t>
      </w:r>
      <w:r w:rsidRPr="00BB6978">
        <w:rPr>
          <w:rFonts w:ascii="Times New Roman" w:eastAsia="Calibri" w:hAnsi="Times New Roman" w:cs="Times New Roman"/>
          <w:sz w:val="24"/>
          <w:szCs w:val="24"/>
        </w:rPr>
        <w:t>Generally, quantitative methodology is often implemented to systematize procedures of data collection and to generalize the results gained. Therefore, the present study's author decided to use this design in addition to some other several reasons: Specifically, because of the standardized protocols of data collection and the perceptible explanations of abstract concepts, the design can easily be replicated by other researchers in various cultural settings, times, and different participants.</w:t>
      </w:r>
      <w:r w:rsidRPr="00BB6978">
        <w:t xml:space="preserve"> </w:t>
      </w:r>
      <w:r w:rsidRPr="00BB6978">
        <w:rPr>
          <w:rFonts w:ascii="Times New Roman" w:eastAsia="Calibri" w:hAnsi="Times New Roman" w:cs="Times New Roman"/>
          <w:sz w:val="24"/>
          <w:szCs w:val="24"/>
        </w:rPr>
        <w:t>In quantitative design, the main purpose is to describe and explain the relationship between the independent and dependent variables of the sample. To estimate precise relationships between variables, descriptive statistics was used based on a sample is several hundreds of participants. This large sample can decrease the possibility of being biased because. Furthermore, data</w:t>
      </w:r>
      <w:r w:rsidRPr="00BB6978">
        <w:t xml:space="preserve"> </w:t>
      </w:r>
      <w:r w:rsidRPr="00BB6978">
        <w:rPr>
          <w:rFonts w:ascii="Times New Roman" w:eastAsia="Calibri" w:hAnsi="Times New Roman" w:cs="Times New Roman"/>
          <w:sz w:val="24"/>
          <w:szCs w:val="24"/>
        </w:rPr>
        <w:t>extracted from large number of participants can be managed by employing consistent, stable, and reliable techniques to do data analysis quantitatively, as well as allowing appropriate comparisons of the findings (Gay, Mills, &amp; Airasian, 2011).</w:t>
      </w:r>
    </w:p>
    <w:p w14:paraId="7F22DAA4" w14:textId="77777777" w:rsidR="00161F8B" w:rsidRPr="00BB6978" w:rsidRDefault="00161F8B" w:rsidP="00161F8B">
      <w:pPr>
        <w:pStyle w:val="Heading1"/>
        <w:rPr>
          <w:rFonts w:asciiTheme="majorBidi" w:eastAsia="Times New Roman" w:hAnsiTheme="majorBidi"/>
          <w:b w:val="0"/>
          <w:bCs w:val="0"/>
          <w:color w:val="auto"/>
          <w:sz w:val="24"/>
          <w:szCs w:val="24"/>
        </w:rPr>
      </w:pPr>
      <w:bookmarkStart w:id="107" w:name="_Toc138239806"/>
      <w:r w:rsidRPr="00BB6978">
        <w:rPr>
          <w:rFonts w:asciiTheme="majorBidi" w:eastAsia="Times New Roman" w:hAnsiTheme="majorBidi"/>
          <w:color w:val="auto"/>
          <w:sz w:val="24"/>
          <w:szCs w:val="24"/>
        </w:rPr>
        <w:t>3.3 Population and sample</w:t>
      </w:r>
      <w:bookmarkEnd w:id="104"/>
      <w:bookmarkEnd w:id="105"/>
      <w:bookmarkEnd w:id="107"/>
    </w:p>
    <w:p w14:paraId="772AAF99" w14:textId="77777777" w:rsidR="00161F8B" w:rsidRPr="00BB6978" w:rsidRDefault="00161F8B" w:rsidP="00161F8B"/>
    <w:p w14:paraId="3B9F81AF" w14:textId="77777777" w:rsidR="00646868" w:rsidRPr="00BB6978" w:rsidRDefault="00491730" w:rsidP="00887AD3">
      <w:pPr>
        <w:autoSpaceDE w:val="0"/>
        <w:autoSpaceDN w:val="0"/>
        <w:adjustRightInd w:val="0"/>
        <w:spacing w:after="68" w:line="480" w:lineRule="auto"/>
        <w:ind w:firstLine="357"/>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 xml:space="preserve">Population is defined as members of a defined class of people or objects (O’Leary, 2017). There are approximately 373,000 students in private schools in Abu Dhabi, meaning that the </w:t>
      </w:r>
      <w:r w:rsidR="004F6902" w:rsidRPr="00BB6978">
        <w:rPr>
          <w:rFonts w:ascii="Times New Roman" w:eastAsia="Times New Roman" w:hAnsi="Times New Roman" w:cs="Times New Roman"/>
          <w:sz w:val="24"/>
          <w:szCs w:val="24"/>
        </w:rPr>
        <w:t>parent</w:t>
      </w:r>
      <w:r w:rsidRPr="00BB6978">
        <w:rPr>
          <w:rFonts w:ascii="Times New Roman" w:eastAsia="Times New Roman" w:hAnsi="Times New Roman" w:cs="Times New Roman"/>
          <w:sz w:val="24"/>
          <w:szCs w:val="24"/>
        </w:rPr>
        <w:t xml:space="preserve">s' population should intuitively be at least equal to this number. </w:t>
      </w:r>
    </w:p>
    <w:p w14:paraId="713EEF36" w14:textId="77777777" w:rsidR="00491730" w:rsidRPr="00BB6978" w:rsidRDefault="00491730" w:rsidP="00491730">
      <w:pPr>
        <w:autoSpaceDE w:val="0"/>
        <w:autoSpaceDN w:val="0"/>
        <w:adjustRightInd w:val="0"/>
        <w:spacing w:after="68" w:line="480" w:lineRule="auto"/>
        <w:ind w:firstLine="357"/>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The research sample must be representative to allow the findings to be generalized to the whole population (O’Leary, 2017).</w:t>
      </w:r>
      <w:r w:rsidR="006455E2" w:rsidRPr="00BB6978">
        <w:rPr>
          <w:rFonts w:ascii="Times New Roman" w:eastAsia="Times New Roman" w:hAnsi="Times New Roman" w:cs="Times New Roman"/>
          <w:sz w:val="24"/>
          <w:szCs w:val="24"/>
        </w:rPr>
        <w:t xml:space="preserve"> As can be seen in </w:t>
      </w:r>
      <w:r w:rsidR="00887AD3" w:rsidRPr="00BB6978">
        <w:rPr>
          <w:rFonts w:ascii="Times New Roman" w:eastAsia="Times New Roman" w:hAnsi="Times New Roman" w:cs="Times New Roman"/>
          <w:sz w:val="24"/>
          <w:szCs w:val="24"/>
        </w:rPr>
        <w:t>F</w:t>
      </w:r>
      <w:r w:rsidR="006455E2" w:rsidRPr="00BB6978">
        <w:rPr>
          <w:rFonts w:ascii="Times New Roman" w:eastAsia="Times New Roman" w:hAnsi="Times New Roman" w:cs="Times New Roman"/>
          <w:sz w:val="24"/>
          <w:szCs w:val="24"/>
        </w:rPr>
        <w:t xml:space="preserve">igure </w:t>
      </w:r>
      <w:r w:rsidR="00887AD3" w:rsidRPr="00BB6978">
        <w:rPr>
          <w:rFonts w:ascii="Times New Roman" w:eastAsia="Times New Roman" w:hAnsi="Times New Roman" w:cs="Times New Roman"/>
          <w:sz w:val="24"/>
          <w:szCs w:val="24"/>
        </w:rPr>
        <w:t>3</w:t>
      </w:r>
      <w:r w:rsidR="006455E2" w:rsidRPr="00BB6978">
        <w:rPr>
          <w:rFonts w:ascii="Times New Roman" w:eastAsia="Times New Roman" w:hAnsi="Times New Roman" w:cs="Times New Roman"/>
          <w:sz w:val="24"/>
          <w:szCs w:val="24"/>
        </w:rPr>
        <w:t xml:space="preserve">, the participants confidence level calculated that </w:t>
      </w:r>
      <w:r w:rsidRPr="00BB6978">
        <w:rPr>
          <w:rFonts w:ascii="Times New Roman" w:eastAsia="Times New Roman" w:hAnsi="Times New Roman" w:cs="Times New Roman"/>
          <w:sz w:val="24"/>
          <w:szCs w:val="24"/>
        </w:rPr>
        <w:t xml:space="preserve">384 respondents </w:t>
      </w:r>
      <w:r w:rsidR="00887AD3" w:rsidRPr="00BB6978">
        <w:rPr>
          <w:rFonts w:ascii="Times New Roman" w:eastAsia="Times New Roman" w:hAnsi="Times New Roman" w:cs="Times New Roman"/>
          <w:sz w:val="24"/>
          <w:szCs w:val="24"/>
        </w:rPr>
        <w:t>are</w:t>
      </w:r>
      <w:r w:rsidRPr="00BB6978">
        <w:rPr>
          <w:rFonts w:ascii="Times New Roman" w:eastAsia="Times New Roman" w:hAnsi="Times New Roman" w:cs="Times New Roman"/>
          <w:sz w:val="24"/>
          <w:szCs w:val="24"/>
        </w:rPr>
        <w:t xml:space="preserve"> the minimum number of participants required to have a 95% confidence level. Since the sample of this study is </w:t>
      </w:r>
      <w:r w:rsidRPr="00BB6978">
        <w:rPr>
          <w:rFonts w:ascii="Times New Roman" w:eastAsia="Times New Roman" w:hAnsi="Times New Roman" w:cs="Times New Roman"/>
          <w:i/>
          <w:iCs/>
          <w:sz w:val="24"/>
          <w:szCs w:val="24"/>
        </w:rPr>
        <w:t xml:space="preserve">N </w:t>
      </w:r>
      <w:r w:rsidRPr="00BB6978">
        <w:rPr>
          <w:rFonts w:ascii="Times New Roman" w:eastAsia="Times New Roman" w:hAnsi="Times New Roman" w:cs="Times New Roman"/>
          <w:sz w:val="24"/>
          <w:szCs w:val="24"/>
        </w:rPr>
        <w:t>= 400, it is a good representative of the population.</w:t>
      </w:r>
    </w:p>
    <w:p w14:paraId="166BE640" w14:textId="77777777" w:rsidR="00887AD3" w:rsidRPr="00BB6978" w:rsidRDefault="00887AD3" w:rsidP="00491730">
      <w:pPr>
        <w:autoSpaceDE w:val="0"/>
        <w:autoSpaceDN w:val="0"/>
        <w:adjustRightInd w:val="0"/>
        <w:spacing w:after="68" w:line="480" w:lineRule="auto"/>
        <w:ind w:firstLine="357"/>
        <w:jc w:val="both"/>
        <w:rPr>
          <w:rFonts w:ascii="Times New Roman" w:eastAsia="Times New Roman" w:hAnsi="Times New Roman" w:cs="Times New Roman"/>
          <w:sz w:val="24"/>
          <w:szCs w:val="24"/>
        </w:rPr>
      </w:pPr>
    </w:p>
    <w:p w14:paraId="0C30991E" w14:textId="77777777" w:rsidR="00161F8B" w:rsidRPr="00BB6978" w:rsidRDefault="00016620" w:rsidP="00016620">
      <w:pPr>
        <w:pStyle w:val="Caption"/>
        <w:rPr>
          <w:rFonts w:ascii="Times New Roman" w:eastAsia="Times New Roman" w:hAnsi="Times New Roman" w:cs="Times New Roman"/>
        </w:rPr>
      </w:pPr>
      <w:bookmarkStart w:id="108" w:name="_Toc134452510"/>
      <w:r w:rsidRPr="00BB6978">
        <w:t xml:space="preserve">Figure </w:t>
      </w:r>
      <w:r w:rsidRPr="00BB6978">
        <w:fldChar w:fldCharType="begin"/>
      </w:r>
      <w:r w:rsidRPr="00BB6978">
        <w:instrText xml:space="preserve"> SEQ Figure \* ARABIC </w:instrText>
      </w:r>
      <w:r w:rsidRPr="00BB6978">
        <w:fldChar w:fldCharType="separate"/>
      </w:r>
      <w:r w:rsidRPr="00BB6978">
        <w:rPr>
          <w:noProof/>
        </w:rPr>
        <w:t>3</w:t>
      </w:r>
      <w:r w:rsidRPr="00BB6978">
        <w:rPr>
          <w:noProof/>
        </w:rPr>
        <w:fldChar w:fldCharType="end"/>
      </w:r>
      <w:r w:rsidRPr="00BB6978">
        <w:t>:</w:t>
      </w:r>
      <w:r w:rsidR="00887AD3" w:rsidRPr="00BB6978">
        <w:rPr>
          <w:rFonts w:ascii="Times New Roman" w:eastAsia="Times New Roman" w:hAnsi="Times New Roman" w:cs="Times New Roman"/>
        </w:rPr>
        <w:t xml:space="preserve"> </w:t>
      </w:r>
      <w:r w:rsidR="00161F8B" w:rsidRPr="00BB6978">
        <w:rPr>
          <w:rFonts w:ascii="Times New Roman" w:eastAsia="Times New Roman" w:hAnsi="Times New Roman" w:cs="Times New Roman"/>
        </w:rPr>
        <w:t>Participants confidence level</w:t>
      </w:r>
      <w:bookmarkEnd w:id="108"/>
    </w:p>
    <w:p w14:paraId="3F6ED10A" w14:textId="77777777" w:rsidR="00161F8B" w:rsidRPr="00BB6978" w:rsidRDefault="00161F8B" w:rsidP="00161F8B">
      <w:pPr>
        <w:autoSpaceDE w:val="0"/>
        <w:autoSpaceDN w:val="0"/>
        <w:adjustRightInd w:val="0"/>
        <w:spacing w:after="68" w:line="480" w:lineRule="auto"/>
        <w:ind w:left="360" w:firstLine="360"/>
        <w:jc w:val="both"/>
        <w:rPr>
          <w:rFonts w:ascii="Times New Roman" w:eastAsia="Times New Roman" w:hAnsi="Times New Roman" w:cs="Times New Roman"/>
          <w:sz w:val="24"/>
          <w:szCs w:val="24"/>
        </w:rPr>
      </w:pPr>
      <w:r w:rsidRPr="00BB6978">
        <w:rPr>
          <w:rFonts w:ascii="Times New Roman" w:eastAsia="Times New Roman" w:hAnsi="Times New Roman" w:cs="Times New Roman"/>
          <w:noProof/>
          <w:sz w:val="24"/>
          <w:szCs w:val="24"/>
          <w:lang w:val="en-US"/>
        </w:rPr>
        <w:drawing>
          <wp:inline distT="0" distB="0" distL="0" distR="0" wp14:anchorId="30DE809E" wp14:editId="62F8F241">
            <wp:extent cx="2794000" cy="1349749"/>
            <wp:effectExtent l="19050" t="19050" r="25400" b="222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813232" cy="1359040"/>
                    </a:xfrm>
                    <a:prstGeom prst="rect">
                      <a:avLst/>
                    </a:prstGeom>
                    <a:noFill/>
                    <a:ln>
                      <a:solidFill>
                        <a:schemeClr val="tx1"/>
                      </a:solidFill>
                    </a:ln>
                  </pic:spPr>
                </pic:pic>
              </a:graphicData>
            </a:graphic>
          </wp:inline>
        </w:drawing>
      </w:r>
    </w:p>
    <w:p w14:paraId="19564EDE" w14:textId="77777777" w:rsidR="00785762" w:rsidRPr="00BB6978" w:rsidRDefault="00785762" w:rsidP="006E3964">
      <w:pPr>
        <w:autoSpaceDE w:val="0"/>
        <w:autoSpaceDN w:val="0"/>
        <w:adjustRightInd w:val="0"/>
        <w:spacing w:after="68" w:line="480" w:lineRule="auto"/>
        <w:ind w:firstLine="357"/>
        <w:jc w:val="both"/>
        <w:rPr>
          <w:rFonts w:ascii="Times New Roman" w:eastAsia="Times New Roman" w:hAnsi="Times New Roman" w:cs="Times New Roman"/>
          <w:sz w:val="24"/>
          <w:szCs w:val="24"/>
          <w:lang w:val="en-US"/>
        </w:rPr>
      </w:pPr>
      <w:r w:rsidRPr="00BB6978">
        <w:rPr>
          <w:rFonts w:ascii="Times New Roman" w:eastAsia="Times New Roman" w:hAnsi="Times New Roman" w:cs="Times New Roman"/>
          <w:sz w:val="24"/>
          <w:szCs w:val="24"/>
          <w:lang w:val="en-US"/>
        </w:rPr>
        <w:t>It is worth noting that parents play a critical role as the primary customers for private schools. As such, they are in the best position to evaluate and provide feedback on the quality of education and services provided by the schools. In fact, Bowen et al. (2012) emphasize that parents' perception is an essential measure of school quality as much as proficiency tests. Therefore, this study specifically targeted randomly selected parents from private schools in Abu Dhabi to obtain their perceptions and feedback on school costs and their impact on student achievement. While other stakeholders, such as teachers, policy makers, school quality inspectors, or even students themselves, could have contributed to this study, their perspectives may have been limited or biased in comparison to those of parents. Thus, focusing on parents in this study provided a more direct and objective view on the issue at hand.</w:t>
      </w:r>
      <w:r w:rsidR="00561619" w:rsidRPr="00BB6978">
        <w:rPr>
          <w:rFonts w:ascii="Times New Roman" w:eastAsia="Times New Roman" w:hAnsi="Times New Roman" w:cs="Times New Roman"/>
          <w:sz w:val="24"/>
          <w:szCs w:val="24"/>
          <w:lang w:val="en-US"/>
        </w:rPr>
        <w:t xml:space="preserve"> </w:t>
      </w:r>
      <w:r w:rsidR="00561619" w:rsidRPr="00BB6978">
        <w:rPr>
          <w:rFonts w:asciiTheme="majorBidi" w:hAnsiTheme="majorBidi" w:cstheme="majorBidi"/>
          <w:sz w:val="24"/>
          <w:szCs w:val="24"/>
        </w:rPr>
        <w:t xml:space="preserve">According to Gay et al. (2011) simple random sampling is a selection method that offers an equal chance for every single eligible individual in the population to participate in a study. </w:t>
      </w:r>
    </w:p>
    <w:p w14:paraId="1F1C5326" w14:textId="77777777" w:rsidR="00646868" w:rsidRPr="00BB6978" w:rsidRDefault="00793367" w:rsidP="00701002">
      <w:pPr>
        <w:autoSpaceDE w:val="0"/>
        <w:autoSpaceDN w:val="0"/>
        <w:adjustRightInd w:val="0"/>
        <w:spacing w:after="68" w:line="480" w:lineRule="auto"/>
        <w:ind w:firstLine="357"/>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A total of 712 surveys were distributed to randomly selected parents from Abu Dhabi private schools. Of these, 68% of parents received and completed the survey, resulting in 486 completed surveys.</w:t>
      </w:r>
      <w:r w:rsidR="00BD4B16" w:rsidRPr="00BB6978">
        <w:rPr>
          <w:rFonts w:eastAsiaTheme="minorEastAsia"/>
          <w:kern w:val="24"/>
          <w:sz w:val="56"/>
          <w:szCs w:val="56"/>
        </w:rPr>
        <w:t xml:space="preserve"> </w:t>
      </w:r>
      <w:r w:rsidR="00BD4B16" w:rsidRPr="00BB6978">
        <w:rPr>
          <w:rFonts w:ascii="Times New Roman" w:eastAsia="Times New Roman" w:hAnsi="Times New Roman" w:cs="Times New Roman"/>
          <w:sz w:val="24"/>
          <w:szCs w:val="24"/>
        </w:rPr>
        <w:t xml:space="preserve">Some researchers suggest that a response rate of at least 50% is generally acceptable for surveys (Dillman, Smyth, &amp; Christian, 2014). </w:t>
      </w:r>
      <w:r w:rsidRPr="00BB6978">
        <w:rPr>
          <w:rFonts w:ascii="Times New Roman" w:eastAsia="Times New Roman" w:hAnsi="Times New Roman" w:cs="Times New Roman"/>
          <w:sz w:val="24"/>
          <w:szCs w:val="24"/>
        </w:rPr>
        <w:t xml:space="preserve"> After reviewing the responses, 86 surveys were excluded due to incomplete survey answers or missing data, leaving 400 usable responses. The study achieved an 82% accurate response rate, which was above the minimum sample size and therefore considered acceptable for the study.</w:t>
      </w:r>
    </w:p>
    <w:p w14:paraId="1CAE8AA2" w14:textId="77777777" w:rsidR="00E10634" w:rsidRPr="00BB6978" w:rsidRDefault="00E10634" w:rsidP="00E10634">
      <w:pPr>
        <w:autoSpaceDE w:val="0"/>
        <w:autoSpaceDN w:val="0"/>
        <w:adjustRightInd w:val="0"/>
        <w:spacing w:after="68" w:line="480" w:lineRule="auto"/>
        <w:ind w:firstLine="357"/>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As shown in Table 3, the majority of respondents filled the survey are mother accounting for 81%. In terms of education, the majority of parents (41%) hold a bachelor's degree, followed by 29% with graduate studies and only 17% hold a high school diploma or less. In terms of parents’ income, the majority (34.5%) have an average income exceeding AED 60,000 and the least amount of the parents’ income is up to AED 20,000.</w:t>
      </w:r>
    </w:p>
    <w:p w14:paraId="6F093AAC" w14:textId="77777777" w:rsidR="00161F8B" w:rsidRPr="00BB6978" w:rsidRDefault="00CC0AFE" w:rsidP="007F58DC">
      <w:pPr>
        <w:pStyle w:val="Caption"/>
      </w:pPr>
      <w:bookmarkStart w:id="109" w:name="_Toc134452487"/>
      <w:r w:rsidRPr="00BB6978">
        <w:t xml:space="preserve">Table </w:t>
      </w:r>
      <w:r w:rsidRPr="00BB6978">
        <w:fldChar w:fldCharType="begin"/>
      </w:r>
      <w:r w:rsidRPr="00BB6978">
        <w:instrText xml:space="preserve"> SEQ Table \* ARABIC </w:instrText>
      </w:r>
      <w:r w:rsidRPr="00BB6978">
        <w:fldChar w:fldCharType="separate"/>
      </w:r>
      <w:r w:rsidR="00131282" w:rsidRPr="00BB6978">
        <w:rPr>
          <w:noProof/>
        </w:rPr>
        <w:t>3</w:t>
      </w:r>
      <w:r w:rsidRPr="00BB6978">
        <w:rPr>
          <w:noProof/>
        </w:rPr>
        <w:fldChar w:fldCharType="end"/>
      </w:r>
      <w:r w:rsidR="00161F8B" w:rsidRPr="00BB6978">
        <w:t>: the respondents’ demographic information</w:t>
      </w:r>
      <w:bookmarkEnd w:id="109"/>
    </w:p>
    <w:tbl>
      <w:tblPr>
        <w:tblpPr w:leftFromText="180" w:rightFromText="180" w:vertAnchor="text" w:tblpXSpec="center" w:tblpY="1"/>
        <w:tblOverlap w:val="never"/>
        <w:tblW w:w="4759"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3245"/>
        <w:gridCol w:w="2114"/>
        <w:gridCol w:w="1861"/>
      </w:tblGrid>
      <w:tr w:rsidR="00073A16" w:rsidRPr="00BB6978" w14:paraId="70655DC2" w14:textId="77777777" w:rsidTr="00722A67">
        <w:trPr>
          <w:cantSplit/>
          <w:trHeight w:val="272"/>
        </w:trPr>
        <w:tc>
          <w:tcPr>
            <w:tcW w:w="2247" w:type="pct"/>
            <w:tcBorders>
              <w:top w:val="single" w:sz="4" w:space="0" w:color="auto"/>
              <w:bottom w:val="single" w:sz="4" w:space="0" w:color="auto"/>
            </w:tcBorders>
            <w:shd w:val="clear" w:color="auto" w:fill="ACB9CA" w:themeFill="text2" w:themeFillTint="66"/>
          </w:tcPr>
          <w:p w14:paraId="501CBFCF"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p>
        </w:tc>
        <w:tc>
          <w:tcPr>
            <w:tcW w:w="1464" w:type="pct"/>
            <w:tcBorders>
              <w:top w:val="single" w:sz="4" w:space="0" w:color="auto"/>
              <w:bottom w:val="single" w:sz="4" w:space="0" w:color="auto"/>
            </w:tcBorders>
            <w:shd w:val="clear" w:color="auto" w:fill="ACB9CA" w:themeFill="text2" w:themeFillTint="66"/>
          </w:tcPr>
          <w:p w14:paraId="79F7549E"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
                <w:bCs/>
                <w:sz w:val="20"/>
                <w:szCs w:val="20"/>
                <w:lang w:bidi="en-US"/>
              </w:rPr>
            </w:pPr>
            <w:r w:rsidRPr="00BB6978">
              <w:rPr>
                <w:rFonts w:asciiTheme="majorBidi" w:eastAsia="Times New Roman" w:hAnsiTheme="majorBidi" w:cstheme="majorBidi"/>
                <w:b/>
                <w:bCs/>
                <w:sz w:val="20"/>
                <w:szCs w:val="20"/>
                <w:lang w:bidi="en-US"/>
              </w:rPr>
              <w:t>Frequency</w:t>
            </w:r>
          </w:p>
        </w:tc>
        <w:tc>
          <w:tcPr>
            <w:tcW w:w="1289" w:type="pct"/>
            <w:tcBorders>
              <w:top w:val="single" w:sz="4" w:space="0" w:color="auto"/>
              <w:bottom w:val="single" w:sz="4" w:space="0" w:color="auto"/>
            </w:tcBorders>
            <w:shd w:val="clear" w:color="auto" w:fill="ACB9CA" w:themeFill="text2" w:themeFillTint="66"/>
          </w:tcPr>
          <w:p w14:paraId="20762B3C"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
                <w:bCs/>
                <w:sz w:val="20"/>
                <w:szCs w:val="20"/>
                <w:lang w:bidi="en-US"/>
              </w:rPr>
            </w:pPr>
            <w:r w:rsidRPr="00BB6978">
              <w:rPr>
                <w:rFonts w:asciiTheme="majorBidi" w:eastAsia="Times New Roman" w:hAnsiTheme="majorBidi" w:cstheme="majorBidi"/>
                <w:b/>
                <w:bCs/>
                <w:sz w:val="20"/>
                <w:szCs w:val="20"/>
                <w:lang w:bidi="en-US"/>
              </w:rPr>
              <w:t>Percent</w:t>
            </w:r>
          </w:p>
        </w:tc>
      </w:tr>
      <w:tr w:rsidR="00073A16" w:rsidRPr="00BB6978" w14:paraId="67BE23EA" w14:textId="77777777" w:rsidTr="00722A67">
        <w:trPr>
          <w:cantSplit/>
          <w:trHeight w:val="272"/>
        </w:trPr>
        <w:tc>
          <w:tcPr>
            <w:tcW w:w="2247" w:type="pct"/>
            <w:tcBorders>
              <w:top w:val="single" w:sz="4" w:space="0" w:color="auto"/>
            </w:tcBorders>
            <w:shd w:val="clear" w:color="auto" w:fill="D0CECE" w:themeFill="background2" w:themeFillShade="E6"/>
          </w:tcPr>
          <w:p w14:paraId="7BCAC7D2"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
                <w:sz w:val="20"/>
                <w:szCs w:val="20"/>
                <w:lang w:bidi="en-US"/>
              </w:rPr>
              <w:t>Person filling the survey</w:t>
            </w:r>
          </w:p>
        </w:tc>
        <w:tc>
          <w:tcPr>
            <w:tcW w:w="1464" w:type="pct"/>
            <w:tcBorders>
              <w:top w:val="single" w:sz="4" w:space="0" w:color="auto"/>
            </w:tcBorders>
            <w:shd w:val="clear" w:color="auto" w:fill="D0CECE" w:themeFill="background2" w:themeFillShade="E6"/>
          </w:tcPr>
          <w:p w14:paraId="2D60B64E"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
                <w:bCs/>
                <w:sz w:val="20"/>
                <w:szCs w:val="20"/>
                <w:lang w:bidi="en-US"/>
              </w:rPr>
            </w:pPr>
          </w:p>
        </w:tc>
        <w:tc>
          <w:tcPr>
            <w:tcW w:w="1289" w:type="pct"/>
            <w:tcBorders>
              <w:top w:val="single" w:sz="4" w:space="0" w:color="auto"/>
            </w:tcBorders>
            <w:shd w:val="clear" w:color="auto" w:fill="D0CECE" w:themeFill="background2" w:themeFillShade="E6"/>
          </w:tcPr>
          <w:p w14:paraId="723EA147"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
                <w:bCs/>
                <w:sz w:val="20"/>
                <w:szCs w:val="20"/>
                <w:lang w:bidi="en-US"/>
              </w:rPr>
            </w:pPr>
          </w:p>
        </w:tc>
      </w:tr>
      <w:tr w:rsidR="00073A16" w:rsidRPr="00BB6978" w14:paraId="624D47AD" w14:textId="77777777" w:rsidTr="00722A67">
        <w:trPr>
          <w:cantSplit/>
          <w:trHeight w:val="272"/>
        </w:trPr>
        <w:tc>
          <w:tcPr>
            <w:tcW w:w="2247" w:type="pct"/>
            <w:shd w:val="clear" w:color="auto" w:fill="D0CECE" w:themeFill="background2" w:themeFillShade="E6"/>
            <w:vAlign w:val="center"/>
          </w:tcPr>
          <w:p w14:paraId="0474C36B"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 xml:space="preserve">   Father</w:t>
            </w:r>
          </w:p>
        </w:tc>
        <w:tc>
          <w:tcPr>
            <w:tcW w:w="1464" w:type="pct"/>
            <w:shd w:val="clear" w:color="auto" w:fill="D0CECE" w:themeFill="background2" w:themeFillShade="E6"/>
            <w:vAlign w:val="center"/>
          </w:tcPr>
          <w:p w14:paraId="0E799992"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66</w:t>
            </w:r>
          </w:p>
        </w:tc>
        <w:tc>
          <w:tcPr>
            <w:tcW w:w="1289" w:type="pct"/>
            <w:shd w:val="clear" w:color="auto" w:fill="D0CECE" w:themeFill="background2" w:themeFillShade="E6"/>
            <w:vAlign w:val="center"/>
          </w:tcPr>
          <w:p w14:paraId="6A052445"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17.0</w:t>
            </w:r>
          </w:p>
        </w:tc>
      </w:tr>
      <w:tr w:rsidR="00073A16" w:rsidRPr="00BB6978" w14:paraId="3E6208D5" w14:textId="77777777" w:rsidTr="00722A67">
        <w:trPr>
          <w:cantSplit/>
          <w:trHeight w:val="298"/>
        </w:trPr>
        <w:tc>
          <w:tcPr>
            <w:tcW w:w="2247" w:type="pct"/>
            <w:shd w:val="clear" w:color="auto" w:fill="D0CECE" w:themeFill="background2" w:themeFillShade="E6"/>
            <w:vAlign w:val="center"/>
          </w:tcPr>
          <w:p w14:paraId="49C3A52B"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 xml:space="preserve">   Female </w:t>
            </w:r>
            <w:r w:rsidR="004F6902" w:rsidRPr="00BB6978">
              <w:rPr>
                <w:rFonts w:asciiTheme="majorBidi" w:eastAsia="Times New Roman" w:hAnsiTheme="majorBidi" w:cstheme="majorBidi"/>
                <w:bCs/>
                <w:sz w:val="20"/>
                <w:szCs w:val="20"/>
                <w:lang w:bidi="en-US"/>
              </w:rPr>
              <w:t>parent</w:t>
            </w:r>
          </w:p>
        </w:tc>
        <w:tc>
          <w:tcPr>
            <w:tcW w:w="1464" w:type="pct"/>
            <w:shd w:val="clear" w:color="auto" w:fill="D0CECE" w:themeFill="background2" w:themeFillShade="E6"/>
            <w:vAlign w:val="center"/>
          </w:tcPr>
          <w:p w14:paraId="71A43CFB"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9</w:t>
            </w:r>
          </w:p>
        </w:tc>
        <w:tc>
          <w:tcPr>
            <w:tcW w:w="1289" w:type="pct"/>
            <w:shd w:val="clear" w:color="auto" w:fill="D0CECE" w:themeFill="background2" w:themeFillShade="E6"/>
            <w:vAlign w:val="center"/>
          </w:tcPr>
          <w:p w14:paraId="44C46BA2"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2.0</w:t>
            </w:r>
          </w:p>
        </w:tc>
      </w:tr>
      <w:tr w:rsidR="00073A16" w:rsidRPr="00BB6978" w14:paraId="0B7CE85F" w14:textId="77777777" w:rsidTr="00722A67">
        <w:trPr>
          <w:cantSplit/>
          <w:trHeight w:val="298"/>
        </w:trPr>
        <w:tc>
          <w:tcPr>
            <w:tcW w:w="2247" w:type="pct"/>
            <w:tcBorders>
              <w:bottom w:val="nil"/>
            </w:tcBorders>
            <w:shd w:val="clear" w:color="auto" w:fill="D0CECE" w:themeFill="background2" w:themeFillShade="E6"/>
            <w:vAlign w:val="center"/>
          </w:tcPr>
          <w:p w14:paraId="51F9AB32"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 xml:space="preserve">   Male </w:t>
            </w:r>
            <w:r w:rsidR="004F6902" w:rsidRPr="00BB6978">
              <w:rPr>
                <w:rFonts w:asciiTheme="majorBidi" w:eastAsia="Times New Roman" w:hAnsiTheme="majorBidi" w:cstheme="majorBidi"/>
                <w:bCs/>
                <w:sz w:val="20"/>
                <w:szCs w:val="20"/>
                <w:lang w:bidi="en-US"/>
              </w:rPr>
              <w:t>parent</w:t>
            </w:r>
          </w:p>
        </w:tc>
        <w:tc>
          <w:tcPr>
            <w:tcW w:w="1464" w:type="pct"/>
            <w:tcBorders>
              <w:bottom w:val="nil"/>
            </w:tcBorders>
            <w:shd w:val="clear" w:color="auto" w:fill="D0CECE" w:themeFill="background2" w:themeFillShade="E6"/>
            <w:vAlign w:val="center"/>
          </w:tcPr>
          <w:p w14:paraId="72297281"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2</w:t>
            </w:r>
          </w:p>
        </w:tc>
        <w:tc>
          <w:tcPr>
            <w:tcW w:w="1289" w:type="pct"/>
            <w:tcBorders>
              <w:bottom w:val="nil"/>
            </w:tcBorders>
            <w:shd w:val="clear" w:color="auto" w:fill="D0CECE" w:themeFill="background2" w:themeFillShade="E6"/>
            <w:vAlign w:val="center"/>
          </w:tcPr>
          <w:p w14:paraId="3B1ABACC"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1.0</w:t>
            </w:r>
          </w:p>
        </w:tc>
      </w:tr>
      <w:tr w:rsidR="00073A16" w:rsidRPr="00BB6978" w14:paraId="567A1CD0" w14:textId="77777777" w:rsidTr="00722A67">
        <w:trPr>
          <w:cantSplit/>
          <w:trHeight w:val="298"/>
        </w:trPr>
        <w:tc>
          <w:tcPr>
            <w:tcW w:w="2247" w:type="pct"/>
            <w:tcBorders>
              <w:top w:val="nil"/>
              <w:bottom w:val="single" w:sz="4" w:space="0" w:color="auto"/>
            </w:tcBorders>
            <w:shd w:val="clear" w:color="auto" w:fill="D0CECE" w:themeFill="background2" w:themeFillShade="E6"/>
            <w:vAlign w:val="center"/>
          </w:tcPr>
          <w:p w14:paraId="51EB4A32"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 xml:space="preserve">   Mother</w:t>
            </w:r>
          </w:p>
        </w:tc>
        <w:tc>
          <w:tcPr>
            <w:tcW w:w="1464" w:type="pct"/>
            <w:tcBorders>
              <w:top w:val="nil"/>
              <w:bottom w:val="single" w:sz="4" w:space="0" w:color="auto"/>
            </w:tcBorders>
            <w:shd w:val="clear" w:color="auto" w:fill="D0CECE" w:themeFill="background2" w:themeFillShade="E6"/>
            <w:vAlign w:val="center"/>
          </w:tcPr>
          <w:p w14:paraId="4A8A3728"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323</w:t>
            </w:r>
          </w:p>
        </w:tc>
        <w:tc>
          <w:tcPr>
            <w:tcW w:w="1289" w:type="pct"/>
            <w:tcBorders>
              <w:top w:val="nil"/>
              <w:bottom w:val="single" w:sz="4" w:space="0" w:color="auto"/>
            </w:tcBorders>
            <w:shd w:val="clear" w:color="auto" w:fill="D0CECE" w:themeFill="background2" w:themeFillShade="E6"/>
            <w:vAlign w:val="center"/>
          </w:tcPr>
          <w:p w14:paraId="3372CEF3"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81.0</w:t>
            </w:r>
          </w:p>
        </w:tc>
      </w:tr>
      <w:tr w:rsidR="00073A16" w:rsidRPr="00BB6978" w14:paraId="6BE3FC79" w14:textId="77777777" w:rsidTr="00722A67">
        <w:trPr>
          <w:cantSplit/>
          <w:trHeight w:val="298"/>
        </w:trPr>
        <w:tc>
          <w:tcPr>
            <w:tcW w:w="2247" w:type="pct"/>
            <w:tcBorders>
              <w:top w:val="single" w:sz="4" w:space="0" w:color="auto"/>
            </w:tcBorders>
            <w:shd w:val="clear" w:color="auto" w:fill="DBDBDB" w:themeFill="accent3" w:themeFillTint="66"/>
            <w:vAlign w:val="center"/>
          </w:tcPr>
          <w:p w14:paraId="25B03DEB"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
                <w:bCs/>
                <w:sz w:val="20"/>
                <w:szCs w:val="20"/>
                <w:lang w:bidi="en-US"/>
              </w:rPr>
              <w:t xml:space="preserve">Highest education of </w:t>
            </w:r>
            <w:r w:rsidR="00561619" w:rsidRPr="00BB6978">
              <w:rPr>
                <w:rFonts w:asciiTheme="majorBidi" w:eastAsia="Times New Roman" w:hAnsiTheme="majorBidi" w:cstheme="majorBidi"/>
                <w:b/>
                <w:bCs/>
                <w:sz w:val="20"/>
                <w:szCs w:val="20"/>
                <w:lang w:bidi="en-US"/>
              </w:rPr>
              <w:t>parents</w:t>
            </w:r>
          </w:p>
        </w:tc>
        <w:tc>
          <w:tcPr>
            <w:tcW w:w="1464" w:type="pct"/>
            <w:tcBorders>
              <w:top w:val="single" w:sz="4" w:space="0" w:color="auto"/>
            </w:tcBorders>
            <w:shd w:val="clear" w:color="auto" w:fill="DBDBDB" w:themeFill="accent3" w:themeFillTint="66"/>
            <w:vAlign w:val="center"/>
          </w:tcPr>
          <w:p w14:paraId="7544187D"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p>
        </w:tc>
        <w:tc>
          <w:tcPr>
            <w:tcW w:w="1289" w:type="pct"/>
            <w:tcBorders>
              <w:top w:val="single" w:sz="4" w:space="0" w:color="auto"/>
            </w:tcBorders>
            <w:shd w:val="clear" w:color="auto" w:fill="DBDBDB" w:themeFill="accent3" w:themeFillTint="66"/>
            <w:vAlign w:val="center"/>
          </w:tcPr>
          <w:p w14:paraId="506C757C"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p>
        </w:tc>
      </w:tr>
      <w:tr w:rsidR="00073A16" w:rsidRPr="00BB6978" w14:paraId="56E9A5CB" w14:textId="77777777" w:rsidTr="00722A67">
        <w:trPr>
          <w:cantSplit/>
          <w:trHeight w:val="298"/>
        </w:trPr>
        <w:tc>
          <w:tcPr>
            <w:tcW w:w="2247" w:type="pct"/>
            <w:shd w:val="clear" w:color="auto" w:fill="DBDBDB" w:themeFill="accent3" w:themeFillTint="66"/>
            <w:vAlign w:val="center"/>
          </w:tcPr>
          <w:p w14:paraId="24599369"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 xml:space="preserve">   Bachelor</w:t>
            </w:r>
          </w:p>
        </w:tc>
        <w:tc>
          <w:tcPr>
            <w:tcW w:w="1464" w:type="pct"/>
            <w:shd w:val="clear" w:color="auto" w:fill="DBDBDB" w:themeFill="accent3" w:themeFillTint="66"/>
            <w:vAlign w:val="center"/>
          </w:tcPr>
          <w:p w14:paraId="1B78FAE3"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165</w:t>
            </w:r>
          </w:p>
        </w:tc>
        <w:tc>
          <w:tcPr>
            <w:tcW w:w="1289" w:type="pct"/>
            <w:shd w:val="clear" w:color="auto" w:fill="DBDBDB" w:themeFill="accent3" w:themeFillTint="66"/>
            <w:vAlign w:val="center"/>
          </w:tcPr>
          <w:p w14:paraId="0B3DA4D8"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41.0</w:t>
            </w:r>
          </w:p>
        </w:tc>
      </w:tr>
      <w:tr w:rsidR="00073A16" w:rsidRPr="00BB6978" w14:paraId="70D77887" w14:textId="77777777" w:rsidTr="00722A67">
        <w:trPr>
          <w:cantSplit/>
          <w:trHeight w:val="298"/>
        </w:trPr>
        <w:tc>
          <w:tcPr>
            <w:tcW w:w="2247" w:type="pct"/>
            <w:shd w:val="clear" w:color="auto" w:fill="DBDBDB" w:themeFill="accent3" w:themeFillTint="66"/>
            <w:vAlign w:val="center"/>
          </w:tcPr>
          <w:p w14:paraId="5C8A46D8"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 xml:space="preserve">   Diploma</w:t>
            </w:r>
          </w:p>
        </w:tc>
        <w:tc>
          <w:tcPr>
            <w:tcW w:w="1464" w:type="pct"/>
            <w:shd w:val="clear" w:color="auto" w:fill="DBDBDB" w:themeFill="accent3" w:themeFillTint="66"/>
            <w:vAlign w:val="center"/>
          </w:tcPr>
          <w:p w14:paraId="3FCCAE1A"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49</w:t>
            </w:r>
          </w:p>
        </w:tc>
        <w:tc>
          <w:tcPr>
            <w:tcW w:w="1289" w:type="pct"/>
            <w:shd w:val="clear" w:color="auto" w:fill="DBDBDB" w:themeFill="accent3" w:themeFillTint="66"/>
            <w:vAlign w:val="center"/>
          </w:tcPr>
          <w:p w14:paraId="2A3FE8EC"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12.0</w:t>
            </w:r>
          </w:p>
        </w:tc>
      </w:tr>
      <w:tr w:rsidR="00073A16" w:rsidRPr="00BB6978" w14:paraId="09688607" w14:textId="77777777" w:rsidTr="00722A67">
        <w:trPr>
          <w:cantSplit/>
          <w:trHeight w:val="298"/>
        </w:trPr>
        <w:tc>
          <w:tcPr>
            <w:tcW w:w="2247" w:type="pct"/>
            <w:tcBorders>
              <w:bottom w:val="nil"/>
            </w:tcBorders>
            <w:shd w:val="clear" w:color="auto" w:fill="DBDBDB" w:themeFill="accent3" w:themeFillTint="66"/>
            <w:vAlign w:val="center"/>
          </w:tcPr>
          <w:p w14:paraId="1537C83C"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 xml:space="preserve">   Graduate studies (Masters / Ph.D. / etc.)</w:t>
            </w:r>
          </w:p>
        </w:tc>
        <w:tc>
          <w:tcPr>
            <w:tcW w:w="1464" w:type="pct"/>
            <w:tcBorders>
              <w:bottom w:val="nil"/>
            </w:tcBorders>
            <w:shd w:val="clear" w:color="auto" w:fill="DBDBDB" w:themeFill="accent3" w:themeFillTint="66"/>
            <w:vAlign w:val="center"/>
          </w:tcPr>
          <w:p w14:paraId="18095C92"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117</w:t>
            </w:r>
          </w:p>
        </w:tc>
        <w:tc>
          <w:tcPr>
            <w:tcW w:w="1289" w:type="pct"/>
            <w:tcBorders>
              <w:bottom w:val="nil"/>
            </w:tcBorders>
            <w:shd w:val="clear" w:color="auto" w:fill="DBDBDB" w:themeFill="accent3" w:themeFillTint="66"/>
            <w:vAlign w:val="center"/>
          </w:tcPr>
          <w:p w14:paraId="3A311E69"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29.0</w:t>
            </w:r>
          </w:p>
        </w:tc>
      </w:tr>
      <w:tr w:rsidR="00073A16" w:rsidRPr="00BB6978" w14:paraId="6E34A6E1" w14:textId="77777777" w:rsidTr="00722A67">
        <w:trPr>
          <w:cantSplit/>
          <w:trHeight w:val="298"/>
        </w:trPr>
        <w:tc>
          <w:tcPr>
            <w:tcW w:w="2247" w:type="pct"/>
            <w:tcBorders>
              <w:top w:val="nil"/>
              <w:bottom w:val="single" w:sz="4" w:space="0" w:color="auto"/>
            </w:tcBorders>
            <w:shd w:val="clear" w:color="auto" w:fill="DBDBDB" w:themeFill="accent3" w:themeFillTint="66"/>
            <w:vAlign w:val="center"/>
          </w:tcPr>
          <w:p w14:paraId="09EA72E5"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 xml:space="preserve">   High school or less</w:t>
            </w:r>
          </w:p>
        </w:tc>
        <w:tc>
          <w:tcPr>
            <w:tcW w:w="1464" w:type="pct"/>
            <w:tcBorders>
              <w:top w:val="nil"/>
              <w:bottom w:val="single" w:sz="4" w:space="0" w:color="auto"/>
            </w:tcBorders>
            <w:shd w:val="clear" w:color="auto" w:fill="DBDBDB" w:themeFill="accent3" w:themeFillTint="66"/>
            <w:vAlign w:val="center"/>
          </w:tcPr>
          <w:p w14:paraId="02465F16"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69</w:t>
            </w:r>
          </w:p>
        </w:tc>
        <w:tc>
          <w:tcPr>
            <w:tcW w:w="1289" w:type="pct"/>
            <w:tcBorders>
              <w:top w:val="nil"/>
              <w:bottom w:val="single" w:sz="4" w:space="0" w:color="auto"/>
            </w:tcBorders>
            <w:shd w:val="clear" w:color="auto" w:fill="DBDBDB" w:themeFill="accent3" w:themeFillTint="66"/>
            <w:vAlign w:val="center"/>
          </w:tcPr>
          <w:p w14:paraId="60BA82B1"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17.0</w:t>
            </w:r>
          </w:p>
        </w:tc>
      </w:tr>
      <w:tr w:rsidR="00073A16" w:rsidRPr="00BB6978" w14:paraId="43671ED4" w14:textId="77777777" w:rsidTr="00722A67">
        <w:trPr>
          <w:cantSplit/>
          <w:trHeight w:val="298"/>
        </w:trPr>
        <w:tc>
          <w:tcPr>
            <w:tcW w:w="2247" w:type="pct"/>
            <w:tcBorders>
              <w:top w:val="single" w:sz="4" w:space="0" w:color="auto"/>
            </w:tcBorders>
            <w:shd w:val="clear" w:color="auto" w:fill="FFE599" w:themeFill="accent4" w:themeFillTint="66"/>
            <w:vAlign w:val="center"/>
          </w:tcPr>
          <w:p w14:paraId="74F2E9C4"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
                <w:bCs/>
                <w:sz w:val="20"/>
                <w:szCs w:val="20"/>
                <w:lang w:bidi="en-US"/>
              </w:rPr>
              <w:t>Average monthly income of (In AED)</w:t>
            </w:r>
          </w:p>
        </w:tc>
        <w:tc>
          <w:tcPr>
            <w:tcW w:w="1464" w:type="pct"/>
            <w:tcBorders>
              <w:top w:val="single" w:sz="4" w:space="0" w:color="auto"/>
            </w:tcBorders>
            <w:shd w:val="clear" w:color="auto" w:fill="FFE599" w:themeFill="accent4" w:themeFillTint="66"/>
            <w:vAlign w:val="center"/>
          </w:tcPr>
          <w:p w14:paraId="25FEF0ED"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p>
        </w:tc>
        <w:tc>
          <w:tcPr>
            <w:tcW w:w="1289" w:type="pct"/>
            <w:tcBorders>
              <w:top w:val="single" w:sz="4" w:space="0" w:color="auto"/>
            </w:tcBorders>
            <w:shd w:val="clear" w:color="auto" w:fill="FFE599" w:themeFill="accent4" w:themeFillTint="66"/>
            <w:vAlign w:val="center"/>
          </w:tcPr>
          <w:p w14:paraId="406D7D27"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p>
        </w:tc>
      </w:tr>
      <w:tr w:rsidR="00073A16" w:rsidRPr="00BB6978" w14:paraId="06AA1127" w14:textId="77777777" w:rsidTr="00722A67">
        <w:trPr>
          <w:cantSplit/>
          <w:trHeight w:val="298"/>
        </w:trPr>
        <w:tc>
          <w:tcPr>
            <w:tcW w:w="2247" w:type="pct"/>
            <w:shd w:val="clear" w:color="auto" w:fill="FFE599" w:themeFill="accent4" w:themeFillTint="66"/>
          </w:tcPr>
          <w:p w14:paraId="661686CD"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 xml:space="preserve">   Up to 20,000 AED</w:t>
            </w:r>
          </w:p>
        </w:tc>
        <w:tc>
          <w:tcPr>
            <w:tcW w:w="1464" w:type="pct"/>
            <w:shd w:val="clear" w:color="auto" w:fill="FFE599" w:themeFill="accent4" w:themeFillTint="66"/>
          </w:tcPr>
          <w:p w14:paraId="093E53DF"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64</w:t>
            </w:r>
          </w:p>
        </w:tc>
        <w:tc>
          <w:tcPr>
            <w:tcW w:w="1289" w:type="pct"/>
            <w:shd w:val="clear" w:color="auto" w:fill="FFE599" w:themeFill="accent4" w:themeFillTint="66"/>
          </w:tcPr>
          <w:p w14:paraId="37244CFB"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16.0</w:t>
            </w:r>
          </w:p>
        </w:tc>
      </w:tr>
      <w:tr w:rsidR="00073A16" w:rsidRPr="00BB6978" w14:paraId="4CE0385F" w14:textId="77777777" w:rsidTr="00722A67">
        <w:trPr>
          <w:cantSplit/>
          <w:trHeight w:val="298"/>
        </w:trPr>
        <w:tc>
          <w:tcPr>
            <w:tcW w:w="2247" w:type="pct"/>
            <w:shd w:val="clear" w:color="auto" w:fill="FFE599" w:themeFill="accent4" w:themeFillTint="66"/>
          </w:tcPr>
          <w:p w14:paraId="4560C216"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 xml:space="preserve">   Between 21,000 and 40,000 AED</w:t>
            </w:r>
          </w:p>
        </w:tc>
        <w:tc>
          <w:tcPr>
            <w:tcW w:w="1464" w:type="pct"/>
            <w:shd w:val="clear" w:color="auto" w:fill="FFE599" w:themeFill="accent4" w:themeFillTint="66"/>
          </w:tcPr>
          <w:p w14:paraId="2C029352"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80</w:t>
            </w:r>
          </w:p>
        </w:tc>
        <w:tc>
          <w:tcPr>
            <w:tcW w:w="1289" w:type="pct"/>
            <w:shd w:val="clear" w:color="auto" w:fill="FFE599" w:themeFill="accent4" w:themeFillTint="66"/>
          </w:tcPr>
          <w:p w14:paraId="79DA75A5"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20.0</w:t>
            </w:r>
          </w:p>
        </w:tc>
      </w:tr>
      <w:tr w:rsidR="00073A16" w:rsidRPr="00BB6978" w14:paraId="1BA9FAA9" w14:textId="77777777" w:rsidTr="00722A67">
        <w:trPr>
          <w:cantSplit/>
          <w:trHeight w:val="298"/>
        </w:trPr>
        <w:tc>
          <w:tcPr>
            <w:tcW w:w="2247" w:type="pct"/>
            <w:shd w:val="clear" w:color="auto" w:fill="FFE599" w:themeFill="accent4" w:themeFillTint="66"/>
          </w:tcPr>
          <w:p w14:paraId="50DF710C"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 xml:space="preserve">   Between 41,000 and 60,000 AED</w:t>
            </w:r>
          </w:p>
        </w:tc>
        <w:tc>
          <w:tcPr>
            <w:tcW w:w="1464" w:type="pct"/>
            <w:shd w:val="clear" w:color="auto" w:fill="FFE599" w:themeFill="accent4" w:themeFillTint="66"/>
          </w:tcPr>
          <w:p w14:paraId="2700BFB7"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53</w:t>
            </w:r>
          </w:p>
        </w:tc>
        <w:tc>
          <w:tcPr>
            <w:tcW w:w="1289" w:type="pct"/>
            <w:shd w:val="clear" w:color="auto" w:fill="FFE599" w:themeFill="accent4" w:themeFillTint="66"/>
          </w:tcPr>
          <w:p w14:paraId="62C7879A"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13.3</w:t>
            </w:r>
          </w:p>
        </w:tc>
      </w:tr>
      <w:tr w:rsidR="00073A16" w:rsidRPr="00BB6978" w14:paraId="14865206" w14:textId="77777777" w:rsidTr="00722A67">
        <w:trPr>
          <w:cantSplit/>
          <w:trHeight w:val="298"/>
        </w:trPr>
        <w:tc>
          <w:tcPr>
            <w:tcW w:w="2247" w:type="pct"/>
            <w:tcBorders>
              <w:bottom w:val="nil"/>
            </w:tcBorders>
            <w:shd w:val="clear" w:color="auto" w:fill="FFE599" w:themeFill="accent4" w:themeFillTint="66"/>
          </w:tcPr>
          <w:p w14:paraId="6301E575"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 xml:space="preserve">   More than 60,000 AED</w:t>
            </w:r>
          </w:p>
        </w:tc>
        <w:tc>
          <w:tcPr>
            <w:tcW w:w="1464" w:type="pct"/>
            <w:tcBorders>
              <w:bottom w:val="nil"/>
            </w:tcBorders>
            <w:shd w:val="clear" w:color="auto" w:fill="FFE599" w:themeFill="accent4" w:themeFillTint="66"/>
          </w:tcPr>
          <w:p w14:paraId="5ACC9EF5"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138</w:t>
            </w:r>
          </w:p>
        </w:tc>
        <w:tc>
          <w:tcPr>
            <w:tcW w:w="1289" w:type="pct"/>
            <w:tcBorders>
              <w:bottom w:val="nil"/>
            </w:tcBorders>
            <w:shd w:val="clear" w:color="auto" w:fill="FFE599" w:themeFill="accent4" w:themeFillTint="66"/>
          </w:tcPr>
          <w:p w14:paraId="76FAF498"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34.5</w:t>
            </w:r>
          </w:p>
        </w:tc>
      </w:tr>
      <w:tr w:rsidR="00073A16" w:rsidRPr="00BB6978" w14:paraId="73CD51A4" w14:textId="77777777" w:rsidTr="00722A67">
        <w:trPr>
          <w:cantSplit/>
          <w:trHeight w:val="298"/>
        </w:trPr>
        <w:tc>
          <w:tcPr>
            <w:tcW w:w="2247" w:type="pct"/>
            <w:tcBorders>
              <w:top w:val="nil"/>
              <w:bottom w:val="single" w:sz="4" w:space="0" w:color="auto"/>
            </w:tcBorders>
            <w:shd w:val="clear" w:color="auto" w:fill="FFE599" w:themeFill="accent4" w:themeFillTint="66"/>
          </w:tcPr>
          <w:p w14:paraId="00056BC0"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 xml:space="preserve">   No response </w:t>
            </w:r>
          </w:p>
        </w:tc>
        <w:tc>
          <w:tcPr>
            <w:tcW w:w="1464" w:type="pct"/>
            <w:tcBorders>
              <w:top w:val="nil"/>
              <w:bottom w:val="single" w:sz="4" w:space="0" w:color="auto"/>
            </w:tcBorders>
            <w:shd w:val="clear" w:color="auto" w:fill="FFE599" w:themeFill="accent4" w:themeFillTint="66"/>
          </w:tcPr>
          <w:p w14:paraId="6B0367BC"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65</w:t>
            </w:r>
          </w:p>
        </w:tc>
        <w:tc>
          <w:tcPr>
            <w:tcW w:w="1289" w:type="pct"/>
            <w:tcBorders>
              <w:top w:val="nil"/>
              <w:bottom w:val="single" w:sz="4" w:space="0" w:color="auto"/>
            </w:tcBorders>
            <w:shd w:val="clear" w:color="auto" w:fill="FFE599" w:themeFill="accent4" w:themeFillTint="66"/>
          </w:tcPr>
          <w:p w14:paraId="7CAF7FF8"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Cs/>
                <w:sz w:val="20"/>
                <w:szCs w:val="20"/>
                <w:lang w:bidi="en-US"/>
              </w:rPr>
              <w:t>16.3</w:t>
            </w:r>
          </w:p>
        </w:tc>
      </w:tr>
      <w:tr w:rsidR="00073A16" w:rsidRPr="00BB6978" w14:paraId="268D833E" w14:textId="77777777" w:rsidTr="00722A67">
        <w:trPr>
          <w:cantSplit/>
          <w:trHeight w:val="298"/>
        </w:trPr>
        <w:tc>
          <w:tcPr>
            <w:tcW w:w="2247" w:type="pct"/>
            <w:tcBorders>
              <w:top w:val="single" w:sz="4" w:space="0" w:color="auto"/>
              <w:bottom w:val="single" w:sz="4" w:space="0" w:color="auto"/>
            </w:tcBorders>
            <w:shd w:val="clear" w:color="auto" w:fill="ACB9CA" w:themeFill="text2" w:themeFillTint="66"/>
            <w:vAlign w:val="center"/>
          </w:tcPr>
          <w:p w14:paraId="26C1E6DB"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
                <w:bCs/>
                <w:sz w:val="20"/>
                <w:szCs w:val="20"/>
                <w:lang w:bidi="en-US"/>
              </w:rPr>
            </w:pPr>
            <w:r w:rsidRPr="00BB6978">
              <w:rPr>
                <w:rFonts w:asciiTheme="majorBidi" w:eastAsia="Times New Roman" w:hAnsiTheme="majorBidi" w:cstheme="majorBidi"/>
                <w:b/>
                <w:bCs/>
                <w:sz w:val="20"/>
                <w:szCs w:val="20"/>
                <w:lang w:bidi="en-US"/>
              </w:rPr>
              <w:t>Total</w:t>
            </w:r>
          </w:p>
        </w:tc>
        <w:tc>
          <w:tcPr>
            <w:tcW w:w="1464" w:type="pct"/>
            <w:tcBorders>
              <w:top w:val="single" w:sz="4" w:space="0" w:color="auto"/>
              <w:bottom w:val="single" w:sz="4" w:space="0" w:color="auto"/>
            </w:tcBorders>
            <w:shd w:val="clear" w:color="auto" w:fill="ACB9CA" w:themeFill="text2" w:themeFillTint="66"/>
            <w:vAlign w:val="center"/>
          </w:tcPr>
          <w:p w14:paraId="77C23726"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
                <w:bCs/>
                <w:sz w:val="20"/>
                <w:szCs w:val="20"/>
                <w:lang w:bidi="en-US"/>
              </w:rPr>
            </w:pPr>
            <w:r w:rsidRPr="00BB6978">
              <w:rPr>
                <w:rFonts w:asciiTheme="majorBidi" w:eastAsia="Times New Roman" w:hAnsiTheme="majorBidi" w:cstheme="majorBidi"/>
                <w:b/>
                <w:bCs/>
                <w:sz w:val="20"/>
                <w:szCs w:val="20"/>
                <w:lang w:bidi="en-US"/>
              </w:rPr>
              <w:t>400</w:t>
            </w:r>
          </w:p>
        </w:tc>
        <w:tc>
          <w:tcPr>
            <w:tcW w:w="1289" w:type="pct"/>
            <w:tcBorders>
              <w:top w:val="single" w:sz="4" w:space="0" w:color="auto"/>
              <w:bottom w:val="single" w:sz="4" w:space="0" w:color="auto"/>
            </w:tcBorders>
            <w:shd w:val="clear" w:color="auto" w:fill="ACB9CA" w:themeFill="text2" w:themeFillTint="66"/>
            <w:vAlign w:val="center"/>
          </w:tcPr>
          <w:p w14:paraId="70CA939B"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
                <w:bCs/>
                <w:sz w:val="20"/>
                <w:szCs w:val="20"/>
                <w:lang w:bidi="en-US"/>
              </w:rPr>
            </w:pPr>
            <w:r w:rsidRPr="00BB6978">
              <w:rPr>
                <w:rFonts w:asciiTheme="majorBidi" w:eastAsia="Times New Roman" w:hAnsiTheme="majorBidi" w:cstheme="majorBidi"/>
                <w:b/>
                <w:bCs/>
                <w:sz w:val="20"/>
                <w:szCs w:val="20"/>
                <w:lang w:bidi="en-US"/>
              </w:rPr>
              <w:t>100.0</w:t>
            </w:r>
          </w:p>
        </w:tc>
      </w:tr>
    </w:tbl>
    <w:p w14:paraId="1DF0A496" w14:textId="77777777" w:rsidR="00E10634" w:rsidRPr="00BB6978" w:rsidRDefault="00E10634" w:rsidP="001B453A">
      <w:pPr>
        <w:autoSpaceDE w:val="0"/>
        <w:autoSpaceDN w:val="0"/>
        <w:adjustRightInd w:val="0"/>
        <w:spacing w:after="68" w:line="480" w:lineRule="auto"/>
        <w:ind w:firstLine="357"/>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 xml:space="preserve"> Moreover, as displayed in Table 4, parents who answered the survey have their children in schools with different ranges of cost. The majority (49%) are in high school fees, while 13% are in the low school fees range. More than 52% of parents have their children's education covered fully or partially by the employer, while 47% pay for their children's education fully.  Regarding the curriculum, the</w:t>
      </w:r>
      <w:r w:rsidRPr="00BB6978">
        <w:t xml:space="preserve"> </w:t>
      </w:r>
      <w:r w:rsidRPr="00BB6978">
        <w:rPr>
          <w:rFonts w:ascii="Times New Roman" w:eastAsia="Times New Roman" w:hAnsi="Times New Roman" w:cs="Times New Roman"/>
          <w:sz w:val="24"/>
          <w:szCs w:val="24"/>
        </w:rPr>
        <w:t>majority of parents have their children in schools with American curriculum (46%), followed by 31% British schools, and the rest follow MOE curriculum, IB, and SABIS.</w:t>
      </w:r>
    </w:p>
    <w:p w14:paraId="33E6D7C6" w14:textId="77777777" w:rsidR="00161F8B" w:rsidRPr="00BB6978" w:rsidRDefault="00CC0AFE" w:rsidP="007F58DC">
      <w:pPr>
        <w:pStyle w:val="Caption"/>
      </w:pPr>
      <w:bookmarkStart w:id="110" w:name="_Toc134452488"/>
      <w:r w:rsidRPr="00BB6978">
        <w:t xml:space="preserve">Table </w:t>
      </w:r>
      <w:r w:rsidRPr="00BB6978">
        <w:fldChar w:fldCharType="begin"/>
      </w:r>
      <w:r w:rsidRPr="00BB6978">
        <w:instrText xml:space="preserve"> SEQ Table \* ARABIC </w:instrText>
      </w:r>
      <w:r w:rsidRPr="00BB6978">
        <w:fldChar w:fldCharType="separate"/>
      </w:r>
      <w:r w:rsidR="00131282" w:rsidRPr="00BB6978">
        <w:rPr>
          <w:noProof/>
        </w:rPr>
        <w:t>4</w:t>
      </w:r>
      <w:r w:rsidRPr="00BB6978">
        <w:rPr>
          <w:noProof/>
        </w:rPr>
        <w:fldChar w:fldCharType="end"/>
      </w:r>
      <w:r w:rsidR="00161F8B" w:rsidRPr="00BB6978">
        <w:t xml:space="preserve">: the respondents’ </w:t>
      </w:r>
      <w:r w:rsidR="002B27E7" w:rsidRPr="00BB6978">
        <w:t>child school</w:t>
      </w:r>
      <w:r w:rsidR="00161F8B" w:rsidRPr="00BB6978">
        <w:t xml:space="preserve"> information</w:t>
      </w:r>
      <w:bookmarkEnd w:id="110"/>
    </w:p>
    <w:tbl>
      <w:tblPr>
        <w:tblpPr w:leftFromText="180" w:rightFromText="180" w:vertAnchor="text" w:tblpXSpec="center" w:tblpY="1"/>
        <w:tblOverlap w:val="never"/>
        <w:tblW w:w="4566"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3113"/>
        <w:gridCol w:w="2029"/>
        <w:gridCol w:w="1786"/>
      </w:tblGrid>
      <w:tr w:rsidR="00073A16" w:rsidRPr="00BB6978" w14:paraId="5B98428B" w14:textId="77777777" w:rsidTr="00722A67">
        <w:trPr>
          <w:cantSplit/>
          <w:trHeight w:val="296"/>
        </w:trPr>
        <w:tc>
          <w:tcPr>
            <w:tcW w:w="2247" w:type="pct"/>
            <w:tcBorders>
              <w:top w:val="single" w:sz="4" w:space="0" w:color="auto"/>
              <w:bottom w:val="single" w:sz="4" w:space="0" w:color="auto"/>
            </w:tcBorders>
            <w:shd w:val="clear" w:color="auto" w:fill="ACB9CA" w:themeFill="text2" w:themeFillTint="66"/>
          </w:tcPr>
          <w:p w14:paraId="39F09322"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p>
        </w:tc>
        <w:tc>
          <w:tcPr>
            <w:tcW w:w="1464" w:type="pct"/>
            <w:tcBorders>
              <w:top w:val="single" w:sz="4" w:space="0" w:color="auto"/>
              <w:bottom w:val="single" w:sz="4" w:space="0" w:color="auto"/>
            </w:tcBorders>
            <w:shd w:val="clear" w:color="auto" w:fill="ACB9CA" w:themeFill="text2" w:themeFillTint="66"/>
          </w:tcPr>
          <w:p w14:paraId="5D494EC6"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
                <w:bCs/>
                <w:sz w:val="20"/>
                <w:szCs w:val="20"/>
                <w:lang w:bidi="en-US"/>
              </w:rPr>
            </w:pPr>
            <w:r w:rsidRPr="00BB6978">
              <w:rPr>
                <w:rFonts w:asciiTheme="majorBidi" w:eastAsia="Times New Roman" w:hAnsiTheme="majorBidi" w:cstheme="majorBidi"/>
                <w:b/>
                <w:bCs/>
                <w:sz w:val="20"/>
                <w:szCs w:val="20"/>
                <w:lang w:bidi="en-US"/>
              </w:rPr>
              <w:t>Frequency</w:t>
            </w:r>
          </w:p>
        </w:tc>
        <w:tc>
          <w:tcPr>
            <w:tcW w:w="1289" w:type="pct"/>
            <w:tcBorders>
              <w:top w:val="single" w:sz="4" w:space="0" w:color="auto"/>
              <w:bottom w:val="single" w:sz="4" w:space="0" w:color="auto"/>
            </w:tcBorders>
            <w:shd w:val="clear" w:color="auto" w:fill="ACB9CA" w:themeFill="text2" w:themeFillTint="66"/>
          </w:tcPr>
          <w:p w14:paraId="605FF073"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
                <w:bCs/>
                <w:sz w:val="20"/>
                <w:szCs w:val="20"/>
                <w:lang w:bidi="en-US"/>
              </w:rPr>
            </w:pPr>
            <w:r w:rsidRPr="00BB6978">
              <w:rPr>
                <w:rFonts w:asciiTheme="majorBidi" w:eastAsia="Times New Roman" w:hAnsiTheme="majorBidi" w:cstheme="majorBidi"/>
                <w:b/>
                <w:bCs/>
                <w:sz w:val="20"/>
                <w:szCs w:val="20"/>
                <w:lang w:bidi="en-US"/>
              </w:rPr>
              <w:t>Percent</w:t>
            </w:r>
          </w:p>
        </w:tc>
      </w:tr>
      <w:tr w:rsidR="00073A16" w:rsidRPr="00BB6978" w14:paraId="0963E66A" w14:textId="77777777" w:rsidTr="00722A67">
        <w:trPr>
          <w:cantSplit/>
          <w:trHeight w:val="323"/>
        </w:trPr>
        <w:tc>
          <w:tcPr>
            <w:tcW w:w="5000" w:type="pct"/>
            <w:gridSpan w:val="3"/>
            <w:tcBorders>
              <w:top w:val="single" w:sz="4" w:space="0" w:color="auto"/>
            </w:tcBorders>
            <w:shd w:val="clear" w:color="auto" w:fill="DEEAF6" w:themeFill="accent5" w:themeFillTint="33"/>
            <w:vAlign w:val="center"/>
          </w:tcPr>
          <w:p w14:paraId="7B3DB55F"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Cs/>
                <w:sz w:val="20"/>
                <w:szCs w:val="20"/>
                <w:lang w:bidi="en-US"/>
              </w:rPr>
            </w:pPr>
            <w:r w:rsidRPr="00BB6978">
              <w:rPr>
                <w:rFonts w:asciiTheme="majorBidi" w:eastAsia="Times New Roman" w:hAnsiTheme="majorBidi" w:cstheme="majorBidi"/>
                <w:b/>
                <w:bCs/>
                <w:sz w:val="20"/>
                <w:szCs w:val="20"/>
                <w:lang w:bidi="en-US"/>
              </w:rPr>
              <w:t>Average Annual School fees for each child (In AED)</w:t>
            </w:r>
          </w:p>
        </w:tc>
      </w:tr>
      <w:tr w:rsidR="00073A16" w:rsidRPr="00BB6978" w14:paraId="33056E6B" w14:textId="77777777" w:rsidTr="00722A67">
        <w:trPr>
          <w:cantSplit/>
          <w:trHeight w:val="323"/>
        </w:trPr>
        <w:tc>
          <w:tcPr>
            <w:tcW w:w="2247" w:type="pct"/>
            <w:shd w:val="clear" w:color="auto" w:fill="DEEAF6" w:themeFill="accent5" w:themeFillTint="33"/>
          </w:tcPr>
          <w:p w14:paraId="588B2F5F"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 xml:space="preserve">   Less than AED 7, 999</w:t>
            </w:r>
          </w:p>
        </w:tc>
        <w:tc>
          <w:tcPr>
            <w:tcW w:w="1464" w:type="pct"/>
            <w:shd w:val="clear" w:color="auto" w:fill="DEEAF6" w:themeFill="accent5" w:themeFillTint="33"/>
          </w:tcPr>
          <w:p w14:paraId="6EA5388F"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6</w:t>
            </w:r>
          </w:p>
        </w:tc>
        <w:tc>
          <w:tcPr>
            <w:tcW w:w="1289" w:type="pct"/>
            <w:shd w:val="clear" w:color="auto" w:fill="DEEAF6" w:themeFill="accent5" w:themeFillTint="33"/>
          </w:tcPr>
          <w:p w14:paraId="5377B91D"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2.0</w:t>
            </w:r>
          </w:p>
        </w:tc>
      </w:tr>
      <w:tr w:rsidR="00073A16" w:rsidRPr="00BB6978" w14:paraId="7F6748A0" w14:textId="77777777" w:rsidTr="00722A67">
        <w:trPr>
          <w:cantSplit/>
          <w:trHeight w:val="323"/>
        </w:trPr>
        <w:tc>
          <w:tcPr>
            <w:tcW w:w="2247" w:type="pct"/>
            <w:shd w:val="clear" w:color="auto" w:fill="DEEAF6" w:themeFill="accent5" w:themeFillTint="33"/>
          </w:tcPr>
          <w:p w14:paraId="7269D363"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 xml:space="preserve">   AED 8,000- 14,999</w:t>
            </w:r>
          </w:p>
        </w:tc>
        <w:tc>
          <w:tcPr>
            <w:tcW w:w="1464" w:type="pct"/>
            <w:shd w:val="clear" w:color="auto" w:fill="DEEAF6" w:themeFill="accent5" w:themeFillTint="33"/>
          </w:tcPr>
          <w:p w14:paraId="60DF78F8"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43</w:t>
            </w:r>
          </w:p>
        </w:tc>
        <w:tc>
          <w:tcPr>
            <w:tcW w:w="1289" w:type="pct"/>
            <w:shd w:val="clear" w:color="auto" w:fill="DEEAF6" w:themeFill="accent5" w:themeFillTint="33"/>
          </w:tcPr>
          <w:p w14:paraId="7830B39B"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11.0</w:t>
            </w:r>
          </w:p>
        </w:tc>
      </w:tr>
      <w:tr w:rsidR="00073A16" w:rsidRPr="00BB6978" w14:paraId="536B7626" w14:textId="77777777" w:rsidTr="00722A67">
        <w:trPr>
          <w:cantSplit/>
          <w:trHeight w:val="323"/>
        </w:trPr>
        <w:tc>
          <w:tcPr>
            <w:tcW w:w="2247" w:type="pct"/>
            <w:shd w:val="clear" w:color="auto" w:fill="DEEAF6" w:themeFill="accent5" w:themeFillTint="33"/>
          </w:tcPr>
          <w:p w14:paraId="385A2420"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 xml:space="preserve">   AED 15,000– 29,999</w:t>
            </w:r>
          </w:p>
        </w:tc>
        <w:tc>
          <w:tcPr>
            <w:tcW w:w="1464" w:type="pct"/>
            <w:shd w:val="clear" w:color="auto" w:fill="DEEAF6" w:themeFill="accent5" w:themeFillTint="33"/>
          </w:tcPr>
          <w:p w14:paraId="7528BF28"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113</w:t>
            </w:r>
          </w:p>
        </w:tc>
        <w:tc>
          <w:tcPr>
            <w:tcW w:w="1289" w:type="pct"/>
            <w:shd w:val="clear" w:color="auto" w:fill="DEEAF6" w:themeFill="accent5" w:themeFillTint="33"/>
          </w:tcPr>
          <w:p w14:paraId="373A5213"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28.0</w:t>
            </w:r>
          </w:p>
        </w:tc>
      </w:tr>
      <w:tr w:rsidR="00073A16" w:rsidRPr="00BB6978" w14:paraId="79BB8F57" w14:textId="77777777" w:rsidTr="00722A67">
        <w:trPr>
          <w:cantSplit/>
          <w:trHeight w:val="323"/>
        </w:trPr>
        <w:tc>
          <w:tcPr>
            <w:tcW w:w="2247" w:type="pct"/>
            <w:shd w:val="clear" w:color="auto" w:fill="DEEAF6" w:themeFill="accent5" w:themeFillTint="33"/>
          </w:tcPr>
          <w:p w14:paraId="5CA06213"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 xml:space="preserve">   AED 30,000 – 49,999</w:t>
            </w:r>
          </w:p>
        </w:tc>
        <w:tc>
          <w:tcPr>
            <w:tcW w:w="1464" w:type="pct"/>
            <w:shd w:val="clear" w:color="auto" w:fill="DEEAF6" w:themeFill="accent5" w:themeFillTint="33"/>
          </w:tcPr>
          <w:p w14:paraId="0FDF5DAE"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144</w:t>
            </w:r>
          </w:p>
        </w:tc>
        <w:tc>
          <w:tcPr>
            <w:tcW w:w="1289" w:type="pct"/>
            <w:shd w:val="clear" w:color="auto" w:fill="DEEAF6" w:themeFill="accent5" w:themeFillTint="33"/>
          </w:tcPr>
          <w:p w14:paraId="07198979"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36.0</w:t>
            </w:r>
          </w:p>
        </w:tc>
      </w:tr>
      <w:tr w:rsidR="00073A16" w:rsidRPr="00BB6978" w14:paraId="72905D7C" w14:textId="77777777" w:rsidTr="00722A67">
        <w:trPr>
          <w:cantSplit/>
          <w:trHeight w:val="323"/>
        </w:trPr>
        <w:tc>
          <w:tcPr>
            <w:tcW w:w="2247" w:type="pct"/>
            <w:tcBorders>
              <w:bottom w:val="nil"/>
            </w:tcBorders>
            <w:shd w:val="clear" w:color="auto" w:fill="DEEAF6" w:themeFill="accent5" w:themeFillTint="33"/>
          </w:tcPr>
          <w:p w14:paraId="2B76F923"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 xml:space="preserve">   AED 50,000 and more</w:t>
            </w:r>
          </w:p>
        </w:tc>
        <w:tc>
          <w:tcPr>
            <w:tcW w:w="1464" w:type="pct"/>
            <w:tcBorders>
              <w:bottom w:val="nil"/>
            </w:tcBorders>
            <w:shd w:val="clear" w:color="auto" w:fill="DEEAF6" w:themeFill="accent5" w:themeFillTint="33"/>
          </w:tcPr>
          <w:p w14:paraId="0E40895C"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91</w:t>
            </w:r>
          </w:p>
        </w:tc>
        <w:tc>
          <w:tcPr>
            <w:tcW w:w="1289" w:type="pct"/>
            <w:tcBorders>
              <w:bottom w:val="nil"/>
            </w:tcBorders>
            <w:shd w:val="clear" w:color="auto" w:fill="DEEAF6" w:themeFill="accent5" w:themeFillTint="33"/>
          </w:tcPr>
          <w:p w14:paraId="5CE25980"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23.0</w:t>
            </w:r>
          </w:p>
        </w:tc>
      </w:tr>
      <w:tr w:rsidR="00073A16" w:rsidRPr="00BB6978" w14:paraId="49603277" w14:textId="77777777" w:rsidTr="00722A67">
        <w:trPr>
          <w:cantSplit/>
          <w:trHeight w:val="323"/>
        </w:trPr>
        <w:tc>
          <w:tcPr>
            <w:tcW w:w="2247" w:type="pct"/>
            <w:tcBorders>
              <w:top w:val="nil"/>
              <w:bottom w:val="single" w:sz="4" w:space="0" w:color="auto"/>
            </w:tcBorders>
            <w:shd w:val="clear" w:color="auto" w:fill="DEEAF6" w:themeFill="accent5" w:themeFillTint="33"/>
          </w:tcPr>
          <w:p w14:paraId="275F6405"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 xml:space="preserve">   No Reply</w:t>
            </w:r>
          </w:p>
        </w:tc>
        <w:tc>
          <w:tcPr>
            <w:tcW w:w="1464" w:type="pct"/>
            <w:tcBorders>
              <w:top w:val="nil"/>
              <w:bottom w:val="single" w:sz="4" w:space="0" w:color="auto"/>
            </w:tcBorders>
            <w:shd w:val="clear" w:color="auto" w:fill="DEEAF6" w:themeFill="accent5" w:themeFillTint="33"/>
          </w:tcPr>
          <w:p w14:paraId="118CE4F8"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3</w:t>
            </w:r>
          </w:p>
        </w:tc>
        <w:tc>
          <w:tcPr>
            <w:tcW w:w="1289" w:type="pct"/>
            <w:tcBorders>
              <w:top w:val="nil"/>
              <w:bottom w:val="single" w:sz="4" w:space="0" w:color="auto"/>
            </w:tcBorders>
            <w:shd w:val="clear" w:color="auto" w:fill="DEEAF6" w:themeFill="accent5" w:themeFillTint="33"/>
          </w:tcPr>
          <w:p w14:paraId="6538A6B4"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1.0</w:t>
            </w:r>
          </w:p>
        </w:tc>
      </w:tr>
      <w:tr w:rsidR="00073A16" w:rsidRPr="00BB6978" w14:paraId="768FABE2" w14:textId="77777777" w:rsidTr="00722A67">
        <w:trPr>
          <w:cantSplit/>
          <w:trHeight w:val="323"/>
        </w:trPr>
        <w:tc>
          <w:tcPr>
            <w:tcW w:w="2247" w:type="pct"/>
            <w:tcBorders>
              <w:top w:val="single" w:sz="4" w:space="0" w:color="auto"/>
            </w:tcBorders>
            <w:shd w:val="clear" w:color="auto" w:fill="C5E0B3" w:themeFill="accent6" w:themeFillTint="66"/>
          </w:tcPr>
          <w:p w14:paraId="0A7CC85D"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b/>
                <w:bCs/>
                <w:sz w:val="20"/>
                <w:szCs w:val="20"/>
                <w:lang w:bidi="en-US"/>
              </w:rPr>
              <w:t>School Fees of the child are paid by</w:t>
            </w:r>
          </w:p>
        </w:tc>
        <w:tc>
          <w:tcPr>
            <w:tcW w:w="1464" w:type="pct"/>
            <w:tcBorders>
              <w:top w:val="single" w:sz="4" w:space="0" w:color="auto"/>
            </w:tcBorders>
            <w:shd w:val="clear" w:color="auto" w:fill="C5E0B3" w:themeFill="accent6" w:themeFillTint="66"/>
          </w:tcPr>
          <w:p w14:paraId="701F560C"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p>
        </w:tc>
        <w:tc>
          <w:tcPr>
            <w:tcW w:w="1289" w:type="pct"/>
            <w:tcBorders>
              <w:top w:val="single" w:sz="4" w:space="0" w:color="auto"/>
            </w:tcBorders>
            <w:shd w:val="clear" w:color="auto" w:fill="C5E0B3" w:themeFill="accent6" w:themeFillTint="66"/>
          </w:tcPr>
          <w:p w14:paraId="7D350863"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p>
        </w:tc>
      </w:tr>
      <w:tr w:rsidR="00073A16" w:rsidRPr="00BB6978" w14:paraId="44575C5D" w14:textId="77777777" w:rsidTr="00722A67">
        <w:trPr>
          <w:cantSplit/>
          <w:trHeight w:val="323"/>
        </w:trPr>
        <w:tc>
          <w:tcPr>
            <w:tcW w:w="2247" w:type="pct"/>
            <w:shd w:val="clear" w:color="auto" w:fill="C5E0B3" w:themeFill="accent6" w:themeFillTint="66"/>
          </w:tcPr>
          <w:p w14:paraId="00C1E8ED"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 xml:space="preserve">   Paid by the employer (Fully)</w:t>
            </w:r>
          </w:p>
        </w:tc>
        <w:tc>
          <w:tcPr>
            <w:tcW w:w="1464" w:type="pct"/>
            <w:shd w:val="clear" w:color="auto" w:fill="C5E0B3" w:themeFill="accent6" w:themeFillTint="66"/>
          </w:tcPr>
          <w:p w14:paraId="2A118E43"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103</w:t>
            </w:r>
          </w:p>
        </w:tc>
        <w:tc>
          <w:tcPr>
            <w:tcW w:w="1289" w:type="pct"/>
            <w:shd w:val="clear" w:color="auto" w:fill="C5E0B3" w:themeFill="accent6" w:themeFillTint="66"/>
          </w:tcPr>
          <w:p w14:paraId="7E8B62B9"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26.0</w:t>
            </w:r>
          </w:p>
        </w:tc>
      </w:tr>
      <w:tr w:rsidR="00073A16" w:rsidRPr="00BB6978" w14:paraId="64D5A751" w14:textId="77777777" w:rsidTr="00722A67">
        <w:trPr>
          <w:cantSplit/>
          <w:trHeight w:val="323"/>
        </w:trPr>
        <w:tc>
          <w:tcPr>
            <w:tcW w:w="2247" w:type="pct"/>
            <w:shd w:val="clear" w:color="auto" w:fill="C5E0B3" w:themeFill="accent6" w:themeFillTint="66"/>
          </w:tcPr>
          <w:p w14:paraId="667F3579"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 xml:space="preserve">   Paid by the employer (Partially)</w:t>
            </w:r>
          </w:p>
        </w:tc>
        <w:tc>
          <w:tcPr>
            <w:tcW w:w="1464" w:type="pct"/>
            <w:shd w:val="clear" w:color="auto" w:fill="C5E0B3" w:themeFill="accent6" w:themeFillTint="66"/>
          </w:tcPr>
          <w:p w14:paraId="39334D0E"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105</w:t>
            </w:r>
          </w:p>
        </w:tc>
        <w:tc>
          <w:tcPr>
            <w:tcW w:w="1289" w:type="pct"/>
            <w:shd w:val="clear" w:color="auto" w:fill="C5E0B3" w:themeFill="accent6" w:themeFillTint="66"/>
          </w:tcPr>
          <w:p w14:paraId="001FF3B9"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26.0</w:t>
            </w:r>
          </w:p>
        </w:tc>
      </w:tr>
      <w:tr w:rsidR="00073A16" w:rsidRPr="00BB6978" w14:paraId="129C04B2" w14:textId="77777777" w:rsidTr="00722A67">
        <w:trPr>
          <w:cantSplit/>
          <w:trHeight w:val="323"/>
        </w:trPr>
        <w:tc>
          <w:tcPr>
            <w:tcW w:w="2247" w:type="pct"/>
            <w:tcBorders>
              <w:bottom w:val="nil"/>
            </w:tcBorders>
            <w:shd w:val="clear" w:color="auto" w:fill="C5E0B3" w:themeFill="accent6" w:themeFillTint="66"/>
          </w:tcPr>
          <w:p w14:paraId="7380C795"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 xml:space="preserve">   Paid by parents (Fully)</w:t>
            </w:r>
          </w:p>
        </w:tc>
        <w:tc>
          <w:tcPr>
            <w:tcW w:w="1464" w:type="pct"/>
            <w:tcBorders>
              <w:bottom w:val="nil"/>
            </w:tcBorders>
            <w:shd w:val="clear" w:color="auto" w:fill="C5E0B3" w:themeFill="accent6" w:themeFillTint="66"/>
          </w:tcPr>
          <w:p w14:paraId="2E75A2B4"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189</w:t>
            </w:r>
          </w:p>
        </w:tc>
        <w:tc>
          <w:tcPr>
            <w:tcW w:w="1289" w:type="pct"/>
            <w:tcBorders>
              <w:bottom w:val="nil"/>
            </w:tcBorders>
            <w:shd w:val="clear" w:color="auto" w:fill="C5E0B3" w:themeFill="accent6" w:themeFillTint="66"/>
          </w:tcPr>
          <w:p w14:paraId="71EFABBA"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47.0</w:t>
            </w:r>
          </w:p>
        </w:tc>
      </w:tr>
      <w:tr w:rsidR="00073A16" w:rsidRPr="00BB6978" w14:paraId="732C0EE6" w14:textId="77777777" w:rsidTr="00722A67">
        <w:trPr>
          <w:cantSplit/>
          <w:trHeight w:val="323"/>
        </w:trPr>
        <w:tc>
          <w:tcPr>
            <w:tcW w:w="2247" w:type="pct"/>
            <w:tcBorders>
              <w:top w:val="nil"/>
              <w:bottom w:val="single" w:sz="4" w:space="0" w:color="auto"/>
            </w:tcBorders>
            <w:shd w:val="clear" w:color="auto" w:fill="C5E0B3" w:themeFill="accent6" w:themeFillTint="66"/>
          </w:tcPr>
          <w:p w14:paraId="066CD98A"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 xml:space="preserve">   Others: scholarships...etc.</w:t>
            </w:r>
          </w:p>
        </w:tc>
        <w:tc>
          <w:tcPr>
            <w:tcW w:w="1464" w:type="pct"/>
            <w:tcBorders>
              <w:top w:val="nil"/>
              <w:bottom w:val="single" w:sz="4" w:space="0" w:color="auto"/>
            </w:tcBorders>
            <w:shd w:val="clear" w:color="auto" w:fill="C5E0B3" w:themeFill="accent6" w:themeFillTint="66"/>
          </w:tcPr>
          <w:p w14:paraId="18E23171"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3</w:t>
            </w:r>
          </w:p>
        </w:tc>
        <w:tc>
          <w:tcPr>
            <w:tcW w:w="1289" w:type="pct"/>
            <w:tcBorders>
              <w:top w:val="nil"/>
              <w:bottom w:val="single" w:sz="4" w:space="0" w:color="auto"/>
            </w:tcBorders>
            <w:shd w:val="clear" w:color="auto" w:fill="C5E0B3" w:themeFill="accent6" w:themeFillTint="66"/>
          </w:tcPr>
          <w:p w14:paraId="388F7945"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sz w:val="20"/>
                <w:szCs w:val="20"/>
                <w:lang w:bidi="en-US"/>
              </w:rPr>
              <w:t>1.0</w:t>
            </w:r>
          </w:p>
        </w:tc>
      </w:tr>
      <w:tr w:rsidR="00073A16" w:rsidRPr="00BB6978" w14:paraId="57069CA8" w14:textId="77777777" w:rsidTr="00722A67">
        <w:trPr>
          <w:cantSplit/>
          <w:trHeight w:val="323"/>
        </w:trPr>
        <w:tc>
          <w:tcPr>
            <w:tcW w:w="2247" w:type="pct"/>
            <w:tcBorders>
              <w:top w:val="single" w:sz="4" w:space="0" w:color="auto"/>
              <w:bottom w:val="nil"/>
            </w:tcBorders>
            <w:shd w:val="clear" w:color="auto" w:fill="D9D9D9" w:themeFill="background1" w:themeFillShade="D9"/>
          </w:tcPr>
          <w:p w14:paraId="7C448EA7"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b/>
                <w:bCs/>
                <w:sz w:val="20"/>
                <w:szCs w:val="20"/>
                <w:lang w:bidi="en-US"/>
              </w:rPr>
              <w:t>Type of curriculum</w:t>
            </w:r>
          </w:p>
        </w:tc>
        <w:tc>
          <w:tcPr>
            <w:tcW w:w="1464" w:type="pct"/>
            <w:tcBorders>
              <w:top w:val="single" w:sz="4" w:space="0" w:color="auto"/>
              <w:bottom w:val="nil"/>
            </w:tcBorders>
            <w:shd w:val="clear" w:color="auto" w:fill="D9D9D9" w:themeFill="background1" w:themeFillShade="D9"/>
          </w:tcPr>
          <w:p w14:paraId="6D219BAB"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p>
        </w:tc>
        <w:tc>
          <w:tcPr>
            <w:tcW w:w="1289" w:type="pct"/>
            <w:tcBorders>
              <w:top w:val="single" w:sz="4" w:space="0" w:color="auto"/>
              <w:bottom w:val="nil"/>
            </w:tcBorders>
            <w:shd w:val="clear" w:color="auto" w:fill="D9D9D9" w:themeFill="background1" w:themeFillShade="D9"/>
          </w:tcPr>
          <w:p w14:paraId="3D5DEAD4"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p>
        </w:tc>
      </w:tr>
      <w:tr w:rsidR="00073A16" w:rsidRPr="00BB6978" w14:paraId="7526A1D3" w14:textId="77777777" w:rsidTr="00722A67">
        <w:trPr>
          <w:cantSplit/>
          <w:trHeight w:val="323"/>
        </w:trPr>
        <w:tc>
          <w:tcPr>
            <w:tcW w:w="2247" w:type="pct"/>
            <w:tcBorders>
              <w:top w:val="nil"/>
              <w:bottom w:val="nil"/>
            </w:tcBorders>
            <w:shd w:val="clear" w:color="auto" w:fill="D9D9D9" w:themeFill="background1" w:themeFillShade="D9"/>
          </w:tcPr>
          <w:p w14:paraId="33B4CA79"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bCs/>
                <w:sz w:val="20"/>
                <w:szCs w:val="20"/>
                <w:lang w:bidi="en-US"/>
              </w:rPr>
              <w:t xml:space="preserve">   American</w:t>
            </w:r>
          </w:p>
        </w:tc>
        <w:tc>
          <w:tcPr>
            <w:tcW w:w="1464" w:type="pct"/>
            <w:tcBorders>
              <w:top w:val="nil"/>
              <w:bottom w:val="nil"/>
            </w:tcBorders>
            <w:shd w:val="clear" w:color="auto" w:fill="D9D9D9" w:themeFill="background1" w:themeFillShade="D9"/>
          </w:tcPr>
          <w:p w14:paraId="39C85DF2"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bCs/>
                <w:sz w:val="20"/>
                <w:szCs w:val="20"/>
                <w:lang w:bidi="en-US"/>
              </w:rPr>
              <w:t>185</w:t>
            </w:r>
          </w:p>
        </w:tc>
        <w:tc>
          <w:tcPr>
            <w:tcW w:w="1289" w:type="pct"/>
            <w:tcBorders>
              <w:top w:val="nil"/>
              <w:bottom w:val="nil"/>
            </w:tcBorders>
            <w:shd w:val="clear" w:color="auto" w:fill="D9D9D9" w:themeFill="background1" w:themeFillShade="D9"/>
          </w:tcPr>
          <w:p w14:paraId="56C8EC86"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bCs/>
                <w:sz w:val="20"/>
                <w:szCs w:val="20"/>
                <w:lang w:bidi="en-US"/>
              </w:rPr>
              <w:t>46.0</w:t>
            </w:r>
          </w:p>
        </w:tc>
      </w:tr>
      <w:tr w:rsidR="00073A16" w:rsidRPr="00BB6978" w14:paraId="3A4C4542" w14:textId="77777777" w:rsidTr="00722A67">
        <w:trPr>
          <w:cantSplit/>
          <w:trHeight w:val="323"/>
        </w:trPr>
        <w:tc>
          <w:tcPr>
            <w:tcW w:w="2247" w:type="pct"/>
            <w:tcBorders>
              <w:top w:val="nil"/>
              <w:bottom w:val="nil"/>
            </w:tcBorders>
            <w:shd w:val="clear" w:color="auto" w:fill="D9D9D9" w:themeFill="background1" w:themeFillShade="D9"/>
          </w:tcPr>
          <w:p w14:paraId="661B10FD"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bCs/>
                <w:sz w:val="20"/>
                <w:szCs w:val="20"/>
                <w:lang w:bidi="en-US"/>
              </w:rPr>
              <w:t xml:space="preserve">   British</w:t>
            </w:r>
          </w:p>
        </w:tc>
        <w:tc>
          <w:tcPr>
            <w:tcW w:w="1464" w:type="pct"/>
            <w:tcBorders>
              <w:top w:val="nil"/>
              <w:bottom w:val="nil"/>
            </w:tcBorders>
            <w:shd w:val="clear" w:color="auto" w:fill="D9D9D9" w:themeFill="background1" w:themeFillShade="D9"/>
          </w:tcPr>
          <w:p w14:paraId="3767A522"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bCs/>
                <w:sz w:val="20"/>
                <w:szCs w:val="20"/>
                <w:lang w:bidi="en-US"/>
              </w:rPr>
              <w:t>125</w:t>
            </w:r>
          </w:p>
        </w:tc>
        <w:tc>
          <w:tcPr>
            <w:tcW w:w="1289" w:type="pct"/>
            <w:tcBorders>
              <w:top w:val="nil"/>
              <w:bottom w:val="nil"/>
            </w:tcBorders>
            <w:shd w:val="clear" w:color="auto" w:fill="D9D9D9" w:themeFill="background1" w:themeFillShade="D9"/>
          </w:tcPr>
          <w:p w14:paraId="1E36E06C"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bCs/>
                <w:sz w:val="20"/>
                <w:szCs w:val="20"/>
                <w:lang w:bidi="en-US"/>
              </w:rPr>
              <w:t>31.0</w:t>
            </w:r>
          </w:p>
        </w:tc>
      </w:tr>
      <w:tr w:rsidR="00073A16" w:rsidRPr="00BB6978" w14:paraId="0A8A99D5" w14:textId="77777777" w:rsidTr="00722A67">
        <w:trPr>
          <w:cantSplit/>
          <w:trHeight w:val="323"/>
        </w:trPr>
        <w:tc>
          <w:tcPr>
            <w:tcW w:w="2247" w:type="pct"/>
            <w:tcBorders>
              <w:top w:val="nil"/>
              <w:bottom w:val="nil"/>
            </w:tcBorders>
            <w:shd w:val="clear" w:color="auto" w:fill="D9D9D9" w:themeFill="background1" w:themeFillShade="D9"/>
          </w:tcPr>
          <w:p w14:paraId="1B09CD65"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bCs/>
                <w:sz w:val="20"/>
                <w:szCs w:val="20"/>
                <w:lang w:bidi="en-US"/>
              </w:rPr>
              <w:t xml:space="preserve">   CBSE – Indian Curriculum</w:t>
            </w:r>
          </w:p>
        </w:tc>
        <w:tc>
          <w:tcPr>
            <w:tcW w:w="1464" w:type="pct"/>
            <w:tcBorders>
              <w:top w:val="nil"/>
              <w:bottom w:val="nil"/>
            </w:tcBorders>
            <w:shd w:val="clear" w:color="auto" w:fill="D9D9D9" w:themeFill="background1" w:themeFillShade="D9"/>
          </w:tcPr>
          <w:p w14:paraId="62195C0E"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bCs/>
                <w:sz w:val="20"/>
                <w:szCs w:val="20"/>
                <w:lang w:bidi="en-US"/>
              </w:rPr>
              <w:t>1</w:t>
            </w:r>
          </w:p>
        </w:tc>
        <w:tc>
          <w:tcPr>
            <w:tcW w:w="1289" w:type="pct"/>
            <w:tcBorders>
              <w:top w:val="nil"/>
              <w:bottom w:val="nil"/>
            </w:tcBorders>
            <w:shd w:val="clear" w:color="auto" w:fill="D9D9D9" w:themeFill="background1" w:themeFillShade="D9"/>
          </w:tcPr>
          <w:p w14:paraId="01ED600E"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bCs/>
                <w:sz w:val="20"/>
                <w:szCs w:val="20"/>
                <w:lang w:bidi="en-US"/>
              </w:rPr>
              <w:t>0.0</w:t>
            </w:r>
          </w:p>
        </w:tc>
      </w:tr>
      <w:tr w:rsidR="00073A16" w:rsidRPr="00BB6978" w14:paraId="188F1439" w14:textId="77777777" w:rsidTr="00722A67">
        <w:trPr>
          <w:cantSplit/>
          <w:trHeight w:val="323"/>
        </w:trPr>
        <w:tc>
          <w:tcPr>
            <w:tcW w:w="2247" w:type="pct"/>
            <w:tcBorders>
              <w:top w:val="nil"/>
              <w:bottom w:val="nil"/>
            </w:tcBorders>
            <w:shd w:val="clear" w:color="auto" w:fill="D9D9D9" w:themeFill="background1" w:themeFillShade="D9"/>
          </w:tcPr>
          <w:p w14:paraId="023C4252"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bCs/>
                <w:sz w:val="20"/>
                <w:szCs w:val="20"/>
                <w:lang w:bidi="en-US"/>
              </w:rPr>
              <w:t xml:space="preserve">   International Baccalaureate (IB)</w:t>
            </w:r>
          </w:p>
        </w:tc>
        <w:tc>
          <w:tcPr>
            <w:tcW w:w="1464" w:type="pct"/>
            <w:tcBorders>
              <w:top w:val="nil"/>
              <w:bottom w:val="nil"/>
            </w:tcBorders>
            <w:shd w:val="clear" w:color="auto" w:fill="D9D9D9" w:themeFill="background1" w:themeFillShade="D9"/>
          </w:tcPr>
          <w:p w14:paraId="5CC90843"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bCs/>
                <w:sz w:val="20"/>
                <w:szCs w:val="20"/>
                <w:lang w:bidi="en-US"/>
              </w:rPr>
              <w:t>23</w:t>
            </w:r>
          </w:p>
        </w:tc>
        <w:tc>
          <w:tcPr>
            <w:tcW w:w="1289" w:type="pct"/>
            <w:tcBorders>
              <w:top w:val="nil"/>
              <w:bottom w:val="nil"/>
            </w:tcBorders>
            <w:shd w:val="clear" w:color="auto" w:fill="D9D9D9" w:themeFill="background1" w:themeFillShade="D9"/>
          </w:tcPr>
          <w:p w14:paraId="274EE40A"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bCs/>
                <w:sz w:val="20"/>
                <w:szCs w:val="20"/>
                <w:lang w:bidi="en-US"/>
              </w:rPr>
              <w:t>6.0</w:t>
            </w:r>
          </w:p>
        </w:tc>
      </w:tr>
      <w:tr w:rsidR="00073A16" w:rsidRPr="00BB6978" w14:paraId="52689A35" w14:textId="77777777" w:rsidTr="00722A67">
        <w:trPr>
          <w:cantSplit/>
          <w:trHeight w:val="323"/>
        </w:trPr>
        <w:tc>
          <w:tcPr>
            <w:tcW w:w="2247" w:type="pct"/>
            <w:tcBorders>
              <w:top w:val="nil"/>
              <w:bottom w:val="nil"/>
            </w:tcBorders>
            <w:shd w:val="clear" w:color="auto" w:fill="D9D9D9" w:themeFill="background1" w:themeFillShade="D9"/>
          </w:tcPr>
          <w:p w14:paraId="44079836"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bCs/>
                <w:sz w:val="20"/>
                <w:szCs w:val="20"/>
                <w:lang w:bidi="en-US"/>
              </w:rPr>
              <w:t xml:space="preserve">   MOE</w:t>
            </w:r>
          </w:p>
        </w:tc>
        <w:tc>
          <w:tcPr>
            <w:tcW w:w="1464" w:type="pct"/>
            <w:tcBorders>
              <w:top w:val="nil"/>
              <w:bottom w:val="nil"/>
            </w:tcBorders>
            <w:shd w:val="clear" w:color="auto" w:fill="D9D9D9" w:themeFill="background1" w:themeFillShade="D9"/>
          </w:tcPr>
          <w:p w14:paraId="726730B9"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bCs/>
                <w:sz w:val="20"/>
                <w:szCs w:val="20"/>
                <w:lang w:bidi="en-US"/>
              </w:rPr>
              <w:t>33</w:t>
            </w:r>
          </w:p>
        </w:tc>
        <w:tc>
          <w:tcPr>
            <w:tcW w:w="1289" w:type="pct"/>
            <w:tcBorders>
              <w:top w:val="nil"/>
              <w:bottom w:val="nil"/>
            </w:tcBorders>
            <w:shd w:val="clear" w:color="auto" w:fill="D9D9D9" w:themeFill="background1" w:themeFillShade="D9"/>
          </w:tcPr>
          <w:p w14:paraId="7BC512A1"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bCs/>
                <w:sz w:val="20"/>
                <w:szCs w:val="20"/>
                <w:lang w:bidi="en-US"/>
              </w:rPr>
              <w:t>8.0</w:t>
            </w:r>
          </w:p>
        </w:tc>
      </w:tr>
      <w:tr w:rsidR="00073A16" w:rsidRPr="00BB6978" w14:paraId="1C281B3A" w14:textId="77777777" w:rsidTr="00722A67">
        <w:trPr>
          <w:cantSplit/>
          <w:trHeight w:val="323"/>
        </w:trPr>
        <w:tc>
          <w:tcPr>
            <w:tcW w:w="2247" w:type="pct"/>
            <w:tcBorders>
              <w:top w:val="nil"/>
              <w:bottom w:val="single" w:sz="4" w:space="0" w:color="auto"/>
            </w:tcBorders>
            <w:shd w:val="clear" w:color="auto" w:fill="D9D9D9" w:themeFill="background1" w:themeFillShade="D9"/>
          </w:tcPr>
          <w:p w14:paraId="11F0B681"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bCs/>
                <w:sz w:val="20"/>
                <w:szCs w:val="20"/>
                <w:lang w:bidi="en-US"/>
              </w:rPr>
              <w:t xml:space="preserve">   SABIS</w:t>
            </w:r>
          </w:p>
        </w:tc>
        <w:tc>
          <w:tcPr>
            <w:tcW w:w="1464" w:type="pct"/>
            <w:tcBorders>
              <w:top w:val="nil"/>
              <w:bottom w:val="single" w:sz="4" w:space="0" w:color="auto"/>
            </w:tcBorders>
            <w:shd w:val="clear" w:color="auto" w:fill="D9D9D9" w:themeFill="background1" w:themeFillShade="D9"/>
          </w:tcPr>
          <w:p w14:paraId="5A961EC5"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bCs/>
                <w:sz w:val="20"/>
                <w:szCs w:val="20"/>
                <w:lang w:bidi="en-US"/>
              </w:rPr>
              <w:t>20</w:t>
            </w:r>
          </w:p>
        </w:tc>
        <w:tc>
          <w:tcPr>
            <w:tcW w:w="1289" w:type="pct"/>
            <w:tcBorders>
              <w:top w:val="nil"/>
              <w:bottom w:val="single" w:sz="4" w:space="0" w:color="auto"/>
            </w:tcBorders>
            <w:shd w:val="clear" w:color="auto" w:fill="D9D9D9" w:themeFill="background1" w:themeFillShade="D9"/>
          </w:tcPr>
          <w:p w14:paraId="4C275657"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sz w:val="20"/>
                <w:szCs w:val="20"/>
                <w:lang w:bidi="en-US"/>
              </w:rPr>
            </w:pPr>
            <w:r w:rsidRPr="00BB6978">
              <w:rPr>
                <w:rFonts w:asciiTheme="majorBidi" w:eastAsia="Times New Roman" w:hAnsiTheme="majorBidi" w:cstheme="majorBidi"/>
                <w:bCs/>
                <w:sz w:val="20"/>
                <w:szCs w:val="20"/>
                <w:lang w:bidi="en-US"/>
              </w:rPr>
              <w:t>5.0</w:t>
            </w:r>
          </w:p>
        </w:tc>
      </w:tr>
      <w:tr w:rsidR="00073A16" w:rsidRPr="00BB6978" w14:paraId="33A6A738" w14:textId="77777777" w:rsidTr="00722A67">
        <w:trPr>
          <w:cantSplit/>
          <w:trHeight w:val="323"/>
        </w:trPr>
        <w:tc>
          <w:tcPr>
            <w:tcW w:w="2247" w:type="pct"/>
            <w:tcBorders>
              <w:top w:val="single" w:sz="4" w:space="0" w:color="auto"/>
              <w:bottom w:val="single" w:sz="4" w:space="0" w:color="auto"/>
            </w:tcBorders>
            <w:shd w:val="clear" w:color="auto" w:fill="ACB9CA" w:themeFill="text2" w:themeFillTint="66"/>
            <w:vAlign w:val="center"/>
          </w:tcPr>
          <w:p w14:paraId="49A94ED2"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
                <w:bCs/>
                <w:sz w:val="20"/>
                <w:szCs w:val="20"/>
                <w:lang w:bidi="en-US"/>
              </w:rPr>
            </w:pPr>
            <w:r w:rsidRPr="00BB6978">
              <w:rPr>
                <w:rFonts w:asciiTheme="majorBidi" w:eastAsia="Times New Roman" w:hAnsiTheme="majorBidi" w:cstheme="majorBidi"/>
                <w:b/>
                <w:bCs/>
                <w:sz w:val="20"/>
                <w:szCs w:val="20"/>
                <w:lang w:bidi="en-US"/>
              </w:rPr>
              <w:t>Total</w:t>
            </w:r>
          </w:p>
        </w:tc>
        <w:tc>
          <w:tcPr>
            <w:tcW w:w="1464" w:type="pct"/>
            <w:tcBorders>
              <w:top w:val="single" w:sz="4" w:space="0" w:color="auto"/>
              <w:bottom w:val="single" w:sz="4" w:space="0" w:color="auto"/>
            </w:tcBorders>
            <w:shd w:val="clear" w:color="auto" w:fill="ACB9CA" w:themeFill="text2" w:themeFillTint="66"/>
            <w:vAlign w:val="center"/>
          </w:tcPr>
          <w:p w14:paraId="7F41A474"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
                <w:bCs/>
                <w:sz w:val="20"/>
                <w:szCs w:val="20"/>
                <w:lang w:bidi="en-US"/>
              </w:rPr>
            </w:pPr>
            <w:r w:rsidRPr="00BB6978">
              <w:rPr>
                <w:rFonts w:asciiTheme="majorBidi" w:eastAsia="Times New Roman" w:hAnsiTheme="majorBidi" w:cstheme="majorBidi"/>
                <w:b/>
                <w:bCs/>
                <w:sz w:val="20"/>
                <w:szCs w:val="20"/>
                <w:lang w:bidi="en-US"/>
              </w:rPr>
              <w:t>400</w:t>
            </w:r>
          </w:p>
        </w:tc>
        <w:tc>
          <w:tcPr>
            <w:tcW w:w="1289" w:type="pct"/>
            <w:tcBorders>
              <w:top w:val="single" w:sz="4" w:space="0" w:color="auto"/>
              <w:bottom w:val="single" w:sz="4" w:space="0" w:color="auto"/>
            </w:tcBorders>
            <w:shd w:val="clear" w:color="auto" w:fill="ACB9CA" w:themeFill="text2" w:themeFillTint="66"/>
            <w:vAlign w:val="center"/>
          </w:tcPr>
          <w:p w14:paraId="144EF200" w14:textId="77777777" w:rsidR="00161F8B" w:rsidRPr="00BB6978" w:rsidRDefault="00161F8B" w:rsidP="00722A67">
            <w:pPr>
              <w:autoSpaceDE w:val="0"/>
              <w:autoSpaceDN w:val="0"/>
              <w:adjustRightInd w:val="0"/>
              <w:spacing w:after="68" w:line="240" w:lineRule="auto"/>
              <w:ind w:left="360" w:firstLine="360"/>
              <w:jc w:val="both"/>
              <w:rPr>
                <w:rFonts w:asciiTheme="majorBidi" w:eastAsia="Times New Roman" w:hAnsiTheme="majorBidi" w:cstheme="majorBidi"/>
                <w:b/>
                <w:bCs/>
                <w:sz w:val="20"/>
                <w:szCs w:val="20"/>
                <w:lang w:bidi="en-US"/>
              </w:rPr>
            </w:pPr>
            <w:r w:rsidRPr="00BB6978">
              <w:rPr>
                <w:rFonts w:asciiTheme="majorBidi" w:eastAsia="Times New Roman" w:hAnsiTheme="majorBidi" w:cstheme="majorBidi"/>
                <w:b/>
                <w:bCs/>
                <w:sz w:val="20"/>
                <w:szCs w:val="20"/>
                <w:lang w:bidi="en-US"/>
              </w:rPr>
              <w:t>100.0</w:t>
            </w:r>
          </w:p>
        </w:tc>
      </w:tr>
    </w:tbl>
    <w:p w14:paraId="1B69D22F" w14:textId="77777777" w:rsidR="00161F8B" w:rsidRPr="00BB6978" w:rsidRDefault="00161F8B" w:rsidP="00161F8B">
      <w:pPr>
        <w:autoSpaceDE w:val="0"/>
        <w:autoSpaceDN w:val="0"/>
        <w:adjustRightInd w:val="0"/>
        <w:spacing w:after="68" w:line="480" w:lineRule="auto"/>
        <w:jc w:val="both"/>
        <w:rPr>
          <w:rFonts w:ascii="Times New Roman" w:eastAsia="Times New Roman" w:hAnsi="Times New Roman" w:cs="Times New Roman"/>
          <w:sz w:val="24"/>
          <w:szCs w:val="24"/>
        </w:rPr>
      </w:pPr>
    </w:p>
    <w:p w14:paraId="45B10973" w14:textId="77777777" w:rsidR="00161F8B" w:rsidRPr="00BB6978" w:rsidRDefault="00161F8B" w:rsidP="00161F8B">
      <w:pPr>
        <w:pStyle w:val="Heading1"/>
        <w:rPr>
          <w:rFonts w:asciiTheme="majorBidi" w:eastAsia="Times New Roman" w:hAnsiTheme="majorBidi"/>
          <w:b w:val="0"/>
          <w:bCs w:val="0"/>
          <w:color w:val="auto"/>
          <w:sz w:val="24"/>
          <w:szCs w:val="24"/>
        </w:rPr>
      </w:pPr>
      <w:bookmarkStart w:id="111" w:name="_Toc96103757"/>
      <w:bookmarkStart w:id="112" w:name="_Toc138239807"/>
      <w:r w:rsidRPr="00BB6978">
        <w:rPr>
          <w:rFonts w:asciiTheme="majorBidi" w:eastAsia="Times New Roman" w:hAnsiTheme="majorBidi"/>
          <w:color w:val="auto"/>
          <w:sz w:val="24"/>
          <w:szCs w:val="24"/>
        </w:rPr>
        <w:t>3.4 Instrumentation</w:t>
      </w:r>
      <w:bookmarkEnd w:id="111"/>
      <w:bookmarkEnd w:id="112"/>
    </w:p>
    <w:p w14:paraId="33C45958" w14:textId="77777777" w:rsidR="00161F8B" w:rsidRPr="00BB6978" w:rsidRDefault="00161F8B" w:rsidP="00161F8B"/>
    <w:p w14:paraId="0EA45346" w14:textId="77777777" w:rsidR="00626F3C" w:rsidRPr="00BB6978" w:rsidRDefault="00626F3C" w:rsidP="00626F3C">
      <w:pPr>
        <w:autoSpaceDE w:val="0"/>
        <w:autoSpaceDN w:val="0"/>
        <w:adjustRightInd w:val="0"/>
        <w:spacing w:after="68" w:line="480" w:lineRule="auto"/>
        <w:ind w:firstLine="360"/>
        <w:jc w:val="both"/>
        <w:rPr>
          <w:rFonts w:ascii="Times New Roman" w:eastAsia="Times New Roman" w:hAnsi="Times New Roman" w:cs="Times New Roman"/>
          <w:sz w:val="24"/>
          <w:szCs w:val="24"/>
        </w:rPr>
      </w:pPr>
      <w:bookmarkStart w:id="113" w:name="_Toc64369134"/>
      <w:bookmarkStart w:id="114" w:name="_Toc96103758"/>
      <w:r w:rsidRPr="00BB6978">
        <w:rPr>
          <w:rFonts w:ascii="Times New Roman" w:eastAsia="Times New Roman" w:hAnsi="Times New Roman" w:cs="Times New Roman"/>
          <w:sz w:val="24"/>
          <w:szCs w:val="24"/>
        </w:rPr>
        <w:t xml:space="preserve">A survey instrument was used to ensure that parents’ opinions and viewpoints about the cost and quality of the schools, and the relationship with their children’s achievement. According to DeFranzo (2020), survey findings provide a convenient description of attitudes, including comments, thoughts, and opinions, of the targeted sample. These valued responses </w:t>
      </w:r>
      <w:r w:rsidR="00701002" w:rsidRPr="00BB6978">
        <w:rPr>
          <w:rFonts w:ascii="Times New Roman" w:eastAsia="Times New Roman" w:hAnsi="Times New Roman" w:cs="Times New Roman"/>
          <w:sz w:val="24"/>
          <w:szCs w:val="24"/>
        </w:rPr>
        <w:t>from</w:t>
      </w:r>
      <w:r w:rsidRPr="00BB6978">
        <w:rPr>
          <w:rFonts w:ascii="Times New Roman" w:eastAsia="Times New Roman" w:hAnsi="Times New Roman" w:cs="Times New Roman"/>
          <w:sz w:val="24"/>
          <w:szCs w:val="24"/>
        </w:rPr>
        <w:t xml:space="preserve"> the baseline to establish a benchmark for comparing results over time.</w:t>
      </w:r>
    </w:p>
    <w:p w14:paraId="511B50C9" w14:textId="77777777" w:rsidR="00626F3C" w:rsidRPr="00BB6978" w:rsidRDefault="00626F3C" w:rsidP="00626F3C">
      <w:pPr>
        <w:autoSpaceDE w:val="0"/>
        <w:autoSpaceDN w:val="0"/>
        <w:adjustRightInd w:val="0"/>
        <w:spacing w:after="68" w:line="480" w:lineRule="auto"/>
        <w:ind w:firstLine="360"/>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 xml:space="preserve">The online parents’ survey was originally based on the MCIEA framework as it more holistically measures education inputs and outcomes. It measures school quality through student engagement, student achievement, and school environment (Kim, </w:t>
      </w:r>
      <w:r w:rsidR="00754837" w:rsidRPr="00BB6978">
        <w:rPr>
          <w:rFonts w:ascii="Times New Roman" w:eastAsia="Times New Roman" w:hAnsi="Times New Roman" w:cs="Times New Roman"/>
          <w:sz w:val="24"/>
          <w:szCs w:val="24"/>
        </w:rPr>
        <w:t>n.d.</w:t>
      </w:r>
      <w:r w:rsidRPr="00BB6978">
        <w:rPr>
          <w:rFonts w:ascii="Times New Roman" w:eastAsia="Times New Roman" w:hAnsi="Times New Roman" w:cs="Times New Roman"/>
          <w:sz w:val="24"/>
          <w:szCs w:val="24"/>
        </w:rPr>
        <w:t>). Furthermore, the MCIEA framework (2014) includes other factors to understand the concept of education quality, such as teaching environment, teachers, school culture, resources availability, learning indicators, and personality and welfare outcomes. The survey was modified to suit parents since it was originally intended for students and teachers. For this study's survey, only the inputs from the quality section were included. The survey used a five-point Likert scale (5 = strongly agree, 1 = strongly disagree). More questions were added related to school cost and SES.</w:t>
      </w:r>
    </w:p>
    <w:p w14:paraId="1FF71D3E" w14:textId="77777777" w:rsidR="00626F3C" w:rsidRPr="00BB6978" w:rsidRDefault="00626F3C" w:rsidP="00626F3C">
      <w:pPr>
        <w:autoSpaceDE w:val="0"/>
        <w:autoSpaceDN w:val="0"/>
        <w:adjustRightInd w:val="0"/>
        <w:spacing w:after="68" w:line="480" w:lineRule="auto"/>
        <w:ind w:firstLine="360"/>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The initial part of the survey involved the respondents’ demographic information, including parents' gender, education, average monthly income, average annual school fees for their children, whether the school fees are paid totally or partially by the employer or themselves, and the type of curriculum their children study.</w:t>
      </w:r>
      <w:r w:rsidRPr="00BB6978">
        <w:t xml:space="preserve"> </w:t>
      </w:r>
      <w:r w:rsidRPr="00BB6978">
        <w:rPr>
          <w:rFonts w:ascii="Times New Roman" w:eastAsia="Times New Roman" w:hAnsi="Times New Roman" w:cs="Times New Roman"/>
          <w:sz w:val="24"/>
          <w:szCs w:val="24"/>
        </w:rPr>
        <w:t>The main categorizations of the survey were based on the study variables: school cost, school quality, and students' outcome. The quality of the school has three subcategories: teachers and teaching, school culture, and school resources.</w:t>
      </w:r>
    </w:p>
    <w:p w14:paraId="66298E6A" w14:textId="77777777" w:rsidR="00626F3C" w:rsidRPr="00BB6978" w:rsidRDefault="00626F3C" w:rsidP="00626F3C">
      <w:pPr>
        <w:autoSpaceDE w:val="0"/>
        <w:autoSpaceDN w:val="0"/>
        <w:adjustRightInd w:val="0"/>
        <w:spacing w:after="68" w:line="480" w:lineRule="auto"/>
        <w:ind w:firstLine="360"/>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After developing the initial draft of the survey, it was checked and evaluated by experts from the field who commented on and reviewed the draft in terms of wording, the statements type, the layout, the sentence</w:t>
      </w:r>
      <w:r w:rsidRPr="00BB6978">
        <w:t xml:space="preserve"> </w:t>
      </w:r>
      <w:r w:rsidRPr="00BB6978">
        <w:rPr>
          <w:rFonts w:ascii="Times New Roman" w:eastAsia="Times New Roman" w:hAnsi="Times New Roman" w:cs="Times New Roman"/>
          <w:sz w:val="24"/>
          <w:szCs w:val="24"/>
        </w:rPr>
        <w:t xml:space="preserve">structure, and the extent to which these statements are related to the research questions. </w:t>
      </w:r>
      <w:r w:rsidR="00A83A20" w:rsidRPr="00BB6978">
        <w:rPr>
          <w:rFonts w:ascii="Times New Roman" w:eastAsia="Times New Roman" w:hAnsi="Times New Roman" w:cs="Times New Roman"/>
          <w:sz w:val="24"/>
          <w:szCs w:val="24"/>
        </w:rPr>
        <w:t xml:space="preserve">These experts are </w:t>
      </w:r>
      <w:r w:rsidR="00171010" w:rsidRPr="00BB6978">
        <w:rPr>
          <w:rFonts w:ascii="Times New Roman" w:eastAsia="Times New Roman" w:hAnsi="Times New Roman" w:cs="Times New Roman"/>
          <w:sz w:val="24"/>
          <w:szCs w:val="24"/>
        </w:rPr>
        <w:t xml:space="preserve">education </w:t>
      </w:r>
      <w:r w:rsidR="00A83A20" w:rsidRPr="00BB6978">
        <w:rPr>
          <w:rFonts w:ascii="Times New Roman" w:eastAsia="Times New Roman" w:hAnsi="Times New Roman" w:cs="Times New Roman"/>
          <w:sz w:val="24"/>
          <w:szCs w:val="24"/>
        </w:rPr>
        <w:t xml:space="preserve">professors from different universities and head of research departments in </w:t>
      </w:r>
      <w:r w:rsidR="00171010" w:rsidRPr="00BB6978">
        <w:rPr>
          <w:rFonts w:ascii="Times New Roman" w:eastAsia="Times New Roman" w:hAnsi="Times New Roman" w:cs="Times New Roman"/>
          <w:sz w:val="24"/>
          <w:szCs w:val="24"/>
        </w:rPr>
        <w:t xml:space="preserve">a </w:t>
      </w:r>
      <w:r w:rsidR="00A83A20" w:rsidRPr="00BB6978">
        <w:rPr>
          <w:rFonts w:ascii="Times New Roman" w:eastAsia="Times New Roman" w:hAnsi="Times New Roman" w:cs="Times New Roman"/>
          <w:sz w:val="24"/>
          <w:szCs w:val="24"/>
        </w:rPr>
        <w:t>local</w:t>
      </w:r>
      <w:r w:rsidR="00171010" w:rsidRPr="00BB6978">
        <w:rPr>
          <w:rFonts w:ascii="Times New Roman" w:eastAsia="Times New Roman" w:hAnsi="Times New Roman" w:cs="Times New Roman"/>
          <w:sz w:val="24"/>
          <w:szCs w:val="24"/>
        </w:rPr>
        <w:t xml:space="preserve"> education</w:t>
      </w:r>
      <w:r w:rsidR="00A83A20" w:rsidRPr="00BB6978">
        <w:rPr>
          <w:rFonts w:ascii="Times New Roman" w:eastAsia="Times New Roman" w:hAnsi="Times New Roman" w:cs="Times New Roman"/>
          <w:sz w:val="24"/>
          <w:szCs w:val="24"/>
        </w:rPr>
        <w:t xml:space="preserve"> </w:t>
      </w:r>
      <w:r w:rsidR="005D0213" w:rsidRPr="00BB6978">
        <w:rPr>
          <w:rFonts w:ascii="Times New Roman" w:eastAsia="Times New Roman" w:hAnsi="Times New Roman" w:cs="Times New Roman"/>
          <w:sz w:val="24"/>
          <w:szCs w:val="24"/>
        </w:rPr>
        <w:t>organization</w:t>
      </w:r>
      <w:r w:rsidR="00A83A20" w:rsidRPr="00BB6978">
        <w:rPr>
          <w:rFonts w:ascii="Times New Roman" w:eastAsia="Times New Roman" w:hAnsi="Times New Roman" w:cs="Times New Roman"/>
          <w:sz w:val="24"/>
          <w:szCs w:val="24"/>
        </w:rPr>
        <w:t xml:space="preserve"> in Abu Dhabi. </w:t>
      </w:r>
      <w:r w:rsidRPr="00BB6978">
        <w:rPr>
          <w:rFonts w:ascii="Times New Roman" w:eastAsia="Times New Roman" w:hAnsi="Times New Roman" w:cs="Times New Roman"/>
          <w:sz w:val="24"/>
          <w:szCs w:val="24"/>
        </w:rPr>
        <w:t>The experts gave their feedback and made some comments on the statements. Furthermore, they suggested some adjustments related to the content and advised some changes in the statements' language for clarity.</w:t>
      </w:r>
    </w:p>
    <w:p w14:paraId="63496FDE" w14:textId="77777777" w:rsidR="00626F3C" w:rsidRPr="00BB6978" w:rsidRDefault="00626F3C" w:rsidP="00626F3C">
      <w:pPr>
        <w:autoSpaceDE w:val="0"/>
        <w:autoSpaceDN w:val="0"/>
        <w:adjustRightInd w:val="0"/>
        <w:spacing w:after="68" w:line="480" w:lineRule="auto"/>
        <w:ind w:firstLine="360"/>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 xml:space="preserve">A factor analysis was conducted to reduce the abundant wording and unify ideas that are closely related. Generally, factor analysis is called also band analysis which includes related case grouping. It is usually, the process of grouping association variables into larger dimensions. In this sense, there is a classifying process of the constructs and hidden variables. The purpose of using factor analysis statistics was to decrease the abundant discrete statements into a smaller number of inclusive dimensions (Statistical Methods and Data Analytics, 2021). Based on the factor analysis results, the 27 school quality items were reduced to three main dimensions: school culture, school resources, and cost of school. Furthermore, the number of the total items decreased from 27 to 18. School culture had six items where the loading ranging changed from 0.888 to 0.977. School resources items decreased to six, while the loading range changed from 0.944 to 0.981. School quality is represented by teachers and teaching, which was reduced to four items and the loading range from 0.936 to 0.974. Regarding school cost, nine questions were reduced to one factor including six items and the loading ranging decreased from 0.991 to 0966. </w:t>
      </w:r>
    </w:p>
    <w:p w14:paraId="13557F0D" w14:textId="77777777" w:rsidR="00626F3C" w:rsidRPr="00BB6978" w:rsidRDefault="00626F3C" w:rsidP="00701002">
      <w:pPr>
        <w:autoSpaceDE w:val="0"/>
        <w:autoSpaceDN w:val="0"/>
        <w:adjustRightInd w:val="0"/>
        <w:spacing w:after="68" w:line="480" w:lineRule="auto"/>
        <w:ind w:firstLine="360"/>
        <w:jc w:val="both"/>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 xml:space="preserve">Primary and secondary sources of data were used to collect the data. </w:t>
      </w:r>
      <w:r w:rsidR="00701002" w:rsidRPr="00BB6978">
        <w:rPr>
          <w:rFonts w:ascii="Times New Roman" w:eastAsia="Times New Roman" w:hAnsi="Times New Roman" w:cs="Times New Roman"/>
          <w:sz w:val="24"/>
          <w:szCs w:val="24"/>
        </w:rPr>
        <w:t xml:space="preserve">The primary data were collected through the survey. </w:t>
      </w:r>
      <w:r w:rsidRPr="00BB6978">
        <w:rPr>
          <w:rFonts w:ascii="Times New Roman" w:eastAsia="Times New Roman" w:hAnsi="Times New Roman" w:cs="Times New Roman"/>
          <w:sz w:val="24"/>
          <w:szCs w:val="24"/>
        </w:rPr>
        <w:t xml:space="preserve">The secondary data were extracted from websites, books journal, and articles related to the </w:t>
      </w:r>
      <w:r w:rsidR="00765F50" w:rsidRPr="00BB6978">
        <w:rPr>
          <w:rFonts w:ascii="Times New Roman" w:eastAsia="Times New Roman" w:hAnsi="Times New Roman" w:cs="Times New Roman"/>
          <w:sz w:val="24"/>
          <w:szCs w:val="24"/>
        </w:rPr>
        <w:t>topic. These secondary sources were used to provide background information and contextualize the study. Literature review was conducted to identify and synthesize relevant studies, theories, and models related to the topic. The literature review also helped develop the survey questionnaire and to interpret the results of the study. The content analysis of the secondary data helped identify key concepts and to validate the findings of the study. For example: In the study on private school costs and student achievement in Abu Dhabi, secondary sources such as reports and articles from ADEK provided important background information on the education system in the region, including policies related to private schools and trends in student achievement. These secondary sources also offered insights into the factors that may affect student achievement, such as teacher qualifications and classroom resources.</w:t>
      </w:r>
      <w:r w:rsidR="00701002" w:rsidRPr="00BB6978">
        <w:rPr>
          <w:rFonts w:ascii="Times New Roman" w:eastAsia="Times New Roman" w:hAnsi="Times New Roman" w:cs="Times New Roman"/>
          <w:sz w:val="24"/>
          <w:szCs w:val="24"/>
        </w:rPr>
        <w:t xml:space="preserve"> </w:t>
      </w:r>
    </w:p>
    <w:p w14:paraId="51F7E2AC" w14:textId="77777777" w:rsidR="00E20E34" w:rsidRPr="00BB6978" w:rsidRDefault="00E20E34" w:rsidP="00E20E34">
      <w:pPr>
        <w:autoSpaceDE w:val="0"/>
        <w:autoSpaceDN w:val="0"/>
        <w:adjustRightInd w:val="0"/>
        <w:spacing w:after="68" w:line="480" w:lineRule="auto"/>
        <w:ind w:firstLine="360"/>
        <w:jc w:val="both"/>
        <w:rPr>
          <w:rFonts w:ascii="Times New Roman" w:eastAsia="Times New Roman" w:hAnsi="Times New Roman" w:cs="Times New Roman"/>
          <w:sz w:val="24"/>
          <w:szCs w:val="24"/>
          <w:lang w:val="en-US"/>
        </w:rPr>
      </w:pPr>
      <w:r w:rsidRPr="00BB6978">
        <w:rPr>
          <w:rFonts w:ascii="Times New Roman" w:eastAsia="Times New Roman" w:hAnsi="Times New Roman" w:cs="Times New Roman"/>
          <w:sz w:val="24"/>
          <w:szCs w:val="24"/>
          <w:lang w:val="en-US"/>
        </w:rPr>
        <w:t>The study employed a quantitative approach that utilized a range of data analysis techniques, namely descriptive statistics</w:t>
      </w:r>
      <w:r w:rsidR="00701002" w:rsidRPr="00BB6978">
        <w:rPr>
          <w:rFonts w:ascii="Times New Roman" w:eastAsia="Times New Roman" w:hAnsi="Times New Roman" w:cs="Times New Roman"/>
          <w:sz w:val="24"/>
          <w:szCs w:val="24"/>
          <w:lang w:val="en-US"/>
        </w:rPr>
        <w:t xml:space="preserve"> and </w:t>
      </w:r>
      <w:r w:rsidRPr="00BB6978">
        <w:rPr>
          <w:rFonts w:ascii="Times New Roman" w:eastAsia="Times New Roman" w:hAnsi="Times New Roman" w:cs="Times New Roman"/>
          <w:sz w:val="24"/>
          <w:szCs w:val="24"/>
          <w:lang w:val="en-US"/>
        </w:rPr>
        <w:t>inferential statistics</w:t>
      </w:r>
      <w:r w:rsidR="00701002" w:rsidRPr="00BB6978">
        <w:rPr>
          <w:rFonts w:ascii="Times New Roman" w:eastAsia="Times New Roman" w:hAnsi="Times New Roman" w:cs="Times New Roman"/>
          <w:sz w:val="24"/>
          <w:szCs w:val="24"/>
          <w:lang w:val="en-US"/>
        </w:rPr>
        <w:t xml:space="preserve"> including linear</w:t>
      </w:r>
      <w:r w:rsidRPr="00BB6978">
        <w:rPr>
          <w:rFonts w:ascii="Times New Roman" w:eastAsia="Times New Roman" w:hAnsi="Times New Roman" w:cs="Times New Roman"/>
          <w:sz w:val="24"/>
          <w:szCs w:val="24"/>
          <w:lang w:val="en-US"/>
        </w:rPr>
        <w:t xml:space="preserve"> regression analysis, multiple regression, </w:t>
      </w:r>
      <w:r w:rsidR="00701002" w:rsidRPr="00BB6978">
        <w:rPr>
          <w:rFonts w:ascii="Times New Roman" w:eastAsia="Times New Roman" w:hAnsi="Times New Roman" w:cs="Times New Roman"/>
          <w:sz w:val="24"/>
          <w:szCs w:val="24"/>
          <w:lang w:val="en-US"/>
        </w:rPr>
        <w:t xml:space="preserve">hierarchical regression analysis, </w:t>
      </w:r>
      <w:r w:rsidRPr="00BB6978">
        <w:rPr>
          <w:rFonts w:ascii="Times New Roman" w:eastAsia="Times New Roman" w:hAnsi="Times New Roman" w:cs="Times New Roman"/>
          <w:sz w:val="24"/>
          <w:szCs w:val="24"/>
          <w:lang w:val="en-US"/>
        </w:rPr>
        <w:t xml:space="preserve">factor analysis, and structural equation modeling (SEM). Although these methods offered a thorough examination of the data, alternative research strategies could have been employed to explore the same issue. For instance, qualitative research could have been employed to analyze textual data such as open-ended survey responses or interview transcripts. Mixed-methods research could have been considered to provide a more in-depth understanding of the topic, and comparative research could have been utilized to identify similarities and differences. Nevertheless, considering the research question, available resources, sample size, timeframe, and limitations, the researcher opted for a quantitative </w:t>
      </w:r>
      <w:r w:rsidR="00701002" w:rsidRPr="00BB6978">
        <w:rPr>
          <w:rFonts w:ascii="Times New Roman" w:eastAsia="Times New Roman" w:hAnsi="Times New Roman" w:cs="Times New Roman"/>
          <w:sz w:val="24"/>
          <w:szCs w:val="24"/>
          <w:lang w:val="en-US"/>
        </w:rPr>
        <w:t xml:space="preserve">approach. </w:t>
      </w:r>
      <w:r w:rsidR="00B02DE2" w:rsidRPr="00BB6978">
        <w:rPr>
          <w:rFonts w:ascii="Times New Roman" w:eastAsia="Times New Roman" w:hAnsi="Times New Roman" w:cs="Times New Roman"/>
          <w:sz w:val="24"/>
          <w:szCs w:val="24"/>
          <w:lang w:val="en-US"/>
        </w:rPr>
        <w:t>In addition to that, this study tackled the relationship between school cost, school quality and students’ achievement from the parents’ perspectives and experiences; this could be a</w:t>
      </w:r>
      <w:r w:rsidR="003918DE" w:rsidRPr="00BB6978">
        <w:rPr>
          <w:rFonts w:ascii="Times New Roman" w:eastAsia="Times New Roman" w:hAnsi="Times New Roman" w:cs="Times New Roman"/>
          <w:sz w:val="24"/>
          <w:szCs w:val="24"/>
          <w:lang w:val="en-US"/>
        </w:rPr>
        <w:t>n</w:t>
      </w:r>
      <w:r w:rsidR="00B02DE2" w:rsidRPr="00BB6978">
        <w:rPr>
          <w:rFonts w:ascii="Times New Roman" w:eastAsia="Times New Roman" w:hAnsi="Times New Roman" w:cs="Times New Roman"/>
          <w:sz w:val="24"/>
          <w:szCs w:val="24"/>
          <w:lang w:val="en-US"/>
        </w:rPr>
        <w:t xml:space="preserve"> addition to the literature since most of the studies addressed the same notion from the students’ and teachers’ perspectives only although parents’ views should be considered. </w:t>
      </w:r>
    </w:p>
    <w:p w14:paraId="2DBFCF3B" w14:textId="77777777" w:rsidR="00161F8B" w:rsidRPr="00BB6978" w:rsidRDefault="00161F8B" w:rsidP="00626F3C">
      <w:pPr>
        <w:pStyle w:val="Heading1"/>
        <w:rPr>
          <w:rFonts w:asciiTheme="majorBidi" w:eastAsia="Times New Roman" w:hAnsiTheme="majorBidi"/>
          <w:color w:val="auto"/>
          <w:sz w:val="24"/>
          <w:szCs w:val="24"/>
        </w:rPr>
      </w:pPr>
      <w:bookmarkStart w:id="115" w:name="_Toc138239808"/>
      <w:r w:rsidRPr="00BB6978">
        <w:rPr>
          <w:rFonts w:asciiTheme="majorBidi" w:eastAsia="Times New Roman" w:hAnsiTheme="majorBidi"/>
          <w:color w:val="auto"/>
          <w:sz w:val="24"/>
          <w:szCs w:val="24"/>
        </w:rPr>
        <w:t>3.5 Data collection</w:t>
      </w:r>
      <w:bookmarkEnd w:id="106"/>
      <w:bookmarkEnd w:id="113"/>
      <w:bookmarkEnd w:id="114"/>
      <w:bookmarkEnd w:id="115"/>
    </w:p>
    <w:p w14:paraId="327DCFBE" w14:textId="77777777" w:rsidR="00EC0FD3" w:rsidRPr="00BB6978" w:rsidRDefault="00EC0FD3" w:rsidP="00EC0FD3"/>
    <w:p w14:paraId="1F97868A" w14:textId="77777777" w:rsidR="00471CC1" w:rsidRPr="00BB6978" w:rsidRDefault="00471CC1" w:rsidP="00471CC1">
      <w:pPr>
        <w:spacing w:after="68" w:line="480" w:lineRule="auto"/>
        <w:ind w:firstLine="357"/>
        <w:jc w:val="both"/>
        <w:rPr>
          <w:rFonts w:ascii="Times New Roman" w:eastAsia="Calibri" w:hAnsi="Times New Roman" w:cs="Times New Roman"/>
          <w:sz w:val="24"/>
          <w:szCs w:val="24"/>
        </w:rPr>
      </w:pPr>
      <w:bookmarkStart w:id="116" w:name="_Hlk60856045"/>
      <w:bookmarkStart w:id="117" w:name="_Toc64369135"/>
      <w:bookmarkStart w:id="118" w:name="_Toc96103759"/>
      <w:r w:rsidRPr="00BB6978">
        <w:rPr>
          <w:rFonts w:ascii="Times New Roman" w:eastAsia="Calibri" w:hAnsi="Times New Roman" w:cs="Times New Roman"/>
          <w:sz w:val="24"/>
          <w:szCs w:val="24"/>
        </w:rPr>
        <w:t xml:space="preserve">Before collecting data, the researcher issued the documents related to permission of conducting the study. Approval was obtained from the Institutional Review Board (IRB) of Abu Dhabi University (ADU) on August 5, 2020. The IRB application requests information on the subjects, study, objectives, and the signature of the researcher and advisors. The study was carried out in Abu Dhabi, the capital city of UAE, and targeted parents who are the main customers of private schools. </w:t>
      </w:r>
    </w:p>
    <w:p w14:paraId="13111FCC" w14:textId="77777777" w:rsidR="00471CC1" w:rsidRPr="00BB6978" w:rsidRDefault="00471CC1" w:rsidP="00471CC1">
      <w:pPr>
        <w:spacing w:after="68" w:line="480" w:lineRule="auto"/>
        <w:ind w:firstLine="357"/>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 xml:space="preserve">Using a survey is a less costly and fast method of collecting data (Blumberg, Cooper, &amp; Schindler, 2014). Several steps were taken to ensure the consistency of research design with the research objectives. First, the most recent data on Abu Dhabi schools were gathered, including general statistics such as number of schools, students, teachers, etc. Furthermore, an Excel sheet with each school name, cost, and latest ranking by ADEK was developed. This data suggested the association between cost and quality. Finally, data from PISA on the UAE students’ achievement were gathered. </w:t>
      </w:r>
    </w:p>
    <w:p w14:paraId="12FD896A" w14:textId="77777777" w:rsidR="00471CC1" w:rsidRPr="00BB6978" w:rsidRDefault="00471CC1" w:rsidP="00471CC1">
      <w:pPr>
        <w:spacing w:after="68" w:line="480" w:lineRule="auto"/>
        <w:ind w:firstLine="357"/>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 xml:space="preserve">The online survey was then administered. The statements of the survey were organized and presented using the application "Monkey Survey". The survey was shared with all Abu Dhabi private schools with requests to share it with parents. Many schools reported that this is going to be challenging especially as 2020 was the year of COVID-19 where all students started online learning. Schools shared the survey link along with a letter via an email to all students’ parents. The researcher and schools had no control over who participated as it was voluntary. Since parents were having many </w:t>
      </w:r>
      <w:bookmarkEnd w:id="116"/>
      <w:r w:rsidRPr="00BB6978">
        <w:rPr>
          <w:rFonts w:ascii="Times New Roman" w:eastAsia="Calibri" w:hAnsi="Times New Roman" w:cs="Times New Roman"/>
          <w:sz w:val="24"/>
          <w:szCs w:val="24"/>
        </w:rPr>
        <w:t xml:space="preserve">emails and communication during COVID-19, schools shared the email once with </w:t>
      </w:r>
      <w:bookmarkStart w:id="119" w:name="_Toc59692576"/>
      <w:r w:rsidRPr="00BB6978">
        <w:rPr>
          <w:rFonts w:ascii="Times New Roman" w:eastAsia="Calibri" w:hAnsi="Times New Roman" w:cs="Times New Roman"/>
          <w:sz w:val="24"/>
          <w:szCs w:val="24"/>
        </w:rPr>
        <w:t xml:space="preserve">parents. The online survey estimated response time was 10 to 12 minutes, which is considered reasonable as the ideal survey length is considered to be between 10 to 20 minutes (Revilla &amp; Ochoa, 2017). </w:t>
      </w:r>
    </w:p>
    <w:p w14:paraId="238D52BE" w14:textId="77777777" w:rsidR="00161F8B" w:rsidRPr="00BB6978" w:rsidRDefault="00161F8B" w:rsidP="00161F8B">
      <w:pPr>
        <w:pStyle w:val="Heading1"/>
        <w:rPr>
          <w:rFonts w:asciiTheme="majorBidi" w:eastAsia="Times New Roman" w:hAnsiTheme="majorBidi"/>
          <w:b w:val="0"/>
          <w:bCs w:val="0"/>
          <w:color w:val="auto"/>
          <w:sz w:val="24"/>
          <w:szCs w:val="24"/>
        </w:rPr>
      </w:pPr>
      <w:bookmarkStart w:id="120" w:name="_Toc138239809"/>
      <w:bookmarkEnd w:id="119"/>
      <w:r w:rsidRPr="00BB6978">
        <w:rPr>
          <w:rFonts w:asciiTheme="majorBidi" w:eastAsia="Times New Roman" w:hAnsiTheme="majorBidi"/>
          <w:color w:val="auto"/>
          <w:sz w:val="24"/>
          <w:szCs w:val="24"/>
        </w:rPr>
        <w:t xml:space="preserve">3.6 Statistical </w:t>
      </w:r>
      <w:r w:rsidR="00486434" w:rsidRPr="00BB6978">
        <w:rPr>
          <w:rFonts w:asciiTheme="majorBidi" w:eastAsia="Times New Roman" w:hAnsiTheme="majorBidi"/>
          <w:color w:val="auto"/>
          <w:sz w:val="24"/>
          <w:szCs w:val="24"/>
        </w:rPr>
        <w:t>d</w:t>
      </w:r>
      <w:r w:rsidRPr="00BB6978">
        <w:rPr>
          <w:rFonts w:asciiTheme="majorBidi" w:eastAsia="Times New Roman" w:hAnsiTheme="majorBidi"/>
          <w:color w:val="auto"/>
          <w:sz w:val="24"/>
          <w:szCs w:val="24"/>
        </w:rPr>
        <w:t xml:space="preserve">ata </w:t>
      </w:r>
      <w:r w:rsidR="00486434" w:rsidRPr="00BB6978">
        <w:rPr>
          <w:rFonts w:asciiTheme="majorBidi" w:eastAsia="Times New Roman" w:hAnsiTheme="majorBidi"/>
          <w:color w:val="auto"/>
          <w:sz w:val="24"/>
          <w:szCs w:val="24"/>
        </w:rPr>
        <w:t>a</w:t>
      </w:r>
      <w:r w:rsidRPr="00BB6978">
        <w:rPr>
          <w:rFonts w:asciiTheme="majorBidi" w:eastAsia="Times New Roman" w:hAnsiTheme="majorBidi"/>
          <w:color w:val="auto"/>
          <w:sz w:val="24"/>
          <w:szCs w:val="24"/>
        </w:rPr>
        <w:t>nalysis</w:t>
      </w:r>
      <w:bookmarkEnd w:id="117"/>
      <w:bookmarkEnd w:id="118"/>
      <w:bookmarkEnd w:id="120"/>
    </w:p>
    <w:p w14:paraId="7FAC1571" w14:textId="77777777" w:rsidR="000A39F4" w:rsidRPr="00BB6978" w:rsidRDefault="000A39F4" w:rsidP="002243F0">
      <w:pPr>
        <w:spacing w:after="68" w:line="480" w:lineRule="auto"/>
        <w:ind w:firstLine="357"/>
        <w:jc w:val="both"/>
        <w:rPr>
          <w:rFonts w:ascii="Times New Roman" w:eastAsia="Calibri" w:hAnsi="Times New Roman" w:cs="Times New Roman"/>
          <w:sz w:val="24"/>
          <w:szCs w:val="24"/>
        </w:rPr>
      </w:pPr>
      <w:bookmarkStart w:id="121" w:name="_Toc96103760"/>
    </w:p>
    <w:p w14:paraId="07BF88C4" w14:textId="77777777" w:rsidR="002A0D47" w:rsidRPr="00BB6978" w:rsidRDefault="002243F0" w:rsidP="002243F0">
      <w:pPr>
        <w:spacing w:after="68" w:line="480" w:lineRule="auto"/>
        <w:ind w:firstLine="357"/>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 xml:space="preserve">A total of 400 responses to the survey were collected from parents whose children are studying in the private schools of Abu Dhabi. The data was initially entered into an Excel sheet and then converted to SPSS. </w:t>
      </w:r>
      <w:r w:rsidR="002A0D47" w:rsidRPr="00BB6978">
        <w:rPr>
          <w:rFonts w:ascii="Times New Roman" w:eastAsia="Calibri" w:hAnsi="Times New Roman" w:cs="Times New Roman"/>
          <w:sz w:val="24"/>
          <w:szCs w:val="24"/>
        </w:rPr>
        <w:t xml:space="preserve">The data analysis process went through several stages. </w:t>
      </w:r>
    </w:p>
    <w:p w14:paraId="59EE6C4B" w14:textId="77777777" w:rsidR="002A0D47" w:rsidRPr="00BB6978" w:rsidRDefault="002A0D47" w:rsidP="002243F0">
      <w:pPr>
        <w:spacing w:after="68" w:line="480" w:lineRule="auto"/>
        <w:ind w:firstLine="357"/>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 xml:space="preserve">The first step is testing the data whether it is satisfying for the factor analysis or not by conducting Kaiser-Meyer-Olkin (KMO) and Bartlett's tests. Then these analyses are followed by the multicollinearity influence on the study variables and the value of skewness and VIF (Variance Inflation Factor), </w:t>
      </w:r>
      <w:r w:rsidR="006A6F3D" w:rsidRPr="00BB6978">
        <w:rPr>
          <w:rFonts w:ascii="Times New Roman" w:eastAsia="Calibri" w:hAnsi="Times New Roman" w:cs="Times New Roman"/>
          <w:sz w:val="24"/>
          <w:szCs w:val="24"/>
        </w:rPr>
        <w:t>which were</w:t>
      </w:r>
      <w:r w:rsidRPr="00BB6978">
        <w:rPr>
          <w:rFonts w:ascii="Times New Roman" w:eastAsia="Calibri" w:hAnsi="Times New Roman" w:cs="Times New Roman"/>
          <w:sz w:val="24"/>
          <w:szCs w:val="24"/>
        </w:rPr>
        <w:t xml:space="preserve"> measured to check whether the data</w:t>
      </w:r>
      <w:r w:rsidR="00FA240E" w:rsidRPr="00BB6978">
        <w:rPr>
          <w:rFonts w:ascii="Times New Roman" w:eastAsia="Calibri" w:hAnsi="Times New Roman" w:cs="Times New Roman"/>
          <w:sz w:val="24"/>
          <w:szCs w:val="24"/>
        </w:rPr>
        <w:t xml:space="preserve"> set</w:t>
      </w:r>
      <w:r w:rsidRPr="00BB6978">
        <w:rPr>
          <w:rFonts w:ascii="Times New Roman" w:eastAsia="Calibri" w:hAnsi="Times New Roman" w:cs="Times New Roman"/>
          <w:sz w:val="24"/>
          <w:szCs w:val="24"/>
        </w:rPr>
        <w:t xml:space="preserve"> are in the normal range or not.  </w:t>
      </w:r>
    </w:p>
    <w:p w14:paraId="2ABD4FB7" w14:textId="77777777" w:rsidR="006A6F3D" w:rsidRPr="00BB6978" w:rsidRDefault="006A6F3D" w:rsidP="002243F0">
      <w:pPr>
        <w:spacing w:after="68" w:line="480" w:lineRule="auto"/>
        <w:ind w:firstLine="357"/>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 xml:space="preserve">The second step is the factor analysis; it has been employed to simplify, summarize and reduce the number of items included in the survey by categorizing them under main dimensions. For </w:t>
      </w:r>
      <w:r w:rsidR="00AE10CF" w:rsidRPr="00BB6978">
        <w:rPr>
          <w:rFonts w:ascii="Times New Roman" w:eastAsia="Calibri" w:hAnsi="Times New Roman" w:cs="Times New Roman"/>
          <w:sz w:val="24"/>
          <w:szCs w:val="24"/>
        </w:rPr>
        <w:t>example,</w:t>
      </w:r>
      <w:r w:rsidRPr="00BB6978">
        <w:rPr>
          <w:rFonts w:ascii="Times New Roman" w:eastAsia="Calibri" w:hAnsi="Times New Roman" w:cs="Times New Roman"/>
          <w:sz w:val="24"/>
          <w:szCs w:val="24"/>
        </w:rPr>
        <w:t xml:space="preserve"> the items of school quality were categorized under three main dimensions:  Teachers and Teaching, School Culture and School Resources.  </w:t>
      </w:r>
    </w:p>
    <w:p w14:paraId="3BA7EA7C" w14:textId="77777777" w:rsidR="00AE10CF" w:rsidRPr="00BB6978" w:rsidRDefault="00AE10CF" w:rsidP="00151526">
      <w:pPr>
        <w:spacing w:after="68" w:line="480" w:lineRule="auto"/>
        <w:ind w:firstLine="357"/>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 xml:space="preserve">The third step is testing hypotheses by using descriptive and inferential statistics including linear regression analysis to find out the relationship between the independent and dependent variables. As Noel (2018) alluded that the main target for using regression analysis is to understand the type of relationship between dependent and interdependent variables, and how a </w:t>
      </w:r>
      <w:r w:rsidR="005D0213" w:rsidRPr="00BB6978">
        <w:rPr>
          <w:rFonts w:ascii="Times New Roman" w:eastAsia="Calibri" w:hAnsi="Times New Roman" w:cs="Times New Roman"/>
          <w:sz w:val="24"/>
          <w:szCs w:val="24"/>
        </w:rPr>
        <w:t>dependent variable can change</w:t>
      </w:r>
      <w:r w:rsidRPr="00BB6978">
        <w:rPr>
          <w:rFonts w:ascii="Times New Roman" w:eastAsia="Calibri" w:hAnsi="Times New Roman" w:cs="Times New Roman"/>
          <w:sz w:val="24"/>
          <w:szCs w:val="24"/>
        </w:rPr>
        <w:t xml:space="preserve"> when the independent variable(s) change. Then a hierarchical regression analysis has bee</w:t>
      </w:r>
      <w:r w:rsidR="005D0213" w:rsidRPr="00BB6978">
        <w:rPr>
          <w:rFonts w:ascii="Times New Roman" w:eastAsia="Calibri" w:hAnsi="Times New Roman" w:cs="Times New Roman"/>
          <w:sz w:val="24"/>
          <w:szCs w:val="24"/>
        </w:rPr>
        <w:t>n</w:t>
      </w:r>
      <w:r w:rsidRPr="00BB6978">
        <w:rPr>
          <w:rFonts w:ascii="Times New Roman" w:eastAsia="Calibri" w:hAnsi="Times New Roman" w:cs="Times New Roman"/>
          <w:sz w:val="24"/>
          <w:szCs w:val="24"/>
        </w:rPr>
        <w:t xml:space="preserve"> employed to examine the mediation relationship among variables. Finally, to test the moderation relationships among variables, data split was used to identify the strength of the relationship caused by which classification of parents’ socioeconomic factors. Based on that a multiple regression can easily be applied to identify the exact moderation relationship among the classification. As </w:t>
      </w:r>
      <w:r w:rsidR="00141CB0" w:rsidRPr="00BB6978">
        <w:rPr>
          <w:rFonts w:ascii="Times New Roman" w:eastAsia="Calibri" w:hAnsi="Times New Roman" w:cs="Times New Roman"/>
          <w:sz w:val="24"/>
          <w:szCs w:val="24"/>
        </w:rPr>
        <w:t xml:space="preserve">Bevans (2020) Indicated that multiple regression serves in </w:t>
      </w:r>
      <w:r w:rsidRPr="00BB6978">
        <w:rPr>
          <w:rFonts w:ascii="Times New Roman" w:eastAsia="Calibri" w:hAnsi="Times New Roman" w:cs="Times New Roman"/>
          <w:sz w:val="24"/>
          <w:szCs w:val="24"/>
        </w:rPr>
        <w:t>reveal</w:t>
      </w:r>
      <w:r w:rsidR="00141CB0" w:rsidRPr="00BB6978">
        <w:rPr>
          <w:rFonts w:ascii="Times New Roman" w:eastAsia="Calibri" w:hAnsi="Times New Roman" w:cs="Times New Roman"/>
          <w:sz w:val="24"/>
          <w:szCs w:val="24"/>
        </w:rPr>
        <w:t>ing</w:t>
      </w:r>
      <w:r w:rsidRPr="00BB6978">
        <w:rPr>
          <w:rFonts w:ascii="Times New Roman" w:eastAsia="Calibri" w:hAnsi="Times New Roman" w:cs="Times New Roman"/>
          <w:sz w:val="24"/>
          <w:szCs w:val="24"/>
        </w:rPr>
        <w:t xml:space="preserve"> the strength of the relationship between variables, and how the dependent variable changes as the independent variables change</w:t>
      </w:r>
      <w:r w:rsidR="00141CB0" w:rsidRPr="00BB6978">
        <w:rPr>
          <w:rFonts w:ascii="Times New Roman" w:eastAsia="Calibri" w:hAnsi="Times New Roman" w:cs="Times New Roman"/>
          <w:sz w:val="24"/>
          <w:szCs w:val="24"/>
        </w:rPr>
        <w:t>.</w:t>
      </w:r>
      <w:r w:rsidR="00141CB0" w:rsidRPr="00BB6978">
        <w:t xml:space="preserve"> </w:t>
      </w:r>
    </w:p>
    <w:p w14:paraId="33DB6A12" w14:textId="77777777" w:rsidR="002243F0" w:rsidRPr="00BB6978" w:rsidRDefault="00151526" w:rsidP="00151526">
      <w:pPr>
        <w:spacing w:after="68" w:line="480" w:lineRule="auto"/>
        <w:ind w:firstLine="357"/>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Finally, to visually represent the relationship among variables, AMOS was used in which Structural Equation Modelling (S</w:t>
      </w:r>
      <w:r w:rsidR="002243F0" w:rsidRPr="00BB6978">
        <w:rPr>
          <w:rFonts w:ascii="Times New Roman" w:eastAsia="Calibri" w:hAnsi="Times New Roman" w:cs="Times New Roman"/>
          <w:sz w:val="24"/>
          <w:szCs w:val="24"/>
        </w:rPr>
        <w:t>EM</w:t>
      </w:r>
      <w:r w:rsidRPr="00BB6978">
        <w:rPr>
          <w:rFonts w:ascii="Times New Roman" w:eastAsia="Calibri" w:hAnsi="Times New Roman" w:cs="Times New Roman"/>
          <w:sz w:val="24"/>
          <w:szCs w:val="24"/>
        </w:rPr>
        <w:t xml:space="preserve">) </w:t>
      </w:r>
      <w:r w:rsidR="002243F0" w:rsidRPr="00BB6978">
        <w:rPr>
          <w:rFonts w:ascii="Times New Roman" w:eastAsia="Calibri" w:hAnsi="Times New Roman" w:cs="Times New Roman"/>
          <w:sz w:val="24"/>
          <w:szCs w:val="24"/>
        </w:rPr>
        <w:t xml:space="preserve">was </w:t>
      </w:r>
      <w:r w:rsidRPr="00BB6978">
        <w:rPr>
          <w:rFonts w:ascii="Times New Roman" w:eastAsia="Calibri" w:hAnsi="Times New Roman" w:cs="Times New Roman"/>
          <w:sz w:val="24"/>
          <w:szCs w:val="24"/>
        </w:rPr>
        <w:t>deployed</w:t>
      </w:r>
      <w:r w:rsidR="002243F0" w:rsidRPr="00BB6978">
        <w:rPr>
          <w:rFonts w:ascii="Times New Roman" w:eastAsia="Calibri" w:hAnsi="Times New Roman" w:cs="Times New Roman"/>
          <w:sz w:val="24"/>
          <w:szCs w:val="24"/>
        </w:rPr>
        <w:t xml:space="preserve"> to test and evaluate multivariate casual relationships. It is a powerful multivariate procedure which is recently being used more in scientific research as it examines the direct and indirect impacts on the relationships among the variables in detail (Fan et al., 2016).</w:t>
      </w:r>
    </w:p>
    <w:p w14:paraId="0380F1E9" w14:textId="77777777" w:rsidR="00161F8B" w:rsidRPr="00BB6978" w:rsidRDefault="00161F8B" w:rsidP="00161F8B">
      <w:pPr>
        <w:pStyle w:val="Heading1"/>
        <w:rPr>
          <w:rFonts w:asciiTheme="majorBidi" w:eastAsia="Times New Roman" w:hAnsiTheme="majorBidi"/>
          <w:b w:val="0"/>
          <w:bCs w:val="0"/>
          <w:color w:val="auto"/>
          <w:sz w:val="24"/>
          <w:szCs w:val="24"/>
        </w:rPr>
      </w:pPr>
      <w:bookmarkStart w:id="122" w:name="_Toc138239810"/>
      <w:r w:rsidRPr="00BB6978">
        <w:rPr>
          <w:rFonts w:asciiTheme="majorBidi" w:eastAsia="Times New Roman" w:hAnsiTheme="majorBidi"/>
          <w:color w:val="auto"/>
          <w:sz w:val="24"/>
          <w:szCs w:val="24"/>
        </w:rPr>
        <w:t xml:space="preserve">3.7 Validity and </w:t>
      </w:r>
      <w:r w:rsidR="00486434" w:rsidRPr="00BB6978">
        <w:rPr>
          <w:rFonts w:asciiTheme="majorBidi" w:eastAsia="Times New Roman" w:hAnsiTheme="majorBidi"/>
          <w:color w:val="auto"/>
          <w:sz w:val="24"/>
          <w:szCs w:val="24"/>
        </w:rPr>
        <w:t>r</w:t>
      </w:r>
      <w:r w:rsidRPr="00BB6978">
        <w:rPr>
          <w:rFonts w:asciiTheme="majorBidi" w:eastAsia="Times New Roman" w:hAnsiTheme="majorBidi"/>
          <w:color w:val="auto"/>
          <w:sz w:val="24"/>
          <w:szCs w:val="24"/>
        </w:rPr>
        <w:t xml:space="preserve">eliably of the </w:t>
      </w:r>
      <w:r w:rsidR="00486434" w:rsidRPr="00BB6978">
        <w:rPr>
          <w:rFonts w:asciiTheme="majorBidi" w:eastAsia="Times New Roman" w:hAnsiTheme="majorBidi"/>
          <w:color w:val="auto"/>
          <w:sz w:val="24"/>
          <w:szCs w:val="24"/>
        </w:rPr>
        <w:t>r</w:t>
      </w:r>
      <w:r w:rsidRPr="00BB6978">
        <w:rPr>
          <w:rFonts w:asciiTheme="majorBidi" w:eastAsia="Times New Roman" w:hAnsiTheme="majorBidi"/>
          <w:color w:val="auto"/>
          <w:sz w:val="24"/>
          <w:szCs w:val="24"/>
        </w:rPr>
        <w:t xml:space="preserve">esearch </w:t>
      </w:r>
      <w:r w:rsidR="00486434" w:rsidRPr="00BB6978">
        <w:rPr>
          <w:rFonts w:asciiTheme="majorBidi" w:eastAsia="Times New Roman" w:hAnsiTheme="majorBidi"/>
          <w:color w:val="auto"/>
          <w:sz w:val="24"/>
          <w:szCs w:val="24"/>
        </w:rPr>
        <w:t>i</w:t>
      </w:r>
      <w:r w:rsidRPr="00BB6978">
        <w:rPr>
          <w:rFonts w:asciiTheme="majorBidi" w:eastAsia="Times New Roman" w:hAnsiTheme="majorBidi"/>
          <w:color w:val="auto"/>
          <w:sz w:val="24"/>
          <w:szCs w:val="24"/>
        </w:rPr>
        <w:t>nstrument</w:t>
      </w:r>
      <w:bookmarkEnd w:id="121"/>
      <w:bookmarkEnd w:id="122"/>
      <w:r w:rsidRPr="00BB6978">
        <w:rPr>
          <w:rFonts w:asciiTheme="majorBidi" w:eastAsia="Times New Roman" w:hAnsiTheme="majorBidi"/>
          <w:color w:val="auto"/>
          <w:sz w:val="24"/>
          <w:szCs w:val="24"/>
        </w:rPr>
        <w:t xml:space="preserve"> </w:t>
      </w:r>
    </w:p>
    <w:p w14:paraId="04CD220F" w14:textId="77777777" w:rsidR="001B313B" w:rsidRPr="00BB6978" w:rsidRDefault="00161F8B" w:rsidP="001B313B">
      <w:pPr>
        <w:spacing w:after="68" w:line="480" w:lineRule="auto"/>
        <w:ind w:firstLine="357"/>
        <w:jc w:val="both"/>
        <w:rPr>
          <w:rFonts w:ascii="Times New Roman" w:eastAsia="Times New Roman" w:hAnsi="Times New Roman" w:cs="Times New Roman"/>
          <w:b/>
          <w:sz w:val="24"/>
          <w:szCs w:val="26"/>
        </w:rPr>
      </w:pPr>
      <w:r w:rsidRPr="00BB6978">
        <w:rPr>
          <w:rFonts w:ascii="Times New Roman" w:eastAsia="Times New Roman" w:hAnsi="Times New Roman" w:cs="Times New Roman"/>
          <w:b/>
          <w:sz w:val="24"/>
          <w:szCs w:val="26"/>
        </w:rPr>
        <w:tab/>
      </w:r>
    </w:p>
    <w:p w14:paraId="4CA04595" w14:textId="77777777" w:rsidR="001B313B" w:rsidRPr="00BB6978" w:rsidRDefault="001B313B" w:rsidP="001B313B">
      <w:pPr>
        <w:spacing w:after="68" w:line="480" w:lineRule="auto"/>
        <w:ind w:firstLine="357"/>
        <w:jc w:val="both"/>
        <w:rPr>
          <w:rFonts w:ascii="Times New Roman" w:eastAsia="Times New Roman" w:hAnsi="Times New Roman" w:cs="Times New Roman"/>
          <w:bCs/>
          <w:sz w:val="24"/>
          <w:szCs w:val="26"/>
        </w:rPr>
      </w:pPr>
      <w:r w:rsidRPr="00BB6978">
        <w:rPr>
          <w:rFonts w:ascii="Times New Roman" w:eastAsia="Times New Roman" w:hAnsi="Times New Roman" w:cs="Times New Roman"/>
          <w:bCs/>
          <w:sz w:val="24"/>
          <w:szCs w:val="26"/>
        </w:rPr>
        <w:t xml:space="preserve">The main instrument used to gather quantitative data was the online survey. This survey was originally based on the MCIEA framework as its more comprehensive in measuring inputs and outcomes. As it is meant to be distributed for teachers and students, it was appropriately modified for parents. These adaptations were likely to be valid as the original instrument was valid. Nevertheless, the newly developed version evaluated by a panel of experts for its form (language) and content (its relation to the purpose of this study). The experts' feedback was then </w:t>
      </w:r>
      <w:r w:rsidR="00E613E9" w:rsidRPr="00BB6978">
        <w:rPr>
          <w:rFonts w:ascii="Times New Roman" w:eastAsia="Times New Roman" w:hAnsi="Times New Roman" w:cs="Times New Roman"/>
          <w:bCs/>
          <w:sz w:val="24"/>
          <w:szCs w:val="26"/>
        </w:rPr>
        <w:t>incorporated,</w:t>
      </w:r>
      <w:r w:rsidRPr="00BB6978">
        <w:rPr>
          <w:rFonts w:ascii="Times New Roman" w:eastAsia="Times New Roman" w:hAnsi="Times New Roman" w:cs="Times New Roman"/>
          <w:bCs/>
          <w:sz w:val="24"/>
          <w:szCs w:val="26"/>
        </w:rPr>
        <w:t xml:space="preserve"> and the survey was modified accordingly. </w:t>
      </w:r>
      <w:r w:rsidR="00E613E9" w:rsidRPr="00BB6978">
        <w:rPr>
          <w:rFonts w:ascii="Times New Roman" w:eastAsia="Times New Roman" w:hAnsi="Times New Roman" w:cs="Times New Roman"/>
          <w:bCs/>
          <w:sz w:val="24"/>
          <w:szCs w:val="26"/>
        </w:rPr>
        <w:t xml:space="preserve">Based on that content validity of the survey was established. </w:t>
      </w:r>
    </w:p>
    <w:p w14:paraId="3B9A3E72" w14:textId="77777777" w:rsidR="001B313B" w:rsidRPr="00BB6978" w:rsidRDefault="001B313B" w:rsidP="001B313B">
      <w:pPr>
        <w:spacing w:after="68" w:line="480" w:lineRule="auto"/>
        <w:ind w:firstLine="357"/>
        <w:jc w:val="both"/>
        <w:rPr>
          <w:rFonts w:ascii="Times New Roman" w:eastAsia="Times New Roman" w:hAnsi="Times New Roman" w:cs="Times New Roman"/>
          <w:bCs/>
          <w:sz w:val="24"/>
          <w:szCs w:val="26"/>
        </w:rPr>
      </w:pPr>
      <w:r w:rsidRPr="00BB6978">
        <w:rPr>
          <w:rFonts w:ascii="Times New Roman" w:eastAsia="Times New Roman" w:hAnsi="Times New Roman" w:cs="Times New Roman"/>
          <w:bCs/>
          <w:sz w:val="24"/>
          <w:szCs w:val="26"/>
        </w:rPr>
        <w:t>To establish the reliability of the research instrument, the Cronbach alpha values were computed using SPSS. The Cronbach's alpha values for school cost, school quality, teachers and teaching, school culture, school resources, and student outcomes are 0.993, 0.937, 0.981, 0.994, 0.99, and 0.95, respectively. Thus, these factors are highly reliable.</w:t>
      </w:r>
    </w:p>
    <w:p w14:paraId="275A62AC" w14:textId="77777777" w:rsidR="00161F8B" w:rsidRPr="00BB6978" w:rsidRDefault="00CC0AFE" w:rsidP="007F58DC">
      <w:pPr>
        <w:pStyle w:val="Caption"/>
        <w:rPr>
          <w:u w:val="single"/>
        </w:rPr>
      </w:pPr>
      <w:bookmarkStart w:id="123" w:name="_Toc134452489"/>
      <w:r w:rsidRPr="00BB6978">
        <w:t xml:space="preserve">Table </w:t>
      </w:r>
      <w:r w:rsidRPr="00BB6978">
        <w:fldChar w:fldCharType="begin"/>
      </w:r>
      <w:r w:rsidRPr="00BB6978">
        <w:instrText xml:space="preserve"> SEQ Table \* ARABIC </w:instrText>
      </w:r>
      <w:r w:rsidRPr="00BB6978">
        <w:fldChar w:fldCharType="separate"/>
      </w:r>
      <w:r w:rsidR="00131282" w:rsidRPr="00BB6978">
        <w:rPr>
          <w:noProof/>
        </w:rPr>
        <w:t>5</w:t>
      </w:r>
      <w:r w:rsidRPr="00BB6978">
        <w:rPr>
          <w:noProof/>
        </w:rPr>
        <w:fldChar w:fldCharType="end"/>
      </w:r>
      <w:r w:rsidR="00161F8B" w:rsidRPr="00BB6978">
        <w:t xml:space="preserve">: Reliability </w:t>
      </w:r>
      <w:r w:rsidR="002B27E7" w:rsidRPr="00BB6978">
        <w:t>a</w:t>
      </w:r>
      <w:r w:rsidR="00161F8B" w:rsidRPr="00BB6978">
        <w:t xml:space="preserve">nalysis for the </w:t>
      </w:r>
      <w:r w:rsidR="00486434" w:rsidRPr="00BB6978">
        <w:t>s</w:t>
      </w:r>
      <w:r w:rsidR="00161F8B" w:rsidRPr="00BB6978">
        <w:t xml:space="preserve">tudy </w:t>
      </w:r>
      <w:r w:rsidR="00486434" w:rsidRPr="00BB6978">
        <w:t>v</w:t>
      </w:r>
      <w:r w:rsidR="00161F8B" w:rsidRPr="00BB6978">
        <w:t>ariables</w:t>
      </w:r>
      <w:bookmarkEnd w:id="123"/>
      <w:r w:rsidR="00161F8B" w:rsidRPr="00BB6978">
        <w:t xml:space="preserve"> </w:t>
      </w:r>
    </w:p>
    <w:tbl>
      <w:tblPr>
        <w:tblW w:w="4800" w:type="pct"/>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2830"/>
        <w:gridCol w:w="1070"/>
        <w:gridCol w:w="803"/>
        <w:gridCol w:w="1417"/>
        <w:gridCol w:w="1163"/>
      </w:tblGrid>
      <w:tr w:rsidR="00073A16" w:rsidRPr="00BB6978" w14:paraId="50DB55CF" w14:textId="77777777" w:rsidTr="00722A67">
        <w:trPr>
          <w:trHeight w:val="300"/>
        </w:trPr>
        <w:tc>
          <w:tcPr>
            <w:tcW w:w="2290" w:type="pct"/>
            <w:tcBorders>
              <w:top w:val="single" w:sz="4" w:space="0" w:color="auto"/>
              <w:bottom w:val="single" w:sz="4" w:space="0" w:color="auto"/>
            </w:tcBorders>
            <w:shd w:val="clear" w:color="auto" w:fill="auto"/>
            <w:tcMar>
              <w:top w:w="0" w:type="dxa"/>
              <w:left w:w="108" w:type="dxa"/>
              <w:bottom w:w="0" w:type="dxa"/>
              <w:right w:w="108" w:type="dxa"/>
            </w:tcMar>
            <w:vAlign w:val="bottom"/>
            <w:hideMark/>
          </w:tcPr>
          <w:p w14:paraId="5188305B"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 </w:t>
            </w:r>
          </w:p>
        </w:tc>
        <w:tc>
          <w:tcPr>
            <w:tcW w:w="708" w:type="pct"/>
            <w:tcBorders>
              <w:top w:val="single" w:sz="4" w:space="0" w:color="auto"/>
              <w:bottom w:val="single" w:sz="4" w:space="0" w:color="auto"/>
            </w:tcBorders>
            <w:shd w:val="clear" w:color="auto" w:fill="auto"/>
            <w:tcMar>
              <w:top w:w="0" w:type="dxa"/>
              <w:left w:w="108" w:type="dxa"/>
              <w:bottom w:w="0" w:type="dxa"/>
              <w:right w:w="108" w:type="dxa"/>
            </w:tcMar>
            <w:vAlign w:val="center"/>
            <w:hideMark/>
          </w:tcPr>
          <w:p w14:paraId="70B40506"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b/>
                <w:bCs/>
                <w:sz w:val="24"/>
                <w:szCs w:val="24"/>
                <w:lang w:bidi="en-US"/>
              </w:rPr>
              <w:t>Number of items</w:t>
            </w:r>
          </w:p>
        </w:tc>
        <w:tc>
          <w:tcPr>
            <w:tcW w:w="453" w:type="pct"/>
            <w:tcBorders>
              <w:top w:val="single" w:sz="4" w:space="0" w:color="auto"/>
              <w:bottom w:val="single" w:sz="4" w:space="0" w:color="auto"/>
            </w:tcBorders>
            <w:shd w:val="clear" w:color="auto" w:fill="auto"/>
            <w:tcMar>
              <w:top w:w="0" w:type="dxa"/>
              <w:left w:w="108" w:type="dxa"/>
              <w:bottom w:w="0" w:type="dxa"/>
              <w:right w:w="108" w:type="dxa"/>
            </w:tcMar>
            <w:vAlign w:val="center"/>
            <w:hideMark/>
          </w:tcPr>
          <w:p w14:paraId="45319B95"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b/>
                <w:bCs/>
                <w:sz w:val="24"/>
                <w:szCs w:val="24"/>
                <w:lang w:bidi="en-US"/>
              </w:rPr>
              <w:t>Mean</w:t>
            </w:r>
          </w:p>
        </w:tc>
        <w:tc>
          <w:tcPr>
            <w:tcW w:w="788" w:type="pct"/>
            <w:tcBorders>
              <w:top w:val="single" w:sz="4" w:space="0" w:color="auto"/>
              <w:bottom w:val="single" w:sz="4" w:space="0" w:color="auto"/>
            </w:tcBorders>
            <w:shd w:val="clear" w:color="auto" w:fill="auto"/>
            <w:tcMar>
              <w:top w:w="0" w:type="dxa"/>
              <w:left w:w="108" w:type="dxa"/>
              <w:bottom w:w="0" w:type="dxa"/>
              <w:right w:w="108" w:type="dxa"/>
            </w:tcMar>
            <w:vAlign w:val="center"/>
            <w:hideMark/>
          </w:tcPr>
          <w:p w14:paraId="1B2A8C42" w14:textId="77777777" w:rsidR="00161F8B" w:rsidRPr="00BB6978" w:rsidRDefault="00161F8B" w:rsidP="00722A67">
            <w:pPr>
              <w:spacing w:after="0" w:line="480" w:lineRule="auto"/>
              <w:jc w:val="both"/>
              <w:rPr>
                <w:rFonts w:ascii="Times New Roman" w:eastAsia="Times New Roman" w:hAnsi="Times New Roman" w:cs="Times New Roman"/>
                <w:b/>
                <w:bCs/>
                <w:sz w:val="24"/>
                <w:szCs w:val="24"/>
                <w:lang w:bidi="en-US"/>
              </w:rPr>
            </w:pPr>
            <w:r w:rsidRPr="00BB6978">
              <w:rPr>
                <w:rFonts w:ascii="Times New Roman" w:eastAsia="Times New Roman" w:hAnsi="Times New Roman" w:cs="Times New Roman"/>
                <w:b/>
                <w:bCs/>
                <w:sz w:val="24"/>
                <w:szCs w:val="24"/>
                <w:lang w:bidi="en-US"/>
              </w:rPr>
              <w:t xml:space="preserve">Cronbach’s </w:t>
            </w:r>
          </w:p>
          <w:p w14:paraId="4A536D62"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b/>
                <w:bCs/>
                <w:sz w:val="24"/>
                <w:szCs w:val="24"/>
                <w:lang w:bidi="en-US"/>
              </w:rPr>
              <w:t>Alpha</w:t>
            </w:r>
          </w:p>
        </w:tc>
        <w:tc>
          <w:tcPr>
            <w:tcW w:w="760" w:type="pct"/>
            <w:tcBorders>
              <w:top w:val="single" w:sz="4" w:space="0" w:color="auto"/>
              <w:bottom w:val="single" w:sz="4" w:space="0" w:color="auto"/>
            </w:tcBorders>
            <w:shd w:val="clear" w:color="auto" w:fill="auto"/>
            <w:tcMar>
              <w:top w:w="0" w:type="dxa"/>
              <w:left w:w="108" w:type="dxa"/>
              <w:bottom w:w="0" w:type="dxa"/>
              <w:right w:w="108" w:type="dxa"/>
            </w:tcMar>
            <w:vAlign w:val="center"/>
            <w:hideMark/>
          </w:tcPr>
          <w:p w14:paraId="7D982549"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b/>
                <w:bCs/>
                <w:sz w:val="24"/>
                <w:szCs w:val="24"/>
                <w:lang w:bidi="en-US"/>
              </w:rPr>
              <w:t>Status</w:t>
            </w:r>
          </w:p>
        </w:tc>
      </w:tr>
      <w:tr w:rsidR="00073A16" w:rsidRPr="00BB6978" w14:paraId="0FDF8AC2" w14:textId="77777777" w:rsidTr="00722A67">
        <w:trPr>
          <w:trHeight w:val="300"/>
        </w:trPr>
        <w:tc>
          <w:tcPr>
            <w:tcW w:w="2290" w:type="pct"/>
            <w:tcBorders>
              <w:top w:val="single" w:sz="4" w:space="0" w:color="auto"/>
            </w:tcBorders>
            <w:shd w:val="clear" w:color="auto" w:fill="auto"/>
            <w:tcMar>
              <w:top w:w="0" w:type="dxa"/>
              <w:left w:w="108" w:type="dxa"/>
              <w:bottom w:w="0" w:type="dxa"/>
              <w:right w:w="108" w:type="dxa"/>
            </w:tcMar>
          </w:tcPr>
          <w:p w14:paraId="0977BC72" w14:textId="77777777" w:rsidR="00161F8B" w:rsidRPr="00BB6978" w:rsidRDefault="00161F8B" w:rsidP="00722A67">
            <w:pPr>
              <w:spacing w:after="0" w:line="480" w:lineRule="auto"/>
              <w:jc w:val="both"/>
              <w:rPr>
                <w:rFonts w:ascii="Times New Roman" w:eastAsia="Times New Roman" w:hAnsi="Times New Roman" w:cs="Times New Roman"/>
                <w:b/>
                <w:sz w:val="24"/>
                <w:szCs w:val="24"/>
                <w:lang w:bidi="en-US"/>
              </w:rPr>
            </w:pPr>
            <w:r w:rsidRPr="00BB6978">
              <w:rPr>
                <w:rFonts w:ascii="Times New Roman" w:eastAsia="Times New Roman" w:hAnsi="Times New Roman" w:cs="Times New Roman"/>
                <w:b/>
                <w:sz w:val="24"/>
                <w:szCs w:val="24"/>
                <w:lang w:bidi="en-US"/>
              </w:rPr>
              <w:t>Cost of School</w:t>
            </w:r>
          </w:p>
        </w:tc>
        <w:tc>
          <w:tcPr>
            <w:tcW w:w="708" w:type="pct"/>
            <w:tcBorders>
              <w:top w:val="single" w:sz="4" w:space="0" w:color="auto"/>
            </w:tcBorders>
            <w:shd w:val="clear" w:color="auto" w:fill="auto"/>
            <w:noWrap/>
            <w:tcMar>
              <w:top w:w="0" w:type="dxa"/>
              <w:left w:w="108" w:type="dxa"/>
              <w:bottom w:w="0" w:type="dxa"/>
              <w:right w:w="108" w:type="dxa"/>
            </w:tcMar>
            <w:vAlign w:val="center"/>
          </w:tcPr>
          <w:p w14:paraId="51851783"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9</w:t>
            </w:r>
          </w:p>
        </w:tc>
        <w:tc>
          <w:tcPr>
            <w:tcW w:w="453" w:type="pct"/>
            <w:tcBorders>
              <w:top w:val="single" w:sz="4" w:space="0" w:color="auto"/>
            </w:tcBorders>
            <w:shd w:val="clear" w:color="auto" w:fill="auto"/>
            <w:noWrap/>
            <w:tcMar>
              <w:top w:w="0" w:type="dxa"/>
              <w:left w:w="108" w:type="dxa"/>
              <w:bottom w:w="0" w:type="dxa"/>
              <w:right w:w="108" w:type="dxa"/>
            </w:tcMar>
            <w:vAlign w:val="center"/>
          </w:tcPr>
          <w:p w14:paraId="79E3DBF8"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4.15</w:t>
            </w:r>
          </w:p>
        </w:tc>
        <w:tc>
          <w:tcPr>
            <w:tcW w:w="788" w:type="pct"/>
            <w:tcBorders>
              <w:top w:val="single" w:sz="4" w:space="0" w:color="auto"/>
            </w:tcBorders>
            <w:shd w:val="clear" w:color="auto" w:fill="auto"/>
            <w:noWrap/>
            <w:tcMar>
              <w:top w:w="0" w:type="dxa"/>
              <w:left w:w="108" w:type="dxa"/>
              <w:bottom w:w="0" w:type="dxa"/>
              <w:right w:w="108" w:type="dxa"/>
            </w:tcMar>
            <w:vAlign w:val="center"/>
          </w:tcPr>
          <w:p w14:paraId="357AC210"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0.993</w:t>
            </w:r>
          </w:p>
        </w:tc>
        <w:tc>
          <w:tcPr>
            <w:tcW w:w="760" w:type="pct"/>
            <w:tcBorders>
              <w:top w:val="single" w:sz="4" w:space="0" w:color="auto"/>
            </w:tcBorders>
            <w:shd w:val="clear" w:color="auto" w:fill="auto"/>
            <w:tcMar>
              <w:top w:w="0" w:type="dxa"/>
              <w:left w:w="108" w:type="dxa"/>
              <w:bottom w:w="0" w:type="dxa"/>
              <w:right w:w="108" w:type="dxa"/>
            </w:tcMar>
          </w:tcPr>
          <w:p w14:paraId="4173BB26" w14:textId="77777777" w:rsidR="00161F8B" w:rsidRPr="00BB6978" w:rsidRDefault="00161F8B" w:rsidP="00722A67">
            <w:pPr>
              <w:spacing w:after="0" w:line="480" w:lineRule="auto"/>
              <w:jc w:val="both"/>
              <w:rPr>
                <w:rFonts w:ascii="Times New Roman" w:eastAsia="Times New Roman" w:hAnsi="Times New Roman" w:cs="Times New Roman"/>
                <w:b/>
                <w:sz w:val="24"/>
                <w:szCs w:val="24"/>
                <w:lang w:bidi="en-US"/>
              </w:rPr>
            </w:pPr>
            <w:r w:rsidRPr="00BB6978">
              <w:rPr>
                <w:rFonts w:ascii="Times New Roman" w:eastAsia="Times New Roman" w:hAnsi="Times New Roman" w:cs="Times New Roman"/>
                <w:b/>
                <w:sz w:val="24"/>
                <w:szCs w:val="24"/>
                <w:lang w:bidi="en-US"/>
              </w:rPr>
              <w:t xml:space="preserve">Excellent </w:t>
            </w:r>
          </w:p>
        </w:tc>
      </w:tr>
      <w:tr w:rsidR="00073A16" w:rsidRPr="00BB6978" w14:paraId="5E727391" w14:textId="77777777" w:rsidTr="00722A67">
        <w:trPr>
          <w:trHeight w:val="300"/>
        </w:trPr>
        <w:tc>
          <w:tcPr>
            <w:tcW w:w="2290" w:type="pct"/>
            <w:shd w:val="clear" w:color="auto" w:fill="auto"/>
            <w:tcMar>
              <w:top w:w="0" w:type="dxa"/>
              <w:left w:w="108" w:type="dxa"/>
              <w:bottom w:w="0" w:type="dxa"/>
              <w:right w:w="108" w:type="dxa"/>
            </w:tcMar>
          </w:tcPr>
          <w:p w14:paraId="0DDAE1D0" w14:textId="77777777" w:rsidR="00161F8B" w:rsidRPr="00BB6978" w:rsidRDefault="00161F8B" w:rsidP="00722A67">
            <w:pPr>
              <w:spacing w:after="0" w:line="480" w:lineRule="auto"/>
              <w:jc w:val="both"/>
              <w:rPr>
                <w:rFonts w:ascii="Times New Roman" w:eastAsia="Times New Roman" w:hAnsi="Times New Roman" w:cs="Times New Roman"/>
                <w:b/>
                <w:sz w:val="24"/>
                <w:szCs w:val="24"/>
                <w:lang w:bidi="en-US"/>
              </w:rPr>
            </w:pPr>
            <w:r w:rsidRPr="00BB6978">
              <w:rPr>
                <w:rFonts w:ascii="Times New Roman" w:eastAsia="Times New Roman" w:hAnsi="Times New Roman" w:cs="Times New Roman"/>
                <w:b/>
                <w:sz w:val="24"/>
                <w:szCs w:val="24"/>
                <w:lang w:bidi="en-US"/>
              </w:rPr>
              <w:t>Quality of School</w:t>
            </w:r>
          </w:p>
        </w:tc>
        <w:tc>
          <w:tcPr>
            <w:tcW w:w="708" w:type="pct"/>
            <w:shd w:val="clear" w:color="auto" w:fill="auto"/>
            <w:noWrap/>
            <w:tcMar>
              <w:top w:w="0" w:type="dxa"/>
              <w:left w:w="108" w:type="dxa"/>
              <w:bottom w:w="0" w:type="dxa"/>
              <w:right w:w="108" w:type="dxa"/>
            </w:tcMar>
            <w:vAlign w:val="center"/>
          </w:tcPr>
          <w:p w14:paraId="211597EB"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27</w:t>
            </w:r>
          </w:p>
        </w:tc>
        <w:tc>
          <w:tcPr>
            <w:tcW w:w="453" w:type="pct"/>
            <w:shd w:val="clear" w:color="auto" w:fill="auto"/>
            <w:noWrap/>
            <w:tcMar>
              <w:top w:w="0" w:type="dxa"/>
              <w:left w:w="108" w:type="dxa"/>
              <w:bottom w:w="0" w:type="dxa"/>
              <w:right w:w="108" w:type="dxa"/>
            </w:tcMar>
          </w:tcPr>
          <w:p w14:paraId="5471E46B"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4.14</w:t>
            </w:r>
          </w:p>
        </w:tc>
        <w:tc>
          <w:tcPr>
            <w:tcW w:w="788" w:type="pct"/>
            <w:shd w:val="clear" w:color="auto" w:fill="auto"/>
            <w:noWrap/>
            <w:tcMar>
              <w:top w:w="0" w:type="dxa"/>
              <w:left w:w="108" w:type="dxa"/>
              <w:bottom w:w="0" w:type="dxa"/>
              <w:right w:w="108" w:type="dxa"/>
            </w:tcMar>
            <w:vAlign w:val="center"/>
          </w:tcPr>
          <w:p w14:paraId="3054B2BD"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0.937</w:t>
            </w:r>
          </w:p>
        </w:tc>
        <w:tc>
          <w:tcPr>
            <w:tcW w:w="760" w:type="pct"/>
            <w:shd w:val="clear" w:color="auto" w:fill="auto"/>
            <w:tcMar>
              <w:top w:w="0" w:type="dxa"/>
              <w:left w:w="108" w:type="dxa"/>
              <w:bottom w:w="0" w:type="dxa"/>
              <w:right w:w="108" w:type="dxa"/>
            </w:tcMar>
          </w:tcPr>
          <w:p w14:paraId="3C59DCA5"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b/>
                <w:sz w:val="24"/>
                <w:szCs w:val="24"/>
                <w:lang w:bidi="en-US"/>
              </w:rPr>
              <w:t>Excellent</w:t>
            </w:r>
          </w:p>
        </w:tc>
      </w:tr>
      <w:tr w:rsidR="00073A16" w:rsidRPr="00BB6978" w14:paraId="5185A999" w14:textId="77777777" w:rsidTr="00722A67">
        <w:trPr>
          <w:trHeight w:val="300"/>
        </w:trPr>
        <w:tc>
          <w:tcPr>
            <w:tcW w:w="2290" w:type="pct"/>
            <w:shd w:val="clear" w:color="auto" w:fill="auto"/>
            <w:tcMar>
              <w:top w:w="0" w:type="dxa"/>
              <w:left w:w="108" w:type="dxa"/>
              <w:bottom w:w="0" w:type="dxa"/>
              <w:right w:w="108" w:type="dxa"/>
            </w:tcMar>
          </w:tcPr>
          <w:p w14:paraId="67C86268"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 xml:space="preserve">   Teachers and Teaching</w:t>
            </w:r>
          </w:p>
        </w:tc>
        <w:tc>
          <w:tcPr>
            <w:tcW w:w="708" w:type="pct"/>
            <w:shd w:val="clear" w:color="auto" w:fill="auto"/>
            <w:noWrap/>
            <w:tcMar>
              <w:top w:w="0" w:type="dxa"/>
              <w:left w:w="108" w:type="dxa"/>
              <w:bottom w:w="0" w:type="dxa"/>
              <w:right w:w="108" w:type="dxa"/>
            </w:tcMar>
            <w:vAlign w:val="center"/>
          </w:tcPr>
          <w:p w14:paraId="0D741CBB"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6</w:t>
            </w:r>
          </w:p>
        </w:tc>
        <w:tc>
          <w:tcPr>
            <w:tcW w:w="453" w:type="pct"/>
            <w:shd w:val="clear" w:color="auto" w:fill="auto"/>
            <w:noWrap/>
            <w:tcMar>
              <w:top w:w="0" w:type="dxa"/>
              <w:left w:w="108" w:type="dxa"/>
              <w:bottom w:w="0" w:type="dxa"/>
              <w:right w:w="108" w:type="dxa"/>
            </w:tcMar>
          </w:tcPr>
          <w:p w14:paraId="3A7EE975"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3.57</w:t>
            </w:r>
          </w:p>
        </w:tc>
        <w:tc>
          <w:tcPr>
            <w:tcW w:w="788" w:type="pct"/>
            <w:shd w:val="clear" w:color="auto" w:fill="auto"/>
            <w:noWrap/>
            <w:tcMar>
              <w:top w:w="0" w:type="dxa"/>
              <w:left w:w="108" w:type="dxa"/>
              <w:bottom w:w="0" w:type="dxa"/>
              <w:right w:w="108" w:type="dxa"/>
            </w:tcMar>
            <w:vAlign w:val="center"/>
          </w:tcPr>
          <w:p w14:paraId="31CEF7D5"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0.981</w:t>
            </w:r>
          </w:p>
        </w:tc>
        <w:tc>
          <w:tcPr>
            <w:tcW w:w="760" w:type="pct"/>
            <w:shd w:val="clear" w:color="auto" w:fill="auto"/>
            <w:tcMar>
              <w:top w:w="0" w:type="dxa"/>
              <w:left w:w="108" w:type="dxa"/>
              <w:bottom w:w="0" w:type="dxa"/>
              <w:right w:w="108" w:type="dxa"/>
            </w:tcMar>
          </w:tcPr>
          <w:p w14:paraId="6C068769"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Excellent</w:t>
            </w:r>
          </w:p>
        </w:tc>
      </w:tr>
      <w:tr w:rsidR="00073A16" w:rsidRPr="00BB6978" w14:paraId="02B7586F" w14:textId="77777777" w:rsidTr="00722A67">
        <w:trPr>
          <w:trHeight w:val="300"/>
        </w:trPr>
        <w:tc>
          <w:tcPr>
            <w:tcW w:w="2290" w:type="pct"/>
            <w:shd w:val="clear" w:color="auto" w:fill="auto"/>
            <w:tcMar>
              <w:top w:w="0" w:type="dxa"/>
              <w:left w:w="108" w:type="dxa"/>
              <w:bottom w:w="0" w:type="dxa"/>
              <w:right w:w="108" w:type="dxa"/>
            </w:tcMar>
          </w:tcPr>
          <w:p w14:paraId="0FC84680"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 xml:space="preserve">   School Culture</w:t>
            </w:r>
          </w:p>
        </w:tc>
        <w:tc>
          <w:tcPr>
            <w:tcW w:w="708" w:type="pct"/>
            <w:shd w:val="clear" w:color="auto" w:fill="auto"/>
            <w:noWrap/>
            <w:tcMar>
              <w:top w:w="0" w:type="dxa"/>
              <w:left w:w="108" w:type="dxa"/>
              <w:bottom w:w="0" w:type="dxa"/>
              <w:right w:w="108" w:type="dxa"/>
            </w:tcMar>
            <w:vAlign w:val="center"/>
          </w:tcPr>
          <w:p w14:paraId="11454FE7"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14</w:t>
            </w:r>
          </w:p>
        </w:tc>
        <w:tc>
          <w:tcPr>
            <w:tcW w:w="453" w:type="pct"/>
            <w:shd w:val="clear" w:color="auto" w:fill="auto"/>
            <w:noWrap/>
            <w:tcMar>
              <w:top w:w="0" w:type="dxa"/>
              <w:left w:w="108" w:type="dxa"/>
              <w:bottom w:w="0" w:type="dxa"/>
              <w:right w:w="108" w:type="dxa"/>
            </w:tcMar>
          </w:tcPr>
          <w:p w14:paraId="2B171BA0"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3.96</w:t>
            </w:r>
          </w:p>
        </w:tc>
        <w:tc>
          <w:tcPr>
            <w:tcW w:w="788" w:type="pct"/>
            <w:shd w:val="clear" w:color="auto" w:fill="auto"/>
            <w:noWrap/>
            <w:tcMar>
              <w:top w:w="0" w:type="dxa"/>
              <w:left w:w="108" w:type="dxa"/>
              <w:bottom w:w="0" w:type="dxa"/>
              <w:right w:w="108" w:type="dxa"/>
            </w:tcMar>
            <w:vAlign w:val="center"/>
          </w:tcPr>
          <w:p w14:paraId="308B8046"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0.994</w:t>
            </w:r>
          </w:p>
        </w:tc>
        <w:tc>
          <w:tcPr>
            <w:tcW w:w="760" w:type="pct"/>
            <w:shd w:val="clear" w:color="auto" w:fill="auto"/>
            <w:tcMar>
              <w:top w:w="0" w:type="dxa"/>
              <w:left w:w="108" w:type="dxa"/>
              <w:bottom w:w="0" w:type="dxa"/>
              <w:right w:w="108" w:type="dxa"/>
            </w:tcMar>
          </w:tcPr>
          <w:p w14:paraId="72C4CB47"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Excellent</w:t>
            </w:r>
          </w:p>
        </w:tc>
      </w:tr>
      <w:tr w:rsidR="00073A16" w:rsidRPr="00BB6978" w14:paraId="4D88C16E" w14:textId="77777777" w:rsidTr="00722A67">
        <w:trPr>
          <w:trHeight w:val="300"/>
        </w:trPr>
        <w:tc>
          <w:tcPr>
            <w:tcW w:w="2290" w:type="pct"/>
            <w:shd w:val="clear" w:color="auto" w:fill="auto"/>
            <w:tcMar>
              <w:top w:w="0" w:type="dxa"/>
              <w:left w:w="108" w:type="dxa"/>
              <w:bottom w:w="0" w:type="dxa"/>
              <w:right w:w="108" w:type="dxa"/>
            </w:tcMar>
          </w:tcPr>
          <w:p w14:paraId="4EC854B1"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 xml:space="preserve">   School Resources</w:t>
            </w:r>
          </w:p>
        </w:tc>
        <w:tc>
          <w:tcPr>
            <w:tcW w:w="708" w:type="pct"/>
            <w:shd w:val="clear" w:color="auto" w:fill="auto"/>
            <w:noWrap/>
            <w:tcMar>
              <w:top w:w="0" w:type="dxa"/>
              <w:left w:w="108" w:type="dxa"/>
              <w:bottom w:w="0" w:type="dxa"/>
              <w:right w:w="108" w:type="dxa"/>
            </w:tcMar>
            <w:vAlign w:val="center"/>
          </w:tcPr>
          <w:p w14:paraId="7665F73F"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7</w:t>
            </w:r>
          </w:p>
        </w:tc>
        <w:tc>
          <w:tcPr>
            <w:tcW w:w="453" w:type="pct"/>
            <w:shd w:val="clear" w:color="auto" w:fill="auto"/>
            <w:noWrap/>
            <w:tcMar>
              <w:top w:w="0" w:type="dxa"/>
              <w:left w:w="108" w:type="dxa"/>
              <w:bottom w:w="0" w:type="dxa"/>
              <w:right w:w="108" w:type="dxa"/>
            </w:tcMar>
          </w:tcPr>
          <w:p w14:paraId="40CB20C6"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4.47</w:t>
            </w:r>
          </w:p>
        </w:tc>
        <w:tc>
          <w:tcPr>
            <w:tcW w:w="788" w:type="pct"/>
            <w:shd w:val="clear" w:color="auto" w:fill="auto"/>
            <w:noWrap/>
            <w:tcMar>
              <w:top w:w="0" w:type="dxa"/>
              <w:left w:w="108" w:type="dxa"/>
              <w:bottom w:w="0" w:type="dxa"/>
              <w:right w:w="108" w:type="dxa"/>
            </w:tcMar>
            <w:vAlign w:val="center"/>
          </w:tcPr>
          <w:p w14:paraId="4BB5338E"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0.990</w:t>
            </w:r>
          </w:p>
        </w:tc>
        <w:tc>
          <w:tcPr>
            <w:tcW w:w="760" w:type="pct"/>
            <w:shd w:val="clear" w:color="auto" w:fill="auto"/>
            <w:tcMar>
              <w:top w:w="0" w:type="dxa"/>
              <w:left w:w="108" w:type="dxa"/>
              <w:bottom w:w="0" w:type="dxa"/>
              <w:right w:w="108" w:type="dxa"/>
            </w:tcMar>
          </w:tcPr>
          <w:p w14:paraId="0187B072"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Excellent</w:t>
            </w:r>
          </w:p>
        </w:tc>
      </w:tr>
      <w:tr w:rsidR="00073A16" w:rsidRPr="00BB6978" w14:paraId="58389F93" w14:textId="77777777" w:rsidTr="00722A67">
        <w:trPr>
          <w:trHeight w:val="300"/>
        </w:trPr>
        <w:tc>
          <w:tcPr>
            <w:tcW w:w="2290" w:type="pct"/>
            <w:shd w:val="clear" w:color="auto" w:fill="auto"/>
            <w:tcMar>
              <w:top w:w="0" w:type="dxa"/>
              <w:left w:w="108" w:type="dxa"/>
              <w:bottom w:w="0" w:type="dxa"/>
              <w:right w:w="108" w:type="dxa"/>
            </w:tcMar>
          </w:tcPr>
          <w:p w14:paraId="127185C3" w14:textId="77777777" w:rsidR="00161F8B" w:rsidRPr="00BB6978" w:rsidRDefault="00161F8B" w:rsidP="00722A67">
            <w:pPr>
              <w:spacing w:after="0" w:line="480" w:lineRule="auto"/>
              <w:jc w:val="both"/>
              <w:rPr>
                <w:rFonts w:ascii="Times New Roman" w:eastAsia="Times New Roman" w:hAnsi="Times New Roman" w:cs="Times New Roman"/>
                <w:b/>
                <w:sz w:val="24"/>
                <w:szCs w:val="24"/>
                <w:lang w:bidi="en-US"/>
              </w:rPr>
            </w:pPr>
            <w:r w:rsidRPr="00BB6978">
              <w:rPr>
                <w:rFonts w:ascii="Times New Roman" w:eastAsia="Times New Roman" w:hAnsi="Times New Roman" w:cs="Times New Roman"/>
                <w:b/>
                <w:sz w:val="24"/>
                <w:szCs w:val="24"/>
                <w:lang w:bidi="en-US"/>
              </w:rPr>
              <w:t xml:space="preserve">Student Outcomes </w:t>
            </w:r>
          </w:p>
        </w:tc>
        <w:tc>
          <w:tcPr>
            <w:tcW w:w="708" w:type="pct"/>
            <w:shd w:val="clear" w:color="auto" w:fill="auto"/>
            <w:noWrap/>
            <w:tcMar>
              <w:top w:w="0" w:type="dxa"/>
              <w:left w:w="108" w:type="dxa"/>
              <w:bottom w:w="0" w:type="dxa"/>
              <w:right w:w="108" w:type="dxa"/>
            </w:tcMar>
            <w:vAlign w:val="center"/>
          </w:tcPr>
          <w:p w14:paraId="28253EE4"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17</w:t>
            </w:r>
          </w:p>
        </w:tc>
        <w:tc>
          <w:tcPr>
            <w:tcW w:w="453" w:type="pct"/>
            <w:shd w:val="clear" w:color="auto" w:fill="auto"/>
            <w:noWrap/>
            <w:tcMar>
              <w:top w:w="0" w:type="dxa"/>
              <w:left w:w="108" w:type="dxa"/>
              <w:bottom w:w="0" w:type="dxa"/>
              <w:right w:w="108" w:type="dxa"/>
            </w:tcMar>
          </w:tcPr>
          <w:p w14:paraId="37EA7B62"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4.48</w:t>
            </w:r>
          </w:p>
        </w:tc>
        <w:tc>
          <w:tcPr>
            <w:tcW w:w="788" w:type="pct"/>
            <w:shd w:val="clear" w:color="auto" w:fill="auto"/>
            <w:noWrap/>
            <w:tcMar>
              <w:top w:w="0" w:type="dxa"/>
              <w:left w:w="108" w:type="dxa"/>
              <w:bottom w:w="0" w:type="dxa"/>
              <w:right w:w="108" w:type="dxa"/>
            </w:tcMar>
            <w:vAlign w:val="center"/>
          </w:tcPr>
          <w:p w14:paraId="398C2E2D"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sz w:val="24"/>
                <w:szCs w:val="24"/>
                <w:lang w:bidi="en-US"/>
              </w:rPr>
              <w:t>0.950</w:t>
            </w:r>
          </w:p>
        </w:tc>
        <w:tc>
          <w:tcPr>
            <w:tcW w:w="760" w:type="pct"/>
            <w:shd w:val="clear" w:color="auto" w:fill="auto"/>
            <w:tcMar>
              <w:top w:w="0" w:type="dxa"/>
              <w:left w:w="108" w:type="dxa"/>
              <w:bottom w:w="0" w:type="dxa"/>
              <w:right w:w="108" w:type="dxa"/>
            </w:tcMar>
          </w:tcPr>
          <w:p w14:paraId="51D44A71" w14:textId="77777777" w:rsidR="00161F8B" w:rsidRPr="00BB6978" w:rsidRDefault="00161F8B" w:rsidP="00722A67">
            <w:pPr>
              <w:spacing w:after="0" w:line="480" w:lineRule="auto"/>
              <w:jc w:val="both"/>
              <w:rPr>
                <w:rFonts w:ascii="Times New Roman" w:eastAsia="Times New Roman" w:hAnsi="Times New Roman" w:cs="Times New Roman"/>
                <w:sz w:val="24"/>
                <w:szCs w:val="24"/>
                <w:lang w:bidi="en-US"/>
              </w:rPr>
            </w:pPr>
            <w:r w:rsidRPr="00BB6978">
              <w:rPr>
                <w:rFonts w:ascii="Times New Roman" w:eastAsia="Times New Roman" w:hAnsi="Times New Roman" w:cs="Times New Roman"/>
                <w:b/>
                <w:sz w:val="24"/>
                <w:szCs w:val="24"/>
                <w:lang w:bidi="en-US"/>
              </w:rPr>
              <w:t>Excellent</w:t>
            </w:r>
          </w:p>
        </w:tc>
      </w:tr>
    </w:tbl>
    <w:p w14:paraId="0F4EB208" w14:textId="77777777" w:rsidR="00161F8B" w:rsidRPr="00BB6978" w:rsidRDefault="00161F8B" w:rsidP="00161F8B">
      <w:pPr>
        <w:spacing w:before="240" w:after="200" w:line="480" w:lineRule="auto"/>
        <w:ind w:firstLine="720"/>
        <w:jc w:val="both"/>
        <w:rPr>
          <w:rFonts w:ascii="Times New Roman" w:eastAsia="Times New Roman" w:hAnsi="Times New Roman" w:cs="Times New Roman"/>
          <w:bCs/>
          <w:sz w:val="24"/>
          <w:szCs w:val="26"/>
        </w:rPr>
      </w:pPr>
      <w:r w:rsidRPr="00BB6978">
        <w:rPr>
          <w:rFonts w:ascii="Times New Roman" w:eastAsia="Times New Roman" w:hAnsi="Times New Roman" w:cs="Times New Roman"/>
          <w:bCs/>
          <w:sz w:val="24"/>
          <w:szCs w:val="26"/>
        </w:rPr>
        <w:t>The factor Cost of School Cronbach’s alpha value is 0.993; Quality of School has 0.937, Teachers and Teaching is 0.981, School Culture 0.994, School Resources 0.990 and Student Outcomes 0.950. From the above outcomes, it is revealed that factors are highly reliable and show excellent outcomes.</w:t>
      </w:r>
    </w:p>
    <w:p w14:paraId="59109866" w14:textId="77777777" w:rsidR="00161F8B" w:rsidRPr="00BB6978" w:rsidRDefault="00161F8B" w:rsidP="00161F8B">
      <w:pPr>
        <w:pStyle w:val="Heading1"/>
        <w:rPr>
          <w:rFonts w:asciiTheme="majorBidi" w:eastAsia="Times New Roman" w:hAnsiTheme="majorBidi"/>
          <w:b w:val="0"/>
          <w:bCs w:val="0"/>
          <w:color w:val="auto"/>
          <w:sz w:val="24"/>
          <w:szCs w:val="24"/>
        </w:rPr>
      </w:pPr>
      <w:bookmarkStart w:id="124" w:name="_Toc59692577"/>
      <w:bookmarkStart w:id="125" w:name="_Toc64369136"/>
      <w:bookmarkStart w:id="126" w:name="_Toc96103761"/>
      <w:bookmarkStart w:id="127" w:name="_Toc138239811"/>
      <w:r w:rsidRPr="00BB6978">
        <w:rPr>
          <w:rFonts w:asciiTheme="majorBidi" w:eastAsia="Times New Roman" w:hAnsiTheme="majorBidi"/>
          <w:color w:val="auto"/>
          <w:sz w:val="24"/>
          <w:szCs w:val="24"/>
        </w:rPr>
        <w:t xml:space="preserve">3.8 Ethical considerations and </w:t>
      </w:r>
      <w:r w:rsidR="00486434" w:rsidRPr="00BB6978">
        <w:rPr>
          <w:rFonts w:asciiTheme="majorBidi" w:eastAsia="Times New Roman" w:hAnsiTheme="majorBidi"/>
          <w:color w:val="auto"/>
          <w:sz w:val="24"/>
          <w:szCs w:val="24"/>
        </w:rPr>
        <w:t>l</w:t>
      </w:r>
      <w:r w:rsidRPr="00BB6978">
        <w:rPr>
          <w:rFonts w:asciiTheme="majorBidi" w:eastAsia="Times New Roman" w:hAnsiTheme="majorBidi"/>
          <w:color w:val="auto"/>
          <w:sz w:val="24"/>
          <w:szCs w:val="24"/>
        </w:rPr>
        <w:t>imitations</w:t>
      </w:r>
      <w:bookmarkEnd w:id="124"/>
      <w:bookmarkEnd w:id="125"/>
      <w:bookmarkEnd w:id="126"/>
      <w:bookmarkEnd w:id="127"/>
    </w:p>
    <w:p w14:paraId="6CB3636F" w14:textId="77777777" w:rsidR="00161F8B" w:rsidRPr="00BB6978" w:rsidRDefault="00161F8B" w:rsidP="00161F8B"/>
    <w:p w14:paraId="38FA861F" w14:textId="77777777" w:rsidR="00646868" w:rsidRPr="00BB6978" w:rsidRDefault="00200465" w:rsidP="00200465">
      <w:pPr>
        <w:spacing w:after="68" w:line="480" w:lineRule="auto"/>
        <w:ind w:firstLine="357"/>
        <w:jc w:val="both"/>
        <w:rPr>
          <w:rFonts w:asciiTheme="majorBidi" w:eastAsia="Calibri" w:hAnsiTheme="majorBidi" w:cstheme="majorBidi"/>
          <w:sz w:val="24"/>
          <w:szCs w:val="24"/>
        </w:rPr>
      </w:pPr>
      <w:r w:rsidRPr="00BB6978">
        <w:rPr>
          <w:rFonts w:asciiTheme="majorBidi" w:eastAsia="Calibri" w:hAnsiTheme="majorBidi" w:cstheme="majorBidi"/>
          <w:sz w:val="24"/>
          <w:szCs w:val="24"/>
        </w:rPr>
        <w:t xml:space="preserve">Establishing ethical considerations during conducting the research process is critical. Ethics refer to the morals and norms that distinguish between wrong and right practices committed by the researchers. These ethics assist in determining the difference between improper and suitable </w:t>
      </w:r>
      <w:r w:rsidR="004F4256" w:rsidRPr="00BB6978">
        <w:rPr>
          <w:rFonts w:asciiTheme="majorBidi" w:eastAsia="Calibri" w:hAnsiTheme="majorBidi" w:cstheme="majorBidi"/>
          <w:sz w:val="24"/>
          <w:szCs w:val="24"/>
        </w:rPr>
        <w:t>behaviours</w:t>
      </w:r>
      <w:r w:rsidRPr="00BB6978">
        <w:rPr>
          <w:rFonts w:asciiTheme="majorBidi" w:eastAsia="Calibri" w:hAnsiTheme="majorBidi" w:cstheme="majorBidi"/>
          <w:sz w:val="24"/>
          <w:szCs w:val="24"/>
        </w:rPr>
        <w:t xml:space="preserve">, as the researcher must not cause any harm to participants (Soeters, Shields, &amp; Rietjens, 2014). </w:t>
      </w:r>
    </w:p>
    <w:p w14:paraId="7DF82335" w14:textId="77777777" w:rsidR="00200465" w:rsidRPr="00BB6978" w:rsidRDefault="00200465" w:rsidP="00200465">
      <w:pPr>
        <w:spacing w:after="68" w:line="480" w:lineRule="auto"/>
        <w:ind w:firstLine="357"/>
        <w:jc w:val="both"/>
        <w:rPr>
          <w:rFonts w:asciiTheme="majorBidi" w:eastAsia="Calibri" w:hAnsiTheme="majorBidi" w:cstheme="majorBidi"/>
          <w:sz w:val="24"/>
          <w:szCs w:val="24"/>
        </w:rPr>
      </w:pPr>
      <w:r w:rsidRPr="00BB6978">
        <w:rPr>
          <w:rFonts w:asciiTheme="majorBidi" w:eastAsia="Calibri" w:hAnsiTheme="majorBidi" w:cstheme="majorBidi"/>
          <w:sz w:val="24"/>
          <w:szCs w:val="24"/>
        </w:rPr>
        <w:t xml:space="preserve">Ethical considerations are required in the survey design and administration to prevent data falsifying or </w:t>
      </w:r>
      <w:r w:rsidR="00155FE2" w:rsidRPr="00BB6978">
        <w:rPr>
          <w:rFonts w:asciiTheme="majorBidi" w:eastAsia="Calibri" w:hAnsiTheme="majorBidi" w:cstheme="majorBidi"/>
          <w:sz w:val="24"/>
          <w:szCs w:val="24"/>
        </w:rPr>
        <w:t>fabrication and</w:t>
      </w:r>
      <w:r w:rsidRPr="00BB6978">
        <w:rPr>
          <w:rFonts w:asciiTheme="majorBidi" w:eastAsia="Calibri" w:hAnsiTheme="majorBidi" w:cstheme="majorBidi"/>
          <w:sz w:val="24"/>
          <w:szCs w:val="24"/>
        </w:rPr>
        <w:t xml:space="preserve"> promote truth and knowledge pursuit. Participants were made aware of their </w:t>
      </w:r>
      <w:r w:rsidR="00155FE2" w:rsidRPr="00BB6978">
        <w:rPr>
          <w:rFonts w:asciiTheme="majorBidi" w:eastAsia="Calibri" w:hAnsiTheme="majorBidi" w:cstheme="majorBidi"/>
          <w:sz w:val="24"/>
          <w:szCs w:val="24"/>
        </w:rPr>
        <w:t>rights and</w:t>
      </w:r>
      <w:r w:rsidRPr="00BB6978">
        <w:rPr>
          <w:rFonts w:asciiTheme="majorBidi" w:eastAsia="Calibri" w:hAnsiTheme="majorBidi" w:cstheme="majorBidi"/>
          <w:sz w:val="24"/>
          <w:szCs w:val="24"/>
        </w:rPr>
        <w:t xml:space="preserve"> could refuse from participating further in the survey at any point.</w:t>
      </w:r>
    </w:p>
    <w:p w14:paraId="336BA130" w14:textId="77777777" w:rsidR="00646868" w:rsidRPr="00BB6978" w:rsidRDefault="00200465" w:rsidP="00200465">
      <w:pPr>
        <w:spacing w:after="68" w:line="480" w:lineRule="auto"/>
        <w:ind w:firstLine="357"/>
        <w:jc w:val="both"/>
        <w:rPr>
          <w:rFonts w:asciiTheme="majorBidi" w:eastAsia="Calibri" w:hAnsiTheme="majorBidi" w:cstheme="majorBidi"/>
          <w:sz w:val="24"/>
          <w:szCs w:val="24"/>
        </w:rPr>
      </w:pPr>
      <w:r w:rsidRPr="00BB6978">
        <w:rPr>
          <w:rFonts w:asciiTheme="majorBidi" w:eastAsia="Calibri" w:hAnsiTheme="majorBidi" w:cstheme="majorBidi"/>
          <w:sz w:val="24"/>
          <w:szCs w:val="24"/>
        </w:rPr>
        <w:t xml:space="preserve">The ethical consideration in this research principally focused on the participants' consent to participate in this study. Participants’ willingness to participate requires informing them about the purpose and procedures of the study (Creswell, 2012). Usually, participants are not comfortable with questions related to the SES, such as income and education. In fact, international research has often suffered from no response rates to parents’ education question in students’ reports (Schulz, &amp; Grimes, 2005). This was considered when designing the survey. Therefore, the cover page of the survey explained that data were to be used for research purposes only and that the survey was anonymous </w:t>
      </w:r>
      <w:r w:rsidRPr="00BB6978">
        <w:rPr>
          <w:rFonts w:asciiTheme="majorBidi" w:eastAsia="Calibri" w:hAnsiTheme="majorBidi" w:cstheme="majorBidi"/>
          <w:bCs/>
          <w:sz w:val="24"/>
          <w:szCs w:val="24"/>
        </w:rPr>
        <w:t>(Revilla &amp; Ochoa, 2017)</w:t>
      </w:r>
      <w:r w:rsidRPr="00BB6978">
        <w:rPr>
          <w:rFonts w:asciiTheme="majorBidi" w:eastAsia="Calibri" w:hAnsiTheme="majorBidi" w:cstheme="majorBidi"/>
          <w:sz w:val="24"/>
          <w:szCs w:val="24"/>
        </w:rPr>
        <w:t xml:space="preserve">. </w:t>
      </w:r>
    </w:p>
    <w:p w14:paraId="43138EDF" w14:textId="77777777" w:rsidR="00200465" w:rsidRPr="00BB6978" w:rsidRDefault="00200465" w:rsidP="00200465">
      <w:pPr>
        <w:spacing w:after="68" w:line="480" w:lineRule="auto"/>
        <w:ind w:firstLine="357"/>
        <w:jc w:val="both"/>
        <w:rPr>
          <w:rFonts w:asciiTheme="majorBidi" w:eastAsia="Calibri" w:hAnsiTheme="majorBidi" w:cstheme="majorBidi"/>
          <w:bCs/>
          <w:sz w:val="24"/>
          <w:szCs w:val="24"/>
        </w:rPr>
      </w:pPr>
      <w:r w:rsidRPr="00BB6978">
        <w:rPr>
          <w:rFonts w:asciiTheme="majorBidi" w:eastAsia="Calibri" w:hAnsiTheme="majorBidi" w:cstheme="majorBidi"/>
          <w:sz w:val="24"/>
          <w:szCs w:val="24"/>
        </w:rPr>
        <w:t xml:space="preserve">Parents were also aware that it is optional to do the survey and could decline from participating at any time before or while answering the survey. Confidentiality and permission are important concerns (Ritchie, Lewis, &amp; Elam, 2003). Moreover, since SES is part of the study, parents would feel more comfortable answering these questions anonymously. </w:t>
      </w:r>
      <w:r w:rsidRPr="00BB6978">
        <w:rPr>
          <w:rFonts w:asciiTheme="majorBidi" w:eastAsia="Calibri" w:hAnsiTheme="majorBidi" w:cstheme="majorBidi"/>
          <w:bCs/>
          <w:sz w:val="24"/>
          <w:szCs w:val="24"/>
        </w:rPr>
        <w:t>Hence, no name or contact details were requested.</w:t>
      </w:r>
    </w:p>
    <w:p w14:paraId="2D890D9B" w14:textId="77777777" w:rsidR="00141F6D" w:rsidRPr="00BB6978" w:rsidRDefault="00141F6D" w:rsidP="00200465">
      <w:pPr>
        <w:spacing w:after="68" w:line="480" w:lineRule="auto"/>
        <w:ind w:firstLine="357"/>
        <w:jc w:val="both"/>
        <w:rPr>
          <w:rFonts w:asciiTheme="majorBidi" w:eastAsia="Calibri" w:hAnsiTheme="majorBidi" w:cstheme="majorBidi"/>
          <w:bCs/>
          <w:sz w:val="24"/>
          <w:szCs w:val="24"/>
        </w:rPr>
      </w:pPr>
    </w:p>
    <w:p w14:paraId="63F45DFF" w14:textId="77777777" w:rsidR="006E3964" w:rsidRPr="00BB6978" w:rsidRDefault="006E3964" w:rsidP="006E3964">
      <w:pPr>
        <w:pStyle w:val="Heading1"/>
        <w:jc w:val="center"/>
        <w:rPr>
          <w:rFonts w:asciiTheme="majorBidi" w:hAnsiTheme="majorBidi"/>
          <w:b w:val="0"/>
          <w:bCs w:val="0"/>
          <w:color w:val="auto"/>
          <w:lang w:eastAsia="en-GB" w:bidi="en-GB"/>
        </w:rPr>
      </w:pPr>
      <w:bookmarkStart w:id="128" w:name="_Toc64369137"/>
      <w:bookmarkStart w:id="129" w:name="_Toc96103762"/>
      <w:bookmarkStart w:id="130" w:name="_Toc138239812"/>
      <w:r w:rsidRPr="00BB6978">
        <w:rPr>
          <w:rFonts w:asciiTheme="majorBidi" w:hAnsiTheme="majorBidi"/>
          <w:color w:val="auto"/>
          <w:lang w:eastAsia="en-GB" w:bidi="en-GB"/>
        </w:rPr>
        <w:t>CHAPTER IV: Results</w:t>
      </w:r>
      <w:bookmarkEnd w:id="128"/>
      <w:bookmarkEnd w:id="129"/>
      <w:bookmarkEnd w:id="130"/>
    </w:p>
    <w:p w14:paraId="30C6EED5" w14:textId="77777777" w:rsidR="006E3964" w:rsidRPr="00BB6978" w:rsidRDefault="006E3964" w:rsidP="006E3964">
      <w:pPr>
        <w:pStyle w:val="Heading1"/>
        <w:rPr>
          <w:rFonts w:asciiTheme="majorBidi" w:eastAsia="Times New Roman" w:hAnsiTheme="majorBidi"/>
          <w:color w:val="auto"/>
          <w:sz w:val="24"/>
          <w:szCs w:val="24"/>
        </w:rPr>
      </w:pPr>
      <w:bookmarkStart w:id="131" w:name="_Toc64369138"/>
      <w:bookmarkStart w:id="132" w:name="_Toc96103763"/>
      <w:bookmarkStart w:id="133" w:name="_Toc138239813"/>
      <w:r w:rsidRPr="00BB6978">
        <w:rPr>
          <w:rFonts w:asciiTheme="majorBidi" w:eastAsia="Times New Roman" w:hAnsiTheme="majorBidi"/>
          <w:color w:val="auto"/>
          <w:sz w:val="24"/>
          <w:szCs w:val="24"/>
        </w:rPr>
        <w:t>4.1 Introduction</w:t>
      </w:r>
      <w:bookmarkEnd w:id="131"/>
      <w:bookmarkEnd w:id="132"/>
      <w:bookmarkEnd w:id="133"/>
    </w:p>
    <w:p w14:paraId="5AC52A22" w14:textId="77777777" w:rsidR="006E3964" w:rsidRPr="00BB6978" w:rsidRDefault="006E3964" w:rsidP="006E3964"/>
    <w:p w14:paraId="58EE4280" w14:textId="77777777" w:rsidR="006E3964" w:rsidRPr="00BB6978" w:rsidRDefault="006E3964" w:rsidP="006E3964">
      <w:pPr>
        <w:spacing w:after="68" w:line="480" w:lineRule="auto"/>
        <w:ind w:firstLine="357"/>
        <w:jc w:val="both"/>
        <w:rPr>
          <w:rFonts w:ascii="Times New Roman" w:eastAsia="Calibri" w:hAnsi="Times New Roman" w:cs="Times New Roman"/>
          <w:sz w:val="24"/>
          <w:szCs w:val="24"/>
        </w:rPr>
      </w:pPr>
      <w:bookmarkStart w:id="134" w:name="_Toc66784560"/>
      <w:bookmarkStart w:id="135" w:name="_Toc96103764"/>
      <w:bookmarkStart w:id="136" w:name="_Toc64369139"/>
      <w:r w:rsidRPr="00BB6978">
        <w:rPr>
          <w:rFonts w:ascii="Times New Roman" w:eastAsia="Calibri" w:hAnsi="Times New Roman" w:cs="Times New Roman"/>
          <w:sz w:val="24"/>
          <w:szCs w:val="24"/>
        </w:rPr>
        <w:t>This chapter introduces the statistical representations of the results of the data gained from the parents’ perspectives (</w:t>
      </w:r>
      <w:r w:rsidRPr="00BB6978">
        <w:rPr>
          <w:rFonts w:ascii="Times New Roman" w:eastAsia="Calibri" w:hAnsi="Times New Roman" w:cs="Times New Roman"/>
          <w:i/>
          <w:iCs/>
          <w:sz w:val="24"/>
          <w:szCs w:val="24"/>
        </w:rPr>
        <w:t xml:space="preserve">n </w:t>
      </w:r>
      <w:r w:rsidRPr="00BB6978">
        <w:rPr>
          <w:rFonts w:ascii="Times New Roman" w:eastAsia="Calibri" w:hAnsi="Times New Roman" w:cs="Times New Roman"/>
          <w:sz w:val="24"/>
          <w:szCs w:val="24"/>
        </w:rPr>
        <w:t xml:space="preserve">= 400). Quantitative data was first entered and organized into an Excel sheet and later exported and </w:t>
      </w:r>
      <w:r w:rsidR="005D0213" w:rsidRPr="00BB6978">
        <w:rPr>
          <w:rFonts w:ascii="Times New Roman" w:eastAsia="Calibri" w:hAnsi="Times New Roman" w:cs="Times New Roman"/>
          <w:sz w:val="24"/>
          <w:szCs w:val="24"/>
        </w:rPr>
        <w:t>analysed</w:t>
      </w:r>
      <w:r w:rsidRPr="00BB6978">
        <w:rPr>
          <w:rFonts w:ascii="Times New Roman" w:eastAsia="Calibri" w:hAnsi="Times New Roman" w:cs="Times New Roman"/>
          <w:sz w:val="24"/>
          <w:szCs w:val="24"/>
        </w:rPr>
        <w:t xml:space="preserve"> using SPSS 20.0 version. The aim was to answer the research questions by testing the following hypotheses:</w:t>
      </w:r>
    </w:p>
    <w:p w14:paraId="477A14C5" w14:textId="77777777" w:rsidR="006E3964" w:rsidRPr="00BB6978" w:rsidRDefault="006E3964" w:rsidP="006E3964">
      <w:pPr>
        <w:spacing w:before="240" w:after="200" w:line="276" w:lineRule="auto"/>
        <w:ind w:left="426" w:hanging="426"/>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H</w:t>
      </w:r>
      <w:r w:rsidRPr="00BB6978">
        <w:rPr>
          <w:rFonts w:ascii="Times New Roman" w:eastAsia="Calibri" w:hAnsi="Times New Roman" w:cs="Times New Roman"/>
          <w:sz w:val="24"/>
          <w:szCs w:val="24"/>
          <w:vertAlign w:val="subscript"/>
        </w:rPr>
        <w:t>1</w:t>
      </w:r>
      <w:r w:rsidRPr="00BB6978">
        <w:rPr>
          <w:rFonts w:ascii="Times New Roman" w:eastAsia="Calibri" w:hAnsi="Times New Roman" w:cs="Times New Roman"/>
          <w:sz w:val="24"/>
          <w:szCs w:val="24"/>
        </w:rPr>
        <w:t>: There is a positive relationship between school cost and school quality in private schools in Abu Dhabi.</w:t>
      </w:r>
    </w:p>
    <w:p w14:paraId="317BB577" w14:textId="77777777" w:rsidR="006E3964" w:rsidRPr="00BB6978" w:rsidRDefault="006E3964" w:rsidP="006E3964">
      <w:pPr>
        <w:spacing w:before="240" w:after="200" w:line="276" w:lineRule="auto"/>
        <w:ind w:left="426" w:hanging="426"/>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H</w:t>
      </w:r>
      <w:r w:rsidRPr="00BB6978">
        <w:rPr>
          <w:rFonts w:ascii="Times New Roman" w:eastAsia="Calibri" w:hAnsi="Times New Roman" w:cs="Times New Roman"/>
          <w:sz w:val="24"/>
          <w:szCs w:val="24"/>
          <w:vertAlign w:val="subscript"/>
        </w:rPr>
        <w:t>2</w:t>
      </w:r>
      <w:r w:rsidRPr="00BB6978">
        <w:rPr>
          <w:rFonts w:ascii="Times New Roman" w:eastAsia="Calibri" w:hAnsi="Times New Roman" w:cs="Times New Roman"/>
          <w:sz w:val="24"/>
          <w:szCs w:val="24"/>
        </w:rPr>
        <w:t>: There is a positive relationship between school cost and students’ achievements in private schools in Abu Dhabi.</w:t>
      </w:r>
    </w:p>
    <w:p w14:paraId="71ED5F48" w14:textId="77777777" w:rsidR="006E3964" w:rsidRPr="00BB6978" w:rsidRDefault="006E3964" w:rsidP="006E3964">
      <w:pPr>
        <w:spacing w:before="240" w:after="200" w:line="276" w:lineRule="auto"/>
        <w:ind w:left="426" w:hanging="426"/>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H</w:t>
      </w:r>
      <w:r w:rsidRPr="00BB6978">
        <w:rPr>
          <w:rFonts w:ascii="Times New Roman" w:eastAsia="Calibri" w:hAnsi="Times New Roman" w:cs="Times New Roman"/>
          <w:sz w:val="24"/>
          <w:szCs w:val="24"/>
          <w:vertAlign w:val="subscript"/>
        </w:rPr>
        <w:t>3</w:t>
      </w:r>
      <w:r w:rsidRPr="00BB6978">
        <w:rPr>
          <w:rFonts w:ascii="Times New Roman" w:eastAsia="Calibri" w:hAnsi="Times New Roman" w:cs="Times New Roman"/>
          <w:sz w:val="24"/>
          <w:szCs w:val="24"/>
        </w:rPr>
        <w:t>: There is a positive relationship between school quality and students’ achievement in private schools in Abu Dhabi.</w:t>
      </w:r>
    </w:p>
    <w:p w14:paraId="3A6D512E" w14:textId="77777777" w:rsidR="006E3964" w:rsidRPr="00BB6978" w:rsidRDefault="006E3964" w:rsidP="006E3964">
      <w:pPr>
        <w:spacing w:before="240" w:after="200" w:line="276" w:lineRule="auto"/>
        <w:ind w:left="426" w:hanging="426"/>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H</w:t>
      </w:r>
      <w:r w:rsidRPr="00BB6978">
        <w:rPr>
          <w:rFonts w:ascii="Times New Roman" w:eastAsia="Calibri" w:hAnsi="Times New Roman" w:cs="Times New Roman"/>
          <w:sz w:val="24"/>
          <w:szCs w:val="24"/>
          <w:vertAlign w:val="subscript"/>
        </w:rPr>
        <w:t xml:space="preserve">4: </w:t>
      </w:r>
      <w:r w:rsidRPr="00BB6978">
        <w:rPr>
          <w:rFonts w:ascii="Times New Roman" w:eastAsia="Calibri" w:hAnsi="Times New Roman" w:cs="Times New Roman"/>
          <w:sz w:val="24"/>
          <w:szCs w:val="24"/>
        </w:rPr>
        <w:t>School quality mediates the relationship between school cost and students’ achievement in private schools in Abu Dhabi.</w:t>
      </w:r>
    </w:p>
    <w:p w14:paraId="0ED02DA7" w14:textId="77777777" w:rsidR="006E3964" w:rsidRPr="00BB6978" w:rsidRDefault="006E3964" w:rsidP="006E3964">
      <w:pPr>
        <w:spacing w:before="240" w:after="200" w:line="360" w:lineRule="auto"/>
        <w:ind w:left="426" w:hanging="426"/>
        <w:jc w:val="both"/>
        <w:rPr>
          <w:rFonts w:ascii="Times New Roman" w:eastAsia="Calibri" w:hAnsi="Times New Roman" w:cs="Times New Roman"/>
          <w:sz w:val="24"/>
          <w:szCs w:val="24"/>
          <w:lang w:val="en-US"/>
        </w:rPr>
      </w:pPr>
      <w:r w:rsidRPr="00BB6978">
        <w:rPr>
          <w:rFonts w:ascii="Times New Roman" w:eastAsia="Calibri" w:hAnsi="Times New Roman" w:cs="Times New Roman"/>
          <w:sz w:val="24"/>
          <w:szCs w:val="24"/>
        </w:rPr>
        <w:t>H</w:t>
      </w:r>
      <w:r w:rsidRPr="00BB6978">
        <w:rPr>
          <w:rFonts w:ascii="Times New Roman" w:eastAsia="Calibri" w:hAnsi="Times New Roman" w:cs="Times New Roman"/>
          <w:sz w:val="24"/>
          <w:szCs w:val="24"/>
          <w:vertAlign w:val="subscript"/>
        </w:rPr>
        <w:t xml:space="preserve">5: </w:t>
      </w:r>
      <w:r w:rsidRPr="00BB6978">
        <w:rPr>
          <w:rFonts w:ascii="Times New Roman" w:eastAsia="Calibri" w:hAnsi="Times New Roman" w:cs="Times New Roman"/>
          <w:sz w:val="24"/>
          <w:szCs w:val="24"/>
        </w:rPr>
        <w:t xml:space="preserve">Parents’ income moderates the relationship between school cost and students’ achievements in private schools in Abu Dhabi. </w:t>
      </w:r>
    </w:p>
    <w:p w14:paraId="63740E46" w14:textId="77777777" w:rsidR="006E3964" w:rsidRPr="00BB6978" w:rsidRDefault="006E3964" w:rsidP="006E3964">
      <w:pPr>
        <w:spacing w:before="240" w:after="200" w:line="276" w:lineRule="auto"/>
        <w:ind w:left="426" w:hanging="426"/>
        <w:jc w:val="both"/>
        <w:rPr>
          <w:rFonts w:ascii="Times New Roman" w:eastAsia="Calibri" w:hAnsi="Times New Roman" w:cs="Times New Roman"/>
          <w:sz w:val="24"/>
          <w:szCs w:val="24"/>
          <w:lang w:val="en-US"/>
        </w:rPr>
      </w:pPr>
      <w:r w:rsidRPr="00BB6978">
        <w:rPr>
          <w:rFonts w:ascii="Times New Roman" w:eastAsia="Calibri" w:hAnsi="Times New Roman" w:cs="Times New Roman"/>
          <w:sz w:val="24"/>
          <w:szCs w:val="24"/>
        </w:rPr>
        <w:t>H</w:t>
      </w:r>
      <w:r w:rsidRPr="00BB6978">
        <w:rPr>
          <w:rFonts w:ascii="Times New Roman" w:eastAsia="Calibri" w:hAnsi="Times New Roman" w:cs="Times New Roman"/>
          <w:sz w:val="24"/>
          <w:szCs w:val="24"/>
          <w:vertAlign w:val="subscript"/>
        </w:rPr>
        <w:t xml:space="preserve">6: </w:t>
      </w:r>
      <w:r w:rsidRPr="00BB6978">
        <w:rPr>
          <w:rFonts w:ascii="Times New Roman" w:eastAsia="Calibri" w:hAnsi="Times New Roman" w:cs="Times New Roman"/>
          <w:sz w:val="24"/>
          <w:szCs w:val="24"/>
        </w:rPr>
        <w:t>Parents’ education moderates the relationship between school quality and students’ achievements in private schools in Abu Dhabi.</w:t>
      </w:r>
    </w:p>
    <w:p w14:paraId="76546C84" w14:textId="77777777" w:rsidR="005D0213" w:rsidRPr="00BB6978" w:rsidRDefault="005D0213" w:rsidP="008E2FDF">
      <w:pPr>
        <w:spacing w:after="68" w:line="480" w:lineRule="auto"/>
        <w:ind w:firstLine="357"/>
        <w:jc w:val="both"/>
        <w:rPr>
          <w:rFonts w:ascii="Times New Roman" w:eastAsia="Calibri" w:hAnsi="Times New Roman" w:cs="Times New Roman"/>
          <w:sz w:val="24"/>
          <w:szCs w:val="24"/>
        </w:rPr>
      </w:pPr>
    </w:p>
    <w:p w14:paraId="1FD40309" w14:textId="77777777" w:rsidR="006E3964" w:rsidRPr="00BB6978" w:rsidRDefault="006E3964" w:rsidP="008E2FDF">
      <w:pPr>
        <w:spacing w:after="68" w:line="480" w:lineRule="auto"/>
        <w:ind w:firstLine="357"/>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This chapter contains results for the following statistical techniques used by the researcher: 1) Test of KMO &amp; multicollinearity; 2) Factor Analysis; 3) Descriptive Analysis of the Variables and their Dimensions; 3) Correlation Analysis Results; 4) Linear, multiple, and hierarchal Regression Analysis; and 5) Confirmatory Factor Analysis</w:t>
      </w:r>
      <w:r w:rsidR="005D0213" w:rsidRPr="00BB6978">
        <w:rPr>
          <w:rFonts w:ascii="Times New Roman" w:eastAsia="Calibri" w:hAnsi="Times New Roman" w:cs="Times New Roman"/>
          <w:sz w:val="24"/>
          <w:szCs w:val="24"/>
        </w:rPr>
        <w:t>.</w:t>
      </w:r>
    </w:p>
    <w:p w14:paraId="23852625" w14:textId="77777777" w:rsidR="006E3964" w:rsidRPr="00BB6978" w:rsidRDefault="006E3964" w:rsidP="006E3964">
      <w:pPr>
        <w:pStyle w:val="Heading1"/>
        <w:rPr>
          <w:rFonts w:asciiTheme="majorBidi" w:eastAsia="Times New Roman" w:hAnsiTheme="majorBidi"/>
          <w:color w:val="auto"/>
          <w:sz w:val="24"/>
          <w:szCs w:val="24"/>
        </w:rPr>
      </w:pPr>
      <w:bookmarkStart w:id="137" w:name="_Toc138239814"/>
      <w:r w:rsidRPr="00BB6978">
        <w:rPr>
          <w:rFonts w:asciiTheme="majorBidi" w:eastAsia="Times New Roman" w:hAnsiTheme="majorBidi"/>
          <w:color w:val="auto"/>
          <w:sz w:val="24"/>
          <w:szCs w:val="24"/>
        </w:rPr>
        <w:t>4.2 Test of KMO and Multicollinearity</w:t>
      </w:r>
      <w:bookmarkEnd w:id="137"/>
    </w:p>
    <w:p w14:paraId="461523EC" w14:textId="77777777" w:rsidR="006E3964" w:rsidRPr="00BB6978" w:rsidRDefault="006E3964" w:rsidP="006E3964">
      <w:pPr>
        <w:spacing w:line="480" w:lineRule="auto"/>
        <w:ind w:firstLine="360"/>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To test whether the data set is satisfying for factor analysis, Kaiser-Meyer-Olkin (KMO) and Bartlett's tests have been employed. The value of KMO should not be less than 0.600 to be at the standard level of acceptance, also ‘Bartlett's Test of Sphericity’ requires remarking significance (Ismail</w:t>
      </w:r>
      <w:r w:rsidR="00226DC0" w:rsidRPr="00BB6978">
        <w:rPr>
          <w:rFonts w:ascii="Times New Roman" w:eastAsia="Calibri" w:hAnsi="Times New Roman" w:cs="Times New Roman"/>
          <w:sz w:val="24"/>
          <w:szCs w:val="24"/>
        </w:rPr>
        <w:t xml:space="preserve"> </w:t>
      </w:r>
      <w:r w:rsidR="00322A4D" w:rsidRPr="00BB6978">
        <w:rPr>
          <w:rFonts w:ascii="Times New Roman" w:eastAsia="Calibri" w:hAnsi="Times New Roman" w:cs="Times New Roman"/>
          <w:sz w:val="24"/>
          <w:szCs w:val="24"/>
        </w:rPr>
        <w:t>et al.</w:t>
      </w:r>
      <w:r w:rsidRPr="00BB6978">
        <w:rPr>
          <w:rFonts w:ascii="Times New Roman" w:eastAsia="Calibri" w:hAnsi="Times New Roman" w:cs="Times New Roman"/>
          <w:sz w:val="24"/>
          <w:szCs w:val="24"/>
        </w:rPr>
        <w:t>, 2010). As shown in Table 6, the KMO value is .707, and ‘Bartlett's Test of Sphericity’ shows significance (p &lt; 0.001). Therefore, the data set of this study is appropriate for conducting factor analysis.</w:t>
      </w:r>
    </w:p>
    <w:p w14:paraId="340FDD57" w14:textId="77777777" w:rsidR="00C628AC" w:rsidRPr="00BB6978" w:rsidRDefault="00E37E62" w:rsidP="007F58DC">
      <w:pPr>
        <w:pStyle w:val="Caption"/>
        <w:rPr>
          <w:rFonts w:ascii="Times New Roman" w:eastAsia="Calibri" w:hAnsi="Times New Roman" w:cs="Times New Roman"/>
        </w:rPr>
      </w:pPr>
      <w:bookmarkStart w:id="138" w:name="_Toc134452490"/>
      <w:r w:rsidRPr="00BB6978">
        <w:t xml:space="preserve">Table </w:t>
      </w:r>
      <w:r w:rsidRPr="00BB6978">
        <w:fldChar w:fldCharType="begin"/>
      </w:r>
      <w:r w:rsidRPr="00BB6978">
        <w:instrText xml:space="preserve"> SEQ Table \* ARABIC </w:instrText>
      </w:r>
      <w:r w:rsidRPr="00BB6978">
        <w:fldChar w:fldCharType="separate"/>
      </w:r>
      <w:r w:rsidR="00131282" w:rsidRPr="00BB6978">
        <w:rPr>
          <w:noProof/>
        </w:rPr>
        <w:t>6</w:t>
      </w:r>
      <w:r w:rsidRPr="00BB6978">
        <w:rPr>
          <w:noProof/>
        </w:rPr>
        <w:fldChar w:fldCharType="end"/>
      </w:r>
      <w:r w:rsidR="006E3964" w:rsidRPr="00BB6978">
        <w:rPr>
          <w:rFonts w:ascii="Times New Roman" w:eastAsia="Calibri" w:hAnsi="Times New Roman" w:cs="Times New Roman"/>
        </w:rPr>
        <w:t>: KMO and Bartlette’s Test</w:t>
      </w:r>
      <w:bookmarkEnd w:id="138"/>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22"/>
        <w:gridCol w:w="3886"/>
        <w:gridCol w:w="1078"/>
      </w:tblGrid>
      <w:tr w:rsidR="00073A16" w:rsidRPr="00BB6978" w14:paraId="79B1BAD6" w14:textId="77777777" w:rsidTr="00CE66D1">
        <w:tc>
          <w:tcPr>
            <w:tcW w:w="3060" w:type="dxa"/>
            <w:tcBorders>
              <w:top w:val="single" w:sz="4" w:space="0" w:color="auto"/>
              <w:bottom w:val="single" w:sz="4" w:space="0" w:color="auto"/>
            </w:tcBorders>
          </w:tcPr>
          <w:p w14:paraId="5FAB2CD1" w14:textId="77777777" w:rsidR="006E3964" w:rsidRPr="00BB6978" w:rsidRDefault="006E3964" w:rsidP="00CE66D1">
            <w:pPr>
              <w:spacing w:line="276" w:lineRule="auto"/>
              <w:jc w:val="center"/>
              <w:rPr>
                <w:rFonts w:asciiTheme="majorBidi" w:hAnsiTheme="majorBidi" w:cstheme="majorBidi"/>
                <w:b/>
                <w:bCs/>
                <w:sz w:val="20"/>
                <w:szCs w:val="20"/>
              </w:rPr>
            </w:pPr>
            <w:r w:rsidRPr="00BB6978">
              <w:rPr>
                <w:rFonts w:asciiTheme="majorBidi" w:hAnsiTheme="majorBidi" w:cstheme="majorBidi"/>
                <w:b/>
                <w:bCs/>
                <w:sz w:val="20"/>
                <w:szCs w:val="20"/>
              </w:rPr>
              <w:t>Categories</w:t>
            </w:r>
          </w:p>
        </w:tc>
        <w:tc>
          <w:tcPr>
            <w:tcW w:w="4818" w:type="dxa"/>
            <w:tcBorders>
              <w:top w:val="single" w:sz="4" w:space="0" w:color="auto"/>
              <w:bottom w:val="single" w:sz="4" w:space="0" w:color="auto"/>
            </w:tcBorders>
          </w:tcPr>
          <w:p w14:paraId="44E34270" w14:textId="77777777" w:rsidR="006E3964" w:rsidRPr="00BB6978" w:rsidRDefault="006E3964" w:rsidP="00CE66D1">
            <w:pPr>
              <w:spacing w:line="276" w:lineRule="auto"/>
              <w:jc w:val="center"/>
              <w:rPr>
                <w:rFonts w:asciiTheme="majorBidi" w:hAnsiTheme="majorBidi" w:cstheme="majorBidi"/>
                <w:b/>
                <w:bCs/>
                <w:sz w:val="20"/>
                <w:szCs w:val="20"/>
              </w:rPr>
            </w:pPr>
            <w:r w:rsidRPr="00BB6978">
              <w:rPr>
                <w:rFonts w:asciiTheme="majorBidi" w:hAnsiTheme="majorBidi" w:cstheme="majorBidi"/>
                <w:b/>
                <w:bCs/>
                <w:sz w:val="20"/>
                <w:szCs w:val="20"/>
              </w:rPr>
              <w:t>Types of Analysis</w:t>
            </w:r>
          </w:p>
        </w:tc>
        <w:tc>
          <w:tcPr>
            <w:tcW w:w="1148" w:type="dxa"/>
            <w:tcBorders>
              <w:top w:val="single" w:sz="4" w:space="0" w:color="auto"/>
              <w:bottom w:val="single" w:sz="4" w:space="0" w:color="auto"/>
            </w:tcBorders>
          </w:tcPr>
          <w:p w14:paraId="5D78ADD5" w14:textId="77777777" w:rsidR="006E3964" w:rsidRPr="00BB6978" w:rsidRDefault="006E3964" w:rsidP="00CE66D1">
            <w:pPr>
              <w:spacing w:line="276" w:lineRule="auto"/>
              <w:jc w:val="center"/>
              <w:rPr>
                <w:rFonts w:asciiTheme="majorBidi" w:hAnsiTheme="majorBidi" w:cstheme="majorBidi"/>
                <w:b/>
                <w:bCs/>
                <w:sz w:val="20"/>
                <w:szCs w:val="20"/>
              </w:rPr>
            </w:pPr>
            <w:r w:rsidRPr="00BB6978">
              <w:rPr>
                <w:rFonts w:asciiTheme="majorBidi" w:hAnsiTheme="majorBidi" w:cstheme="majorBidi"/>
                <w:b/>
                <w:bCs/>
                <w:sz w:val="20"/>
                <w:szCs w:val="20"/>
              </w:rPr>
              <w:t>Value</w:t>
            </w:r>
          </w:p>
        </w:tc>
      </w:tr>
      <w:tr w:rsidR="00073A16" w:rsidRPr="00BB6978" w14:paraId="7800615F" w14:textId="77777777" w:rsidTr="00CE66D1">
        <w:tc>
          <w:tcPr>
            <w:tcW w:w="3060" w:type="dxa"/>
            <w:tcBorders>
              <w:top w:val="single" w:sz="4" w:space="0" w:color="auto"/>
            </w:tcBorders>
          </w:tcPr>
          <w:p w14:paraId="3259AA9D" w14:textId="77777777" w:rsidR="006E3964" w:rsidRPr="00BB6978" w:rsidRDefault="006E3964" w:rsidP="00CE66D1">
            <w:pPr>
              <w:spacing w:line="276" w:lineRule="auto"/>
              <w:rPr>
                <w:rFonts w:asciiTheme="majorBidi" w:hAnsiTheme="majorBidi" w:cstheme="majorBidi"/>
                <w:sz w:val="20"/>
                <w:szCs w:val="20"/>
              </w:rPr>
            </w:pPr>
            <w:r w:rsidRPr="00BB6978">
              <w:rPr>
                <w:rFonts w:asciiTheme="majorBidi" w:hAnsiTheme="majorBidi" w:cstheme="majorBidi"/>
                <w:sz w:val="20"/>
                <w:szCs w:val="20"/>
              </w:rPr>
              <w:t xml:space="preserve">School Cost </w:t>
            </w:r>
          </w:p>
        </w:tc>
        <w:tc>
          <w:tcPr>
            <w:tcW w:w="4818" w:type="dxa"/>
            <w:tcBorders>
              <w:top w:val="single" w:sz="4" w:space="0" w:color="auto"/>
            </w:tcBorders>
          </w:tcPr>
          <w:p w14:paraId="34F32114" w14:textId="77777777" w:rsidR="006E3964" w:rsidRPr="00BB6978" w:rsidRDefault="006E3964" w:rsidP="00CE66D1">
            <w:pPr>
              <w:spacing w:line="276" w:lineRule="auto"/>
              <w:rPr>
                <w:rFonts w:asciiTheme="majorBidi" w:hAnsiTheme="majorBidi" w:cstheme="majorBidi"/>
                <w:sz w:val="20"/>
                <w:szCs w:val="20"/>
              </w:rPr>
            </w:pPr>
            <w:r w:rsidRPr="00BB6978">
              <w:rPr>
                <w:rFonts w:asciiTheme="majorBidi" w:hAnsiTheme="majorBidi" w:cstheme="majorBidi"/>
                <w:sz w:val="20"/>
                <w:szCs w:val="20"/>
              </w:rPr>
              <w:t>Kaiser-Meyer-Olkin Measure of Sampling Adequacy</w:t>
            </w:r>
          </w:p>
        </w:tc>
        <w:tc>
          <w:tcPr>
            <w:tcW w:w="1148" w:type="dxa"/>
            <w:tcBorders>
              <w:top w:val="single" w:sz="4" w:space="0" w:color="auto"/>
            </w:tcBorders>
          </w:tcPr>
          <w:p w14:paraId="6E48C026" w14:textId="77777777" w:rsidR="006E3964" w:rsidRPr="00BB6978" w:rsidRDefault="006E3964" w:rsidP="00CE66D1">
            <w:pPr>
              <w:spacing w:line="276" w:lineRule="auto"/>
              <w:jc w:val="center"/>
              <w:rPr>
                <w:rFonts w:asciiTheme="majorBidi" w:hAnsiTheme="majorBidi" w:cstheme="majorBidi"/>
                <w:sz w:val="20"/>
                <w:szCs w:val="20"/>
              </w:rPr>
            </w:pPr>
            <w:r w:rsidRPr="00BB6978">
              <w:rPr>
                <w:rFonts w:asciiTheme="majorBidi" w:hAnsiTheme="majorBidi" w:cstheme="majorBidi"/>
                <w:sz w:val="20"/>
                <w:szCs w:val="20"/>
                <w:lang/>
                <w14:ligatures w14:val="standardContextual"/>
              </w:rPr>
              <w:t>.707</w:t>
            </w:r>
          </w:p>
        </w:tc>
      </w:tr>
      <w:tr w:rsidR="00073A16" w:rsidRPr="00BB6978" w14:paraId="69E82681" w14:textId="77777777" w:rsidTr="00CE66D1">
        <w:tc>
          <w:tcPr>
            <w:tcW w:w="3060" w:type="dxa"/>
          </w:tcPr>
          <w:p w14:paraId="41A4652F" w14:textId="77777777" w:rsidR="006E3964" w:rsidRPr="00BB6978" w:rsidRDefault="006E3964" w:rsidP="00CE66D1">
            <w:pPr>
              <w:spacing w:line="276" w:lineRule="auto"/>
              <w:rPr>
                <w:rFonts w:asciiTheme="majorBidi" w:hAnsiTheme="majorBidi" w:cstheme="majorBidi"/>
                <w:sz w:val="20"/>
                <w:szCs w:val="20"/>
              </w:rPr>
            </w:pPr>
            <w:r w:rsidRPr="00BB6978">
              <w:rPr>
                <w:rFonts w:asciiTheme="majorBidi" w:hAnsiTheme="majorBidi" w:cstheme="majorBidi"/>
                <w:sz w:val="20"/>
                <w:szCs w:val="20"/>
              </w:rPr>
              <w:t>School Quality</w:t>
            </w:r>
          </w:p>
        </w:tc>
        <w:tc>
          <w:tcPr>
            <w:tcW w:w="4818" w:type="dxa"/>
          </w:tcPr>
          <w:p w14:paraId="5ACA96A9" w14:textId="77777777" w:rsidR="006E3964" w:rsidRPr="00BB6978" w:rsidRDefault="006E3964" w:rsidP="00CE66D1">
            <w:pPr>
              <w:spacing w:line="276" w:lineRule="auto"/>
              <w:rPr>
                <w:rFonts w:asciiTheme="majorBidi" w:hAnsiTheme="majorBidi" w:cstheme="majorBidi"/>
                <w:sz w:val="20"/>
                <w:szCs w:val="20"/>
              </w:rPr>
            </w:pPr>
            <w:r w:rsidRPr="00BB6978">
              <w:rPr>
                <w:rFonts w:asciiTheme="majorBidi" w:hAnsiTheme="majorBidi" w:cstheme="majorBidi"/>
                <w:sz w:val="20"/>
                <w:szCs w:val="20"/>
              </w:rPr>
              <w:t>Bartlett's Test of Sphericity        Approx. Chi-Square</w:t>
            </w:r>
          </w:p>
        </w:tc>
        <w:tc>
          <w:tcPr>
            <w:tcW w:w="1148" w:type="dxa"/>
          </w:tcPr>
          <w:p w14:paraId="2902C263" w14:textId="77777777" w:rsidR="006E3964" w:rsidRPr="00BB6978" w:rsidRDefault="006E3964" w:rsidP="00CE66D1">
            <w:pPr>
              <w:spacing w:line="276" w:lineRule="auto"/>
              <w:jc w:val="center"/>
              <w:rPr>
                <w:rFonts w:asciiTheme="majorBidi" w:hAnsiTheme="majorBidi" w:cstheme="majorBidi"/>
                <w:sz w:val="20"/>
                <w:szCs w:val="20"/>
              </w:rPr>
            </w:pPr>
            <w:r w:rsidRPr="00BB6978">
              <w:rPr>
                <w:rFonts w:asciiTheme="majorBidi" w:hAnsiTheme="majorBidi" w:cstheme="majorBidi"/>
                <w:sz w:val="20"/>
                <w:szCs w:val="20"/>
                <w:lang/>
                <w14:ligatures w14:val="standardContextual"/>
              </w:rPr>
              <w:t>394.221</w:t>
            </w:r>
          </w:p>
        </w:tc>
      </w:tr>
      <w:tr w:rsidR="00073A16" w:rsidRPr="00BB6978" w14:paraId="4CCB4DA4" w14:textId="77777777" w:rsidTr="00CE66D1">
        <w:tc>
          <w:tcPr>
            <w:tcW w:w="3060" w:type="dxa"/>
            <w:vMerge w:val="restart"/>
          </w:tcPr>
          <w:p w14:paraId="0A1A1B34" w14:textId="77777777" w:rsidR="006E3964" w:rsidRPr="00BB6978" w:rsidRDefault="006E3964" w:rsidP="00CE66D1">
            <w:pPr>
              <w:spacing w:line="276" w:lineRule="auto"/>
              <w:rPr>
                <w:rFonts w:asciiTheme="majorBidi" w:hAnsiTheme="majorBidi" w:cstheme="majorBidi"/>
                <w:sz w:val="20"/>
                <w:szCs w:val="20"/>
              </w:rPr>
            </w:pPr>
            <w:r w:rsidRPr="00BB6978">
              <w:rPr>
                <w:rFonts w:asciiTheme="majorBidi" w:hAnsiTheme="majorBidi" w:cstheme="majorBidi"/>
                <w:sz w:val="20"/>
                <w:szCs w:val="20"/>
              </w:rPr>
              <w:t>Students Achievement</w:t>
            </w:r>
          </w:p>
        </w:tc>
        <w:tc>
          <w:tcPr>
            <w:tcW w:w="4818" w:type="dxa"/>
          </w:tcPr>
          <w:p w14:paraId="2692426E" w14:textId="77777777" w:rsidR="006E3964" w:rsidRPr="00BB6978" w:rsidRDefault="006E3964" w:rsidP="00CE66D1">
            <w:pPr>
              <w:spacing w:line="276" w:lineRule="auto"/>
              <w:jc w:val="center"/>
              <w:rPr>
                <w:rFonts w:asciiTheme="majorBidi" w:hAnsiTheme="majorBidi" w:cstheme="majorBidi"/>
                <w:sz w:val="20"/>
                <w:szCs w:val="20"/>
              </w:rPr>
            </w:pPr>
            <w:r w:rsidRPr="00BB6978">
              <w:rPr>
                <w:rFonts w:asciiTheme="majorBidi" w:hAnsiTheme="majorBidi" w:cstheme="majorBidi"/>
                <w:sz w:val="20"/>
                <w:szCs w:val="20"/>
              </w:rPr>
              <w:t>df</w:t>
            </w:r>
          </w:p>
        </w:tc>
        <w:tc>
          <w:tcPr>
            <w:tcW w:w="1148" w:type="dxa"/>
          </w:tcPr>
          <w:p w14:paraId="540B33B3" w14:textId="77777777" w:rsidR="006E3964" w:rsidRPr="00BB6978" w:rsidRDefault="006E3964" w:rsidP="00CE66D1">
            <w:pPr>
              <w:spacing w:line="276" w:lineRule="auto"/>
              <w:jc w:val="center"/>
              <w:rPr>
                <w:rFonts w:asciiTheme="majorBidi" w:hAnsiTheme="majorBidi" w:cstheme="majorBidi"/>
                <w:sz w:val="20"/>
                <w:szCs w:val="20"/>
              </w:rPr>
            </w:pPr>
            <w:r w:rsidRPr="00BB6978">
              <w:rPr>
                <w:rFonts w:asciiTheme="majorBidi" w:hAnsiTheme="majorBidi" w:cstheme="majorBidi"/>
                <w:sz w:val="20"/>
                <w:szCs w:val="20"/>
                <w:lang/>
                <w14:ligatures w14:val="standardContextual"/>
              </w:rPr>
              <w:t>3</w:t>
            </w:r>
          </w:p>
        </w:tc>
      </w:tr>
      <w:tr w:rsidR="00073A16" w:rsidRPr="00BB6978" w14:paraId="36F95FE0" w14:textId="77777777" w:rsidTr="00CE66D1">
        <w:tc>
          <w:tcPr>
            <w:tcW w:w="3060" w:type="dxa"/>
            <w:vMerge/>
            <w:tcBorders>
              <w:bottom w:val="single" w:sz="4" w:space="0" w:color="auto"/>
            </w:tcBorders>
          </w:tcPr>
          <w:p w14:paraId="2E6E70D5" w14:textId="77777777" w:rsidR="006E3964" w:rsidRPr="00BB6978" w:rsidRDefault="006E3964" w:rsidP="00CE66D1">
            <w:pPr>
              <w:spacing w:line="276" w:lineRule="auto"/>
              <w:rPr>
                <w:rFonts w:asciiTheme="majorBidi" w:hAnsiTheme="majorBidi" w:cstheme="majorBidi"/>
                <w:b/>
                <w:bCs/>
                <w:sz w:val="20"/>
                <w:szCs w:val="20"/>
              </w:rPr>
            </w:pPr>
          </w:p>
        </w:tc>
        <w:tc>
          <w:tcPr>
            <w:tcW w:w="4818" w:type="dxa"/>
            <w:tcBorders>
              <w:bottom w:val="single" w:sz="4" w:space="0" w:color="auto"/>
            </w:tcBorders>
          </w:tcPr>
          <w:p w14:paraId="5DEB7691" w14:textId="77777777" w:rsidR="006E3964" w:rsidRPr="00BB6978" w:rsidRDefault="006E3964" w:rsidP="00CE66D1">
            <w:pPr>
              <w:spacing w:line="276" w:lineRule="auto"/>
              <w:jc w:val="center"/>
              <w:rPr>
                <w:rFonts w:asciiTheme="majorBidi" w:hAnsiTheme="majorBidi" w:cstheme="majorBidi"/>
                <w:b/>
                <w:bCs/>
                <w:sz w:val="20"/>
                <w:szCs w:val="20"/>
              </w:rPr>
            </w:pPr>
            <w:r w:rsidRPr="00BB6978">
              <w:rPr>
                <w:rFonts w:asciiTheme="majorBidi" w:hAnsiTheme="majorBidi" w:cstheme="majorBidi"/>
                <w:sz w:val="20"/>
                <w:szCs w:val="20"/>
              </w:rPr>
              <w:t>Sig.</w:t>
            </w:r>
          </w:p>
        </w:tc>
        <w:tc>
          <w:tcPr>
            <w:tcW w:w="1148" w:type="dxa"/>
            <w:tcBorders>
              <w:bottom w:val="single" w:sz="4" w:space="0" w:color="auto"/>
            </w:tcBorders>
          </w:tcPr>
          <w:p w14:paraId="2D3074B0" w14:textId="77777777" w:rsidR="006E3964" w:rsidRPr="00BB6978" w:rsidRDefault="006E3964" w:rsidP="00CE66D1">
            <w:pPr>
              <w:spacing w:line="276" w:lineRule="auto"/>
              <w:jc w:val="center"/>
              <w:rPr>
                <w:rFonts w:asciiTheme="majorBidi" w:hAnsiTheme="majorBidi" w:cstheme="majorBidi"/>
                <w:sz w:val="20"/>
                <w:szCs w:val="20"/>
              </w:rPr>
            </w:pPr>
            <w:r w:rsidRPr="00BB6978">
              <w:rPr>
                <w:rFonts w:asciiTheme="majorBidi" w:hAnsiTheme="majorBidi" w:cstheme="majorBidi"/>
                <w:sz w:val="20"/>
                <w:szCs w:val="20"/>
                <w:lang/>
                <w14:ligatures w14:val="standardContextual"/>
              </w:rPr>
              <w:t>&lt;.001</w:t>
            </w:r>
          </w:p>
        </w:tc>
      </w:tr>
    </w:tbl>
    <w:p w14:paraId="17DFE959" w14:textId="77777777" w:rsidR="006E3964" w:rsidRPr="00BB6978" w:rsidRDefault="006E3964" w:rsidP="006E3964">
      <w:pPr>
        <w:autoSpaceDE w:val="0"/>
        <w:autoSpaceDN w:val="0"/>
        <w:adjustRightInd w:val="0"/>
        <w:spacing w:after="0" w:line="240" w:lineRule="auto"/>
        <w:rPr>
          <w:rFonts w:asciiTheme="majorBidi" w:hAnsiTheme="majorBidi" w:cstheme="majorBidi"/>
          <w:sz w:val="16"/>
          <w:szCs w:val="16"/>
        </w:rPr>
      </w:pPr>
      <w:r w:rsidRPr="00BB6978">
        <w:rPr>
          <w:rFonts w:asciiTheme="majorBidi" w:hAnsiTheme="majorBidi" w:cstheme="majorBidi"/>
          <w:sz w:val="16"/>
          <w:szCs w:val="16"/>
        </w:rPr>
        <w:t>**. P &lt; 0.001</w:t>
      </w:r>
    </w:p>
    <w:p w14:paraId="0407AE10" w14:textId="77777777" w:rsidR="006E3964" w:rsidRPr="00BB6978" w:rsidRDefault="006E3964" w:rsidP="006E3964">
      <w:pPr>
        <w:autoSpaceDE w:val="0"/>
        <w:autoSpaceDN w:val="0"/>
        <w:adjustRightInd w:val="0"/>
        <w:spacing w:after="0" w:line="240" w:lineRule="auto"/>
        <w:rPr>
          <w:rFonts w:ascii="Times New Roman" w:hAnsi="Times New Roman" w:cs="Times New Roman"/>
          <w:sz w:val="24"/>
          <w:szCs w:val="24"/>
        </w:rPr>
      </w:pPr>
    </w:p>
    <w:p w14:paraId="35AD4E2A" w14:textId="77777777" w:rsidR="006E3964" w:rsidRPr="00BB6978" w:rsidRDefault="006E3964" w:rsidP="006E3964">
      <w:pPr>
        <w:spacing w:line="480" w:lineRule="auto"/>
        <w:ind w:firstLine="360"/>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 xml:space="preserve">To test the multicollinearity influence on the study variables, the value of skewness and VIF (Variance Inflation Factor) were measured. Based on Obeidat et al. (2016), the variables should be normal within an acceptable range from -1.0 to +1.0 of skewness value.  The results demonstrated in Table 7 show that the all the variables are within the -1.0 to +1.0 of skewness value range. This signifies that the variables are in the normal range. </w:t>
      </w:r>
    </w:p>
    <w:p w14:paraId="549C7D7E" w14:textId="77777777" w:rsidR="00C628AC" w:rsidRPr="00BB6978" w:rsidRDefault="006E3964" w:rsidP="00EF7B0C">
      <w:pPr>
        <w:spacing w:line="480" w:lineRule="auto"/>
        <w:ind w:firstLine="360"/>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 xml:space="preserve">In terms of the VIF testing, the maximum value of VIF among variables is similar 1.562, which is under 10 as shown in Table 7. This means that the results have not reached the risky level of multicollinearity, and thus, no worries about the multicollinearity influence (Obeidat et al., 2016). </w:t>
      </w:r>
    </w:p>
    <w:p w14:paraId="12873B9E" w14:textId="77777777" w:rsidR="006E3964" w:rsidRPr="00BB6978" w:rsidRDefault="006E3964" w:rsidP="00EF7B0C">
      <w:pPr>
        <w:spacing w:line="480" w:lineRule="auto"/>
        <w:ind w:firstLine="360"/>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Based on that, the results of skewness and VIF illustrate that multicollinearity has no problematic impact in this study, and the data set looks healthy and normal to the next stage of analysing and testing the hypotheses.</w:t>
      </w:r>
    </w:p>
    <w:p w14:paraId="6906E500" w14:textId="77777777" w:rsidR="006E3964" w:rsidRPr="00BB6978" w:rsidRDefault="00E37E62" w:rsidP="007F58DC">
      <w:pPr>
        <w:pStyle w:val="Caption"/>
        <w:rPr>
          <w:rFonts w:ascii="Times New Roman" w:eastAsia="Calibri" w:hAnsi="Times New Roman" w:cs="Times New Roman"/>
        </w:rPr>
      </w:pPr>
      <w:bookmarkStart w:id="139" w:name="_Toc134452491"/>
      <w:r w:rsidRPr="00BB6978">
        <w:t xml:space="preserve">Table </w:t>
      </w:r>
      <w:r w:rsidRPr="00BB6978">
        <w:fldChar w:fldCharType="begin"/>
      </w:r>
      <w:r w:rsidRPr="00BB6978">
        <w:instrText xml:space="preserve"> SEQ Table \* ARABIC </w:instrText>
      </w:r>
      <w:r w:rsidRPr="00BB6978">
        <w:fldChar w:fldCharType="separate"/>
      </w:r>
      <w:r w:rsidR="00131282" w:rsidRPr="00BB6978">
        <w:rPr>
          <w:noProof/>
        </w:rPr>
        <w:t>7</w:t>
      </w:r>
      <w:r w:rsidRPr="00BB6978">
        <w:rPr>
          <w:noProof/>
        </w:rPr>
        <w:fldChar w:fldCharType="end"/>
      </w:r>
      <w:r w:rsidR="006E3964" w:rsidRPr="00BB6978">
        <w:rPr>
          <w:rFonts w:ascii="Times New Roman" w:eastAsia="Calibri" w:hAnsi="Times New Roman" w:cs="Times New Roman"/>
        </w:rPr>
        <w:t>: Testing Multicollinearity</w:t>
      </w:r>
      <w:bookmarkEnd w:id="139"/>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8"/>
        <w:gridCol w:w="2373"/>
        <w:gridCol w:w="2513"/>
      </w:tblGrid>
      <w:tr w:rsidR="00073A16" w:rsidRPr="00BB6978" w14:paraId="55B462A1" w14:textId="77777777" w:rsidTr="005D0213">
        <w:trPr>
          <w:trHeight w:val="490"/>
        </w:trPr>
        <w:tc>
          <w:tcPr>
            <w:tcW w:w="2538" w:type="dxa"/>
            <w:tcBorders>
              <w:top w:val="single" w:sz="4" w:space="0" w:color="auto"/>
              <w:bottom w:val="single" w:sz="4" w:space="0" w:color="000000" w:themeColor="text1"/>
            </w:tcBorders>
          </w:tcPr>
          <w:p w14:paraId="488C3194" w14:textId="77777777" w:rsidR="006E3964" w:rsidRPr="00BB6978" w:rsidRDefault="006E3964" w:rsidP="00CE66D1">
            <w:pPr>
              <w:spacing w:line="480" w:lineRule="auto"/>
              <w:ind w:firstLine="360"/>
              <w:jc w:val="center"/>
              <w:rPr>
                <w:rFonts w:ascii="Times New Roman" w:eastAsia="Calibri" w:hAnsi="Times New Roman" w:cs="Times New Roman"/>
                <w:b/>
                <w:bCs/>
                <w:sz w:val="24"/>
                <w:szCs w:val="24"/>
                <w:lang w:val="en-IN"/>
              </w:rPr>
            </w:pPr>
            <w:r w:rsidRPr="00BB6978">
              <w:rPr>
                <w:rFonts w:ascii="Times New Roman" w:eastAsia="Calibri" w:hAnsi="Times New Roman" w:cs="Times New Roman"/>
                <w:b/>
                <w:bCs/>
                <w:sz w:val="24"/>
                <w:szCs w:val="24"/>
                <w:lang w:val="en-IN"/>
              </w:rPr>
              <w:t>Variables</w:t>
            </w:r>
          </w:p>
        </w:tc>
        <w:tc>
          <w:tcPr>
            <w:tcW w:w="2373" w:type="dxa"/>
            <w:tcBorders>
              <w:top w:val="single" w:sz="4" w:space="0" w:color="auto"/>
              <w:bottom w:val="single" w:sz="4" w:space="0" w:color="000000" w:themeColor="text1"/>
            </w:tcBorders>
          </w:tcPr>
          <w:p w14:paraId="4556C8EA" w14:textId="77777777" w:rsidR="006E3964" w:rsidRPr="00BB6978" w:rsidRDefault="006E3964" w:rsidP="00CE66D1">
            <w:pPr>
              <w:spacing w:line="480" w:lineRule="auto"/>
              <w:ind w:firstLine="360"/>
              <w:jc w:val="center"/>
              <w:rPr>
                <w:rFonts w:ascii="Times New Roman" w:eastAsia="Calibri" w:hAnsi="Times New Roman" w:cs="Times New Roman"/>
                <w:b/>
                <w:bCs/>
                <w:sz w:val="24"/>
                <w:szCs w:val="24"/>
                <w:lang w:val="en-IN"/>
              </w:rPr>
            </w:pPr>
            <w:r w:rsidRPr="00BB6978">
              <w:rPr>
                <w:rFonts w:ascii="Times New Roman" w:eastAsia="Calibri" w:hAnsi="Times New Roman" w:cs="Times New Roman"/>
                <w:b/>
                <w:bCs/>
                <w:sz w:val="24"/>
                <w:szCs w:val="24"/>
                <w:lang w:val="en-IN"/>
              </w:rPr>
              <w:t>VIF</w:t>
            </w:r>
          </w:p>
        </w:tc>
        <w:tc>
          <w:tcPr>
            <w:tcW w:w="2513" w:type="dxa"/>
            <w:tcBorders>
              <w:top w:val="single" w:sz="4" w:space="0" w:color="auto"/>
              <w:bottom w:val="single" w:sz="4" w:space="0" w:color="000000" w:themeColor="text1"/>
            </w:tcBorders>
          </w:tcPr>
          <w:p w14:paraId="2D66A428" w14:textId="77777777" w:rsidR="006E3964" w:rsidRPr="00BB6978" w:rsidRDefault="006E3964" w:rsidP="00CE66D1">
            <w:pPr>
              <w:spacing w:line="480" w:lineRule="auto"/>
              <w:ind w:firstLine="360"/>
              <w:jc w:val="center"/>
              <w:rPr>
                <w:rFonts w:ascii="Times New Roman" w:eastAsia="Calibri" w:hAnsi="Times New Roman" w:cs="Times New Roman"/>
                <w:b/>
                <w:bCs/>
                <w:sz w:val="24"/>
                <w:szCs w:val="24"/>
                <w:lang w:val="en-IN"/>
              </w:rPr>
            </w:pPr>
            <w:r w:rsidRPr="00BB6978">
              <w:rPr>
                <w:rFonts w:ascii="Times New Roman" w:eastAsia="Calibri" w:hAnsi="Times New Roman" w:cs="Times New Roman"/>
                <w:b/>
                <w:bCs/>
                <w:sz w:val="24"/>
                <w:szCs w:val="24"/>
                <w:lang w:val="en-IN"/>
              </w:rPr>
              <w:t>Skewness</w:t>
            </w:r>
          </w:p>
        </w:tc>
      </w:tr>
      <w:tr w:rsidR="00073A16" w:rsidRPr="00BB6978" w14:paraId="75EDA349" w14:textId="77777777" w:rsidTr="005D0213">
        <w:trPr>
          <w:trHeight w:val="490"/>
        </w:trPr>
        <w:tc>
          <w:tcPr>
            <w:tcW w:w="2538" w:type="dxa"/>
            <w:tcBorders>
              <w:top w:val="single" w:sz="4" w:space="0" w:color="000000" w:themeColor="text1"/>
            </w:tcBorders>
          </w:tcPr>
          <w:p w14:paraId="04389B00" w14:textId="77777777" w:rsidR="006E3964" w:rsidRPr="00BB6978" w:rsidRDefault="006E3964" w:rsidP="00CE66D1">
            <w:pPr>
              <w:spacing w:line="480" w:lineRule="auto"/>
              <w:ind w:firstLine="360"/>
              <w:jc w:val="center"/>
              <w:rPr>
                <w:rFonts w:ascii="Times New Roman" w:eastAsia="Calibri" w:hAnsi="Times New Roman" w:cs="Times New Roman"/>
                <w:sz w:val="24"/>
                <w:szCs w:val="24"/>
                <w:lang w:val="en-IN"/>
              </w:rPr>
            </w:pPr>
            <w:r w:rsidRPr="00BB6978">
              <w:rPr>
                <w:rFonts w:ascii="Times New Roman" w:eastAsia="Calibri" w:hAnsi="Times New Roman" w:cs="Times New Roman"/>
                <w:sz w:val="24"/>
                <w:szCs w:val="24"/>
                <w:lang w:val="en-IN"/>
              </w:rPr>
              <w:t>School Quality</w:t>
            </w:r>
          </w:p>
        </w:tc>
        <w:tc>
          <w:tcPr>
            <w:tcW w:w="2373" w:type="dxa"/>
            <w:tcBorders>
              <w:top w:val="single" w:sz="4" w:space="0" w:color="000000" w:themeColor="text1"/>
            </w:tcBorders>
          </w:tcPr>
          <w:p w14:paraId="0A9F00AE" w14:textId="77777777" w:rsidR="006E3964" w:rsidRPr="00BB6978" w:rsidRDefault="006E3964" w:rsidP="00CE66D1">
            <w:pPr>
              <w:spacing w:line="480" w:lineRule="auto"/>
              <w:ind w:firstLine="360"/>
              <w:jc w:val="center"/>
              <w:rPr>
                <w:rFonts w:ascii="Times New Roman" w:eastAsia="Calibri" w:hAnsi="Times New Roman" w:cs="Times New Roman"/>
                <w:sz w:val="24"/>
                <w:szCs w:val="24"/>
                <w:lang w:val="en-IN"/>
              </w:rPr>
            </w:pPr>
            <w:r w:rsidRPr="00BB6978">
              <w:rPr>
                <w:rFonts w:ascii="Times New Roman" w:eastAsia="Calibri" w:hAnsi="Times New Roman" w:cs="Times New Roman"/>
                <w:sz w:val="24"/>
                <w:szCs w:val="24"/>
                <w:lang w:val="en-IN"/>
              </w:rPr>
              <w:t>1.562</w:t>
            </w:r>
          </w:p>
        </w:tc>
        <w:tc>
          <w:tcPr>
            <w:tcW w:w="2513" w:type="dxa"/>
            <w:tcBorders>
              <w:top w:val="single" w:sz="4" w:space="0" w:color="000000" w:themeColor="text1"/>
            </w:tcBorders>
          </w:tcPr>
          <w:p w14:paraId="10E9D719" w14:textId="77777777" w:rsidR="006E3964" w:rsidRPr="00BB6978" w:rsidRDefault="006E3964" w:rsidP="00CE66D1">
            <w:pPr>
              <w:spacing w:line="480" w:lineRule="auto"/>
              <w:ind w:firstLine="360"/>
              <w:jc w:val="center"/>
              <w:rPr>
                <w:rFonts w:ascii="Times New Roman" w:eastAsia="Calibri" w:hAnsi="Times New Roman" w:cs="Times New Roman"/>
                <w:sz w:val="24"/>
                <w:szCs w:val="24"/>
                <w:lang w:val="en-IN"/>
              </w:rPr>
            </w:pPr>
            <w:r w:rsidRPr="00BB6978">
              <w:rPr>
                <w:rFonts w:ascii="Times New Roman" w:eastAsia="Calibri" w:hAnsi="Times New Roman" w:cs="Times New Roman"/>
                <w:sz w:val="24"/>
                <w:szCs w:val="24"/>
                <w:lang w:val="en-IN"/>
              </w:rPr>
              <w:t>-1.807</w:t>
            </w:r>
          </w:p>
        </w:tc>
      </w:tr>
      <w:tr w:rsidR="00073A16" w:rsidRPr="00BB6978" w14:paraId="5ECD6273" w14:textId="77777777" w:rsidTr="005D0213">
        <w:trPr>
          <w:trHeight w:val="261"/>
        </w:trPr>
        <w:tc>
          <w:tcPr>
            <w:tcW w:w="2538" w:type="dxa"/>
            <w:tcBorders>
              <w:bottom w:val="single" w:sz="4" w:space="0" w:color="000000" w:themeColor="text1"/>
            </w:tcBorders>
          </w:tcPr>
          <w:p w14:paraId="389E131E" w14:textId="77777777" w:rsidR="006E3964" w:rsidRPr="00BB6978" w:rsidRDefault="006E3964" w:rsidP="00CE66D1">
            <w:pPr>
              <w:spacing w:line="480" w:lineRule="auto"/>
              <w:ind w:firstLine="360"/>
              <w:jc w:val="center"/>
              <w:rPr>
                <w:rFonts w:ascii="Times New Roman" w:eastAsia="Calibri" w:hAnsi="Times New Roman" w:cs="Times New Roman"/>
                <w:sz w:val="24"/>
                <w:szCs w:val="24"/>
                <w:lang w:val="en-IN"/>
              </w:rPr>
            </w:pPr>
            <w:r w:rsidRPr="00BB6978">
              <w:rPr>
                <w:rFonts w:ascii="Times New Roman" w:eastAsia="Calibri" w:hAnsi="Times New Roman" w:cs="Times New Roman"/>
                <w:sz w:val="24"/>
                <w:szCs w:val="24"/>
                <w:lang w:val="en-IN"/>
              </w:rPr>
              <w:t>School Cost</w:t>
            </w:r>
          </w:p>
        </w:tc>
        <w:tc>
          <w:tcPr>
            <w:tcW w:w="2373" w:type="dxa"/>
            <w:tcBorders>
              <w:bottom w:val="single" w:sz="4" w:space="0" w:color="000000" w:themeColor="text1"/>
            </w:tcBorders>
          </w:tcPr>
          <w:p w14:paraId="23503972" w14:textId="77777777" w:rsidR="006E3964" w:rsidRPr="00BB6978" w:rsidRDefault="006E3964" w:rsidP="00CE66D1">
            <w:pPr>
              <w:spacing w:line="480" w:lineRule="auto"/>
              <w:ind w:firstLine="360"/>
              <w:jc w:val="center"/>
              <w:rPr>
                <w:rFonts w:ascii="Times New Roman" w:eastAsia="Calibri" w:hAnsi="Times New Roman" w:cs="Times New Roman"/>
                <w:sz w:val="24"/>
                <w:szCs w:val="24"/>
                <w:lang w:val="en-IN"/>
              </w:rPr>
            </w:pPr>
            <w:r w:rsidRPr="00BB6978">
              <w:rPr>
                <w:rFonts w:ascii="Times New Roman" w:eastAsia="Calibri" w:hAnsi="Times New Roman" w:cs="Times New Roman"/>
                <w:sz w:val="24"/>
                <w:szCs w:val="24"/>
                <w:lang w:val="en-IN"/>
              </w:rPr>
              <w:t>1.562</w:t>
            </w:r>
          </w:p>
        </w:tc>
        <w:tc>
          <w:tcPr>
            <w:tcW w:w="2513" w:type="dxa"/>
            <w:tcBorders>
              <w:bottom w:val="single" w:sz="4" w:space="0" w:color="000000" w:themeColor="text1"/>
            </w:tcBorders>
          </w:tcPr>
          <w:p w14:paraId="57B89232" w14:textId="77777777" w:rsidR="006E3964" w:rsidRPr="00BB6978" w:rsidRDefault="006E3964" w:rsidP="00CE66D1">
            <w:pPr>
              <w:spacing w:line="480" w:lineRule="auto"/>
              <w:ind w:firstLine="360"/>
              <w:jc w:val="center"/>
              <w:rPr>
                <w:rFonts w:ascii="Times New Roman" w:eastAsia="Calibri" w:hAnsi="Times New Roman" w:cs="Times New Roman"/>
                <w:sz w:val="24"/>
                <w:szCs w:val="24"/>
                <w:lang w:val="en-IN"/>
              </w:rPr>
            </w:pPr>
            <w:r w:rsidRPr="00BB6978">
              <w:rPr>
                <w:rFonts w:ascii="Times New Roman" w:eastAsia="Calibri" w:hAnsi="Times New Roman" w:cs="Times New Roman"/>
                <w:sz w:val="24"/>
                <w:szCs w:val="24"/>
                <w:lang w:val="en-IN"/>
              </w:rPr>
              <w:t>-1.506</w:t>
            </w:r>
          </w:p>
        </w:tc>
      </w:tr>
    </w:tbl>
    <w:p w14:paraId="0846D143" w14:textId="77777777" w:rsidR="006E3964" w:rsidRPr="00BB6978" w:rsidRDefault="006E3964" w:rsidP="006E3964">
      <w:pPr>
        <w:spacing w:after="0" w:line="480" w:lineRule="auto"/>
        <w:ind w:firstLine="360"/>
        <w:jc w:val="both"/>
        <w:rPr>
          <w:rFonts w:ascii="Times New Roman" w:eastAsia="Calibri" w:hAnsi="Times New Roman" w:cs="Times New Roman"/>
        </w:rPr>
      </w:pPr>
      <w:r w:rsidRPr="00BB6978">
        <w:rPr>
          <w:rFonts w:ascii="Times New Roman" w:eastAsia="Calibri" w:hAnsi="Times New Roman" w:cs="Times New Roman"/>
          <w:sz w:val="24"/>
          <w:szCs w:val="24"/>
        </w:rPr>
        <w:t>Dependent Variable: Student achievement</w:t>
      </w:r>
    </w:p>
    <w:p w14:paraId="1FD6B801" w14:textId="77777777" w:rsidR="006E3964" w:rsidRPr="00BB6978" w:rsidRDefault="006E3964" w:rsidP="006E3964">
      <w:pPr>
        <w:pStyle w:val="Heading1"/>
        <w:rPr>
          <w:rFonts w:asciiTheme="majorBidi" w:eastAsia="Times New Roman" w:hAnsiTheme="majorBidi"/>
          <w:b w:val="0"/>
          <w:bCs w:val="0"/>
          <w:color w:val="auto"/>
          <w:sz w:val="24"/>
          <w:szCs w:val="24"/>
        </w:rPr>
      </w:pPr>
      <w:bookmarkStart w:id="140" w:name="_Toc138239815"/>
      <w:r w:rsidRPr="00BB6978">
        <w:rPr>
          <w:rFonts w:asciiTheme="majorBidi" w:eastAsia="Times New Roman" w:hAnsiTheme="majorBidi"/>
          <w:color w:val="auto"/>
          <w:sz w:val="24"/>
          <w:szCs w:val="24"/>
        </w:rPr>
        <w:t>4.3 Factor analysis</w:t>
      </w:r>
      <w:bookmarkEnd w:id="134"/>
      <w:bookmarkEnd w:id="135"/>
      <w:bookmarkEnd w:id="140"/>
      <w:r w:rsidRPr="00BB6978">
        <w:rPr>
          <w:rFonts w:asciiTheme="majorBidi" w:eastAsia="Times New Roman" w:hAnsiTheme="majorBidi"/>
          <w:color w:val="auto"/>
          <w:sz w:val="24"/>
          <w:szCs w:val="24"/>
        </w:rPr>
        <w:t xml:space="preserve"> </w:t>
      </w:r>
    </w:p>
    <w:p w14:paraId="0B5DCED7" w14:textId="77777777" w:rsidR="006E3964" w:rsidRPr="00BB6978" w:rsidRDefault="006E3964" w:rsidP="006E3964">
      <w:pPr>
        <w:spacing w:after="68" w:line="480" w:lineRule="auto"/>
        <w:ind w:firstLine="357"/>
        <w:jc w:val="both"/>
        <w:rPr>
          <w:rFonts w:ascii="Times New Roman" w:eastAsia="Calibri" w:hAnsi="Times New Roman" w:cs="Times New Roman"/>
          <w:bCs/>
          <w:iCs/>
          <w:sz w:val="24"/>
          <w:szCs w:val="24"/>
        </w:rPr>
      </w:pPr>
      <w:r w:rsidRPr="00BB6978">
        <w:rPr>
          <w:rFonts w:ascii="Times New Roman" w:eastAsia="Calibri" w:hAnsi="Times New Roman" w:cs="Times New Roman"/>
          <w:bCs/>
          <w:iCs/>
          <w:sz w:val="24"/>
          <w:szCs w:val="24"/>
        </w:rPr>
        <w:t xml:space="preserve">Structural equation </w:t>
      </w:r>
      <w:r w:rsidR="004F4256" w:rsidRPr="00BB6978">
        <w:rPr>
          <w:rFonts w:ascii="Times New Roman" w:eastAsia="Calibri" w:hAnsi="Times New Roman" w:cs="Times New Roman"/>
          <w:bCs/>
          <w:iCs/>
          <w:sz w:val="24"/>
          <w:szCs w:val="24"/>
        </w:rPr>
        <w:t>modelling</w:t>
      </w:r>
      <w:r w:rsidRPr="00BB6978">
        <w:rPr>
          <w:rFonts w:ascii="Times New Roman" w:eastAsia="Calibri" w:hAnsi="Times New Roman" w:cs="Times New Roman"/>
          <w:bCs/>
          <w:iCs/>
          <w:sz w:val="24"/>
          <w:szCs w:val="24"/>
        </w:rPr>
        <w:t xml:space="preserve"> is a multivariate statistical analysis procedure used to </w:t>
      </w:r>
      <w:r w:rsidR="004F4256" w:rsidRPr="00BB6978">
        <w:rPr>
          <w:rFonts w:ascii="Times New Roman" w:eastAsia="Calibri" w:hAnsi="Times New Roman" w:cs="Times New Roman"/>
          <w:bCs/>
          <w:iCs/>
          <w:sz w:val="24"/>
          <w:szCs w:val="24"/>
        </w:rPr>
        <w:t>analyse</w:t>
      </w:r>
      <w:r w:rsidRPr="00BB6978">
        <w:rPr>
          <w:rFonts w:ascii="Times New Roman" w:eastAsia="Calibri" w:hAnsi="Times New Roman" w:cs="Times New Roman"/>
          <w:bCs/>
          <w:iCs/>
          <w:sz w:val="24"/>
          <w:szCs w:val="24"/>
        </w:rPr>
        <w:t xml:space="preserve"> and understand fundamental relationships. It is a mixture of factor analysis that</w:t>
      </w:r>
      <w:r w:rsidRPr="00BB6978">
        <w:t xml:space="preserve"> </w:t>
      </w:r>
      <w:r w:rsidRPr="00BB6978">
        <w:rPr>
          <w:rFonts w:ascii="Times New Roman" w:eastAsia="Calibri" w:hAnsi="Times New Roman" w:cs="Times New Roman"/>
          <w:bCs/>
          <w:iCs/>
          <w:sz w:val="24"/>
          <w:szCs w:val="24"/>
        </w:rPr>
        <w:t>used to simplify data by summarizing and reducing large items number into fewer dimensions. Then, multiple regression analyses are used to investigate the interrelationships between the measured variables. Usually, researchers prefer this method because it appraises the interrelated and compound dependency of variables in one analysis (Byrne, 2001).</w:t>
      </w:r>
    </w:p>
    <w:p w14:paraId="28D4C4BB" w14:textId="77777777" w:rsidR="00C628AC" w:rsidRPr="00BB6978" w:rsidRDefault="006E3964" w:rsidP="006E3964">
      <w:pPr>
        <w:spacing w:line="480" w:lineRule="auto"/>
        <w:ind w:firstLine="360"/>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 xml:space="preserve">Table 8 reveals the results of the factor analysis of school quality. The twenty-seven statements were run into a </w:t>
      </w:r>
      <w:r w:rsidRPr="00BB6978">
        <w:rPr>
          <w:rFonts w:ascii="Times New Roman" w:eastAsia="Calibri" w:hAnsi="Times New Roman" w:cs="Times New Roman"/>
          <w:noProof/>
          <w:sz w:val="24"/>
          <w:szCs w:val="24"/>
        </w:rPr>
        <w:t>factor</w:t>
      </w:r>
      <w:r w:rsidRPr="00BB6978">
        <w:rPr>
          <w:rFonts w:ascii="Times New Roman" w:eastAsia="Calibri" w:hAnsi="Times New Roman" w:cs="Times New Roman"/>
          <w:sz w:val="24"/>
          <w:szCs w:val="24"/>
        </w:rPr>
        <w:t xml:space="preserve"> analysis. Based on the major results, twenty-seven questions were reduced and grouped into three main dimensions. These dimensions are School Culture, School Resources and Teachers and Teaching. It can be perceived that the School Culture dimension includes six items with a loading ranging from 0.888 to 0.977. It shows that the least item scored a loading value of (0.888) goes for the item “My child enjoys learning at school”. This attributes to the parents’ personal judgment based on their experiences regarding their children’s outcomes when these outcomes are related to the school quality. </w:t>
      </w:r>
    </w:p>
    <w:p w14:paraId="058BFD5F" w14:textId="77777777" w:rsidR="006E3964" w:rsidRPr="00BB6978" w:rsidRDefault="006E3964" w:rsidP="006E3964">
      <w:pPr>
        <w:spacing w:line="480" w:lineRule="auto"/>
        <w:ind w:firstLine="360"/>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In terms of the School Resources dimension, it consists of six items within a loading range from 0.944 to 0.981. At the same time, Teachers and Teaching, the third dimension includes four items that have a loading range from 0.936 to 0.974. These loading values show the interrelationship among the items that helped in grouping them.</w:t>
      </w:r>
    </w:p>
    <w:p w14:paraId="6683EB45" w14:textId="77777777" w:rsidR="006E3964" w:rsidRPr="00BB6978" w:rsidRDefault="00E37E62" w:rsidP="007F58DC">
      <w:pPr>
        <w:pStyle w:val="Caption"/>
        <w:rPr>
          <w:rFonts w:eastAsia="Times New Roman"/>
          <w:u w:val="single"/>
        </w:rPr>
      </w:pPr>
      <w:bookmarkStart w:id="141" w:name="_Toc134452492"/>
      <w:r w:rsidRPr="00BB6978">
        <w:t xml:space="preserve">Table </w:t>
      </w:r>
      <w:r w:rsidRPr="00BB6978">
        <w:fldChar w:fldCharType="begin"/>
      </w:r>
      <w:r w:rsidRPr="00BB6978">
        <w:instrText xml:space="preserve"> SEQ Table \* ARABIC </w:instrText>
      </w:r>
      <w:r w:rsidRPr="00BB6978">
        <w:fldChar w:fldCharType="separate"/>
      </w:r>
      <w:r w:rsidR="00131282" w:rsidRPr="00BB6978">
        <w:rPr>
          <w:noProof/>
        </w:rPr>
        <w:t>8</w:t>
      </w:r>
      <w:r w:rsidRPr="00BB6978">
        <w:rPr>
          <w:noProof/>
        </w:rPr>
        <w:fldChar w:fldCharType="end"/>
      </w:r>
      <w:r w:rsidR="006E3964" w:rsidRPr="00BB6978">
        <w:t>: Factor analysis for the quality of school factor</w:t>
      </w:r>
      <w:bookmarkEnd w:id="141"/>
      <w:r w:rsidR="006E3964" w:rsidRPr="00BB6978">
        <w:t xml:space="preserve">  </w:t>
      </w:r>
    </w:p>
    <w:tbl>
      <w:tblPr>
        <w:tblStyle w:val="GridTable1Light"/>
        <w:tblW w:w="76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4050"/>
        <w:gridCol w:w="810"/>
        <w:gridCol w:w="810"/>
        <w:gridCol w:w="810"/>
        <w:gridCol w:w="1170"/>
      </w:tblGrid>
      <w:tr w:rsidR="00073A16" w:rsidRPr="00BB6978" w14:paraId="4179D24A" w14:textId="77777777" w:rsidTr="00CE66D1">
        <w:trPr>
          <w:trHeight w:val="305"/>
        </w:trPr>
        <w:tc>
          <w:tcPr>
            <w:tcW w:w="4050" w:type="dxa"/>
            <w:vMerge w:val="restart"/>
            <w:tcBorders>
              <w:top w:val="single" w:sz="4" w:space="0" w:color="000000" w:themeColor="text1"/>
            </w:tcBorders>
            <w:shd w:val="clear" w:color="auto" w:fill="DEEAF6" w:themeFill="accent5" w:themeFillTint="33"/>
          </w:tcPr>
          <w:p w14:paraId="6DE59406"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2430" w:type="dxa"/>
            <w:gridSpan w:val="3"/>
            <w:tcBorders>
              <w:top w:val="single" w:sz="4" w:space="0" w:color="000000" w:themeColor="text1"/>
            </w:tcBorders>
            <w:shd w:val="clear" w:color="auto" w:fill="DEEAF6" w:themeFill="accent5" w:themeFillTint="33"/>
          </w:tcPr>
          <w:p w14:paraId="1B6CA1D8" w14:textId="77777777" w:rsidR="006E3964" w:rsidRPr="00BB6978" w:rsidRDefault="006E3964" w:rsidP="00CE66D1">
            <w:pPr>
              <w:autoSpaceDE w:val="0"/>
              <w:autoSpaceDN w:val="0"/>
              <w:adjustRightInd w:val="0"/>
              <w:spacing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Factors</w:t>
            </w:r>
          </w:p>
        </w:tc>
        <w:tc>
          <w:tcPr>
            <w:tcW w:w="1170" w:type="dxa"/>
            <w:vMerge w:val="restart"/>
            <w:tcBorders>
              <w:top w:val="single" w:sz="4" w:space="0" w:color="000000" w:themeColor="text1"/>
            </w:tcBorders>
            <w:shd w:val="clear" w:color="auto" w:fill="DEEAF6" w:themeFill="accent5" w:themeFillTint="33"/>
          </w:tcPr>
          <w:p w14:paraId="31899218" w14:textId="77777777" w:rsidR="006E3964" w:rsidRPr="00BB6978" w:rsidRDefault="006E3964" w:rsidP="00CE66D1">
            <w:pPr>
              <w:autoSpaceDE w:val="0"/>
              <w:autoSpaceDN w:val="0"/>
              <w:adjustRightInd w:val="0"/>
              <w:spacing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 xml:space="preserve">% of </w:t>
            </w:r>
          </w:p>
          <w:p w14:paraId="05B66628" w14:textId="77777777" w:rsidR="006E3964" w:rsidRPr="00BB6978" w:rsidRDefault="006E3964" w:rsidP="00CE66D1">
            <w:pPr>
              <w:autoSpaceDE w:val="0"/>
              <w:autoSpaceDN w:val="0"/>
              <w:adjustRightInd w:val="0"/>
              <w:spacing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 xml:space="preserve">Variance </w:t>
            </w:r>
          </w:p>
        </w:tc>
      </w:tr>
      <w:tr w:rsidR="00073A16" w:rsidRPr="00BB6978" w14:paraId="28D5DE55" w14:textId="77777777" w:rsidTr="00CE66D1">
        <w:tc>
          <w:tcPr>
            <w:tcW w:w="4050" w:type="dxa"/>
            <w:vMerge/>
            <w:tcBorders>
              <w:bottom w:val="single" w:sz="4" w:space="0" w:color="000000" w:themeColor="text1"/>
            </w:tcBorders>
            <w:shd w:val="clear" w:color="auto" w:fill="DEEAF6" w:themeFill="accent5" w:themeFillTint="33"/>
          </w:tcPr>
          <w:p w14:paraId="79853ED7"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Borders>
              <w:bottom w:val="single" w:sz="4" w:space="0" w:color="000000" w:themeColor="text1"/>
            </w:tcBorders>
            <w:shd w:val="clear" w:color="auto" w:fill="DEEAF6" w:themeFill="accent5" w:themeFillTint="33"/>
            <w:vAlign w:val="center"/>
          </w:tcPr>
          <w:p w14:paraId="07C8B5C5" w14:textId="77777777" w:rsidR="006E3964" w:rsidRPr="00BB6978" w:rsidRDefault="006E3964" w:rsidP="00CE66D1">
            <w:pPr>
              <w:autoSpaceDE w:val="0"/>
              <w:autoSpaceDN w:val="0"/>
              <w:adjustRightInd w:val="0"/>
              <w:spacing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1</w:t>
            </w:r>
          </w:p>
        </w:tc>
        <w:tc>
          <w:tcPr>
            <w:tcW w:w="810" w:type="dxa"/>
            <w:tcBorders>
              <w:bottom w:val="single" w:sz="4" w:space="0" w:color="000000" w:themeColor="text1"/>
            </w:tcBorders>
            <w:shd w:val="clear" w:color="auto" w:fill="DEEAF6" w:themeFill="accent5" w:themeFillTint="33"/>
            <w:vAlign w:val="center"/>
          </w:tcPr>
          <w:p w14:paraId="39F1FD31" w14:textId="77777777" w:rsidR="006E3964" w:rsidRPr="00BB6978" w:rsidRDefault="006E3964" w:rsidP="00CE66D1">
            <w:pPr>
              <w:autoSpaceDE w:val="0"/>
              <w:autoSpaceDN w:val="0"/>
              <w:adjustRightInd w:val="0"/>
              <w:spacing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2</w:t>
            </w:r>
          </w:p>
        </w:tc>
        <w:tc>
          <w:tcPr>
            <w:tcW w:w="810" w:type="dxa"/>
            <w:tcBorders>
              <w:bottom w:val="single" w:sz="4" w:space="0" w:color="000000" w:themeColor="text1"/>
            </w:tcBorders>
            <w:shd w:val="clear" w:color="auto" w:fill="DEEAF6" w:themeFill="accent5" w:themeFillTint="33"/>
            <w:vAlign w:val="center"/>
          </w:tcPr>
          <w:p w14:paraId="138B043D" w14:textId="77777777" w:rsidR="006E3964" w:rsidRPr="00BB6978" w:rsidRDefault="006E3964" w:rsidP="00CE66D1">
            <w:pPr>
              <w:autoSpaceDE w:val="0"/>
              <w:autoSpaceDN w:val="0"/>
              <w:adjustRightInd w:val="0"/>
              <w:spacing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3</w:t>
            </w:r>
          </w:p>
        </w:tc>
        <w:tc>
          <w:tcPr>
            <w:tcW w:w="1170" w:type="dxa"/>
            <w:vMerge/>
            <w:tcBorders>
              <w:bottom w:val="single" w:sz="4" w:space="0" w:color="000000" w:themeColor="text1"/>
            </w:tcBorders>
            <w:shd w:val="clear" w:color="auto" w:fill="DEEAF6" w:themeFill="accent5" w:themeFillTint="33"/>
          </w:tcPr>
          <w:p w14:paraId="572E5DEB" w14:textId="77777777" w:rsidR="006E3964" w:rsidRPr="00BB6978" w:rsidRDefault="006E3964" w:rsidP="00CE66D1">
            <w:pPr>
              <w:autoSpaceDE w:val="0"/>
              <w:autoSpaceDN w:val="0"/>
              <w:adjustRightInd w:val="0"/>
              <w:spacing w:line="320" w:lineRule="atLeast"/>
              <w:ind w:left="60" w:right="60"/>
              <w:jc w:val="center"/>
              <w:rPr>
                <w:rFonts w:ascii="Times New Roman" w:eastAsia="Calibri" w:hAnsi="Times New Roman" w:cs="Times New Roman"/>
                <w:b/>
                <w:sz w:val="24"/>
                <w:szCs w:val="24"/>
              </w:rPr>
            </w:pPr>
          </w:p>
        </w:tc>
      </w:tr>
      <w:tr w:rsidR="00073A16" w:rsidRPr="00BB6978" w14:paraId="41848004" w14:textId="77777777" w:rsidTr="00CE66D1">
        <w:tc>
          <w:tcPr>
            <w:tcW w:w="4050" w:type="dxa"/>
            <w:tcBorders>
              <w:top w:val="single" w:sz="4" w:space="0" w:color="000000" w:themeColor="text1"/>
              <w:bottom w:val="single" w:sz="18" w:space="0" w:color="auto"/>
            </w:tcBorders>
            <w:shd w:val="clear" w:color="auto" w:fill="E2EFD9" w:themeFill="accent6" w:themeFillTint="33"/>
          </w:tcPr>
          <w:p w14:paraId="2FBF342D" w14:textId="77777777" w:rsidR="006E3964" w:rsidRPr="00BB6978" w:rsidRDefault="006E3964" w:rsidP="00CE66D1">
            <w:pPr>
              <w:autoSpaceDE w:val="0"/>
              <w:autoSpaceDN w:val="0"/>
              <w:adjustRightInd w:val="0"/>
              <w:rPr>
                <w:rFonts w:ascii="Times New Roman" w:eastAsia="Calibri" w:hAnsi="Times New Roman" w:cs="Times New Roman"/>
                <w:b/>
                <w:sz w:val="24"/>
                <w:szCs w:val="24"/>
              </w:rPr>
            </w:pPr>
            <w:r w:rsidRPr="00BB6978">
              <w:rPr>
                <w:rFonts w:ascii="Times New Roman" w:eastAsia="Calibri" w:hAnsi="Times New Roman" w:cs="Times New Roman"/>
                <w:b/>
                <w:sz w:val="24"/>
                <w:szCs w:val="24"/>
              </w:rPr>
              <w:t>School Culture</w:t>
            </w:r>
          </w:p>
        </w:tc>
        <w:tc>
          <w:tcPr>
            <w:tcW w:w="810" w:type="dxa"/>
            <w:tcBorders>
              <w:top w:val="single" w:sz="4" w:space="0" w:color="000000" w:themeColor="text1"/>
              <w:bottom w:val="single" w:sz="18" w:space="0" w:color="auto"/>
            </w:tcBorders>
            <w:shd w:val="clear" w:color="auto" w:fill="E2EFD9" w:themeFill="accent6" w:themeFillTint="33"/>
          </w:tcPr>
          <w:p w14:paraId="55417F42" w14:textId="77777777" w:rsidR="006E3964" w:rsidRPr="00BB6978" w:rsidRDefault="006E3964" w:rsidP="00CE66D1">
            <w:pPr>
              <w:autoSpaceDE w:val="0"/>
              <w:autoSpaceDN w:val="0"/>
              <w:adjustRightInd w:val="0"/>
              <w:spacing w:line="320" w:lineRule="atLeast"/>
              <w:ind w:left="60" w:right="60"/>
              <w:jc w:val="center"/>
              <w:rPr>
                <w:rFonts w:ascii="Times New Roman" w:eastAsia="Calibri" w:hAnsi="Times New Roman" w:cs="Times New Roman"/>
                <w:b/>
                <w:sz w:val="24"/>
                <w:szCs w:val="24"/>
              </w:rPr>
            </w:pPr>
          </w:p>
        </w:tc>
        <w:tc>
          <w:tcPr>
            <w:tcW w:w="810" w:type="dxa"/>
            <w:tcBorders>
              <w:top w:val="single" w:sz="4" w:space="0" w:color="000000" w:themeColor="text1"/>
              <w:bottom w:val="single" w:sz="18" w:space="0" w:color="auto"/>
            </w:tcBorders>
            <w:shd w:val="clear" w:color="auto" w:fill="E2EFD9" w:themeFill="accent6" w:themeFillTint="33"/>
          </w:tcPr>
          <w:p w14:paraId="4CBBE9CE" w14:textId="77777777" w:rsidR="006E3964" w:rsidRPr="00BB6978" w:rsidRDefault="006E3964" w:rsidP="00CE66D1">
            <w:pPr>
              <w:autoSpaceDE w:val="0"/>
              <w:autoSpaceDN w:val="0"/>
              <w:adjustRightInd w:val="0"/>
              <w:spacing w:line="320" w:lineRule="atLeast"/>
              <w:ind w:left="60" w:right="60"/>
              <w:jc w:val="center"/>
              <w:rPr>
                <w:rFonts w:ascii="Times New Roman" w:eastAsia="Calibri" w:hAnsi="Times New Roman" w:cs="Times New Roman"/>
                <w:b/>
                <w:sz w:val="24"/>
                <w:szCs w:val="24"/>
              </w:rPr>
            </w:pPr>
          </w:p>
        </w:tc>
        <w:tc>
          <w:tcPr>
            <w:tcW w:w="810" w:type="dxa"/>
            <w:tcBorders>
              <w:top w:val="single" w:sz="4" w:space="0" w:color="000000" w:themeColor="text1"/>
              <w:bottom w:val="single" w:sz="18" w:space="0" w:color="auto"/>
            </w:tcBorders>
            <w:shd w:val="clear" w:color="auto" w:fill="E2EFD9" w:themeFill="accent6" w:themeFillTint="33"/>
          </w:tcPr>
          <w:p w14:paraId="60057414" w14:textId="77777777" w:rsidR="006E3964" w:rsidRPr="00BB6978" w:rsidRDefault="006E3964" w:rsidP="00CE66D1">
            <w:pPr>
              <w:autoSpaceDE w:val="0"/>
              <w:autoSpaceDN w:val="0"/>
              <w:adjustRightInd w:val="0"/>
              <w:spacing w:line="320" w:lineRule="atLeast"/>
              <w:ind w:left="60" w:right="60"/>
              <w:jc w:val="center"/>
              <w:rPr>
                <w:rFonts w:ascii="Times New Roman" w:eastAsia="Calibri" w:hAnsi="Times New Roman" w:cs="Times New Roman"/>
                <w:b/>
                <w:sz w:val="24"/>
                <w:szCs w:val="24"/>
              </w:rPr>
            </w:pPr>
          </w:p>
        </w:tc>
        <w:tc>
          <w:tcPr>
            <w:tcW w:w="1170" w:type="dxa"/>
            <w:vMerge w:val="restart"/>
            <w:tcBorders>
              <w:top w:val="single" w:sz="4" w:space="0" w:color="000000" w:themeColor="text1"/>
            </w:tcBorders>
            <w:vAlign w:val="center"/>
          </w:tcPr>
          <w:p w14:paraId="4C4300DA" w14:textId="77777777" w:rsidR="006E3964" w:rsidRPr="00BB6978" w:rsidRDefault="006E3964" w:rsidP="00CE66D1">
            <w:pPr>
              <w:autoSpaceDE w:val="0"/>
              <w:autoSpaceDN w:val="0"/>
              <w:adjustRightInd w:val="0"/>
              <w:spacing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49.650</w:t>
            </w:r>
          </w:p>
        </w:tc>
      </w:tr>
      <w:tr w:rsidR="00073A16" w:rsidRPr="00BB6978" w14:paraId="511A0BC6" w14:textId="77777777" w:rsidTr="00CE66D1">
        <w:tc>
          <w:tcPr>
            <w:tcW w:w="4050" w:type="dxa"/>
            <w:tcBorders>
              <w:top w:val="single" w:sz="18" w:space="0" w:color="auto"/>
            </w:tcBorders>
          </w:tcPr>
          <w:p w14:paraId="132FE49C"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My child has at least one really good friend that they can talk to about anything</w:t>
            </w:r>
          </w:p>
        </w:tc>
        <w:tc>
          <w:tcPr>
            <w:tcW w:w="810" w:type="dxa"/>
            <w:tcBorders>
              <w:top w:val="single" w:sz="18" w:space="0" w:color="auto"/>
            </w:tcBorders>
          </w:tcPr>
          <w:p w14:paraId="2F61EF44"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.977</w:t>
            </w:r>
          </w:p>
        </w:tc>
        <w:tc>
          <w:tcPr>
            <w:tcW w:w="810" w:type="dxa"/>
            <w:tcBorders>
              <w:top w:val="single" w:sz="18" w:space="0" w:color="auto"/>
            </w:tcBorders>
          </w:tcPr>
          <w:p w14:paraId="5B24DF30"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Borders>
              <w:top w:val="single" w:sz="18" w:space="0" w:color="auto"/>
            </w:tcBorders>
          </w:tcPr>
          <w:p w14:paraId="30932C53"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1170" w:type="dxa"/>
            <w:vMerge/>
          </w:tcPr>
          <w:p w14:paraId="1918379C"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r>
      <w:tr w:rsidR="00073A16" w:rsidRPr="00BB6978" w14:paraId="47CB5BBF" w14:textId="77777777" w:rsidTr="00CE66D1">
        <w:tc>
          <w:tcPr>
            <w:tcW w:w="4050" w:type="dxa"/>
          </w:tcPr>
          <w:p w14:paraId="6F429C4B"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My child built good relationships with students at school</w:t>
            </w:r>
          </w:p>
        </w:tc>
        <w:tc>
          <w:tcPr>
            <w:tcW w:w="810" w:type="dxa"/>
          </w:tcPr>
          <w:p w14:paraId="6972E2A1"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.976</w:t>
            </w:r>
          </w:p>
        </w:tc>
        <w:tc>
          <w:tcPr>
            <w:tcW w:w="810" w:type="dxa"/>
          </w:tcPr>
          <w:p w14:paraId="776D1E37"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Pr>
          <w:p w14:paraId="302D1B1E"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1170" w:type="dxa"/>
            <w:vMerge/>
          </w:tcPr>
          <w:p w14:paraId="4D76208B"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r>
      <w:tr w:rsidR="00073A16" w:rsidRPr="00BB6978" w14:paraId="2889AA09" w14:textId="77777777" w:rsidTr="00CE66D1">
        <w:tc>
          <w:tcPr>
            <w:tcW w:w="4050" w:type="dxa"/>
          </w:tcPr>
          <w:p w14:paraId="5F8B93C3"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The school offers a safe environment for student</w:t>
            </w:r>
          </w:p>
        </w:tc>
        <w:tc>
          <w:tcPr>
            <w:tcW w:w="810" w:type="dxa"/>
          </w:tcPr>
          <w:p w14:paraId="08B096D4"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.975</w:t>
            </w:r>
          </w:p>
        </w:tc>
        <w:tc>
          <w:tcPr>
            <w:tcW w:w="810" w:type="dxa"/>
          </w:tcPr>
          <w:p w14:paraId="79970792"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Pr>
          <w:p w14:paraId="320A73F6"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1170" w:type="dxa"/>
            <w:vMerge/>
          </w:tcPr>
          <w:p w14:paraId="560F6B06"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r>
      <w:tr w:rsidR="00073A16" w:rsidRPr="00BB6978" w14:paraId="38FAF671" w14:textId="77777777" w:rsidTr="00CE66D1">
        <w:tc>
          <w:tcPr>
            <w:tcW w:w="4050" w:type="dxa"/>
          </w:tcPr>
          <w:p w14:paraId="444CE17A"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My child has a close relationship with a teacher or another adult at school</w:t>
            </w:r>
          </w:p>
        </w:tc>
        <w:tc>
          <w:tcPr>
            <w:tcW w:w="810" w:type="dxa"/>
          </w:tcPr>
          <w:p w14:paraId="5472E6BA"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.973</w:t>
            </w:r>
          </w:p>
        </w:tc>
        <w:tc>
          <w:tcPr>
            <w:tcW w:w="810" w:type="dxa"/>
          </w:tcPr>
          <w:p w14:paraId="570A4C81"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Pr>
          <w:p w14:paraId="4125D006"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1170" w:type="dxa"/>
            <w:vMerge/>
          </w:tcPr>
          <w:p w14:paraId="62AA43E1"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r>
      <w:tr w:rsidR="00073A16" w:rsidRPr="00BB6978" w14:paraId="3E782509" w14:textId="77777777" w:rsidTr="00CE66D1">
        <w:tc>
          <w:tcPr>
            <w:tcW w:w="4050" w:type="dxa"/>
          </w:tcPr>
          <w:p w14:paraId="0ECD0F84"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Generally, my child like his/her teachers</w:t>
            </w:r>
          </w:p>
        </w:tc>
        <w:tc>
          <w:tcPr>
            <w:tcW w:w="810" w:type="dxa"/>
          </w:tcPr>
          <w:p w14:paraId="6BD8F2D9"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.972</w:t>
            </w:r>
          </w:p>
        </w:tc>
        <w:tc>
          <w:tcPr>
            <w:tcW w:w="810" w:type="dxa"/>
          </w:tcPr>
          <w:p w14:paraId="7CE95C00"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Pr>
          <w:p w14:paraId="1F7B5EDE"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1170" w:type="dxa"/>
            <w:vMerge/>
          </w:tcPr>
          <w:p w14:paraId="5AF32FA8"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r>
      <w:tr w:rsidR="00073A16" w:rsidRPr="00BB6978" w14:paraId="2281960A" w14:textId="77777777" w:rsidTr="00CE66D1">
        <w:tc>
          <w:tcPr>
            <w:tcW w:w="4050" w:type="dxa"/>
          </w:tcPr>
          <w:p w14:paraId="22319E6B"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Students at my child's school respect and help each other</w:t>
            </w:r>
          </w:p>
        </w:tc>
        <w:tc>
          <w:tcPr>
            <w:tcW w:w="810" w:type="dxa"/>
          </w:tcPr>
          <w:p w14:paraId="649721AC"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.971</w:t>
            </w:r>
          </w:p>
        </w:tc>
        <w:tc>
          <w:tcPr>
            <w:tcW w:w="810" w:type="dxa"/>
          </w:tcPr>
          <w:p w14:paraId="14F3A32C"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Pr>
          <w:p w14:paraId="61C780BC"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1170" w:type="dxa"/>
            <w:vMerge/>
          </w:tcPr>
          <w:p w14:paraId="3DA29D84"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r>
      <w:tr w:rsidR="00073A16" w:rsidRPr="00BB6978" w14:paraId="3744BB49" w14:textId="77777777" w:rsidTr="00CE66D1">
        <w:tc>
          <w:tcPr>
            <w:tcW w:w="4050" w:type="dxa"/>
          </w:tcPr>
          <w:p w14:paraId="6065C33D"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My child feels part of a group of friends that does things together</w:t>
            </w:r>
          </w:p>
        </w:tc>
        <w:tc>
          <w:tcPr>
            <w:tcW w:w="810" w:type="dxa"/>
          </w:tcPr>
          <w:p w14:paraId="3AFFF18C"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.970</w:t>
            </w:r>
          </w:p>
        </w:tc>
        <w:tc>
          <w:tcPr>
            <w:tcW w:w="810" w:type="dxa"/>
          </w:tcPr>
          <w:p w14:paraId="07E26167"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Pr>
          <w:p w14:paraId="12BF6238"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1170" w:type="dxa"/>
            <w:vMerge/>
          </w:tcPr>
          <w:p w14:paraId="5327C1DA"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r>
      <w:tr w:rsidR="00073A16" w:rsidRPr="00BB6978" w14:paraId="362C1F2D" w14:textId="77777777" w:rsidTr="00CE66D1">
        <w:tc>
          <w:tcPr>
            <w:tcW w:w="4050" w:type="dxa"/>
          </w:tcPr>
          <w:p w14:paraId="62D1B95B"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My child feels challenged at class in a positive way</w:t>
            </w:r>
          </w:p>
        </w:tc>
        <w:tc>
          <w:tcPr>
            <w:tcW w:w="810" w:type="dxa"/>
          </w:tcPr>
          <w:p w14:paraId="22C0D019"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.967</w:t>
            </w:r>
          </w:p>
        </w:tc>
        <w:tc>
          <w:tcPr>
            <w:tcW w:w="810" w:type="dxa"/>
          </w:tcPr>
          <w:p w14:paraId="59FC021B"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Pr>
          <w:p w14:paraId="33E9BA66"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1170" w:type="dxa"/>
            <w:vMerge/>
          </w:tcPr>
          <w:p w14:paraId="28A0A6CF"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r>
      <w:tr w:rsidR="00073A16" w:rsidRPr="00BB6978" w14:paraId="46EEB1B9" w14:textId="77777777" w:rsidTr="00CE66D1">
        <w:tc>
          <w:tcPr>
            <w:tcW w:w="4050" w:type="dxa"/>
          </w:tcPr>
          <w:p w14:paraId="55B4E23B"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I can see how happy and calm my child is going to school</w:t>
            </w:r>
          </w:p>
        </w:tc>
        <w:tc>
          <w:tcPr>
            <w:tcW w:w="810" w:type="dxa"/>
          </w:tcPr>
          <w:p w14:paraId="1757C5F5"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.966</w:t>
            </w:r>
          </w:p>
        </w:tc>
        <w:tc>
          <w:tcPr>
            <w:tcW w:w="810" w:type="dxa"/>
          </w:tcPr>
          <w:p w14:paraId="1D51F749"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Pr>
          <w:p w14:paraId="6C887698"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1170" w:type="dxa"/>
            <w:vMerge/>
          </w:tcPr>
          <w:p w14:paraId="4A3AA592"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r>
      <w:tr w:rsidR="00073A16" w:rsidRPr="00BB6978" w14:paraId="798D010B" w14:textId="77777777" w:rsidTr="00CE66D1">
        <w:tc>
          <w:tcPr>
            <w:tcW w:w="4050" w:type="dxa"/>
          </w:tcPr>
          <w:p w14:paraId="4E24DE52"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My child gets along well with most of his/her teachers</w:t>
            </w:r>
          </w:p>
        </w:tc>
        <w:tc>
          <w:tcPr>
            <w:tcW w:w="810" w:type="dxa"/>
          </w:tcPr>
          <w:p w14:paraId="7771E101"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.965</w:t>
            </w:r>
          </w:p>
        </w:tc>
        <w:tc>
          <w:tcPr>
            <w:tcW w:w="810" w:type="dxa"/>
          </w:tcPr>
          <w:p w14:paraId="66D1CECF"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Pr>
          <w:p w14:paraId="19F7C753"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1170" w:type="dxa"/>
            <w:vMerge/>
          </w:tcPr>
          <w:p w14:paraId="51A672C0"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r>
      <w:tr w:rsidR="00073A16" w:rsidRPr="00BB6978" w14:paraId="22991663" w14:textId="77777777" w:rsidTr="00CE66D1">
        <w:tc>
          <w:tcPr>
            <w:tcW w:w="4050" w:type="dxa"/>
          </w:tcPr>
          <w:p w14:paraId="316E0646"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I often hear that students at the school get into physical fights</w:t>
            </w:r>
          </w:p>
        </w:tc>
        <w:tc>
          <w:tcPr>
            <w:tcW w:w="810" w:type="dxa"/>
          </w:tcPr>
          <w:p w14:paraId="64F367E5"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.953</w:t>
            </w:r>
          </w:p>
        </w:tc>
        <w:tc>
          <w:tcPr>
            <w:tcW w:w="810" w:type="dxa"/>
          </w:tcPr>
          <w:p w14:paraId="68E5AC6F"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Pr>
          <w:p w14:paraId="4E14FBE9"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1170" w:type="dxa"/>
            <w:vMerge/>
          </w:tcPr>
          <w:p w14:paraId="1610EE77"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r>
      <w:tr w:rsidR="00073A16" w:rsidRPr="00BB6978" w14:paraId="595D28BB" w14:textId="77777777" w:rsidTr="00CE66D1">
        <w:tc>
          <w:tcPr>
            <w:tcW w:w="4050" w:type="dxa"/>
          </w:tcPr>
          <w:p w14:paraId="65FC8E8F"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My child feels accepted at their school</w:t>
            </w:r>
          </w:p>
        </w:tc>
        <w:tc>
          <w:tcPr>
            <w:tcW w:w="810" w:type="dxa"/>
          </w:tcPr>
          <w:p w14:paraId="24F5DF70"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.950</w:t>
            </w:r>
          </w:p>
        </w:tc>
        <w:tc>
          <w:tcPr>
            <w:tcW w:w="810" w:type="dxa"/>
          </w:tcPr>
          <w:p w14:paraId="07899D37"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Pr>
          <w:p w14:paraId="4560EC12"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1170" w:type="dxa"/>
            <w:vMerge/>
          </w:tcPr>
          <w:p w14:paraId="324D4502"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r>
      <w:tr w:rsidR="00073A16" w:rsidRPr="00BB6978" w14:paraId="5B5E86B1" w14:textId="77777777" w:rsidTr="00CE66D1">
        <w:tc>
          <w:tcPr>
            <w:tcW w:w="4050" w:type="dxa"/>
          </w:tcPr>
          <w:p w14:paraId="65F060F4"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I worry that my child would be bullied at school</w:t>
            </w:r>
          </w:p>
        </w:tc>
        <w:tc>
          <w:tcPr>
            <w:tcW w:w="810" w:type="dxa"/>
          </w:tcPr>
          <w:p w14:paraId="51C4545F"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.941</w:t>
            </w:r>
          </w:p>
        </w:tc>
        <w:tc>
          <w:tcPr>
            <w:tcW w:w="810" w:type="dxa"/>
          </w:tcPr>
          <w:p w14:paraId="73E59148"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Pr>
          <w:p w14:paraId="49037004"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1170" w:type="dxa"/>
            <w:vMerge/>
          </w:tcPr>
          <w:p w14:paraId="23ED22D8"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r>
      <w:tr w:rsidR="00073A16" w:rsidRPr="00BB6978" w14:paraId="606A2A05" w14:textId="77777777" w:rsidTr="00CE66D1">
        <w:tc>
          <w:tcPr>
            <w:tcW w:w="4050" w:type="dxa"/>
            <w:tcBorders>
              <w:bottom w:val="single" w:sz="4" w:space="0" w:color="000000" w:themeColor="text1"/>
            </w:tcBorders>
          </w:tcPr>
          <w:p w14:paraId="5462266A"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My child enjoys learning at school</w:t>
            </w:r>
          </w:p>
        </w:tc>
        <w:tc>
          <w:tcPr>
            <w:tcW w:w="810" w:type="dxa"/>
            <w:tcBorders>
              <w:bottom w:val="single" w:sz="4" w:space="0" w:color="000000" w:themeColor="text1"/>
            </w:tcBorders>
          </w:tcPr>
          <w:p w14:paraId="5468A2D9"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.888</w:t>
            </w:r>
          </w:p>
        </w:tc>
        <w:tc>
          <w:tcPr>
            <w:tcW w:w="810" w:type="dxa"/>
            <w:tcBorders>
              <w:bottom w:val="single" w:sz="4" w:space="0" w:color="000000" w:themeColor="text1"/>
            </w:tcBorders>
          </w:tcPr>
          <w:p w14:paraId="4D3C3FB7"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Borders>
              <w:bottom w:val="single" w:sz="4" w:space="0" w:color="000000" w:themeColor="text1"/>
            </w:tcBorders>
          </w:tcPr>
          <w:p w14:paraId="1B652401"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1170" w:type="dxa"/>
            <w:vMerge/>
            <w:tcBorders>
              <w:bottom w:val="single" w:sz="4" w:space="0" w:color="000000" w:themeColor="text1"/>
            </w:tcBorders>
          </w:tcPr>
          <w:p w14:paraId="1222E9A5"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r>
      <w:tr w:rsidR="00073A16" w:rsidRPr="00BB6978" w14:paraId="0D45355A" w14:textId="77777777" w:rsidTr="00CE66D1">
        <w:tc>
          <w:tcPr>
            <w:tcW w:w="4050" w:type="dxa"/>
            <w:tcBorders>
              <w:top w:val="single" w:sz="4" w:space="0" w:color="000000" w:themeColor="text1"/>
              <w:bottom w:val="single" w:sz="4" w:space="0" w:color="000000" w:themeColor="text1"/>
            </w:tcBorders>
            <w:shd w:val="clear" w:color="auto" w:fill="DEEAF6" w:themeFill="accent5" w:themeFillTint="33"/>
          </w:tcPr>
          <w:p w14:paraId="63DADBCE"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b/>
                <w:sz w:val="24"/>
                <w:szCs w:val="24"/>
              </w:rPr>
            </w:pPr>
          </w:p>
        </w:tc>
        <w:tc>
          <w:tcPr>
            <w:tcW w:w="2430" w:type="dxa"/>
            <w:gridSpan w:val="3"/>
            <w:tcBorders>
              <w:top w:val="single" w:sz="4" w:space="0" w:color="000000" w:themeColor="text1"/>
              <w:bottom w:val="single" w:sz="4" w:space="0" w:color="000000" w:themeColor="text1"/>
            </w:tcBorders>
            <w:shd w:val="clear" w:color="auto" w:fill="DEEAF6" w:themeFill="accent5" w:themeFillTint="33"/>
          </w:tcPr>
          <w:p w14:paraId="5E2F4D71" w14:textId="77777777" w:rsidR="006E3964" w:rsidRPr="00BB6978" w:rsidRDefault="006E3964" w:rsidP="00CE66D1">
            <w:pPr>
              <w:autoSpaceDE w:val="0"/>
              <w:autoSpaceDN w:val="0"/>
              <w:adjustRightInd w:val="0"/>
              <w:spacing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b/>
                <w:sz w:val="24"/>
                <w:szCs w:val="24"/>
              </w:rPr>
              <w:t>Factors</w:t>
            </w:r>
          </w:p>
          <w:p w14:paraId="57BADF8F" w14:textId="77777777" w:rsidR="006E3964" w:rsidRPr="00BB6978" w:rsidRDefault="006E3964" w:rsidP="00CE66D1">
            <w:pPr>
              <w:autoSpaceDE w:val="0"/>
              <w:autoSpaceDN w:val="0"/>
              <w:adjustRightInd w:val="0"/>
              <w:jc w:val="center"/>
              <w:rPr>
                <w:rFonts w:ascii="Times New Roman" w:eastAsia="Calibri" w:hAnsi="Times New Roman" w:cs="Times New Roman"/>
                <w:sz w:val="24"/>
                <w:szCs w:val="24"/>
              </w:rPr>
            </w:pPr>
          </w:p>
        </w:tc>
        <w:tc>
          <w:tcPr>
            <w:tcW w:w="1170" w:type="dxa"/>
            <w:tcBorders>
              <w:top w:val="single" w:sz="4" w:space="0" w:color="000000" w:themeColor="text1"/>
            </w:tcBorders>
            <w:shd w:val="clear" w:color="auto" w:fill="DEEAF6" w:themeFill="accent5" w:themeFillTint="33"/>
          </w:tcPr>
          <w:p w14:paraId="371F664A" w14:textId="77777777" w:rsidR="006E3964" w:rsidRPr="00BB6978" w:rsidRDefault="006E3964" w:rsidP="00CE66D1">
            <w:pPr>
              <w:autoSpaceDE w:val="0"/>
              <w:autoSpaceDN w:val="0"/>
              <w:adjustRightInd w:val="0"/>
              <w:spacing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 xml:space="preserve">% of </w:t>
            </w:r>
          </w:p>
          <w:p w14:paraId="4AA3E997" w14:textId="77777777" w:rsidR="006E3964" w:rsidRPr="00BB6978" w:rsidRDefault="006E3964" w:rsidP="00CE66D1">
            <w:pPr>
              <w:autoSpaceDE w:val="0"/>
              <w:autoSpaceDN w:val="0"/>
              <w:adjustRightInd w:val="0"/>
              <w:jc w:val="center"/>
              <w:rPr>
                <w:rFonts w:ascii="Times New Roman" w:eastAsia="Calibri" w:hAnsi="Times New Roman" w:cs="Times New Roman"/>
                <w:sz w:val="24"/>
                <w:szCs w:val="24"/>
              </w:rPr>
            </w:pPr>
            <w:r w:rsidRPr="00BB6978">
              <w:rPr>
                <w:rFonts w:ascii="Times New Roman" w:eastAsia="Calibri" w:hAnsi="Times New Roman" w:cs="Times New Roman"/>
                <w:b/>
                <w:sz w:val="24"/>
                <w:szCs w:val="24"/>
              </w:rPr>
              <w:t>Variance</w:t>
            </w:r>
          </w:p>
        </w:tc>
      </w:tr>
      <w:tr w:rsidR="00073A16" w:rsidRPr="00BB6978" w14:paraId="2D034EF2" w14:textId="77777777" w:rsidTr="00CE66D1">
        <w:tc>
          <w:tcPr>
            <w:tcW w:w="4050" w:type="dxa"/>
            <w:tcBorders>
              <w:top w:val="single" w:sz="4" w:space="0" w:color="000000" w:themeColor="text1"/>
              <w:bottom w:val="single" w:sz="18" w:space="0" w:color="auto"/>
            </w:tcBorders>
            <w:shd w:val="clear" w:color="auto" w:fill="E2EFD9" w:themeFill="accent6" w:themeFillTint="33"/>
          </w:tcPr>
          <w:p w14:paraId="331C7BF6"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b/>
                <w:sz w:val="24"/>
                <w:szCs w:val="24"/>
              </w:rPr>
            </w:pPr>
          </w:p>
          <w:p w14:paraId="66CC6408"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b/>
                <w:sz w:val="24"/>
                <w:szCs w:val="24"/>
              </w:rPr>
            </w:pPr>
            <w:r w:rsidRPr="00BB6978">
              <w:rPr>
                <w:rFonts w:ascii="Times New Roman" w:eastAsia="Calibri" w:hAnsi="Times New Roman" w:cs="Times New Roman"/>
                <w:b/>
                <w:sz w:val="24"/>
                <w:szCs w:val="24"/>
                <w:shd w:val="clear" w:color="auto" w:fill="E2EFD9" w:themeFill="accent6" w:themeFillTint="33"/>
              </w:rPr>
              <w:t>School Resources</w:t>
            </w:r>
          </w:p>
        </w:tc>
        <w:tc>
          <w:tcPr>
            <w:tcW w:w="810" w:type="dxa"/>
            <w:tcBorders>
              <w:top w:val="single" w:sz="4" w:space="0" w:color="000000" w:themeColor="text1"/>
              <w:bottom w:val="single" w:sz="18" w:space="0" w:color="auto"/>
            </w:tcBorders>
            <w:shd w:val="clear" w:color="auto" w:fill="E2EFD9" w:themeFill="accent6" w:themeFillTint="33"/>
            <w:vAlign w:val="center"/>
          </w:tcPr>
          <w:p w14:paraId="4A2674AD" w14:textId="77777777" w:rsidR="006E3964" w:rsidRPr="00BB6978" w:rsidRDefault="006E3964" w:rsidP="00CE66D1">
            <w:pPr>
              <w:autoSpaceDE w:val="0"/>
              <w:autoSpaceDN w:val="0"/>
              <w:adjustRightInd w:val="0"/>
              <w:spacing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b/>
                <w:sz w:val="24"/>
                <w:szCs w:val="24"/>
              </w:rPr>
              <w:t>1</w:t>
            </w:r>
          </w:p>
        </w:tc>
        <w:tc>
          <w:tcPr>
            <w:tcW w:w="810" w:type="dxa"/>
            <w:tcBorders>
              <w:top w:val="single" w:sz="4" w:space="0" w:color="000000" w:themeColor="text1"/>
              <w:bottom w:val="single" w:sz="18" w:space="0" w:color="auto"/>
            </w:tcBorders>
            <w:shd w:val="clear" w:color="auto" w:fill="E2EFD9" w:themeFill="accent6" w:themeFillTint="33"/>
            <w:vAlign w:val="center"/>
          </w:tcPr>
          <w:p w14:paraId="4056EEA8" w14:textId="77777777" w:rsidR="006E3964" w:rsidRPr="00BB6978" w:rsidRDefault="006E3964" w:rsidP="00CE66D1">
            <w:pPr>
              <w:autoSpaceDE w:val="0"/>
              <w:autoSpaceDN w:val="0"/>
              <w:adjustRightInd w:val="0"/>
              <w:jc w:val="center"/>
              <w:rPr>
                <w:rFonts w:ascii="Times New Roman" w:eastAsia="Calibri" w:hAnsi="Times New Roman" w:cs="Times New Roman"/>
                <w:sz w:val="24"/>
                <w:szCs w:val="24"/>
              </w:rPr>
            </w:pPr>
            <w:r w:rsidRPr="00BB6978">
              <w:rPr>
                <w:rFonts w:ascii="Times New Roman" w:eastAsia="Calibri" w:hAnsi="Times New Roman" w:cs="Times New Roman"/>
                <w:b/>
                <w:sz w:val="24"/>
                <w:szCs w:val="24"/>
              </w:rPr>
              <w:t>2</w:t>
            </w:r>
          </w:p>
        </w:tc>
        <w:tc>
          <w:tcPr>
            <w:tcW w:w="810" w:type="dxa"/>
            <w:tcBorders>
              <w:bottom w:val="single" w:sz="18" w:space="0" w:color="auto"/>
            </w:tcBorders>
            <w:shd w:val="clear" w:color="auto" w:fill="E2EFD9" w:themeFill="accent6" w:themeFillTint="33"/>
            <w:vAlign w:val="center"/>
          </w:tcPr>
          <w:p w14:paraId="620E8CC1" w14:textId="77777777" w:rsidR="006E3964" w:rsidRPr="00BB6978" w:rsidRDefault="006E3964" w:rsidP="00CE66D1">
            <w:pPr>
              <w:autoSpaceDE w:val="0"/>
              <w:autoSpaceDN w:val="0"/>
              <w:adjustRightInd w:val="0"/>
              <w:jc w:val="center"/>
              <w:rPr>
                <w:rFonts w:ascii="Times New Roman" w:eastAsia="Calibri" w:hAnsi="Times New Roman" w:cs="Times New Roman"/>
                <w:sz w:val="24"/>
                <w:szCs w:val="24"/>
              </w:rPr>
            </w:pPr>
            <w:r w:rsidRPr="00BB6978">
              <w:rPr>
                <w:rFonts w:ascii="Times New Roman" w:eastAsia="Calibri" w:hAnsi="Times New Roman" w:cs="Times New Roman"/>
                <w:b/>
                <w:sz w:val="24"/>
                <w:szCs w:val="24"/>
              </w:rPr>
              <w:t>3</w:t>
            </w:r>
          </w:p>
        </w:tc>
        <w:tc>
          <w:tcPr>
            <w:tcW w:w="1170" w:type="dxa"/>
            <w:vMerge w:val="restart"/>
            <w:vAlign w:val="center"/>
          </w:tcPr>
          <w:p w14:paraId="633AAD44" w14:textId="77777777" w:rsidR="006E3964" w:rsidRPr="00BB6978" w:rsidRDefault="006E3964" w:rsidP="00CE66D1">
            <w:pPr>
              <w:autoSpaceDE w:val="0"/>
              <w:autoSpaceDN w:val="0"/>
              <w:adjustRightInd w:val="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25.380</w:t>
            </w:r>
          </w:p>
          <w:p w14:paraId="5D15EBC8" w14:textId="77777777" w:rsidR="006E3964" w:rsidRPr="00BB6978" w:rsidRDefault="006E3964" w:rsidP="00CE66D1">
            <w:pPr>
              <w:autoSpaceDE w:val="0"/>
              <w:autoSpaceDN w:val="0"/>
              <w:adjustRightInd w:val="0"/>
              <w:jc w:val="center"/>
              <w:rPr>
                <w:rFonts w:ascii="Times New Roman" w:eastAsia="Calibri" w:hAnsi="Times New Roman" w:cs="Times New Roman"/>
                <w:sz w:val="24"/>
                <w:szCs w:val="24"/>
              </w:rPr>
            </w:pPr>
          </w:p>
        </w:tc>
      </w:tr>
      <w:tr w:rsidR="00073A16" w:rsidRPr="00BB6978" w14:paraId="0DC8AAC2" w14:textId="77777777" w:rsidTr="00CE66D1">
        <w:tc>
          <w:tcPr>
            <w:tcW w:w="4050" w:type="dxa"/>
            <w:tcBorders>
              <w:top w:val="single" w:sz="18" w:space="0" w:color="auto"/>
              <w:bottom w:val="single" w:sz="18" w:space="0" w:color="auto"/>
            </w:tcBorders>
            <w:shd w:val="clear" w:color="auto" w:fill="E2EFD9" w:themeFill="accent6" w:themeFillTint="33"/>
          </w:tcPr>
          <w:p w14:paraId="72F853FB"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b/>
                <w:sz w:val="24"/>
                <w:szCs w:val="24"/>
              </w:rPr>
              <w:t>School Culture</w:t>
            </w:r>
          </w:p>
        </w:tc>
        <w:tc>
          <w:tcPr>
            <w:tcW w:w="810" w:type="dxa"/>
            <w:tcBorders>
              <w:top w:val="single" w:sz="18" w:space="0" w:color="auto"/>
              <w:bottom w:val="single" w:sz="18" w:space="0" w:color="auto"/>
            </w:tcBorders>
            <w:shd w:val="clear" w:color="auto" w:fill="E2EFD9" w:themeFill="accent6" w:themeFillTint="33"/>
          </w:tcPr>
          <w:p w14:paraId="3BBABB9F"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Borders>
              <w:top w:val="single" w:sz="18" w:space="0" w:color="auto"/>
              <w:bottom w:val="single" w:sz="18" w:space="0" w:color="auto"/>
            </w:tcBorders>
            <w:shd w:val="clear" w:color="auto" w:fill="E2EFD9" w:themeFill="accent6" w:themeFillTint="33"/>
          </w:tcPr>
          <w:p w14:paraId="05BC8AEC"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p>
        </w:tc>
        <w:tc>
          <w:tcPr>
            <w:tcW w:w="810" w:type="dxa"/>
            <w:tcBorders>
              <w:top w:val="single" w:sz="18" w:space="0" w:color="auto"/>
              <w:bottom w:val="single" w:sz="18" w:space="0" w:color="auto"/>
            </w:tcBorders>
            <w:shd w:val="clear" w:color="auto" w:fill="E2EFD9" w:themeFill="accent6" w:themeFillTint="33"/>
          </w:tcPr>
          <w:p w14:paraId="2D2A3024"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1170" w:type="dxa"/>
            <w:vMerge/>
          </w:tcPr>
          <w:p w14:paraId="46859597" w14:textId="77777777" w:rsidR="006E3964" w:rsidRPr="00BB6978" w:rsidRDefault="006E3964" w:rsidP="00CE66D1">
            <w:pPr>
              <w:autoSpaceDE w:val="0"/>
              <w:autoSpaceDN w:val="0"/>
              <w:adjustRightInd w:val="0"/>
              <w:jc w:val="center"/>
              <w:rPr>
                <w:rFonts w:ascii="Times New Roman" w:eastAsia="Calibri" w:hAnsi="Times New Roman" w:cs="Times New Roman"/>
                <w:sz w:val="24"/>
                <w:szCs w:val="24"/>
              </w:rPr>
            </w:pPr>
          </w:p>
        </w:tc>
      </w:tr>
      <w:tr w:rsidR="00073A16" w:rsidRPr="00BB6978" w14:paraId="4FF62590" w14:textId="77777777" w:rsidTr="00CE66D1">
        <w:tc>
          <w:tcPr>
            <w:tcW w:w="4050" w:type="dxa"/>
            <w:tcBorders>
              <w:top w:val="single" w:sz="18" w:space="0" w:color="auto"/>
            </w:tcBorders>
          </w:tcPr>
          <w:p w14:paraId="664B9357"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I feel supported by school to be highly engaged with my child learning</w:t>
            </w:r>
          </w:p>
        </w:tc>
        <w:tc>
          <w:tcPr>
            <w:tcW w:w="810" w:type="dxa"/>
            <w:tcBorders>
              <w:top w:val="single" w:sz="18" w:space="0" w:color="auto"/>
            </w:tcBorders>
          </w:tcPr>
          <w:p w14:paraId="7C6059A7"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Borders>
              <w:top w:val="single" w:sz="18" w:space="0" w:color="auto"/>
            </w:tcBorders>
          </w:tcPr>
          <w:p w14:paraId="175C4ED6"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.968</w:t>
            </w:r>
          </w:p>
        </w:tc>
        <w:tc>
          <w:tcPr>
            <w:tcW w:w="810" w:type="dxa"/>
            <w:tcBorders>
              <w:top w:val="single" w:sz="18" w:space="0" w:color="auto"/>
            </w:tcBorders>
          </w:tcPr>
          <w:p w14:paraId="4B492243"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1170" w:type="dxa"/>
            <w:vMerge w:val="restart"/>
            <w:vAlign w:val="center"/>
          </w:tcPr>
          <w:p w14:paraId="4FB438DC" w14:textId="77777777" w:rsidR="006E3964" w:rsidRPr="00BB6978" w:rsidRDefault="006E3964" w:rsidP="00CE66D1">
            <w:pPr>
              <w:autoSpaceDE w:val="0"/>
              <w:autoSpaceDN w:val="0"/>
              <w:adjustRightInd w:val="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49.650</w:t>
            </w:r>
          </w:p>
        </w:tc>
      </w:tr>
      <w:tr w:rsidR="00073A16" w:rsidRPr="00BB6978" w14:paraId="269083A4" w14:textId="77777777" w:rsidTr="00CE66D1">
        <w:trPr>
          <w:trHeight w:val="79"/>
        </w:trPr>
        <w:tc>
          <w:tcPr>
            <w:tcW w:w="4050" w:type="dxa"/>
          </w:tcPr>
          <w:p w14:paraId="310BF6C1"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The class size of my child is reasonable and supports learning</w:t>
            </w:r>
          </w:p>
        </w:tc>
        <w:tc>
          <w:tcPr>
            <w:tcW w:w="810" w:type="dxa"/>
          </w:tcPr>
          <w:p w14:paraId="3306241A"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Pr>
          <w:p w14:paraId="0DA3D90F"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.967</w:t>
            </w:r>
          </w:p>
        </w:tc>
        <w:tc>
          <w:tcPr>
            <w:tcW w:w="810" w:type="dxa"/>
          </w:tcPr>
          <w:p w14:paraId="61CABF3B"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1170" w:type="dxa"/>
            <w:vMerge/>
          </w:tcPr>
          <w:p w14:paraId="3A172FC6"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r>
      <w:tr w:rsidR="00073A16" w:rsidRPr="00BB6978" w14:paraId="318F57EE" w14:textId="77777777" w:rsidTr="00CE66D1">
        <w:tc>
          <w:tcPr>
            <w:tcW w:w="4050" w:type="dxa"/>
          </w:tcPr>
          <w:p w14:paraId="1116F3B6"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I am involved in activities at the school</w:t>
            </w:r>
          </w:p>
        </w:tc>
        <w:tc>
          <w:tcPr>
            <w:tcW w:w="810" w:type="dxa"/>
          </w:tcPr>
          <w:p w14:paraId="38904B62"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Pr>
          <w:p w14:paraId="12A8C645"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.966</w:t>
            </w:r>
          </w:p>
        </w:tc>
        <w:tc>
          <w:tcPr>
            <w:tcW w:w="810" w:type="dxa"/>
          </w:tcPr>
          <w:p w14:paraId="6FCB0C78"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1170" w:type="dxa"/>
            <w:vMerge/>
          </w:tcPr>
          <w:p w14:paraId="5BAA5BC4"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r>
      <w:tr w:rsidR="00073A16" w:rsidRPr="00BB6978" w14:paraId="0C402211" w14:textId="77777777" w:rsidTr="00CE66D1">
        <w:tc>
          <w:tcPr>
            <w:tcW w:w="4050" w:type="dxa"/>
          </w:tcPr>
          <w:p w14:paraId="632D0440"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The school offers high quality facilities and physical space</w:t>
            </w:r>
          </w:p>
        </w:tc>
        <w:tc>
          <w:tcPr>
            <w:tcW w:w="810" w:type="dxa"/>
          </w:tcPr>
          <w:p w14:paraId="5108ED55"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Pr>
          <w:p w14:paraId="5E85A6CD"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.962</w:t>
            </w:r>
          </w:p>
        </w:tc>
        <w:tc>
          <w:tcPr>
            <w:tcW w:w="810" w:type="dxa"/>
          </w:tcPr>
          <w:p w14:paraId="485CE6E8"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1170" w:type="dxa"/>
            <w:vMerge/>
          </w:tcPr>
          <w:p w14:paraId="2F13235B"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r>
      <w:tr w:rsidR="00073A16" w:rsidRPr="00BB6978" w14:paraId="597654F2" w14:textId="77777777" w:rsidTr="00CE66D1">
        <w:tc>
          <w:tcPr>
            <w:tcW w:w="4050" w:type="dxa"/>
          </w:tcPr>
          <w:p w14:paraId="1367AF02"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I have the admission to the information and support I want to help my child in their education</w:t>
            </w:r>
          </w:p>
        </w:tc>
        <w:tc>
          <w:tcPr>
            <w:tcW w:w="810" w:type="dxa"/>
          </w:tcPr>
          <w:p w14:paraId="0BB1A87C"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Pr>
          <w:p w14:paraId="39995ED6"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.961</w:t>
            </w:r>
          </w:p>
        </w:tc>
        <w:tc>
          <w:tcPr>
            <w:tcW w:w="810" w:type="dxa"/>
          </w:tcPr>
          <w:p w14:paraId="4BD7FDA6"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1170" w:type="dxa"/>
            <w:vMerge/>
          </w:tcPr>
          <w:p w14:paraId="382AB534"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r>
      <w:tr w:rsidR="00073A16" w:rsidRPr="00BB6978" w14:paraId="4709C4E9" w14:textId="77777777" w:rsidTr="00CE66D1">
        <w:tc>
          <w:tcPr>
            <w:tcW w:w="4050" w:type="dxa"/>
          </w:tcPr>
          <w:p w14:paraId="2BA5A593"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The school have content specialists and enough support personnel such as counsellors</w:t>
            </w:r>
          </w:p>
        </w:tc>
        <w:tc>
          <w:tcPr>
            <w:tcW w:w="810" w:type="dxa"/>
          </w:tcPr>
          <w:p w14:paraId="0CCDD431"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Pr>
          <w:p w14:paraId="4F5222D5"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.944</w:t>
            </w:r>
          </w:p>
        </w:tc>
        <w:tc>
          <w:tcPr>
            <w:tcW w:w="810" w:type="dxa"/>
          </w:tcPr>
          <w:p w14:paraId="1D0F26B7"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1170" w:type="dxa"/>
            <w:vMerge/>
          </w:tcPr>
          <w:p w14:paraId="694CEC15"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r>
      <w:tr w:rsidR="00073A16" w:rsidRPr="00BB6978" w14:paraId="1DA66A6E" w14:textId="77777777" w:rsidTr="00CE66D1">
        <w:tc>
          <w:tcPr>
            <w:tcW w:w="4050" w:type="dxa"/>
            <w:tcBorders>
              <w:bottom w:val="single" w:sz="18" w:space="0" w:color="auto"/>
            </w:tcBorders>
            <w:shd w:val="clear" w:color="auto" w:fill="E2EFD9" w:themeFill="accent6" w:themeFillTint="33"/>
          </w:tcPr>
          <w:p w14:paraId="5CD3EBF8"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b/>
                <w:sz w:val="24"/>
                <w:szCs w:val="24"/>
              </w:rPr>
            </w:pPr>
            <w:r w:rsidRPr="00BB6978">
              <w:rPr>
                <w:rFonts w:ascii="Times New Roman" w:eastAsia="Calibri" w:hAnsi="Times New Roman" w:cs="Times New Roman"/>
                <w:b/>
                <w:sz w:val="24"/>
                <w:szCs w:val="24"/>
              </w:rPr>
              <w:t>Teachers and Teaching</w:t>
            </w:r>
          </w:p>
        </w:tc>
        <w:tc>
          <w:tcPr>
            <w:tcW w:w="810" w:type="dxa"/>
            <w:tcBorders>
              <w:bottom w:val="single" w:sz="18" w:space="0" w:color="auto"/>
            </w:tcBorders>
            <w:shd w:val="clear" w:color="auto" w:fill="E2EFD9" w:themeFill="accent6" w:themeFillTint="33"/>
          </w:tcPr>
          <w:p w14:paraId="49107451"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Borders>
              <w:bottom w:val="single" w:sz="18" w:space="0" w:color="auto"/>
            </w:tcBorders>
            <w:shd w:val="clear" w:color="auto" w:fill="E2EFD9" w:themeFill="accent6" w:themeFillTint="33"/>
          </w:tcPr>
          <w:p w14:paraId="174B1E7F"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p>
        </w:tc>
        <w:tc>
          <w:tcPr>
            <w:tcW w:w="810" w:type="dxa"/>
            <w:tcBorders>
              <w:bottom w:val="single" w:sz="18" w:space="0" w:color="auto"/>
            </w:tcBorders>
            <w:shd w:val="clear" w:color="auto" w:fill="E2EFD9" w:themeFill="accent6" w:themeFillTint="33"/>
          </w:tcPr>
          <w:p w14:paraId="37DDA429"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1170" w:type="dxa"/>
            <w:vMerge w:val="restart"/>
            <w:vAlign w:val="center"/>
          </w:tcPr>
          <w:p w14:paraId="4CEF914F" w14:textId="77777777" w:rsidR="006E3964" w:rsidRPr="00BB6978" w:rsidRDefault="006E3964" w:rsidP="00CE66D1">
            <w:pPr>
              <w:autoSpaceDE w:val="0"/>
              <w:autoSpaceDN w:val="0"/>
              <w:adjustRightInd w:val="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17.969</w:t>
            </w:r>
          </w:p>
        </w:tc>
      </w:tr>
      <w:tr w:rsidR="00073A16" w:rsidRPr="00BB6978" w14:paraId="7FB56549" w14:textId="77777777" w:rsidTr="00CE66D1">
        <w:tc>
          <w:tcPr>
            <w:tcW w:w="4050" w:type="dxa"/>
            <w:tcBorders>
              <w:top w:val="single" w:sz="18" w:space="0" w:color="auto"/>
            </w:tcBorders>
          </w:tcPr>
          <w:p w14:paraId="144DB290"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Generally, teachers at the school are interested in what my child do outside the class</w:t>
            </w:r>
          </w:p>
        </w:tc>
        <w:tc>
          <w:tcPr>
            <w:tcW w:w="810" w:type="dxa"/>
            <w:tcBorders>
              <w:top w:val="single" w:sz="18" w:space="0" w:color="auto"/>
            </w:tcBorders>
          </w:tcPr>
          <w:p w14:paraId="03C8056C"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Borders>
              <w:top w:val="single" w:sz="18" w:space="0" w:color="auto"/>
            </w:tcBorders>
          </w:tcPr>
          <w:p w14:paraId="2B84C22C"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Borders>
              <w:top w:val="single" w:sz="18" w:space="0" w:color="auto"/>
            </w:tcBorders>
          </w:tcPr>
          <w:p w14:paraId="1F19E5D5"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.974</w:t>
            </w:r>
          </w:p>
        </w:tc>
        <w:tc>
          <w:tcPr>
            <w:tcW w:w="1170" w:type="dxa"/>
            <w:vMerge/>
          </w:tcPr>
          <w:p w14:paraId="3F92D9AC"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p>
        </w:tc>
      </w:tr>
      <w:tr w:rsidR="00073A16" w:rsidRPr="00BB6978" w14:paraId="4BF75C51" w14:textId="77777777" w:rsidTr="00CE66D1">
        <w:tc>
          <w:tcPr>
            <w:tcW w:w="4050" w:type="dxa"/>
          </w:tcPr>
          <w:p w14:paraId="6CFB9E7F"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Generally, teachers at the school make the learning materials in class interesting to my child</w:t>
            </w:r>
          </w:p>
        </w:tc>
        <w:tc>
          <w:tcPr>
            <w:tcW w:w="810" w:type="dxa"/>
          </w:tcPr>
          <w:p w14:paraId="0BFC6D72"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Pr>
          <w:p w14:paraId="6DFF52E7"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Pr>
          <w:p w14:paraId="771C535D"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.956</w:t>
            </w:r>
          </w:p>
        </w:tc>
        <w:tc>
          <w:tcPr>
            <w:tcW w:w="1170" w:type="dxa"/>
            <w:vMerge/>
          </w:tcPr>
          <w:p w14:paraId="14B702E9"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p>
        </w:tc>
      </w:tr>
      <w:tr w:rsidR="00073A16" w:rsidRPr="00BB6978" w14:paraId="7A852C1F" w14:textId="77777777" w:rsidTr="00CE66D1">
        <w:tc>
          <w:tcPr>
            <w:tcW w:w="4050" w:type="dxa"/>
          </w:tcPr>
          <w:p w14:paraId="6B9D67B0"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Generally, teachers at the school show respect and care towards my child</w:t>
            </w:r>
          </w:p>
        </w:tc>
        <w:tc>
          <w:tcPr>
            <w:tcW w:w="810" w:type="dxa"/>
          </w:tcPr>
          <w:p w14:paraId="109FCA18"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Pr>
          <w:p w14:paraId="5D18B7A2"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Pr>
          <w:p w14:paraId="1849B58B"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.955</w:t>
            </w:r>
          </w:p>
        </w:tc>
        <w:tc>
          <w:tcPr>
            <w:tcW w:w="1170" w:type="dxa"/>
            <w:vMerge/>
          </w:tcPr>
          <w:p w14:paraId="5EC65A5B"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p>
        </w:tc>
      </w:tr>
      <w:tr w:rsidR="00073A16" w:rsidRPr="00BB6978" w14:paraId="3B0E8E5C" w14:textId="77777777" w:rsidTr="00CE66D1">
        <w:tc>
          <w:tcPr>
            <w:tcW w:w="4050" w:type="dxa"/>
          </w:tcPr>
          <w:p w14:paraId="61FAA403"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Generally, teachers at the school offer help when my child needs extra help</w:t>
            </w:r>
          </w:p>
        </w:tc>
        <w:tc>
          <w:tcPr>
            <w:tcW w:w="810" w:type="dxa"/>
          </w:tcPr>
          <w:p w14:paraId="6772DF94"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Pr>
          <w:p w14:paraId="3CF81E76"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Pr>
          <w:p w14:paraId="15B56BB6"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.946</w:t>
            </w:r>
          </w:p>
        </w:tc>
        <w:tc>
          <w:tcPr>
            <w:tcW w:w="1170" w:type="dxa"/>
            <w:vMerge/>
          </w:tcPr>
          <w:p w14:paraId="6BF1EC99"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p>
        </w:tc>
      </w:tr>
      <w:tr w:rsidR="00073A16" w:rsidRPr="00BB6978" w14:paraId="7AA3E123" w14:textId="77777777" w:rsidTr="00CE66D1">
        <w:tc>
          <w:tcPr>
            <w:tcW w:w="4050" w:type="dxa"/>
          </w:tcPr>
          <w:p w14:paraId="3878451A"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Generally, teachers at the school present information clearly for my child to learn</w:t>
            </w:r>
          </w:p>
        </w:tc>
        <w:tc>
          <w:tcPr>
            <w:tcW w:w="810" w:type="dxa"/>
          </w:tcPr>
          <w:p w14:paraId="78FFBC93"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Pr>
          <w:p w14:paraId="05F25435"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Pr>
          <w:p w14:paraId="3C953205"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.943</w:t>
            </w:r>
          </w:p>
        </w:tc>
        <w:tc>
          <w:tcPr>
            <w:tcW w:w="1170" w:type="dxa"/>
            <w:vMerge/>
          </w:tcPr>
          <w:p w14:paraId="42ACCF92"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p>
        </w:tc>
      </w:tr>
      <w:tr w:rsidR="00073A16" w:rsidRPr="00BB6978" w14:paraId="0085C92B" w14:textId="77777777" w:rsidTr="00CE66D1">
        <w:tc>
          <w:tcPr>
            <w:tcW w:w="4050" w:type="dxa"/>
            <w:tcBorders>
              <w:bottom w:val="single" w:sz="4" w:space="0" w:color="000000" w:themeColor="text1"/>
            </w:tcBorders>
          </w:tcPr>
          <w:p w14:paraId="7C00F864" w14:textId="77777777" w:rsidR="006E3964" w:rsidRPr="00BB6978" w:rsidRDefault="006E3964" w:rsidP="00CE66D1">
            <w:pPr>
              <w:autoSpaceDE w:val="0"/>
              <w:autoSpaceDN w:val="0"/>
              <w:adjustRightInd w:val="0"/>
              <w:spacing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Generally, teachers at the school often ask how well my child is doing showing real interest in my child learning</w:t>
            </w:r>
          </w:p>
        </w:tc>
        <w:tc>
          <w:tcPr>
            <w:tcW w:w="810" w:type="dxa"/>
            <w:tcBorders>
              <w:bottom w:val="single" w:sz="4" w:space="0" w:color="000000" w:themeColor="text1"/>
            </w:tcBorders>
          </w:tcPr>
          <w:p w14:paraId="4C461E1F"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Borders>
              <w:bottom w:val="single" w:sz="4" w:space="0" w:color="000000" w:themeColor="text1"/>
            </w:tcBorders>
          </w:tcPr>
          <w:p w14:paraId="38FE669A" w14:textId="77777777" w:rsidR="006E3964" w:rsidRPr="00BB6978" w:rsidRDefault="006E3964" w:rsidP="00CE66D1">
            <w:pPr>
              <w:autoSpaceDE w:val="0"/>
              <w:autoSpaceDN w:val="0"/>
              <w:adjustRightInd w:val="0"/>
              <w:rPr>
                <w:rFonts w:ascii="Times New Roman" w:eastAsia="Calibri" w:hAnsi="Times New Roman" w:cs="Times New Roman"/>
                <w:sz w:val="24"/>
                <w:szCs w:val="24"/>
              </w:rPr>
            </w:pPr>
          </w:p>
        </w:tc>
        <w:tc>
          <w:tcPr>
            <w:tcW w:w="810" w:type="dxa"/>
            <w:tcBorders>
              <w:bottom w:val="single" w:sz="4" w:space="0" w:color="000000" w:themeColor="text1"/>
            </w:tcBorders>
          </w:tcPr>
          <w:p w14:paraId="12B2E589"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.936</w:t>
            </w:r>
          </w:p>
        </w:tc>
        <w:tc>
          <w:tcPr>
            <w:tcW w:w="1170" w:type="dxa"/>
            <w:vMerge/>
            <w:tcBorders>
              <w:bottom w:val="single" w:sz="4" w:space="0" w:color="000000" w:themeColor="text1"/>
            </w:tcBorders>
          </w:tcPr>
          <w:p w14:paraId="741C6619" w14:textId="77777777" w:rsidR="006E3964" w:rsidRPr="00BB6978" w:rsidRDefault="006E3964" w:rsidP="00CE66D1">
            <w:pPr>
              <w:autoSpaceDE w:val="0"/>
              <w:autoSpaceDN w:val="0"/>
              <w:adjustRightInd w:val="0"/>
              <w:spacing w:line="320" w:lineRule="atLeast"/>
              <w:ind w:left="60" w:right="60"/>
              <w:jc w:val="right"/>
              <w:rPr>
                <w:rFonts w:ascii="Times New Roman" w:eastAsia="Calibri" w:hAnsi="Times New Roman" w:cs="Times New Roman"/>
                <w:sz w:val="24"/>
                <w:szCs w:val="24"/>
              </w:rPr>
            </w:pPr>
          </w:p>
        </w:tc>
      </w:tr>
    </w:tbl>
    <w:p w14:paraId="2783224E" w14:textId="77777777" w:rsidR="006E3964" w:rsidRPr="00BB6978" w:rsidRDefault="006E3964" w:rsidP="006E3964">
      <w:pPr>
        <w:spacing w:after="200" w:line="240" w:lineRule="auto"/>
        <w:jc w:val="both"/>
        <w:rPr>
          <w:rFonts w:ascii="Times New Roman" w:eastAsia="Calibri" w:hAnsi="Times New Roman" w:cs="Times New Roman"/>
          <w:b/>
          <w:iCs/>
          <w:sz w:val="24"/>
          <w:szCs w:val="24"/>
        </w:rPr>
      </w:pPr>
    </w:p>
    <w:p w14:paraId="6CC7E034" w14:textId="77777777" w:rsidR="006E3964" w:rsidRPr="00BB6978" w:rsidRDefault="006E3964" w:rsidP="006E3964">
      <w:pPr>
        <w:spacing w:line="480" w:lineRule="auto"/>
        <w:ind w:firstLine="360"/>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 xml:space="preserve">Table 9 reveals the results gained from running the factor analysis of cost of the school. The nine items are filtered into a </w:t>
      </w:r>
      <w:r w:rsidRPr="00BB6978">
        <w:rPr>
          <w:rFonts w:ascii="Times New Roman" w:eastAsia="Calibri" w:hAnsi="Times New Roman" w:cs="Times New Roman"/>
          <w:noProof/>
          <w:sz w:val="24"/>
          <w:szCs w:val="24"/>
        </w:rPr>
        <w:t>factor</w:t>
      </w:r>
      <w:r w:rsidRPr="00BB6978">
        <w:rPr>
          <w:rFonts w:ascii="Times New Roman" w:eastAsia="Calibri" w:hAnsi="Times New Roman" w:cs="Times New Roman"/>
          <w:sz w:val="24"/>
          <w:szCs w:val="24"/>
        </w:rPr>
        <w:t xml:space="preserve"> analysis. Based on the major results of the analysis, the </w:t>
      </w:r>
      <w:r w:rsidRPr="00BB6978">
        <w:rPr>
          <w:rFonts w:ascii="Times New Roman" w:eastAsia="Calibri" w:hAnsi="Times New Roman" w:cs="Times New Roman"/>
          <w:noProof/>
          <w:sz w:val="24"/>
          <w:szCs w:val="24"/>
        </w:rPr>
        <w:t>total number of</w:t>
      </w:r>
      <w:r w:rsidRPr="00BB6978">
        <w:rPr>
          <w:rFonts w:ascii="Times New Roman" w:eastAsia="Calibri" w:hAnsi="Times New Roman" w:cs="Times New Roman"/>
          <w:sz w:val="24"/>
          <w:szCs w:val="24"/>
        </w:rPr>
        <w:t xml:space="preserve"> nine statements was reduced to one major dimension. This dimension was called the cost of school. Cost of school consists now of six items that have a loading ranging from 0.895 to 0.966. Which means that the nine items are interrelated the reason attributed in reducing them into six items. It shows that the least item scored a loading value of (0.895) goes for the item “Overall, students’ outcomes and achievement at my child's school provides good value for money”. This attributes to the parents’ personal judgment based on their experiences regarding their children’s outcomes in comparison to the school cost they have already paid. In addition, this item addresses the direct relationship between the independent variable (school cost) and the dependent variable (students’ achievement) compared to the other items which are strongly touched parents’ perspectives toward the schools cost and quality as independent variables. </w:t>
      </w:r>
    </w:p>
    <w:p w14:paraId="4AF11660" w14:textId="77777777" w:rsidR="006E3964" w:rsidRPr="00BB6978" w:rsidRDefault="00E37E62" w:rsidP="007F58DC">
      <w:pPr>
        <w:pStyle w:val="Caption"/>
        <w:rPr>
          <w:rFonts w:eastAsia="Times New Roman"/>
          <w:u w:val="single"/>
        </w:rPr>
      </w:pPr>
      <w:bookmarkStart w:id="142" w:name="_Toc134452493"/>
      <w:r w:rsidRPr="00BB6978">
        <w:t xml:space="preserve">Table </w:t>
      </w:r>
      <w:r w:rsidRPr="00BB6978">
        <w:fldChar w:fldCharType="begin"/>
      </w:r>
      <w:r w:rsidRPr="00BB6978">
        <w:instrText xml:space="preserve"> SEQ Table \* ARABIC </w:instrText>
      </w:r>
      <w:r w:rsidRPr="00BB6978">
        <w:fldChar w:fldCharType="separate"/>
      </w:r>
      <w:r w:rsidR="00131282" w:rsidRPr="00BB6978">
        <w:rPr>
          <w:noProof/>
        </w:rPr>
        <w:t>9</w:t>
      </w:r>
      <w:r w:rsidRPr="00BB6978">
        <w:rPr>
          <w:noProof/>
        </w:rPr>
        <w:fldChar w:fldCharType="end"/>
      </w:r>
      <w:r w:rsidR="006E3964" w:rsidRPr="00BB6978">
        <w:t>: Factor analysis for the cost of school factor</w:t>
      </w:r>
      <w:bookmarkEnd w:id="142"/>
      <w:r w:rsidR="006E3964" w:rsidRPr="00BB6978">
        <w:t xml:space="preserve">  </w:t>
      </w:r>
    </w:p>
    <w:tbl>
      <w:tblPr>
        <w:tblW w:w="5000" w:type="pct"/>
        <w:tblBorders>
          <w:insideH w:val="single" w:sz="4" w:space="0" w:color="auto"/>
          <w:insideV w:val="single" w:sz="4" w:space="0" w:color="auto"/>
        </w:tblBorders>
        <w:shd w:val="clear" w:color="auto" w:fill="FFFFFF"/>
        <w:tblCellMar>
          <w:left w:w="0" w:type="dxa"/>
          <w:right w:w="0" w:type="dxa"/>
        </w:tblCellMar>
        <w:tblLook w:val="0000" w:firstRow="0" w:lastRow="0" w:firstColumn="0" w:lastColumn="0" w:noHBand="0" w:noVBand="0"/>
      </w:tblPr>
      <w:tblGrid>
        <w:gridCol w:w="5732"/>
        <w:gridCol w:w="800"/>
        <w:gridCol w:w="1054"/>
      </w:tblGrid>
      <w:tr w:rsidR="00073A16" w:rsidRPr="00BB6978" w14:paraId="141479A6" w14:textId="77777777" w:rsidTr="00CE66D1">
        <w:trPr>
          <w:cantSplit/>
        </w:trPr>
        <w:tc>
          <w:tcPr>
            <w:tcW w:w="3884" w:type="pct"/>
            <w:vMerge w:val="restart"/>
            <w:tcBorders>
              <w:top w:val="single" w:sz="4" w:space="0" w:color="auto"/>
              <w:bottom w:val="single" w:sz="4" w:space="0" w:color="auto"/>
              <w:right w:val="nil"/>
            </w:tcBorders>
            <w:shd w:val="clear" w:color="auto" w:fill="BDD6EE"/>
            <w:vAlign w:val="bottom"/>
          </w:tcPr>
          <w:p w14:paraId="1DF43D44" w14:textId="77777777" w:rsidR="006E3964" w:rsidRPr="00BB6978" w:rsidRDefault="006E3964" w:rsidP="00CE66D1">
            <w:pPr>
              <w:autoSpaceDE w:val="0"/>
              <w:autoSpaceDN w:val="0"/>
              <w:adjustRightInd w:val="0"/>
              <w:spacing w:after="0" w:line="240" w:lineRule="auto"/>
              <w:rPr>
                <w:rFonts w:ascii="Times New Roman" w:eastAsia="Calibri" w:hAnsi="Times New Roman" w:cs="Times New Roman"/>
                <w:sz w:val="24"/>
                <w:szCs w:val="24"/>
              </w:rPr>
            </w:pPr>
          </w:p>
        </w:tc>
        <w:tc>
          <w:tcPr>
            <w:tcW w:w="490" w:type="pct"/>
            <w:tcBorders>
              <w:top w:val="single" w:sz="4" w:space="0" w:color="auto"/>
              <w:left w:val="nil"/>
              <w:bottom w:val="single" w:sz="4" w:space="0" w:color="auto"/>
              <w:right w:val="nil"/>
            </w:tcBorders>
            <w:shd w:val="clear" w:color="auto" w:fill="BDD6EE"/>
            <w:vAlign w:val="bottom"/>
          </w:tcPr>
          <w:p w14:paraId="3DDF0BC1"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Factor</w:t>
            </w:r>
          </w:p>
        </w:tc>
        <w:tc>
          <w:tcPr>
            <w:tcW w:w="626" w:type="pct"/>
            <w:vMerge w:val="restart"/>
            <w:tcBorders>
              <w:top w:val="single" w:sz="4" w:space="0" w:color="auto"/>
              <w:left w:val="nil"/>
              <w:bottom w:val="single" w:sz="4" w:space="0" w:color="auto"/>
            </w:tcBorders>
            <w:shd w:val="clear" w:color="auto" w:fill="BDD6EE"/>
          </w:tcPr>
          <w:p w14:paraId="30D2D1D7"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 xml:space="preserve">% of </w:t>
            </w:r>
          </w:p>
          <w:p w14:paraId="22C90012"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Variance</w:t>
            </w:r>
          </w:p>
        </w:tc>
      </w:tr>
      <w:tr w:rsidR="00073A16" w:rsidRPr="00BB6978" w14:paraId="25267E83" w14:textId="77777777" w:rsidTr="00CE66D1">
        <w:trPr>
          <w:cantSplit/>
        </w:trPr>
        <w:tc>
          <w:tcPr>
            <w:tcW w:w="3884" w:type="pct"/>
            <w:vMerge/>
            <w:tcBorders>
              <w:top w:val="single" w:sz="4" w:space="0" w:color="auto"/>
              <w:bottom w:val="single" w:sz="4" w:space="0" w:color="auto"/>
              <w:right w:val="nil"/>
            </w:tcBorders>
            <w:shd w:val="clear" w:color="auto" w:fill="FFFFFF"/>
            <w:vAlign w:val="bottom"/>
          </w:tcPr>
          <w:p w14:paraId="708B973D" w14:textId="77777777" w:rsidR="006E3964" w:rsidRPr="00BB6978" w:rsidRDefault="006E3964" w:rsidP="00CE66D1">
            <w:pPr>
              <w:autoSpaceDE w:val="0"/>
              <w:autoSpaceDN w:val="0"/>
              <w:adjustRightInd w:val="0"/>
              <w:spacing w:after="0" w:line="240" w:lineRule="auto"/>
              <w:rPr>
                <w:rFonts w:ascii="Times New Roman" w:eastAsia="Calibri" w:hAnsi="Times New Roman" w:cs="Times New Roman"/>
                <w:sz w:val="24"/>
                <w:szCs w:val="24"/>
              </w:rPr>
            </w:pPr>
          </w:p>
        </w:tc>
        <w:tc>
          <w:tcPr>
            <w:tcW w:w="490" w:type="pct"/>
            <w:tcBorders>
              <w:top w:val="single" w:sz="4" w:space="0" w:color="auto"/>
              <w:left w:val="nil"/>
              <w:bottom w:val="single" w:sz="4" w:space="0" w:color="auto"/>
              <w:right w:val="nil"/>
            </w:tcBorders>
            <w:shd w:val="clear" w:color="auto" w:fill="BDD6EE"/>
            <w:vAlign w:val="bottom"/>
          </w:tcPr>
          <w:p w14:paraId="3635F95E"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1</w:t>
            </w:r>
          </w:p>
        </w:tc>
        <w:tc>
          <w:tcPr>
            <w:tcW w:w="626" w:type="pct"/>
            <w:vMerge/>
            <w:tcBorders>
              <w:top w:val="single" w:sz="4" w:space="0" w:color="auto"/>
              <w:left w:val="nil"/>
            </w:tcBorders>
            <w:shd w:val="clear" w:color="auto" w:fill="FFFFFF"/>
          </w:tcPr>
          <w:p w14:paraId="4FAC6EE1"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p>
        </w:tc>
      </w:tr>
      <w:tr w:rsidR="00073A16" w:rsidRPr="00BB6978" w14:paraId="6FCFBEE0" w14:textId="77777777" w:rsidTr="00CE66D1">
        <w:trPr>
          <w:cantSplit/>
        </w:trPr>
        <w:tc>
          <w:tcPr>
            <w:tcW w:w="3884" w:type="pct"/>
            <w:tcBorders>
              <w:top w:val="single" w:sz="4" w:space="0" w:color="auto"/>
              <w:bottom w:val="nil"/>
              <w:right w:val="nil"/>
            </w:tcBorders>
            <w:shd w:val="clear" w:color="auto" w:fill="FFFFFF"/>
          </w:tcPr>
          <w:p w14:paraId="50D03A16"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 xml:space="preserve">Generally, private school fees in Abu Dhabi are affordable </w:t>
            </w:r>
          </w:p>
        </w:tc>
        <w:tc>
          <w:tcPr>
            <w:tcW w:w="490" w:type="pct"/>
            <w:tcBorders>
              <w:top w:val="single" w:sz="4" w:space="0" w:color="auto"/>
              <w:left w:val="nil"/>
              <w:bottom w:val="nil"/>
              <w:right w:val="nil"/>
            </w:tcBorders>
            <w:shd w:val="clear" w:color="auto" w:fill="FFFFFF"/>
          </w:tcPr>
          <w:p w14:paraId="5F51374E" w14:textId="77777777" w:rsidR="006E3964" w:rsidRPr="00BB6978" w:rsidRDefault="006E3964" w:rsidP="00CE66D1">
            <w:pPr>
              <w:autoSpaceDE w:val="0"/>
              <w:autoSpaceDN w:val="0"/>
              <w:adjustRightInd w:val="0"/>
              <w:spacing w:after="0"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.991</w:t>
            </w:r>
          </w:p>
        </w:tc>
        <w:tc>
          <w:tcPr>
            <w:tcW w:w="626" w:type="pct"/>
            <w:vMerge w:val="restart"/>
            <w:tcBorders>
              <w:left w:val="nil"/>
            </w:tcBorders>
            <w:shd w:val="clear" w:color="auto" w:fill="FFFFFF"/>
            <w:vAlign w:val="center"/>
          </w:tcPr>
          <w:p w14:paraId="49C398F5"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94.829</w:t>
            </w:r>
          </w:p>
        </w:tc>
      </w:tr>
      <w:tr w:rsidR="00073A16" w:rsidRPr="00BB6978" w14:paraId="467CB4DB" w14:textId="77777777" w:rsidTr="00CE66D1">
        <w:trPr>
          <w:cantSplit/>
        </w:trPr>
        <w:tc>
          <w:tcPr>
            <w:tcW w:w="3884" w:type="pct"/>
            <w:tcBorders>
              <w:top w:val="nil"/>
              <w:bottom w:val="nil"/>
              <w:right w:val="nil"/>
            </w:tcBorders>
            <w:shd w:val="clear" w:color="auto" w:fill="FFFFFF"/>
          </w:tcPr>
          <w:p w14:paraId="0FDA8958"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My child's school fees are affordable</w:t>
            </w:r>
          </w:p>
        </w:tc>
        <w:tc>
          <w:tcPr>
            <w:tcW w:w="490" w:type="pct"/>
            <w:tcBorders>
              <w:top w:val="nil"/>
              <w:left w:val="nil"/>
              <w:bottom w:val="nil"/>
              <w:right w:val="nil"/>
            </w:tcBorders>
            <w:shd w:val="clear" w:color="auto" w:fill="FFFFFF"/>
          </w:tcPr>
          <w:p w14:paraId="4DD3B315" w14:textId="77777777" w:rsidR="006E3964" w:rsidRPr="00BB6978" w:rsidRDefault="006E3964" w:rsidP="00CE66D1">
            <w:pPr>
              <w:autoSpaceDE w:val="0"/>
              <w:autoSpaceDN w:val="0"/>
              <w:adjustRightInd w:val="0"/>
              <w:spacing w:after="0"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.976</w:t>
            </w:r>
          </w:p>
        </w:tc>
        <w:tc>
          <w:tcPr>
            <w:tcW w:w="626" w:type="pct"/>
            <w:vMerge/>
            <w:tcBorders>
              <w:left w:val="nil"/>
            </w:tcBorders>
            <w:shd w:val="clear" w:color="auto" w:fill="FFFFFF"/>
          </w:tcPr>
          <w:p w14:paraId="4D8A1CB9" w14:textId="77777777" w:rsidR="006E3964" w:rsidRPr="00BB6978" w:rsidRDefault="006E3964" w:rsidP="00CE66D1">
            <w:pPr>
              <w:autoSpaceDE w:val="0"/>
              <w:autoSpaceDN w:val="0"/>
              <w:adjustRightInd w:val="0"/>
              <w:spacing w:after="0" w:line="320" w:lineRule="atLeast"/>
              <w:ind w:left="60" w:right="60"/>
              <w:jc w:val="right"/>
              <w:rPr>
                <w:rFonts w:ascii="Times New Roman" w:eastAsia="Calibri" w:hAnsi="Times New Roman" w:cs="Times New Roman"/>
                <w:sz w:val="24"/>
                <w:szCs w:val="24"/>
              </w:rPr>
            </w:pPr>
          </w:p>
        </w:tc>
      </w:tr>
      <w:tr w:rsidR="00073A16" w:rsidRPr="00BB6978" w14:paraId="5F17B14F" w14:textId="77777777" w:rsidTr="00CE66D1">
        <w:trPr>
          <w:cantSplit/>
        </w:trPr>
        <w:tc>
          <w:tcPr>
            <w:tcW w:w="3884" w:type="pct"/>
            <w:tcBorders>
              <w:top w:val="nil"/>
              <w:bottom w:val="nil"/>
              <w:right w:val="nil"/>
            </w:tcBorders>
            <w:shd w:val="clear" w:color="auto" w:fill="FFFFFF"/>
          </w:tcPr>
          <w:p w14:paraId="3933129F"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Overall, the quality of education at my child's school provides good value for money</w:t>
            </w:r>
          </w:p>
        </w:tc>
        <w:tc>
          <w:tcPr>
            <w:tcW w:w="490" w:type="pct"/>
            <w:tcBorders>
              <w:top w:val="nil"/>
              <w:left w:val="nil"/>
              <w:bottom w:val="nil"/>
              <w:right w:val="nil"/>
            </w:tcBorders>
            <w:shd w:val="clear" w:color="auto" w:fill="FFFFFF"/>
          </w:tcPr>
          <w:p w14:paraId="775E282A" w14:textId="77777777" w:rsidR="006E3964" w:rsidRPr="00BB6978" w:rsidRDefault="006E3964" w:rsidP="00CE66D1">
            <w:pPr>
              <w:autoSpaceDE w:val="0"/>
              <w:autoSpaceDN w:val="0"/>
              <w:adjustRightInd w:val="0"/>
              <w:spacing w:after="0"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.978</w:t>
            </w:r>
          </w:p>
        </w:tc>
        <w:tc>
          <w:tcPr>
            <w:tcW w:w="626" w:type="pct"/>
            <w:vMerge/>
            <w:tcBorders>
              <w:left w:val="nil"/>
            </w:tcBorders>
            <w:shd w:val="clear" w:color="auto" w:fill="FFFFFF"/>
          </w:tcPr>
          <w:p w14:paraId="7237BB41" w14:textId="77777777" w:rsidR="006E3964" w:rsidRPr="00BB6978" w:rsidRDefault="006E3964" w:rsidP="00CE66D1">
            <w:pPr>
              <w:autoSpaceDE w:val="0"/>
              <w:autoSpaceDN w:val="0"/>
              <w:adjustRightInd w:val="0"/>
              <w:spacing w:after="0" w:line="320" w:lineRule="atLeast"/>
              <w:ind w:left="60" w:right="60"/>
              <w:jc w:val="right"/>
              <w:rPr>
                <w:rFonts w:ascii="Times New Roman" w:eastAsia="Calibri" w:hAnsi="Times New Roman" w:cs="Times New Roman"/>
                <w:sz w:val="24"/>
                <w:szCs w:val="24"/>
              </w:rPr>
            </w:pPr>
          </w:p>
        </w:tc>
      </w:tr>
      <w:tr w:rsidR="00073A16" w:rsidRPr="00BB6978" w14:paraId="74CF46AB" w14:textId="77777777" w:rsidTr="00CE66D1">
        <w:trPr>
          <w:cantSplit/>
        </w:trPr>
        <w:tc>
          <w:tcPr>
            <w:tcW w:w="3884" w:type="pct"/>
            <w:tcBorders>
              <w:top w:val="nil"/>
              <w:bottom w:val="nil"/>
              <w:right w:val="nil"/>
            </w:tcBorders>
            <w:shd w:val="clear" w:color="auto" w:fill="FFFFFF"/>
          </w:tcPr>
          <w:p w14:paraId="2AFA17EA"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Overall, students’ outcomes and achievement at my child's school provides good value for money</w:t>
            </w:r>
          </w:p>
        </w:tc>
        <w:tc>
          <w:tcPr>
            <w:tcW w:w="490" w:type="pct"/>
            <w:tcBorders>
              <w:top w:val="nil"/>
              <w:left w:val="nil"/>
              <w:bottom w:val="nil"/>
              <w:right w:val="nil"/>
            </w:tcBorders>
            <w:shd w:val="clear" w:color="auto" w:fill="FFFFFF"/>
          </w:tcPr>
          <w:p w14:paraId="57743B48" w14:textId="77777777" w:rsidR="006E3964" w:rsidRPr="00BB6978" w:rsidRDefault="006E3964" w:rsidP="00CE66D1">
            <w:pPr>
              <w:autoSpaceDE w:val="0"/>
              <w:autoSpaceDN w:val="0"/>
              <w:adjustRightInd w:val="0"/>
              <w:spacing w:after="0"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.895</w:t>
            </w:r>
          </w:p>
        </w:tc>
        <w:tc>
          <w:tcPr>
            <w:tcW w:w="626" w:type="pct"/>
            <w:vMerge/>
            <w:tcBorders>
              <w:left w:val="nil"/>
            </w:tcBorders>
            <w:shd w:val="clear" w:color="auto" w:fill="FFFFFF"/>
          </w:tcPr>
          <w:p w14:paraId="211319BE" w14:textId="77777777" w:rsidR="006E3964" w:rsidRPr="00BB6978" w:rsidRDefault="006E3964" w:rsidP="00CE66D1">
            <w:pPr>
              <w:autoSpaceDE w:val="0"/>
              <w:autoSpaceDN w:val="0"/>
              <w:adjustRightInd w:val="0"/>
              <w:spacing w:after="0" w:line="320" w:lineRule="atLeast"/>
              <w:ind w:left="60" w:right="60"/>
              <w:jc w:val="right"/>
              <w:rPr>
                <w:rFonts w:ascii="Times New Roman" w:eastAsia="Calibri" w:hAnsi="Times New Roman" w:cs="Times New Roman"/>
                <w:sz w:val="24"/>
                <w:szCs w:val="24"/>
              </w:rPr>
            </w:pPr>
          </w:p>
        </w:tc>
      </w:tr>
      <w:tr w:rsidR="00073A16" w:rsidRPr="00BB6978" w14:paraId="0883BE8E" w14:textId="77777777" w:rsidTr="00CE66D1">
        <w:trPr>
          <w:cantSplit/>
        </w:trPr>
        <w:tc>
          <w:tcPr>
            <w:tcW w:w="3884" w:type="pct"/>
            <w:tcBorders>
              <w:top w:val="nil"/>
              <w:bottom w:val="nil"/>
              <w:right w:val="nil"/>
            </w:tcBorders>
            <w:shd w:val="clear" w:color="auto" w:fill="FFFFFF"/>
          </w:tcPr>
          <w:p w14:paraId="4ED6F43F"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Teachers and Teaching environment</w:t>
            </w:r>
          </w:p>
        </w:tc>
        <w:tc>
          <w:tcPr>
            <w:tcW w:w="490" w:type="pct"/>
            <w:tcBorders>
              <w:top w:val="nil"/>
              <w:left w:val="nil"/>
              <w:bottom w:val="nil"/>
              <w:right w:val="nil"/>
            </w:tcBorders>
            <w:shd w:val="clear" w:color="auto" w:fill="FFFFFF"/>
          </w:tcPr>
          <w:p w14:paraId="276504E8" w14:textId="77777777" w:rsidR="006E3964" w:rsidRPr="00BB6978" w:rsidRDefault="006E3964" w:rsidP="00CE66D1">
            <w:pPr>
              <w:autoSpaceDE w:val="0"/>
              <w:autoSpaceDN w:val="0"/>
              <w:adjustRightInd w:val="0"/>
              <w:spacing w:after="0"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.959</w:t>
            </w:r>
          </w:p>
        </w:tc>
        <w:tc>
          <w:tcPr>
            <w:tcW w:w="626" w:type="pct"/>
            <w:vMerge/>
            <w:tcBorders>
              <w:left w:val="nil"/>
            </w:tcBorders>
            <w:shd w:val="clear" w:color="auto" w:fill="FFFFFF"/>
          </w:tcPr>
          <w:p w14:paraId="697A00F6" w14:textId="77777777" w:rsidR="006E3964" w:rsidRPr="00BB6978" w:rsidRDefault="006E3964" w:rsidP="00CE66D1">
            <w:pPr>
              <w:autoSpaceDE w:val="0"/>
              <w:autoSpaceDN w:val="0"/>
              <w:adjustRightInd w:val="0"/>
              <w:spacing w:after="0" w:line="320" w:lineRule="atLeast"/>
              <w:ind w:left="60" w:right="60"/>
              <w:jc w:val="right"/>
              <w:rPr>
                <w:rFonts w:ascii="Times New Roman" w:eastAsia="Calibri" w:hAnsi="Times New Roman" w:cs="Times New Roman"/>
                <w:sz w:val="24"/>
                <w:szCs w:val="24"/>
              </w:rPr>
            </w:pPr>
          </w:p>
        </w:tc>
      </w:tr>
      <w:tr w:rsidR="00073A16" w:rsidRPr="00BB6978" w14:paraId="1545A622" w14:textId="77777777" w:rsidTr="00CE66D1">
        <w:trPr>
          <w:cantSplit/>
        </w:trPr>
        <w:tc>
          <w:tcPr>
            <w:tcW w:w="3884" w:type="pct"/>
            <w:tcBorders>
              <w:top w:val="nil"/>
              <w:bottom w:val="nil"/>
              <w:right w:val="nil"/>
            </w:tcBorders>
            <w:shd w:val="clear" w:color="auto" w:fill="FFFFFF"/>
          </w:tcPr>
          <w:p w14:paraId="4131F141"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School Environment</w:t>
            </w:r>
          </w:p>
        </w:tc>
        <w:tc>
          <w:tcPr>
            <w:tcW w:w="490" w:type="pct"/>
            <w:tcBorders>
              <w:top w:val="nil"/>
              <w:left w:val="nil"/>
              <w:bottom w:val="nil"/>
              <w:right w:val="nil"/>
            </w:tcBorders>
            <w:shd w:val="clear" w:color="auto" w:fill="FFFFFF"/>
          </w:tcPr>
          <w:p w14:paraId="34010FC6" w14:textId="77777777" w:rsidR="006E3964" w:rsidRPr="00BB6978" w:rsidRDefault="006E3964" w:rsidP="00CE66D1">
            <w:pPr>
              <w:autoSpaceDE w:val="0"/>
              <w:autoSpaceDN w:val="0"/>
              <w:adjustRightInd w:val="0"/>
              <w:spacing w:after="0"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.976</w:t>
            </w:r>
          </w:p>
        </w:tc>
        <w:tc>
          <w:tcPr>
            <w:tcW w:w="626" w:type="pct"/>
            <w:vMerge/>
            <w:tcBorders>
              <w:left w:val="nil"/>
            </w:tcBorders>
            <w:shd w:val="clear" w:color="auto" w:fill="FFFFFF"/>
          </w:tcPr>
          <w:p w14:paraId="27C6EB82" w14:textId="77777777" w:rsidR="006E3964" w:rsidRPr="00BB6978" w:rsidRDefault="006E3964" w:rsidP="00CE66D1">
            <w:pPr>
              <w:autoSpaceDE w:val="0"/>
              <w:autoSpaceDN w:val="0"/>
              <w:adjustRightInd w:val="0"/>
              <w:spacing w:after="0" w:line="320" w:lineRule="atLeast"/>
              <w:ind w:left="60" w:right="60"/>
              <w:jc w:val="right"/>
              <w:rPr>
                <w:rFonts w:ascii="Times New Roman" w:eastAsia="Calibri" w:hAnsi="Times New Roman" w:cs="Times New Roman"/>
                <w:sz w:val="24"/>
                <w:szCs w:val="24"/>
              </w:rPr>
            </w:pPr>
          </w:p>
        </w:tc>
      </w:tr>
      <w:tr w:rsidR="00073A16" w:rsidRPr="00BB6978" w14:paraId="5B72ACF1" w14:textId="77777777" w:rsidTr="00CE66D1">
        <w:trPr>
          <w:cantSplit/>
        </w:trPr>
        <w:tc>
          <w:tcPr>
            <w:tcW w:w="3884" w:type="pct"/>
            <w:tcBorders>
              <w:top w:val="nil"/>
              <w:bottom w:val="nil"/>
              <w:right w:val="nil"/>
            </w:tcBorders>
            <w:shd w:val="clear" w:color="auto" w:fill="FFFFFF"/>
          </w:tcPr>
          <w:p w14:paraId="2C0319E7"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Student character</w:t>
            </w:r>
          </w:p>
        </w:tc>
        <w:tc>
          <w:tcPr>
            <w:tcW w:w="490" w:type="pct"/>
            <w:tcBorders>
              <w:top w:val="nil"/>
              <w:left w:val="nil"/>
              <w:bottom w:val="nil"/>
              <w:right w:val="nil"/>
            </w:tcBorders>
            <w:shd w:val="clear" w:color="auto" w:fill="FFFFFF"/>
          </w:tcPr>
          <w:p w14:paraId="0E058B90" w14:textId="77777777" w:rsidR="006E3964" w:rsidRPr="00BB6978" w:rsidRDefault="006E3964" w:rsidP="00CE66D1">
            <w:pPr>
              <w:autoSpaceDE w:val="0"/>
              <w:autoSpaceDN w:val="0"/>
              <w:adjustRightInd w:val="0"/>
              <w:spacing w:after="0"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.994</w:t>
            </w:r>
          </w:p>
        </w:tc>
        <w:tc>
          <w:tcPr>
            <w:tcW w:w="626" w:type="pct"/>
            <w:vMerge/>
            <w:tcBorders>
              <w:left w:val="nil"/>
            </w:tcBorders>
            <w:shd w:val="clear" w:color="auto" w:fill="FFFFFF"/>
          </w:tcPr>
          <w:p w14:paraId="05C7C239" w14:textId="77777777" w:rsidR="006E3964" w:rsidRPr="00BB6978" w:rsidRDefault="006E3964" w:rsidP="00CE66D1">
            <w:pPr>
              <w:autoSpaceDE w:val="0"/>
              <w:autoSpaceDN w:val="0"/>
              <w:adjustRightInd w:val="0"/>
              <w:spacing w:after="0" w:line="320" w:lineRule="atLeast"/>
              <w:ind w:left="60" w:right="60"/>
              <w:jc w:val="right"/>
              <w:rPr>
                <w:rFonts w:ascii="Times New Roman" w:eastAsia="Calibri" w:hAnsi="Times New Roman" w:cs="Times New Roman"/>
                <w:sz w:val="24"/>
                <w:szCs w:val="24"/>
              </w:rPr>
            </w:pPr>
          </w:p>
        </w:tc>
      </w:tr>
      <w:tr w:rsidR="00073A16" w:rsidRPr="00BB6978" w14:paraId="143964B9" w14:textId="77777777" w:rsidTr="00CE66D1">
        <w:trPr>
          <w:cantSplit/>
        </w:trPr>
        <w:tc>
          <w:tcPr>
            <w:tcW w:w="3884" w:type="pct"/>
            <w:tcBorders>
              <w:top w:val="nil"/>
              <w:bottom w:val="nil"/>
              <w:right w:val="nil"/>
            </w:tcBorders>
            <w:shd w:val="clear" w:color="auto" w:fill="FFFFFF"/>
          </w:tcPr>
          <w:p w14:paraId="59618825"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Academic learning</w:t>
            </w:r>
          </w:p>
        </w:tc>
        <w:tc>
          <w:tcPr>
            <w:tcW w:w="490" w:type="pct"/>
            <w:tcBorders>
              <w:top w:val="nil"/>
              <w:left w:val="nil"/>
              <w:bottom w:val="nil"/>
              <w:right w:val="nil"/>
            </w:tcBorders>
            <w:shd w:val="clear" w:color="auto" w:fill="FFFFFF"/>
          </w:tcPr>
          <w:p w14:paraId="0DB0D12E" w14:textId="77777777" w:rsidR="006E3964" w:rsidRPr="00BB6978" w:rsidRDefault="006E3964" w:rsidP="00CE66D1">
            <w:pPr>
              <w:autoSpaceDE w:val="0"/>
              <w:autoSpaceDN w:val="0"/>
              <w:adjustRightInd w:val="0"/>
              <w:spacing w:after="0"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.995</w:t>
            </w:r>
          </w:p>
        </w:tc>
        <w:tc>
          <w:tcPr>
            <w:tcW w:w="626" w:type="pct"/>
            <w:vMerge/>
            <w:tcBorders>
              <w:left w:val="nil"/>
            </w:tcBorders>
            <w:shd w:val="clear" w:color="auto" w:fill="FFFFFF"/>
          </w:tcPr>
          <w:p w14:paraId="53558E1A" w14:textId="77777777" w:rsidR="006E3964" w:rsidRPr="00BB6978" w:rsidRDefault="006E3964" w:rsidP="00CE66D1">
            <w:pPr>
              <w:autoSpaceDE w:val="0"/>
              <w:autoSpaceDN w:val="0"/>
              <w:adjustRightInd w:val="0"/>
              <w:spacing w:after="0" w:line="320" w:lineRule="atLeast"/>
              <w:ind w:left="60" w:right="60"/>
              <w:jc w:val="right"/>
              <w:rPr>
                <w:rFonts w:ascii="Times New Roman" w:eastAsia="Calibri" w:hAnsi="Times New Roman" w:cs="Times New Roman"/>
                <w:sz w:val="24"/>
                <w:szCs w:val="24"/>
              </w:rPr>
            </w:pPr>
          </w:p>
        </w:tc>
      </w:tr>
      <w:tr w:rsidR="00073A16" w:rsidRPr="00BB6978" w14:paraId="2F837C2E" w14:textId="77777777" w:rsidTr="00CE66D1">
        <w:trPr>
          <w:cantSplit/>
        </w:trPr>
        <w:tc>
          <w:tcPr>
            <w:tcW w:w="3884" w:type="pct"/>
            <w:tcBorders>
              <w:top w:val="nil"/>
              <w:bottom w:val="single" w:sz="4" w:space="0" w:color="auto"/>
              <w:right w:val="nil"/>
            </w:tcBorders>
            <w:shd w:val="clear" w:color="auto" w:fill="FFFFFF"/>
          </w:tcPr>
          <w:p w14:paraId="78D9C88C"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School resources</w:t>
            </w:r>
          </w:p>
        </w:tc>
        <w:tc>
          <w:tcPr>
            <w:tcW w:w="490" w:type="pct"/>
            <w:tcBorders>
              <w:top w:val="nil"/>
              <w:left w:val="nil"/>
              <w:bottom w:val="single" w:sz="4" w:space="0" w:color="auto"/>
              <w:right w:val="nil"/>
            </w:tcBorders>
            <w:shd w:val="clear" w:color="auto" w:fill="FFFFFF"/>
          </w:tcPr>
          <w:p w14:paraId="55EF9DAA" w14:textId="77777777" w:rsidR="006E3964" w:rsidRPr="00BB6978" w:rsidRDefault="006E3964" w:rsidP="00CE66D1">
            <w:pPr>
              <w:autoSpaceDE w:val="0"/>
              <w:autoSpaceDN w:val="0"/>
              <w:adjustRightInd w:val="0"/>
              <w:spacing w:after="0"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.996</w:t>
            </w:r>
          </w:p>
        </w:tc>
        <w:tc>
          <w:tcPr>
            <w:tcW w:w="626" w:type="pct"/>
            <w:vMerge/>
            <w:tcBorders>
              <w:left w:val="nil"/>
              <w:bottom w:val="single" w:sz="4" w:space="0" w:color="auto"/>
            </w:tcBorders>
            <w:shd w:val="clear" w:color="auto" w:fill="FFFFFF"/>
          </w:tcPr>
          <w:p w14:paraId="648077DE" w14:textId="77777777" w:rsidR="006E3964" w:rsidRPr="00BB6978" w:rsidRDefault="006E3964" w:rsidP="00CE66D1">
            <w:pPr>
              <w:autoSpaceDE w:val="0"/>
              <w:autoSpaceDN w:val="0"/>
              <w:adjustRightInd w:val="0"/>
              <w:spacing w:after="0" w:line="320" w:lineRule="atLeast"/>
              <w:ind w:left="60" w:right="60"/>
              <w:jc w:val="right"/>
              <w:rPr>
                <w:rFonts w:ascii="Times New Roman" w:eastAsia="Calibri" w:hAnsi="Times New Roman" w:cs="Times New Roman"/>
                <w:sz w:val="24"/>
                <w:szCs w:val="24"/>
              </w:rPr>
            </w:pPr>
          </w:p>
        </w:tc>
      </w:tr>
    </w:tbl>
    <w:p w14:paraId="623FC634" w14:textId="77777777" w:rsidR="006E3964" w:rsidRPr="00BB6978" w:rsidRDefault="006E3964" w:rsidP="006E3964">
      <w:pPr>
        <w:spacing w:after="0" w:line="240" w:lineRule="auto"/>
        <w:ind w:firstLine="360"/>
        <w:jc w:val="both"/>
        <w:rPr>
          <w:rFonts w:ascii="Times New Roman" w:eastAsia="Calibri" w:hAnsi="Times New Roman" w:cs="Times New Roman"/>
          <w:sz w:val="24"/>
          <w:szCs w:val="24"/>
        </w:rPr>
      </w:pPr>
    </w:p>
    <w:p w14:paraId="43A39C65" w14:textId="77777777" w:rsidR="006E3964" w:rsidRPr="00BB6978" w:rsidRDefault="006E3964" w:rsidP="006E3964">
      <w:pPr>
        <w:pStyle w:val="Heading1"/>
        <w:rPr>
          <w:rFonts w:asciiTheme="majorBidi" w:eastAsia="Times New Roman" w:hAnsiTheme="majorBidi"/>
          <w:b w:val="0"/>
          <w:bCs w:val="0"/>
          <w:color w:val="auto"/>
          <w:sz w:val="24"/>
          <w:szCs w:val="24"/>
          <w:lang w:eastAsia="en-GB" w:bidi="en-GB"/>
        </w:rPr>
      </w:pPr>
      <w:bookmarkStart w:id="143" w:name="_Toc96103765"/>
      <w:bookmarkStart w:id="144" w:name="_Toc138239816"/>
      <w:r w:rsidRPr="00BB6978">
        <w:rPr>
          <w:rFonts w:asciiTheme="majorBidi" w:eastAsia="Times New Roman" w:hAnsiTheme="majorBidi"/>
          <w:color w:val="auto"/>
          <w:sz w:val="24"/>
          <w:szCs w:val="24"/>
          <w:lang w:eastAsia="en-GB" w:bidi="en-GB"/>
        </w:rPr>
        <w:t>4.</w:t>
      </w:r>
      <w:bookmarkEnd w:id="136"/>
      <w:r w:rsidRPr="00BB6978">
        <w:rPr>
          <w:rFonts w:asciiTheme="majorBidi" w:eastAsia="Times New Roman" w:hAnsiTheme="majorBidi"/>
          <w:color w:val="auto"/>
          <w:sz w:val="24"/>
          <w:szCs w:val="24"/>
          <w:lang w:eastAsia="en-GB" w:bidi="en-GB"/>
        </w:rPr>
        <w:t>4 The results</w:t>
      </w:r>
      <w:bookmarkEnd w:id="143"/>
      <w:bookmarkEnd w:id="144"/>
    </w:p>
    <w:p w14:paraId="76B3B0EB" w14:textId="77777777" w:rsidR="006E3964" w:rsidRPr="00BB6978" w:rsidRDefault="006E3964" w:rsidP="006E3964">
      <w:pPr>
        <w:spacing w:before="240" w:after="200" w:line="480" w:lineRule="auto"/>
        <w:ind w:firstLine="720"/>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The study has five hypotheses tested by running different inferential statistical processes. These statistics were: correlation, liner regression analysis, multiple regression analysis. The results are revealed as follow:</w:t>
      </w:r>
    </w:p>
    <w:p w14:paraId="66972C97" w14:textId="77777777" w:rsidR="006E3964" w:rsidRPr="00BB6978" w:rsidRDefault="006E3964" w:rsidP="006E3964">
      <w:pPr>
        <w:pStyle w:val="Heading2"/>
        <w:rPr>
          <w:rFonts w:asciiTheme="majorBidi" w:eastAsia="Times New Roman" w:hAnsiTheme="majorBidi"/>
          <w:color w:val="auto"/>
          <w:sz w:val="24"/>
          <w:szCs w:val="24"/>
          <w:lang w:bidi="en-GB"/>
        </w:rPr>
      </w:pPr>
      <w:bookmarkStart w:id="145" w:name="_Toc66784562"/>
      <w:bookmarkStart w:id="146" w:name="_Toc96103766"/>
      <w:bookmarkStart w:id="147" w:name="_Toc138239817"/>
      <w:r w:rsidRPr="00BB6978">
        <w:rPr>
          <w:rFonts w:asciiTheme="majorBidi" w:eastAsia="Times New Roman" w:hAnsiTheme="majorBidi"/>
          <w:color w:val="auto"/>
          <w:sz w:val="24"/>
          <w:szCs w:val="24"/>
        </w:rPr>
        <w:t xml:space="preserve">4.4.1 </w:t>
      </w:r>
      <w:bookmarkEnd w:id="145"/>
      <w:r w:rsidRPr="00BB6978">
        <w:rPr>
          <w:rFonts w:asciiTheme="majorBidi" w:eastAsia="Times New Roman" w:hAnsiTheme="majorBidi"/>
          <w:color w:val="auto"/>
          <w:sz w:val="24"/>
          <w:szCs w:val="24"/>
          <w:lang w:bidi="en-GB"/>
        </w:rPr>
        <w:t>Hypotheses</w:t>
      </w:r>
      <w:bookmarkEnd w:id="146"/>
      <w:bookmarkEnd w:id="147"/>
    </w:p>
    <w:p w14:paraId="50969B8F" w14:textId="77777777" w:rsidR="006E3964" w:rsidRPr="00BB6978" w:rsidRDefault="006E3964" w:rsidP="006E3964">
      <w:pPr>
        <w:autoSpaceDE w:val="0"/>
        <w:autoSpaceDN w:val="0"/>
        <w:adjustRightInd w:val="0"/>
        <w:spacing w:after="0" w:line="360" w:lineRule="auto"/>
        <w:ind w:left="426" w:hanging="426"/>
        <w:rPr>
          <w:rFonts w:ascii="Times New Roman" w:eastAsia="Calibri" w:hAnsi="Times New Roman" w:cs="Times New Roman"/>
          <w:i/>
          <w:iCs/>
          <w:noProof/>
          <w:sz w:val="24"/>
          <w:szCs w:val="24"/>
        </w:rPr>
      </w:pPr>
      <w:bookmarkStart w:id="148" w:name="_Toc66784563"/>
      <w:r w:rsidRPr="00BB6978">
        <w:rPr>
          <w:rFonts w:ascii="Times New Roman" w:eastAsia="Calibri" w:hAnsi="Times New Roman" w:cs="Times New Roman"/>
          <w:i/>
          <w:iCs/>
          <w:noProof/>
          <w:sz w:val="24"/>
          <w:szCs w:val="24"/>
        </w:rPr>
        <w:t>H</w:t>
      </w:r>
      <w:r w:rsidRPr="00BB6978">
        <w:rPr>
          <w:rFonts w:ascii="Times New Roman" w:eastAsia="Calibri" w:hAnsi="Times New Roman" w:cs="Times New Roman"/>
          <w:i/>
          <w:iCs/>
          <w:noProof/>
          <w:sz w:val="24"/>
          <w:szCs w:val="24"/>
          <w:vertAlign w:val="subscript"/>
        </w:rPr>
        <w:t>1</w:t>
      </w:r>
      <w:r w:rsidRPr="00BB6978">
        <w:rPr>
          <w:rFonts w:ascii="Times New Roman" w:eastAsia="Calibri" w:hAnsi="Times New Roman" w:cs="Times New Roman"/>
          <w:i/>
          <w:iCs/>
          <w:noProof/>
          <w:sz w:val="24"/>
          <w:szCs w:val="24"/>
        </w:rPr>
        <w:t xml:space="preserve">: There is a positive relationship between school cost and school quality in private schools in Abu Dhabi. </w:t>
      </w:r>
    </w:p>
    <w:p w14:paraId="3CDA9CB5" w14:textId="77777777" w:rsidR="006E3964" w:rsidRPr="00BB6978" w:rsidRDefault="006E3964" w:rsidP="006E3964">
      <w:pPr>
        <w:autoSpaceDE w:val="0"/>
        <w:autoSpaceDN w:val="0"/>
        <w:adjustRightInd w:val="0"/>
        <w:spacing w:after="0" w:line="480" w:lineRule="auto"/>
        <w:ind w:firstLine="720"/>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 xml:space="preserve">Table 10 by using Pearson correlation, it was revealed that the relationship is positively significant between school cost and school quality (r=0.600, p&lt;0.001), which means that when the variable school cost increases school quality also increases. To elaborate more on this relationship, a linear regression was also calculated, as shown in Table 11. </w:t>
      </w:r>
    </w:p>
    <w:p w14:paraId="29BAAAD7" w14:textId="77777777" w:rsidR="006E3964" w:rsidRPr="00BB6978" w:rsidRDefault="00E37E62" w:rsidP="007F58DC">
      <w:pPr>
        <w:pStyle w:val="Caption"/>
        <w:rPr>
          <w:rFonts w:eastAsia="Times New Roman"/>
          <w:u w:val="single"/>
        </w:rPr>
      </w:pPr>
      <w:bookmarkStart w:id="149" w:name="_Toc134452494"/>
      <w:r w:rsidRPr="00BB6978">
        <w:t xml:space="preserve">Table </w:t>
      </w:r>
      <w:r w:rsidRPr="00BB6978">
        <w:fldChar w:fldCharType="begin"/>
      </w:r>
      <w:r w:rsidRPr="00BB6978">
        <w:instrText xml:space="preserve"> SEQ Table \* ARABIC </w:instrText>
      </w:r>
      <w:r w:rsidRPr="00BB6978">
        <w:fldChar w:fldCharType="separate"/>
      </w:r>
      <w:r w:rsidR="00131282" w:rsidRPr="00BB6978">
        <w:rPr>
          <w:noProof/>
        </w:rPr>
        <w:t>10</w:t>
      </w:r>
      <w:r w:rsidRPr="00BB6978">
        <w:rPr>
          <w:noProof/>
        </w:rPr>
        <w:fldChar w:fldCharType="end"/>
      </w:r>
      <w:r w:rsidR="006E3964" w:rsidRPr="00BB6978">
        <w:t>: Association between school cost and school quality</w:t>
      </w:r>
      <w:bookmarkEnd w:id="14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446"/>
        <w:gridCol w:w="2570"/>
        <w:gridCol w:w="2570"/>
      </w:tblGrid>
      <w:tr w:rsidR="00073A16" w:rsidRPr="00BB6978" w14:paraId="59536B7E" w14:textId="77777777" w:rsidTr="00CE66D1">
        <w:trPr>
          <w:cantSplit/>
        </w:trPr>
        <w:tc>
          <w:tcPr>
            <w:tcW w:w="1612" w:type="pct"/>
            <w:tcBorders>
              <w:left w:val="nil"/>
              <w:bottom w:val="single" w:sz="4" w:space="0" w:color="auto"/>
              <w:right w:val="nil"/>
            </w:tcBorders>
            <w:shd w:val="clear" w:color="auto" w:fill="BDD6EE"/>
          </w:tcPr>
          <w:p w14:paraId="7938C0D6"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p>
        </w:tc>
        <w:tc>
          <w:tcPr>
            <w:tcW w:w="1694" w:type="pct"/>
            <w:tcBorders>
              <w:left w:val="nil"/>
              <w:bottom w:val="single" w:sz="4" w:space="0" w:color="auto"/>
              <w:right w:val="nil"/>
            </w:tcBorders>
            <w:shd w:val="clear" w:color="auto" w:fill="BDD6EE"/>
          </w:tcPr>
          <w:p w14:paraId="114ABD91"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School Cost</w:t>
            </w:r>
          </w:p>
        </w:tc>
        <w:tc>
          <w:tcPr>
            <w:tcW w:w="1694" w:type="pct"/>
            <w:tcBorders>
              <w:left w:val="nil"/>
              <w:bottom w:val="single" w:sz="4" w:space="0" w:color="auto"/>
              <w:right w:val="nil"/>
            </w:tcBorders>
            <w:shd w:val="clear" w:color="auto" w:fill="BDD6EE"/>
          </w:tcPr>
          <w:p w14:paraId="7B5725D6"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School Quality</w:t>
            </w:r>
          </w:p>
        </w:tc>
      </w:tr>
      <w:tr w:rsidR="00073A16" w:rsidRPr="00BB6978" w14:paraId="1A68A1EC" w14:textId="77777777" w:rsidTr="00CE66D1">
        <w:trPr>
          <w:cantSplit/>
        </w:trPr>
        <w:tc>
          <w:tcPr>
            <w:tcW w:w="1612" w:type="pct"/>
            <w:tcBorders>
              <w:left w:val="nil"/>
              <w:bottom w:val="nil"/>
              <w:right w:val="nil"/>
            </w:tcBorders>
            <w:shd w:val="clear" w:color="auto" w:fill="FFFFFF"/>
            <w:vAlign w:val="center"/>
          </w:tcPr>
          <w:p w14:paraId="704F9836"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School Cost</w:t>
            </w:r>
          </w:p>
        </w:tc>
        <w:tc>
          <w:tcPr>
            <w:tcW w:w="1694" w:type="pct"/>
            <w:tcBorders>
              <w:left w:val="nil"/>
              <w:bottom w:val="nil"/>
              <w:right w:val="nil"/>
            </w:tcBorders>
            <w:shd w:val="clear" w:color="auto" w:fill="FFFFFF"/>
            <w:vAlign w:val="center"/>
          </w:tcPr>
          <w:p w14:paraId="388F4ED9" w14:textId="77777777" w:rsidR="006E3964" w:rsidRPr="00BB6978" w:rsidRDefault="006E3964" w:rsidP="00CE66D1">
            <w:pPr>
              <w:autoSpaceDE w:val="0"/>
              <w:autoSpaceDN w:val="0"/>
              <w:adjustRightInd w:val="0"/>
              <w:spacing w:after="0"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1</w:t>
            </w:r>
          </w:p>
        </w:tc>
        <w:tc>
          <w:tcPr>
            <w:tcW w:w="1694" w:type="pct"/>
            <w:tcBorders>
              <w:left w:val="nil"/>
              <w:bottom w:val="nil"/>
              <w:right w:val="nil"/>
            </w:tcBorders>
            <w:shd w:val="clear" w:color="auto" w:fill="FFFFFF"/>
            <w:vAlign w:val="center"/>
          </w:tcPr>
          <w:p w14:paraId="6CD09ECA" w14:textId="77777777" w:rsidR="006E3964" w:rsidRPr="00BB6978" w:rsidRDefault="006E3964" w:rsidP="00CE66D1">
            <w:pPr>
              <w:autoSpaceDE w:val="0"/>
              <w:autoSpaceDN w:val="0"/>
              <w:adjustRightInd w:val="0"/>
              <w:spacing w:after="0"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.600</w:t>
            </w:r>
            <w:r w:rsidRPr="00BB6978">
              <w:rPr>
                <w:rFonts w:ascii="Times New Roman" w:eastAsia="Calibri" w:hAnsi="Times New Roman" w:cs="Times New Roman"/>
                <w:sz w:val="24"/>
                <w:szCs w:val="24"/>
                <w:vertAlign w:val="superscript"/>
              </w:rPr>
              <w:t>**</w:t>
            </w:r>
          </w:p>
        </w:tc>
      </w:tr>
      <w:tr w:rsidR="00073A16" w:rsidRPr="00BB6978" w14:paraId="4A1DD7F7" w14:textId="77777777" w:rsidTr="00CE66D1">
        <w:trPr>
          <w:cantSplit/>
        </w:trPr>
        <w:tc>
          <w:tcPr>
            <w:tcW w:w="1612" w:type="pct"/>
            <w:tcBorders>
              <w:top w:val="nil"/>
              <w:left w:val="nil"/>
              <w:right w:val="nil"/>
            </w:tcBorders>
            <w:shd w:val="clear" w:color="auto" w:fill="FFFFFF"/>
            <w:vAlign w:val="center"/>
          </w:tcPr>
          <w:p w14:paraId="3B189BFF"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School Quality</w:t>
            </w:r>
          </w:p>
        </w:tc>
        <w:tc>
          <w:tcPr>
            <w:tcW w:w="1694" w:type="pct"/>
            <w:tcBorders>
              <w:top w:val="nil"/>
              <w:left w:val="nil"/>
              <w:right w:val="nil"/>
            </w:tcBorders>
            <w:shd w:val="clear" w:color="auto" w:fill="FFFFFF"/>
            <w:vAlign w:val="center"/>
          </w:tcPr>
          <w:p w14:paraId="3A25677E" w14:textId="77777777" w:rsidR="006E3964" w:rsidRPr="00BB6978" w:rsidRDefault="006E3964" w:rsidP="00CE66D1">
            <w:pPr>
              <w:autoSpaceDE w:val="0"/>
              <w:autoSpaceDN w:val="0"/>
              <w:adjustRightInd w:val="0"/>
              <w:spacing w:after="0" w:line="320" w:lineRule="atLeast"/>
              <w:ind w:left="60" w:right="60"/>
              <w:jc w:val="right"/>
              <w:rPr>
                <w:rFonts w:ascii="Times New Roman" w:eastAsia="Calibri" w:hAnsi="Times New Roman" w:cs="Times New Roman"/>
                <w:sz w:val="24"/>
                <w:szCs w:val="24"/>
              </w:rPr>
            </w:pPr>
          </w:p>
        </w:tc>
        <w:tc>
          <w:tcPr>
            <w:tcW w:w="1694" w:type="pct"/>
            <w:tcBorders>
              <w:top w:val="nil"/>
              <w:left w:val="nil"/>
              <w:right w:val="nil"/>
            </w:tcBorders>
            <w:shd w:val="clear" w:color="auto" w:fill="FFFFFF"/>
            <w:vAlign w:val="center"/>
          </w:tcPr>
          <w:p w14:paraId="48002F27" w14:textId="77777777" w:rsidR="006E3964" w:rsidRPr="00BB6978" w:rsidRDefault="006E3964" w:rsidP="00CE66D1">
            <w:pPr>
              <w:autoSpaceDE w:val="0"/>
              <w:autoSpaceDN w:val="0"/>
              <w:adjustRightInd w:val="0"/>
              <w:spacing w:after="0" w:line="320" w:lineRule="atLeast"/>
              <w:ind w:left="60" w:right="60"/>
              <w:jc w:val="right"/>
              <w:rPr>
                <w:rFonts w:ascii="Times New Roman" w:eastAsia="Calibri" w:hAnsi="Times New Roman" w:cs="Times New Roman"/>
                <w:sz w:val="24"/>
                <w:szCs w:val="24"/>
              </w:rPr>
            </w:pPr>
            <w:r w:rsidRPr="00BB6978">
              <w:rPr>
                <w:rFonts w:ascii="Times New Roman" w:eastAsia="Calibri" w:hAnsi="Times New Roman" w:cs="Times New Roman"/>
                <w:sz w:val="24"/>
                <w:szCs w:val="24"/>
              </w:rPr>
              <w:t>1</w:t>
            </w:r>
          </w:p>
        </w:tc>
      </w:tr>
    </w:tbl>
    <w:p w14:paraId="75F2EEAD" w14:textId="77777777" w:rsidR="006E3964" w:rsidRPr="00BB6978" w:rsidRDefault="006E3964" w:rsidP="006E3964">
      <w:pPr>
        <w:autoSpaceDE w:val="0"/>
        <w:autoSpaceDN w:val="0"/>
        <w:adjustRightInd w:val="0"/>
        <w:spacing w:after="0" w:line="400" w:lineRule="atLeast"/>
        <w:rPr>
          <w:rFonts w:ascii="Times New Roman" w:eastAsia="Calibri" w:hAnsi="Times New Roman" w:cs="Times New Roman"/>
          <w:sz w:val="24"/>
          <w:szCs w:val="24"/>
        </w:rPr>
      </w:pPr>
      <w:r w:rsidRPr="00BB6978">
        <w:rPr>
          <w:rFonts w:ascii="Times New Roman" w:eastAsia="Calibri" w:hAnsi="Times New Roman" w:cs="Times New Roman"/>
          <w:sz w:val="24"/>
          <w:szCs w:val="24"/>
        </w:rPr>
        <w:t>**p&lt;0.01</w:t>
      </w:r>
    </w:p>
    <w:p w14:paraId="03BB5BC9" w14:textId="77777777" w:rsidR="006E3964" w:rsidRPr="00BB6978" w:rsidRDefault="006E3964" w:rsidP="006E3964">
      <w:pPr>
        <w:autoSpaceDE w:val="0"/>
        <w:autoSpaceDN w:val="0"/>
        <w:adjustRightInd w:val="0"/>
        <w:spacing w:after="0" w:line="400" w:lineRule="atLeast"/>
        <w:rPr>
          <w:rFonts w:ascii="Times New Roman" w:eastAsia="Calibri" w:hAnsi="Times New Roman" w:cs="Times New Roman"/>
          <w:sz w:val="24"/>
          <w:szCs w:val="24"/>
        </w:rPr>
      </w:pPr>
    </w:p>
    <w:p w14:paraId="45BCE817" w14:textId="77777777" w:rsidR="006E3964" w:rsidRPr="00BB6978" w:rsidRDefault="006E3964" w:rsidP="006E3964">
      <w:pPr>
        <w:autoSpaceDE w:val="0"/>
        <w:autoSpaceDN w:val="0"/>
        <w:adjustRightInd w:val="0"/>
        <w:spacing w:after="0" w:line="480" w:lineRule="auto"/>
        <w:ind w:firstLine="720"/>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 xml:space="preserve">Table 11 shows the </w:t>
      </w:r>
      <w:r w:rsidRPr="00BB6978">
        <w:rPr>
          <w:rFonts w:asciiTheme="majorBidi" w:hAnsiTheme="majorBidi" w:cstheme="majorBidi"/>
          <w:sz w:val="24"/>
          <w:szCs w:val="24"/>
        </w:rPr>
        <w:t>regression analysis to test the relationship between school cost and school quality. The results demonstrate the impact of school cost on school quality (</w:t>
      </w:r>
      <w:r w:rsidRPr="00BB6978">
        <w:rPr>
          <w:rFonts w:asciiTheme="majorBidi" w:hAnsiTheme="majorBidi" w:cstheme="majorBidi"/>
          <w:i/>
          <w:iCs/>
          <w:sz w:val="24"/>
          <w:szCs w:val="24"/>
        </w:rPr>
        <w:t>R</w:t>
      </w:r>
      <w:r w:rsidRPr="00BB6978">
        <w:rPr>
          <w:rFonts w:asciiTheme="majorBidi" w:hAnsiTheme="majorBidi" w:cstheme="majorBidi"/>
          <w:i/>
          <w:iCs/>
          <w:sz w:val="24"/>
          <w:szCs w:val="24"/>
          <w:vertAlign w:val="superscript"/>
        </w:rPr>
        <w:t>2</w:t>
      </w:r>
      <w:r w:rsidRPr="00BB6978">
        <w:rPr>
          <w:rFonts w:asciiTheme="majorBidi" w:hAnsiTheme="majorBidi" w:cstheme="majorBidi"/>
          <w:sz w:val="24"/>
          <w:szCs w:val="24"/>
          <w:vertAlign w:val="superscript"/>
        </w:rPr>
        <w:t xml:space="preserve"> </w:t>
      </w:r>
      <w:r w:rsidRPr="00BB6978">
        <w:rPr>
          <w:rFonts w:asciiTheme="majorBidi" w:hAnsiTheme="majorBidi" w:cstheme="majorBidi"/>
          <w:sz w:val="24"/>
          <w:szCs w:val="24"/>
        </w:rPr>
        <w:t xml:space="preserve">= .360, </w:t>
      </w:r>
      <w:r w:rsidRPr="00BB6978">
        <w:rPr>
          <w:rFonts w:asciiTheme="majorBidi" w:hAnsiTheme="majorBidi" w:cstheme="majorBidi"/>
          <w:i/>
          <w:iCs/>
          <w:sz w:val="24"/>
          <w:szCs w:val="24"/>
        </w:rPr>
        <w:t>p</w:t>
      </w:r>
      <w:r w:rsidRPr="00BB6978">
        <w:rPr>
          <w:rFonts w:asciiTheme="majorBidi" w:hAnsiTheme="majorBidi" w:cstheme="majorBidi"/>
          <w:sz w:val="24"/>
          <w:szCs w:val="24"/>
        </w:rPr>
        <w:t xml:space="preserve">&lt;0.001). This means that 36% of the variability in school quality can be accounted for by school cost. More specifically, the coefficient of school cost is positive for school quality with a beta value of (β= .368) at the significant level of </w:t>
      </w:r>
      <w:r w:rsidRPr="00BB6978">
        <w:rPr>
          <w:rFonts w:asciiTheme="majorBidi" w:hAnsiTheme="majorBidi" w:cstheme="majorBidi"/>
          <w:i/>
          <w:iCs/>
          <w:sz w:val="24"/>
          <w:szCs w:val="24"/>
        </w:rPr>
        <w:t>p</w:t>
      </w:r>
      <w:r w:rsidRPr="00BB6978">
        <w:rPr>
          <w:rFonts w:asciiTheme="majorBidi" w:hAnsiTheme="majorBidi" w:cstheme="majorBidi"/>
          <w:sz w:val="24"/>
          <w:szCs w:val="24"/>
        </w:rPr>
        <w:t>&lt;0.001, which is the predicted value of an increase in the school quality when an increase of 1 unit in school cost is taken place. In other words, if the school cost is increased, this would significantly improve the school quality. Based on the results of Tables 8 and 9,</w:t>
      </w:r>
      <w:r w:rsidRPr="00BB6978">
        <w:rPr>
          <w:rFonts w:ascii="Times New Roman" w:eastAsia="Calibri" w:hAnsi="Times New Roman" w:cs="Times New Roman"/>
          <w:sz w:val="24"/>
          <w:szCs w:val="24"/>
        </w:rPr>
        <w:t xml:space="preserve"> the first hypothesis is accepted.</w:t>
      </w:r>
    </w:p>
    <w:p w14:paraId="7B208B6D" w14:textId="77777777" w:rsidR="006E3964" w:rsidRPr="00BB6978" w:rsidRDefault="00E37E62" w:rsidP="007F58DC">
      <w:pPr>
        <w:pStyle w:val="Caption"/>
        <w:rPr>
          <w:rFonts w:eastAsia="Times New Roman"/>
          <w:u w:val="single"/>
        </w:rPr>
      </w:pPr>
      <w:bookmarkStart w:id="150" w:name="_Toc134452495"/>
      <w:r w:rsidRPr="00BB6978">
        <w:t xml:space="preserve">Table </w:t>
      </w:r>
      <w:r w:rsidRPr="00BB6978">
        <w:fldChar w:fldCharType="begin"/>
      </w:r>
      <w:r w:rsidRPr="00BB6978">
        <w:instrText xml:space="preserve"> SEQ Table \* ARABIC </w:instrText>
      </w:r>
      <w:r w:rsidRPr="00BB6978">
        <w:fldChar w:fldCharType="separate"/>
      </w:r>
      <w:r w:rsidR="00131282" w:rsidRPr="00BB6978">
        <w:rPr>
          <w:noProof/>
        </w:rPr>
        <w:t>11</w:t>
      </w:r>
      <w:r w:rsidRPr="00BB6978">
        <w:rPr>
          <w:noProof/>
        </w:rPr>
        <w:fldChar w:fldCharType="end"/>
      </w:r>
      <w:r w:rsidR="006E3964" w:rsidRPr="00BB6978">
        <w:t>: Linear regression analysis between school cost and school quality</w:t>
      </w:r>
      <w:bookmarkEnd w:id="150"/>
    </w:p>
    <w:tbl>
      <w:tblPr>
        <w:tblW w:w="5000" w:type="pct"/>
        <w:tblBorders>
          <w:top w:val="single" w:sz="4" w:space="0" w:color="auto"/>
          <w:bottom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413"/>
        <w:gridCol w:w="1335"/>
        <w:gridCol w:w="1337"/>
        <w:gridCol w:w="1475"/>
        <w:gridCol w:w="1013"/>
        <w:gridCol w:w="1013"/>
      </w:tblGrid>
      <w:tr w:rsidR="00073A16" w:rsidRPr="00BB6978" w14:paraId="46892693" w14:textId="77777777" w:rsidTr="00CE66D1">
        <w:trPr>
          <w:cantSplit/>
        </w:trPr>
        <w:tc>
          <w:tcPr>
            <w:tcW w:w="931" w:type="pct"/>
            <w:vMerge w:val="restart"/>
            <w:tcBorders>
              <w:right w:val="nil"/>
            </w:tcBorders>
            <w:shd w:val="clear" w:color="auto" w:fill="BDD6EE"/>
          </w:tcPr>
          <w:p w14:paraId="2A91C2F8"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p>
        </w:tc>
        <w:tc>
          <w:tcPr>
            <w:tcW w:w="1761" w:type="pct"/>
            <w:gridSpan w:val="2"/>
            <w:tcBorders>
              <w:left w:val="nil"/>
              <w:right w:val="nil"/>
            </w:tcBorders>
            <w:shd w:val="clear" w:color="auto" w:fill="BDD6EE"/>
            <w:vAlign w:val="center"/>
          </w:tcPr>
          <w:p w14:paraId="34F16D00"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Unstandardized Coefficients</w:t>
            </w:r>
          </w:p>
        </w:tc>
        <w:tc>
          <w:tcPr>
            <w:tcW w:w="972" w:type="pct"/>
            <w:vMerge w:val="restart"/>
            <w:tcBorders>
              <w:left w:val="nil"/>
              <w:right w:val="nil"/>
            </w:tcBorders>
            <w:shd w:val="clear" w:color="auto" w:fill="BDD6EE"/>
            <w:vAlign w:val="center"/>
          </w:tcPr>
          <w:p w14:paraId="2CEF68BA"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R-square</w:t>
            </w:r>
          </w:p>
        </w:tc>
        <w:tc>
          <w:tcPr>
            <w:tcW w:w="668" w:type="pct"/>
            <w:vMerge w:val="restart"/>
            <w:tcBorders>
              <w:left w:val="nil"/>
              <w:right w:val="nil"/>
            </w:tcBorders>
            <w:shd w:val="clear" w:color="auto" w:fill="BDD6EE"/>
            <w:vAlign w:val="center"/>
          </w:tcPr>
          <w:p w14:paraId="7791653C"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t-value</w:t>
            </w:r>
          </w:p>
        </w:tc>
        <w:tc>
          <w:tcPr>
            <w:tcW w:w="668" w:type="pct"/>
            <w:vMerge w:val="restart"/>
            <w:tcBorders>
              <w:left w:val="nil"/>
            </w:tcBorders>
            <w:shd w:val="clear" w:color="auto" w:fill="BDD6EE"/>
            <w:vAlign w:val="center"/>
          </w:tcPr>
          <w:p w14:paraId="1FE59B72"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p-value</w:t>
            </w:r>
          </w:p>
        </w:tc>
      </w:tr>
      <w:tr w:rsidR="00073A16" w:rsidRPr="00BB6978" w14:paraId="5F8EE409" w14:textId="77777777" w:rsidTr="00CE66D1">
        <w:trPr>
          <w:cantSplit/>
        </w:trPr>
        <w:tc>
          <w:tcPr>
            <w:tcW w:w="931" w:type="pct"/>
            <w:vMerge/>
            <w:tcBorders>
              <w:bottom w:val="single" w:sz="4" w:space="0" w:color="auto"/>
              <w:right w:val="nil"/>
            </w:tcBorders>
            <w:shd w:val="clear" w:color="auto" w:fill="FFFFFF"/>
          </w:tcPr>
          <w:p w14:paraId="1699BE28" w14:textId="77777777" w:rsidR="006E3964" w:rsidRPr="00BB6978" w:rsidRDefault="006E3964" w:rsidP="00CE66D1">
            <w:pPr>
              <w:autoSpaceDE w:val="0"/>
              <w:autoSpaceDN w:val="0"/>
              <w:adjustRightInd w:val="0"/>
              <w:spacing w:after="0" w:line="240" w:lineRule="auto"/>
              <w:rPr>
                <w:rFonts w:ascii="Times New Roman" w:eastAsia="Calibri" w:hAnsi="Times New Roman" w:cs="Times New Roman"/>
                <w:sz w:val="24"/>
                <w:szCs w:val="24"/>
              </w:rPr>
            </w:pPr>
          </w:p>
        </w:tc>
        <w:tc>
          <w:tcPr>
            <w:tcW w:w="880" w:type="pct"/>
            <w:tcBorders>
              <w:left w:val="nil"/>
              <w:bottom w:val="single" w:sz="4" w:space="0" w:color="auto"/>
              <w:right w:val="nil"/>
            </w:tcBorders>
            <w:shd w:val="clear" w:color="auto" w:fill="BDD6EE"/>
            <w:vAlign w:val="center"/>
          </w:tcPr>
          <w:p w14:paraId="2320B576"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Beta</w:t>
            </w:r>
          </w:p>
        </w:tc>
        <w:tc>
          <w:tcPr>
            <w:tcW w:w="881" w:type="pct"/>
            <w:tcBorders>
              <w:left w:val="nil"/>
              <w:bottom w:val="single" w:sz="4" w:space="0" w:color="auto"/>
              <w:right w:val="nil"/>
            </w:tcBorders>
            <w:shd w:val="clear" w:color="auto" w:fill="BDD6EE"/>
            <w:vAlign w:val="center"/>
          </w:tcPr>
          <w:p w14:paraId="38DE3ACC"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SE</w:t>
            </w:r>
          </w:p>
        </w:tc>
        <w:tc>
          <w:tcPr>
            <w:tcW w:w="972" w:type="pct"/>
            <w:vMerge/>
            <w:tcBorders>
              <w:left w:val="nil"/>
              <w:bottom w:val="single" w:sz="4" w:space="0" w:color="auto"/>
              <w:right w:val="nil"/>
            </w:tcBorders>
            <w:shd w:val="clear" w:color="auto" w:fill="FFFFFF"/>
            <w:vAlign w:val="center"/>
          </w:tcPr>
          <w:p w14:paraId="40827029"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p>
        </w:tc>
        <w:tc>
          <w:tcPr>
            <w:tcW w:w="668" w:type="pct"/>
            <w:vMerge/>
            <w:tcBorders>
              <w:left w:val="nil"/>
              <w:bottom w:val="single" w:sz="4" w:space="0" w:color="auto"/>
              <w:right w:val="nil"/>
            </w:tcBorders>
            <w:shd w:val="clear" w:color="auto" w:fill="FFFFFF"/>
            <w:vAlign w:val="center"/>
          </w:tcPr>
          <w:p w14:paraId="6715BCBE"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b/>
                <w:sz w:val="24"/>
                <w:szCs w:val="24"/>
              </w:rPr>
            </w:pPr>
          </w:p>
        </w:tc>
        <w:tc>
          <w:tcPr>
            <w:tcW w:w="668" w:type="pct"/>
            <w:vMerge/>
            <w:tcBorders>
              <w:left w:val="nil"/>
              <w:bottom w:val="single" w:sz="4" w:space="0" w:color="auto"/>
            </w:tcBorders>
            <w:shd w:val="clear" w:color="auto" w:fill="FFFFFF"/>
            <w:vAlign w:val="center"/>
          </w:tcPr>
          <w:p w14:paraId="47F6BBC9"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b/>
                <w:sz w:val="24"/>
                <w:szCs w:val="24"/>
              </w:rPr>
            </w:pPr>
          </w:p>
        </w:tc>
      </w:tr>
      <w:tr w:rsidR="00073A16" w:rsidRPr="00BB6978" w14:paraId="0016A361" w14:textId="77777777" w:rsidTr="00CE66D1">
        <w:trPr>
          <w:cantSplit/>
        </w:trPr>
        <w:tc>
          <w:tcPr>
            <w:tcW w:w="931" w:type="pct"/>
            <w:tcBorders>
              <w:bottom w:val="nil"/>
              <w:right w:val="nil"/>
            </w:tcBorders>
            <w:shd w:val="clear" w:color="auto" w:fill="FFFFFF"/>
            <w:vAlign w:val="center"/>
          </w:tcPr>
          <w:p w14:paraId="07CF1B31"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(Constant)</w:t>
            </w:r>
          </w:p>
        </w:tc>
        <w:tc>
          <w:tcPr>
            <w:tcW w:w="880" w:type="pct"/>
            <w:tcBorders>
              <w:left w:val="nil"/>
              <w:bottom w:val="nil"/>
              <w:right w:val="nil"/>
            </w:tcBorders>
            <w:shd w:val="clear" w:color="auto" w:fill="FFFFFF"/>
          </w:tcPr>
          <w:p w14:paraId="2F52EC30"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2.538</w:t>
            </w:r>
          </w:p>
        </w:tc>
        <w:tc>
          <w:tcPr>
            <w:tcW w:w="881" w:type="pct"/>
            <w:tcBorders>
              <w:left w:val="nil"/>
              <w:bottom w:val="nil"/>
              <w:right w:val="nil"/>
            </w:tcBorders>
            <w:shd w:val="clear" w:color="auto" w:fill="FFFFFF"/>
          </w:tcPr>
          <w:p w14:paraId="1B3BA88F"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.111</w:t>
            </w:r>
          </w:p>
        </w:tc>
        <w:tc>
          <w:tcPr>
            <w:tcW w:w="972" w:type="pct"/>
            <w:vMerge w:val="restart"/>
            <w:tcBorders>
              <w:left w:val="nil"/>
              <w:right w:val="nil"/>
            </w:tcBorders>
            <w:shd w:val="clear" w:color="auto" w:fill="FFFFFF"/>
            <w:vAlign w:val="center"/>
          </w:tcPr>
          <w:p w14:paraId="5ABE357D"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0.360</w:t>
            </w:r>
          </w:p>
        </w:tc>
        <w:tc>
          <w:tcPr>
            <w:tcW w:w="668" w:type="pct"/>
            <w:tcBorders>
              <w:left w:val="nil"/>
              <w:bottom w:val="nil"/>
              <w:right w:val="nil"/>
            </w:tcBorders>
            <w:shd w:val="clear" w:color="auto" w:fill="FFFFFF"/>
          </w:tcPr>
          <w:p w14:paraId="4E16D773"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22.947</w:t>
            </w:r>
          </w:p>
        </w:tc>
        <w:tc>
          <w:tcPr>
            <w:tcW w:w="668" w:type="pct"/>
            <w:tcBorders>
              <w:left w:val="nil"/>
              <w:bottom w:val="nil"/>
              <w:right w:val="nil"/>
            </w:tcBorders>
            <w:shd w:val="clear" w:color="auto" w:fill="FFFFFF"/>
            <w:vAlign w:val="center"/>
          </w:tcPr>
          <w:p w14:paraId="5D5424DA"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0.000</w:t>
            </w:r>
          </w:p>
        </w:tc>
      </w:tr>
      <w:tr w:rsidR="00073A16" w:rsidRPr="00BB6978" w14:paraId="7DF1AE0E" w14:textId="77777777" w:rsidTr="00CE66D1">
        <w:trPr>
          <w:cantSplit/>
        </w:trPr>
        <w:tc>
          <w:tcPr>
            <w:tcW w:w="931" w:type="pct"/>
            <w:tcBorders>
              <w:top w:val="nil"/>
              <w:right w:val="nil"/>
            </w:tcBorders>
            <w:shd w:val="clear" w:color="auto" w:fill="FFFFFF"/>
            <w:vAlign w:val="center"/>
          </w:tcPr>
          <w:p w14:paraId="7F866E17"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School Cost</w:t>
            </w:r>
          </w:p>
        </w:tc>
        <w:tc>
          <w:tcPr>
            <w:tcW w:w="880" w:type="pct"/>
            <w:tcBorders>
              <w:top w:val="nil"/>
              <w:left w:val="nil"/>
              <w:right w:val="nil"/>
            </w:tcBorders>
            <w:shd w:val="clear" w:color="auto" w:fill="FFFFFF"/>
          </w:tcPr>
          <w:p w14:paraId="633A6EDA"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.386</w:t>
            </w:r>
          </w:p>
        </w:tc>
        <w:tc>
          <w:tcPr>
            <w:tcW w:w="881" w:type="pct"/>
            <w:tcBorders>
              <w:top w:val="nil"/>
              <w:left w:val="nil"/>
              <w:right w:val="nil"/>
            </w:tcBorders>
            <w:shd w:val="clear" w:color="auto" w:fill="FFFFFF"/>
          </w:tcPr>
          <w:p w14:paraId="53BB8A78"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.026</w:t>
            </w:r>
          </w:p>
        </w:tc>
        <w:tc>
          <w:tcPr>
            <w:tcW w:w="972" w:type="pct"/>
            <w:vMerge/>
            <w:tcBorders>
              <w:left w:val="nil"/>
              <w:right w:val="nil"/>
            </w:tcBorders>
            <w:shd w:val="clear" w:color="auto" w:fill="FFFFFF"/>
            <w:vAlign w:val="center"/>
          </w:tcPr>
          <w:p w14:paraId="5CBBFF4C"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sz w:val="24"/>
                <w:szCs w:val="24"/>
              </w:rPr>
            </w:pPr>
          </w:p>
        </w:tc>
        <w:tc>
          <w:tcPr>
            <w:tcW w:w="668" w:type="pct"/>
            <w:tcBorders>
              <w:top w:val="nil"/>
              <w:left w:val="nil"/>
              <w:right w:val="nil"/>
            </w:tcBorders>
            <w:shd w:val="clear" w:color="auto" w:fill="FFFFFF"/>
          </w:tcPr>
          <w:p w14:paraId="333E016B"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14.954</w:t>
            </w:r>
          </w:p>
        </w:tc>
        <w:tc>
          <w:tcPr>
            <w:tcW w:w="668" w:type="pct"/>
            <w:tcBorders>
              <w:top w:val="nil"/>
              <w:left w:val="nil"/>
            </w:tcBorders>
            <w:shd w:val="clear" w:color="auto" w:fill="FFFFFF"/>
            <w:vAlign w:val="center"/>
          </w:tcPr>
          <w:p w14:paraId="6CC9348B"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b/>
                <w:bCs/>
                <w:sz w:val="24"/>
                <w:szCs w:val="24"/>
              </w:rPr>
            </w:pPr>
            <w:r w:rsidRPr="00BB6978">
              <w:rPr>
                <w:rFonts w:ascii="Times New Roman" w:eastAsia="Calibri" w:hAnsi="Times New Roman" w:cs="Times New Roman"/>
                <w:b/>
                <w:bCs/>
                <w:sz w:val="24"/>
                <w:szCs w:val="24"/>
              </w:rPr>
              <w:t>0.000**</w:t>
            </w:r>
          </w:p>
        </w:tc>
      </w:tr>
    </w:tbl>
    <w:p w14:paraId="3BAF4F24" w14:textId="77777777" w:rsidR="006E3964" w:rsidRPr="00BB6978" w:rsidRDefault="006E3964" w:rsidP="006E3964">
      <w:pPr>
        <w:autoSpaceDE w:val="0"/>
        <w:autoSpaceDN w:val="0"/>
        <w:adjustRightInd w:val="0"/>
        <w:spacing w:after="0" w:line="240" w:lineRule="auto"/>
        <w:rPr>
          <w:rFonts w:ascii="Times New Roman" w:eastAsia="Calibri" w:hAnsi="Times New Roman" w:cs="Times New Roman"/>
          <w:sz w:val="24"/>
          <w:szCs w:val="24"/>
        </w:rPr>
      </w:pPr>
      <w:r w:rsidRPr="00BB6978">
        <w:rPr>
          <w:rFonts w:ascii="Times New Roman" w:eastAsia="Calibri" w:hAnsi="Times New Roman" w:cs="Times New Roman"/>
          <w:sz w:val="24"/>
          <w:szCs w:val="24"/>
        </w:rPr>
        <w:t>Dependent Variable: Student achievement, **p&lt;0.001</w:t>
      </w:r>
    </w:p>
    <w:p w14:paraId="4F7BDBE3" w14:textId="77777777" w:rsidR="006E3964" w:rsidRPr="00BB6978" w:rsidRDefault="006E3964" w:rsidP="006E3964">
      <w:pPr>
        <w:spacing w:before="240" w:after="200" w:line="360" w:lineRule="auto"/>
        <w:ind w:left="426" w:hanging="426"/>
        <w:jc w:val="both"/>
        <w:rPr>
          <w:rFonts w:ascii="Times New Roman" w:eastAsia="Calibri" w:hAnsi="Times New Roman" w:cs="Times New Roman"/>
          <w:i/>
          <w:iCs/>
          <w:sz w:val="24"/>
          <w:szCs w:val="24"/>
        </w:rPr>
      </w:pPr>
      <w:r w:rsidRPr="00BB6978">
        <w:rPr>
          <w:rFonts w:ascii="Times New Roman" w:eastAsia="Calibri" w:hAnsi="Times New Roman" w:cs="Times New Roman"/>
          <w:i/>
          <w:iCs/>
          <w:sz w:val="24"/>
          <w:szCs w:val="24"/>
        </w:rPr>
        <w:t>H2: There is a positive relationship between school cost and students’ achievements in private schools in AD.</w:t>
      </w:r>
    </w:p>
    <w:p w14:paraId="5DAF7C10" w14:textId="77777777" w:rsidR="006E3964" w:rsidRPr="00BB6978" w:rsidRDefault="006E3964" w:rsidP="006E3964">
      <w:pPr>
        <w:autoSpaceDE w:val="0"/>
        <w:autoSpaceDN w:val="0"/>
        <w:adjustRightInd w:val="0"/>
        <w:spacing w:after="0" w:line="480" w:lineRule="auto"/>
        <w:ind w:firstLine="720"/>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 xml:space="preserve">To test the second hypothesis, the linear regression analysis was conducted, the association between school cost and students’ achievements was revealed in Table 12. Results show that the impact of school cost on students’ achievement </w:t>
      </w:r>
      <w:r w:rsidRPr="00BB6978">
        <w:rPr>
          <w:rFonts w:asciiTheme="majorBidi" w:hAnsiTheme="majorBidi" w:cstheme="majorBidi"/>
          <w:sz w:val="24"/>
          <w:szCs w:val="24"/>
        </w:rPr>
        <w:t>(</w:t>
      </w:r>
      <w:r w:rsidRPr="00BB6978">
        <w:rPr>
          <w:rFonts w:asciiTheme="majorBidi" w:hAnsiTheme="majorBidi" w:cstheme="majorBidi"/>
          <w:i/>
          <w:iCs/>
          <w:sz w:val="24"/>
          <w:szCs w:val="24"/>
        </w:rPr>
        <w:t>R</w:t>
      </w:r>
      <w:r w:rsidRPr="00BB6978">
        <w:rPr>
          <w:rFonts w:asciiTheme="majorBidi" w:hAnsiTheme="majorBidi" w:cstheme="majorBidi"/>
          <w:i/>
          <w:iCs/>
          <w:sz w:val="24"/>
          <w:szCs w:val="24"/>
          <w:vertAlign w:val="superscript"/>
        </w:rPr>
        <w:t>2</w:t>
      </w:r>
      <w:r w:rsidRPr="00BB6978">
        <w:rPr>
          <w:rFonts w:asciiTheme="majorBidi" w:hAnsiTheme="majorBidi" w:cstheme="majorBidi"/>
          <w:sz w:val="24"/>
          <w:szCs w:val="24"/>
          <w:vertAlign w:val="superscript"/>
        </w:rPr>
        <w:t xml:space="preserve"> </w:t>
      </w:r>
      <w:r w:rsidRPr="00BB6978">
        <w:rPr>
          <w:rFonts w:asciiTheme="majorBidi" w:hAnsiTheme="majorBidi" w:cstheme="majorBidi"/>
          <w:sz w:val="24"/>
          <w:szCs w:val="24"/>
        </w:rPr>
        <w:t xml:space="preserve">= .285, </w:t>
      </w:r>
      <w:r w:rsidRPr="00BB6978">
        <w:rPr>
          <w:rFonts w:asciiTheme="majorBidi" w:hAnsiTheme="majorBidi" w:cstheme="majorBidi"/>
          <w:i/>
          <w:iCs/>
          <w:sz w:val="24"/>
          <w:szCs w:val="24"/>
        </w:rPr>
        <w:t>p</w:t>
      </w:r>
      <w:r w:rsidRPr="00BB6978">
        <w:rPr>
          <w:rFonts w:asciiTheme="majorBidi" w:hAnsiTheme="majorBidi" w:cstheme="majorBidi"/>
          <w:sz w:val="24"/>
          <w:szCs w:val="24"/>
        </w:rPr>
        <w:t xml:space="preserve">&lt;0.001). This indicates that 28.5% of the variability in students’ achievement can be attributed to school cost. More specifically, the coefficient of school cost is positive for students’ achievement with a beta value of (β= .344) at the significant level of </w:t>
      </w:r>
      <w:r w:rsidRPr="00BB6978">
        <w:rPr>
          <w:rFonts w:asciiTheme="majorBidi" w:hAnsiTheme="majorBidi" w:cstheme="majorBidi"/>
          <w:i/>
          <w:iCs/>
          <w:sz w:val="24"/>
          <w:szCs w:val="24"/>
        </w:rPr>
        <w:t>p</w:t>
      </w:r>
      <w:r w:rsidRPr="00BB6978">
        <w:rPr>
          <w:rFonts w:asciiTheme="majorBidi" w:hAnsiTheme="majorBidi" w:cstheme="majorBidi"/>
          <w:sz w:val="24"/>
          <w:szCs w:val="24"/>
        </w:rPr>
        <w:t>&lt;0.001, which is the predicted value of an increase in the students’ achievement when an increase of 1 unit in school cost is taken place. In other words, if the school cost is increased, this would significantly improve the students’ achievement.</w:t>
      </w:r>
      <w:r w:rsidRPr="00BB6978">
        <w:rPr>
          <w:rFonts w:ascii="Times New Roman" w:eastAsia="Calibri" w:hAnsi="Times New Roman" w:cs="Times New Roman"/>
          <w:sz w:val="24"/>
          <w:szCs w:val="24"/>
        </w:rPr>
        <w:t xml:space="preserve"> Therefore, the second hypothesis is also accepted.</w:t>
      </w:r>
    </w:p>
    <w:p w14:paraId="30376188" w14:textId="77777777" w:rsidR="006E3964" w:rsidRPr="00BB6978" w:rsidRDefault="00E37E62" w:rsidP="007F58DC">
      <w:pPr>
        <w:pStyle w:val="Caption"/>
      </w:pPr>
      <w:bookmarkStart w:id="151" w:name="_Toc134452496"/>
      <w:r w:rsidRPr="00BB6978">
        <w:t xml:space="preserve">Table </w:t>
      </w:r>
      <w:r w:rsidRPr="00BB6978">
        <w:fldChar w:fldCharType="begin"/>
      </w:r>
      <w:r w:rsidRPr="00BB6978">
        <w:instrText xml:space="preserve"> SEQ Table \* ARABIC </w:instrText>
      </w:r>
      <w:r w:rsidRPr="00BB6978">
        <w:fldChar w:fldCharType="separate"/>
      </w:r>
      <w:r w:rsidR="00131282" w:rsidRPr="00BB6978">
        <w:rPr>
          <w:noProof/>
        </w:rPr>
        <w:t>12</w:t>
      </w:r>
      <w:r w:rsidRPr="00BB6978">
        <w:rPr>
          <w:noProof/>
        </w:rPr>
        <w:fldChar w:fldCharType="end"/>
      </w:r>
      <w:r w:rsidR="006E3964" w:rsidRPr="00BB6978">
        <w:t>: Association between school cost and students’ achievements</w:t>
      </w:r>
      <w:bookmarkEnd w:id="151"/>
    </w:p>
    <w:tbl>
      <w:tblPr>
        <w:tblW w:w="5000" w:type="pct"/>
        <w:tblBorders>
          <w:top w:val="single" w:sz="4" w:space="0" w:color="auto"/>
          <w:bottom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413"/>
        <w:gridCol w:w="1335"/>
        <w:gridCol w:w="1337"/>
        <w:gridCol w:w="1475"/>
        <w:gridCol w:w="1013"/>
        <w:gridCol w:w="1013"/>
      </w:tblGrid>
      <w:tr w:rsidR="00073A16" w:rsidRPr="00BB6978" w14:paraId="15DCD49D" w14:textId="77777777" w:rsidTr="00CE66D1">
        <w:trPr>
          <w:cantSplit/>
        </w:trPr>
        <w:tc>
          <w:tcPr>
            <w:tcW w:w="931" w:type="pct"/>
            <w:vMerge w:val="restart"/>
            <w:tcBorders>
              <w:right w:val="nil"/>
            </w:tcBorders>
            <w:shd w:val="clear" w:color="auto" w:fill="BDD6EE"/>
          </w:tcPr>
          <w:p w14:paraId="57A57193"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p>
        </w:tc>
        <w:tc>
          <w:tcPr>
            <w:tcW w:w="1761" w:type="pct"/>
            <w:gridSpan w:val="2"/>
            <w:tcBorders>
              <w:left w:val="nil"/>
              <w:right w:val="nil"/>
            </w:tcBorders>
            <w:shd w:val="clear" w:color="auto" w:fill="BDD6EE"/>
            <w:vAlign w:val="center"/>
          </w:tcPr>
          <w:p w14:paraId="01030613"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Unstandardized Coefficients</w:t>
            </w:r>
          </w:p>
        </w:tc>
        <w:tc>
          <w:tcPr>
            <w:tcW w:w="972" w:type="pct"/>
            <w:vMerge w:val="restart"/>
            <w:tcBorders>
              <w:left w:val="nil"/>
              <w:right w:val="nil"/>
            </w:tcBorders>
            <w:shd w:val="clear" w:color="auto" w:fill="BDD6EE"/>
            <w:vAlign w:val="center"/>
          </w:tcPr>
          <w:p w14:paraId="6C0CA911"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R-square</w:t>
            </w:r>
          </w:p>
        </w:tc>
        <w:tc>
          <w:tcPr>
            <w:tcW w:w="668" w:type="pct"/>
            <w:vMerge w:val="restart"/>
            <w:tcBorders>
              <w:left w:val="nil"/>
              <w:right w:val="nil"/>
            </w:tcBorders>
            <w:shd w:val="clear" w:color="auto" w:fill="BDD6EE"/>
            <w:vAlign w:val="center"/>
          </w:tcPr>
          <w:p w14:paraId="3CBEEAC9"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t-value</w:t>
            </w:r>
          </w:p>
        </w:tc>
        <w:tc>
          <w:tcPr>
            <w:tcW w:w="668" w:type="pct"/>
            <w:vMerge w:val="restart"/>
            <w:tcBorders>
              <w:left w:val="nil"/>
            </w:tcBorders>
            <w:shd w:val="clear" w:color="auto" w:fill="BDD6EE"/>
            <w:vAlign w:val="center"/>
          </w:tcPr>
          <w:p w14:paraId="0341FEE9"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p-value</w:t>
            </w:r>
          </w:p>
        </w:tc>
      </w:tr>
      <w:tr w:rsidR="00073A16" w:rsidRPr="00BB6978" w14:paraId="76E9DE24" w14:textId="77777777" w:rsidTr="00CE66D1">
        <w:trPr>
          <w:cantSplit/>
        </w:trPr>
        <w:tc>
          <w:tcPr>
            <w:tcW w:w="931" w:type="pct"/>
            <w:vMerge/>
            <w:tcBorders>
              <w:bottom w:val="single" w:sz="4" w:space="0" w:color="auto"/>
              <w:right w:val="nil"/>
            </w:tcBorders>
            <w:shd w:val="clear" w:color="auto" w:fill="FFFFFF"/>
          </w:tcPr>
          <w:p w14:paraId="53D545B5" w14:textId="77777777" w:rsidR="006E3964" w:rsidRPr="00BB6978" w:rsidRDefault="006E3964" w:rsidP="00CE66D1">
            <w:pPr>
              <w:autoSpaceDE w:val="0"/>
              <w:autoSpaceDN w:val="0"/>
              <w:adjustRightInd w:val="0"/>
              <w:spacing w:after="0" w:line="240" w:lineRule="auto"/>
              <w:rPr>
                <w:rFonts w:ascii="Times New Roman" w:eastAsia="Calibri" w:hAnsi="Times New Roman" w:cs="Times New Roman"/>
                <w:sz w:val="24"/>
                <w:szCs w:val="24"/>
              </w:rPr>
            </w:pPr>
          </w:p>
        </w:tc>
        <w:tc>
          <w:tcPr>
            <w:tcW w:w="880" w:type="pct"/>
            <w:tcBorders>
              <w:left w:val="nil"/>
              <w:bottom w:val="single" w:sz="4" w:space="0" w:color="auto"/>
              <w:right w:val="nil"/>
            </w:tcBorders>
            <w:shd w:val="clear" w:color="auto" w:fill="BDD6EE"/>
            <w:vAlign w:val="center"/>
          </w:tcPr>
          <w:p w14:paraId="37E003DA"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Beta</w:t>
            </w:r>
          </w:p>
        </w:tc>
        <w:tc>
          <w:tcPr>
            <w:tcW w:w="880" w:type="pct"/>
            <w:tcBorders>
              <w:left w:val="nil"/>
              <w:bottom w:val="single" w:sz="4" w:space="0" w:color="auto"/>
              <w:right w:val="nil"/>
            </w:tcBorders>
            <w:shd w:val="clear" w:color="auto" w:fill="BDD6EE"/>
            <w:vAlign w:val="center"/>
          </w:tcPr>
          <w:p w14:paraId="28008688"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SE</w:t>
            </w:r>
          </w:p>
        </w:tc>
        <w:tc>
          <w:tcPr>
            <w:tcW w:w="972" w:type="pct"/>
            <w:vMerge/>
            <w:tcBorders>
              <w:left w:val="nil"/>
              <w:bottom w:val="single" w:sz="4" w:space="0" w:color="auto"/>
              <w:right w:val="nil"/>
            </w:tcBorders>
            <w:shd w:val="clear" w:color="auto" w:fill="FFFFFF"/>
            <w:vAlign w:val="center"/>
          </w:tcPr>
          <w:p w14:paraId="3735DC0F"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p>
        </w:tc>
        <w:tc>
          <w:tcPr>
            <w:tcW w:w="668" w:type="pct"/>
            <w:vMerge/>
            <w:tcBorders>
              <w:left w:val="nil"/>
              <w:bottom w:val="single" w:sz="4" w:space="0" w:color="auto"/>
              <w:right w:val="nil"/>
            </w:tcBorders>
            <w:shd w:val="clear" w:color="auto" w:fill="FFFFFF"/>
            <w:vAlign w:val="center"/>
          </w:tcPr>
          <w:p w14:paraId="2847FE52"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b/>
                <w:sz w:val="24"/>
                <w:szCs w:val="24"/>
              </w:rPr>
            </w:pPr>
          </w:p>
        </w:tc>
        <w:tc>
          <w:tcPr>
            <w:tcW w:w="668" w:type="pct"/>
            <w:vMerge/>
            <w:tcBorders>
              <w:left w:val="nil"/>
              <w:bottom w:val="single" w:sz="4" w:space="0" w:color="auto"/>
            </w:tcBorders>
            <w:shd w:val="clear" w:color="auto" w:fill="FFFFFF"/>
            <w:vAlign w:val="center"/>
          </w:tcPr>
          <w:p w14:paraId="6CF46594"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b/>
                <w:sz w:val="24"/>
                <w:szCs w:val="24"/>
              </w:rPr>
            </w:pPr>
          </w:p>
        </w:tc>
      </w:tr>
      <w:tr w:rsidR="00073A16" w:rsidRPr="00BB6978" w14:paraId="09A7D481" w14:textId="77777777" w:rsidTr="00CE66D1">
        <w:trPr>
          <w:cantSplit/>
        </w:trPr>
        <w:tc>
          <w:tcPr>
            <w:tcW w:w="931" w:type="pct"/>
            <w:tcBorders>
              <w:bottom w:val="nil"/>
              <w:right w:val="nil"/>
            </w:tcBorders>
            <w:shd w:val="clear" w:color="auto" w:fill="FFFFFF"/>
            <w:vAlign w:val="center"/>
          </w:tcPr>
          <w:p w14:paraId="04FC0331"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(Constant)</w:t>
            </w:r>
          </w:p>
        </w:tc>
        <w:tc>
          <w:tcPr>
            <w:tcW w:w="880" w:type="pct"/>
            <w:tcBorders>
              <w:left w:val="nil"/>
              <w:bottom w:val="nil"/>
              <w:right w:val="nil"/>
            </w:tcBorders>
            <w:shd w:val="clear" w:color="auto" w:fill="FFFFFF"/>
            <w:vAlign w:val="center"/>
          </w:tcPr>
          <w:p w14:paraId="531328DF"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3.052</w:t>
            </w:r>
          </w:p>
        </w:tc>
        <w:tc>
          <w:tcPr>
            <w:tcW w:w="880" w:type="pct"/>
            <w:tcBorders>
              <w:left w:val="nil"/>
              <w:bottom w:val="nil"/>
              <w:right w:val="nil"/>
            </w:tcBorders>
            <w:shd w:val="clear" w:color="auto" w:fill="FFFFFF"/>
            <w:vAlign w:val="center"/>
          </w:tcPr>
          <w:p w14:paraId="2113C416"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0.117</w:t>
            </w:r>
          </w:p>
        </w:tc>
        <w:tc>
          <w:tcPr>
            <w:tcW w:w="972" w:type="pct"/>
            <w:vMerge w:val="restart"/>
            <w:tcBorders>
              <w:left w:val="nil"/>
              <w:right w:val="nil"/>
            </w:tcBorders>
            <w:shd w:val="clear" w:color="auto" w:fill="FFFFFF"/>
            <w:vAlign w:val="center"/>
          </w:tcPr>
          <w:p w14:paraId="0E564800"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0.285</w:t>
            </w:r>
          </w:p>
        </w:tc>
        <w:tc>
          <w:tcPr>
            <w:tcW w:w="668" w:type="pct"/>
            <w:tcBorders>
              <w:left w:val="nil"/>
              <w:bottom w:val="nil"/>
              <w:right w:val="nil"/>
            </w:tcBorders>
            <w:shd w:val="clear" w:color="auto" w:fill="FFFFFF"/>
            <w:vAlign w:val="center"/>
          </w:tcPr>
          <w:p w14:paraId="1F14F0D5"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26.086</w:t>
            </w:r>
          </w:p>
        </w:tc>
        <w:tc>
          <w:tcPr>
            <w:tcW w:w="668" w:type="pct"/>
            <w:tcBorders>
              <w:left w:val="nil"/>
              <w:bottom w:val="nil"/>
              <w:right w:val="nil"/>
            </w:tcBorders>
            <w:shd w:val="clear" w:color="auto" w:fill="FFFFFF"/>
            <w:vAlign w:val="center"/>
          </w:tcPr>
          <w:p w14:paraId="0167E423"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0.000</w:t>
            </w:r>
          </w:p>
        </w:tc>
      </w:tr>
      <w:tr w:rsidR="00073A16" w:rsidRPr="00BB6978" w14:paraId="0805D8FB" w14:textId="77777777" w:rsidTr="00CE66D1">
        <w:trPr>
          <w:cantSplit/>
        </w:trPr>
        <w:tc>
          <w:tcPr>
            <w:tcW w:w="931" w:type="pct"/>
            <w:tcBorders>
              <w:top w:val="nil"/>
              <w:right w:val="nil"/>
            </w:tcBorders>
            <w:shd w:val="clear" w:color="auto" w:fill="FFFFFF"/>
            <w:vAlign w:val="center"/>
          </w:tcPr>
          <w:p w14:paraId="06901EC7"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School Cost</w:t>
            </w:r>
          </w:p>
        </w:tc>
        <w:tc>
          <w:tcPr>
            <w:tcW w:w="880" w:type="pct"/>
            <w:tcBorders>
              <w:top w:val="nil"/>
              <w:left w:val="nil"/>
              <w:right w:val="nil"/>
            </w:tcBorders>
            <w:shd w:val="clear" w:color="auto" w:fill="FFFFFF"/>
            <w:vAlign w:val="center"/>
          </w:tcPr>
          <w:p w14:paraId="61F962F6"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0.344</w:t>
            </w:r>
          </w:p>
        </w:tc>
        <w:tc>
          <w:tcPr>
            <w:tcW w:w="880" w:type="pct"/>
            <w:tcBorders>
              <w:top w:val="nil"/>
              <w:left w:val="nil"/>
              <w:right w:val="nil"/>
            </w:tcBorders>
            <w:shd w:val="clear" w:color="auto" w:fill="FFFFFF"/>
            <w:vAlign w:val="center"/>
          </w:tcPr>
          <w:p w14:paraId="3756756F"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0.027</w:t>
            </w:r>
          </w:p>
        </w:tc>
        <w:tc>
          <w:tcPr>
            <w:tcW w:w="972" w:type="pct"/>
            <w:vMerge/>
            <w:tcBorders>
              <w:left w:val="nil"/>
              <w:right w:val="nil"/>
            </w:tcBorders>
            <w:shd w:val="clear" w:color="auto" w:fill="FFFFFF"/>
            <w:vAlign w:val="center"/>
          </w:tcPr>
          <w:p w14:paraId="0AE40170"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c>
          <w:tcPr>
            <w:tcW w:w="668" w:type="pct"/>
            <w:tcBorders>
              <w:top w:val="nil"/>
              <w:left w:val="nil"/>
              <w:right w:val="nil"/>
            </w:tcBorders>
            <w:shd w:val="clear" w:color="auto" w:fill="FFFFFF"/>
            <w:vAlign w:val="center"/>
          </w:tcPr>
          <w:p w14:paraId="6817DE8E"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12.610</w:t>
            </w:r>
          </w:p>
        </w:tc>
        <w:tc>
          <w:tcPr>
            <w:tcW w:w="668" w:type="pct"/>
            <w:tcBorders>
              <w:top w:val="nil"/>
              <w:left w:val="nil"/>
            </w:tcBorders>
            <w:shd w:val="clear" w:color="auto" w:fill="FFFFFF"/>
            <w:vAlign w:val="center"/>
          </w:tcPr>
          <w:p w14:paraId="76C1E89D"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0.000**</w:t>
            </w:r>
          </w:p>
        </w:tc>
      </w:tr>
    </w:tbl>
    <w:p w14:paraId="6361D818" w14:textId="77777777" w:rsidR="006E3964" w:rsidRPr="00BB6978" w:rsidRDefault="006E3964" w:rsidP="006E3964">
      <w:pPr>
        <w:autoSpaceDE w:val="0"/>
        <w:autoSpaceDN w:val="0"/>
        <w:adjustRightInd w:val="0"/>
        <w:spacing w:after="0" w:line="400" w:lineRule="atLeast"/>
        <w:rPr>
          <w:rFonts w:ascii="Times New Roman" w:eastAsia="Calibri" w:hAnsi="Times New Roman" w:cs="Times New Roman"/>
          <w:sz w:val="24"/>
          <w:szCs w:val="24"/>
        </w:rPr>
      </w:pPr>
      <w:r w:rsidRPr="00BB6978">
        <w:rPr>
          <w:rFonts w:ascii="Times New Roman" w:eastAsia="Calibri" w:hAnsi="Times New Roman" w:cs="Times New Roman"/>
          <w:sz w:val="24"/>
          <w:szCs w:val="24"/>
        </w:rPr>
        <w:t>Dependent Variable: Student achievement, **p&lt;0.001</w:t>
      </w:r>
    </w:p>
    <w:bookmarkEnd w:id="148"/>
    <w:p w14:paraId="3BABF26D" w14:textId="77777777" w:rsidR="006E3964" w:rsidRPr="00BB6978" w:rsidRDefault="006E3964" w:rsidP="006E3964">
      <w:pPr>
        <w:spacing w:after="0" w:line="240" w:lineRule="auto"/>
        <w:jc w:val="both"/>
        <w:rPr>
          <w:rFonts w:ascii="Times New Roman" w:eastAsia="Calibri" w:hAnsi="Times New Roman" w:cs="Times New Roman"/>
          <w:sz w:val="24"/>
          <w:szCs w:val="24"/>
        </w:rPr>
      </w:pPr>
    </w:p>
    <w:p w14:paraId="4E80140B" w14:textId="77777777" w:rsidR="006E3964" w:rsidRPr="00BB6978" w:rsidRDefault="006E3964" w:rsidP="006E3964">
      <w:pPr>
        <w:spacing w:line="360" w:lineRule="auto"/>
        <w:ind w:left="426" w:hanging="426"/>
        <w:rPr>
          <w:rFonts w:ascii="Times New Roman" w:eastAsia="Calibri" w:hAnsi="Times New Roman" w:cs="Times New Roman"/>
          <w:i/>
          <w:sz w:val="24"/>
          <w:szCs w:val="24"/>
        </w:rPr>
      </w:pPr>
      <w:r w:rsidRPr="00BB6978">
        <w:rPr>
          <w:rFonts w:ascii="Times New Roman" w:eastAsia="Calibri" w:hAnsi="Times New Roman" w:cs="Times New Roman"/>
          <w:i/>
          <w:sz w:val="24"/>
          <w:szCs w:val="24"/>
        </w:rPr>
        <w:t>H</w:t>
      </w:r>
      <w:r w:rsidRPr="00BB6978">
        <w:rPr>
          <w:rFonts w:ascii="Times New Roman" w:eastAsia="Calibri" w:hAnsi="Times New Roman" w:cs="Times New Roman"/>
          <w:i/>
          <w:sz w:val="24"/>
          <w:szCs w:val="24"/>
          <w:vertAlign w:val="subscript"/>
        </w:rPr>
        <w:t xml:space="preserve">3: </w:t>
      </w:r>
      <w:r w:rsidRPr="00BB6978">
        <w:rPr>
          <w:rFonts w:ascii="Times New Roman" w:eastAsia="Calibri" w:hAnsi="Times New Roman" w:cs="Times New Roman"/>
          <w:i/>
          <w:sz w:val="24"/>
          <w:szCs w:val="24"/>
        </w:rPr>
        <w:t>There is a positive relationship between school quality and students’ achievements in private schools.</w:t>
      </w:r>
    </w:p>
    <w:p w14:paraId="228DB8AC" w14:textId="77777777" w:rsidR="006E3964" w:rsidRPr="00BB6978" w:rsidRDefault="006E3964" w:rsidP="006E3964">
      <w:pPr>
        <w:spacing w:line="480" w:lineRule="auto"/>
        <w:ind w:firstLine="720"/>
        <w:jc w:val="both"/>
        <w:rPr>
          <w:rFonts w:ascii="Times New Roman" w:eastAsia="Calibri" w:hAnsi="Times New Roman" w:cs="Times New Roman"/>
          <w:iCs/>
          <w:sz w:val="24"/>
          <w:szCs w:val="24"/>
        </w:rPr>
      </w:pPr>
      <w:r w:rsidRPr="00BB6978">
        <w:rPr>
          <w:rFonts w:ascii="Times New Roman" w:eastAsia="Calibri" w:hAnsi="Times New Roman" w:cs="Times New Roman"/>
          <w:iCs/>
          <w:sz w:val="24"/>
          <w:szCs w:val="24"/>
        </w:rPr>
        <w:t>To test the third hypothesis, a linear regression was conducted. As shown in Table 13, the results demonstrate that the school quality (β=0.616, t=15.567, p&lt;0.001) has significant impact on students’ achievement and explains about 38 percent of variation on students’ achievement. This means that when the school is highly qualified, students get high marks. Therefore, the third hypothesis is accepted.</w:t>
      </w:r>
    </w:p>
    <w:p w14:paraId="31F26DAF" w14:textId="77777777" w:rsidR="00CB05B6" w:rsidRPr="00BB6978" w:rsidRDefault="00CB05B6" w:rsidP="006E3964">
      <w:pPr>
        <w:spacing w:line="480" w:lineRule="auto"/>
        <w:ind w:firstLine="720"/>
        <w:jc w:val="both"/>
        <w:rPr>
          <w:rFonts w:ascii="Times New Roman" w:eastAsia="Calibri" w:hAnsi="Times New Roman" w:cs="Times New Roman"/>
          <w:iCs/>
          <w:sz w:val="24"/>
          <w:szCs w:val="24"/>
        </w:rPr>
      </w:pPr>
      <w:r w:rsidRPr="00BB6978">
        <w:rPr>
          <w:rFonts w:ascii="Times New Roman" w:eastAsia="Calibri" w:hAnsi="Times New Roman" w:cs="Times New Roman"/>
          <w:iCs/>
          <w:sz w:val="24"/>
          <w:szCs w:val="24"/>
        </w:rPr>
        <w:t xml:space="preserve">Generally, comparing the effect of school quality on students’ achievement with the effect of school cost, it can be deduced that school quality has more significant effect on students’ achievement than school cost. This indicates that, school quality can be a mediator as hypothesised in the next hypothesis, in which it can significantly mediate the </w:t>
      </w:r>
      <w:r w:rsidR="00273D94" w:rsidRPr="00BB6978">
        <w:rPr>
          <w:rFonts w:ascii="Times New Roman" w:eastAsia="Calibri" w:hAnsi="Times New Roman" w:cs="Times New Roman"/>
          <w:iCs/>
          <w:sz w:val="24"/>
          <w:szCs w:val="24"/>
        </w:rPr>
        <w:t>relationship between</w:t>
      </w:r>
      <w:r w:rsidRPr="00BB6978">
        <w:rPr>
          <w:rFonts w:ascii="Times New Roman" w:eastAsia="Calibri" w:hAnsi="Times New Roman" w:cs="Times New Roman"/>
          <w:iCs/>
          <w:sz w:val="24"/>
          <w:szCs w:val="24"/>
        </w:rPr>
        <w:t xml:space="preserve"> school cost and students’ achievement. </w:t>
      </w:r>
    </w:p>
    <w:p w14:paraId="3C66AC30" w14:textId="77777777" w:rsidR="00273D94" w:rsidRPr="00BB6978" w:rsidRDefault="00273D94" w:rsidP="006E3964">
      <w:pPr>
        <w:spacing w:line="480" w:lineRule="auto"/>
        <w:ind w:firstLine="720"/>
        <w:jc w:val="both"/>
        <w:rPr>
          <w:rFonts w:ascii="Times New Roman" w:eastAsia="Calibri" w:hAnsi="Times New Roman" w:cs="Times New Roman"/>
          <w:iCs/>
          <w:sz w:val="24"/>
          <w:szCs w:val="24"/>
        </w:rPr>
      </w:pPr>
    </w:p>
    <w:p w14:paraId="49E89091" w14:textId="77777777" w:rsidR="00273D94" w:rsidRPr="00BB6978" w:rsidRDefault="00273D94" w:rsidP="006E3964">
      <w:pPr>
        <w:spacing w:line="480" w:lineRule="auto"/>
        <w:ind w:firstLine="720"/>
        <w:jc w:val="both"/>
        <w:rPr>
          <w:rFonts w:ascii="Times New Roman" w:eastAsia="Calibri" w:hAnsi="Times New Roman" w:cs="Times New Roman"/>
          <w:iCs/>
          <w:sz w:val="24"/>
          <w:szCs w:val="24"/>
        </w:rPr>
      </w:pPr>
    </w:p>
    <w:p w14:paraId="79FEF06D" w14:textId="77777777" w:rsidR="006E3964" w:rsidRPr="00BB6978" w:rsidRDefault="00131282" w:rsidP="007F58DC">
      <w:pPr>
        <w:pStyle w:val="Caption"/>
      </w:pPr>
      <w:bookmarkStart w:id="152" w:name="_Toc134452497"/>
      <w:r w:rsidRPr="00BB6978">
        <w:t xml:space="preserve">Table </w:t>
      </w:r>
      <w:r w:rsidRPr="00BB6978">
        <w:fldChar w:fldCharType="begin"/>
      </w:r>
      <w:r w:rsidRPr="00BB6978">
        <w:instrText xml:space="preserve"> SEQ Table \* ARABIC </w:instrText>
      </w:r>
      <w:r w:rsidRPr="00BB6978">
        <w:fldChar w:fldCharType="separate"/>
      </w:r>
      <w:r w:rsidRPr="00BB6978">
        <w:rPr>
          <w:noProof/>
        </w:rPr>
        <w:t>13</w:t>
      </w:r>
      <w:r w:rsidRPr="00BB6978">
        <w:rPr>
          <w:noProof/>
        </w:rPr>
        <w:fldChar w:fldCharType="end"/>
      </w:r>
      <w:r w:rsidR="006E3964" w:rsidRPr="00BB6978">
        <w:t>: Association between school quality and students’ achievement</w:t>
      </w:r>
      <w:bookmarkEnd w:id="15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634"/>
        <w:gridCol w:w="1288"/>
        <w:gridCol w:w="1288"/>
        <w:gridCol w:w="1422"/>
        <w:gridCol w:w="977"/>
        <w:gridCol w:w="977"/>
      </w:tblGrid>
      <w:tr w:rsidR="00073A16" w:rsidRPr="00BB6978" w14:paraId="107DA8F0" w14:textId="77777777" w:rsidTr="00CE66D1">
        <w:trPr>
          <w:cantSplit/>
        </w:trPr>
        <w:tc>
          <w:tcPr>
            <w:tcW w:w="1077" w:type="pct"/>
            <w:vMerge w:val="restart"/>
            <w:tcBorders>
              <w:left w:val="nil"/>
              <w:right w:val="nil"/>
            </w:tcBorders>
            <w:shd w:val="clear" w:color="auto" w:fill="BDD6EE"/>
          </w:tcPr>
          <w:p w14:paraId="445A7910" w14:textId="77777777" w:rsidR="006E3964" w:rsidRPr="00BB6978" w:rsidRDefault="006E3964" w:rsidP="00CE66D1">
            <w:pPr>
              <w:pBdr>
                <w:left w:val="single" w:sz="4" w:space="4" w:color="auto"/>
              </w:pBdr>
              <w:autoSpaceDE w:val="0"/>
              <w:autoSpaceDN w:val="0"/>
              <w:adjustRightInd w:val="0"/>
              <w:spacing w:after="0" w:line="320" w:lineRule="atLeast"/>
              <w:ind w:right="60"/>
              <w:rPr>
                <w:rFonts w:ascii="Times New Roman" w:eastAsia="Calibri" w:hAnsi="Times New Roman" w:cs="Times New Roman"/>
                <w:sz w:val="24"/>
                <w:szCs w:val="24"/>
              </w:rPr>
            </w:pPr>
          </w:p>
        </w:tc>
        <w:tc>
          <w:tcPr>
            <w:tcW w:w="1698" w:type="pct"/>
            <w:gridSpan w:val="2"/>
            <w:tcBorders>
              <w:left w:val="nil"/>
              <w:bottom w:val="single" w:sz="4" w:space="0" w:color="auto"/>
              <w:right w:val="nil"/>
            </w:tcBorders>
            <w:shd w:val="clear" w:color="auto" w:fill="BDD6EE"/>
            <w:vAlign w:val="center"/>
          </w:tcPr>
          <w:p w14:paraId="5DE33134" w14:textId="77777777" w:rsidR="006E3964" w:rsidRPr="00BB6978" w:rsidRDefault="006E3964" w:rsidP="00CE66D1">
            <w:pPr>
              <w:pBdr>
                <w:left w:val="single" w:sz="4" w:space="4" w:color="auto"/>
              </w:pBd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Unstandardized Coefficients</w:t>
            </w:r>
          </w:p>
        </w:tc>
        <w:tc>
          <w:tcPr>
            <w:tcW w:w="937" w:type="pct"/>
            <w:vMerge w:val="restart"/>
            <w:tcBorders>
              <w:left w:val="nil"/>
              <w:right w:val="nil"/>
            </w:tcBorders>
            <w:shd w:val="clear" w:color="auto" w:fill="BDD6EE"/>
            <w:vAlign w:val="center"/>
          </w:tcPr>
          <w:p w14:paraId="6FE38249" w14:textId="77777777" w:rsidR="006E3964" w:rsidRPr="00BB6978" w:rsidRDefault="006E3964" w:rsidP="00CE66D1">
            <w:pPr>
              <w:pBdr>
                <w:left w:val="single" w:sz="4" w:space="4" w:color="auto"/>
              </w:pBd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R-square</w:t>
            </w:r>
          </w:p>
        </w:tc>
        <w:tc>
          <w:tcPr>
            <w:tcW w:w="644" w:type="pct"/>
            <w:vMerge w:val="restart"/>
            <w:tcBorders>
              <w:left w:val="nil"/>
              <w:right w:val="nil"/>
            </w:tcBorders>
            <w:shd w:val="clear" w:color="auto" w:fill="BDD6EE"/>
            <w:vAlign w:val="center"/>
          </w:tcPr>
          <w:p w14:paraId="060A2807" w14:textId="77777777" w:rsidR="006E3964" w:rsidRPr="00BB6978" w:rsidRDefault="006E3964" w:rsidP="00CE66D1">
            <w:pPr>
              <w:pBdr>
                <w:left w:val="single" w:sz="4" w:space="4" w:color="auto"/>
              </w:pBd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t-value</w:t>
            </w:r>
          </w:p>
        </w:tc>
        <w:tc>
          <w:tcPr>
            <w:tcW w:w="644" w:type="pct"/>
            <w:vMerge w:val="restart"/>
            <w:tcBorders>
              <w:left w:val="nil"/>
              <w:right w:val="nil"/>
            </w:tcBorders>
            <w:shd w:val="clear" w:color="auto" w:fill="BDD6EE"/>
            <w:vAlign w:val="center"/>
          </w:tcPr>
          <w:p w14:paraId="4EAE519C" w14:textId="77777777" w:rsidR="006E3964" w:rsidRPr="00BB6978" w:rsidRDefault="006E3964" w:rsidP="00CE66D1">
            <w:pPr>
              <w:pBdr>
                <w:left w:val="single" w:sz="4" w:space="4" w:color="auto"/>
              </w:pBd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p-value</w:t>
            </w:r>
          </w:p>
        </w:tc>
      </w:tr>
      <w:tr w:rsidR="00073A16" w:rsidRPr="00BB6978" w14:paraId="499A2DB1" w14:textId="77777777" w:rsidTr="00CE66D1">
        <w:trPr>
          <w:cantSplit/>
        </w:trPr>
        <w:tc>
          <w:tcPr>
            <w:tcW w:w="1077" w:type="pct"/>
            <w:vMerge/>
            <w:tcBorders>
              <w:left w:val="nil"/>
              <w:bottom w:val="single" w:sz="4" w:space="0" w:color="auto"/>
              <w:right w:val="nil"/>
            </w:tcBorders>
            <w:shd w:val="clear" w:color="auto" w:fill="FFFFFF"/>
          </w:tcPr>
          <w:p w14:paraId="3FC6BBCE" w14:textId="77777777" w:rsidR="006E3964" w:rsidRPr="00BB6978" w:rsidRDefault="006E3964" w:rsidP="00CE66D1">
            <w:pPr>
              <w:autoSpaceDE w:val="0"/>
              <w:autoSpaceDN w:val="0"/>
              <w:adjustRightInd w:val="0"/>
              <w:spacing w:after="0" w:line="240" w:lineRule="auto"/>
              <w:rPr>
                <w:rFonts w:ascii="Times New Roman" w:eastAsia="Calibri" w:hAnsi="Times New Roman" w:cs="Times New Roman"/>
                <w:sz w:val="24"/>
                <w:szCs w:val="24"/>
              </w:rPr>
            </w:pPr>
          </w:p>
        </w:tc>
        <w:tc>
          <w:tcPr>
            <w:tcW w:w="849" w:type="pct"/>
            <w:tcBorders>
              <w:left w:val="nil"/>
              <w:bottom w:val="single" w:sz="4" w:space="0" w:color="auto"/>
              <w:right w:val="nil"/>
            </w:tcBorders>
            <w:shd w:val="clear" w:color="auto" w:fill="BDD6EE"/>
            <w:vAlign w:val="center"/>
          </w:tcPr>
          <w:p w14:paraId="461FA5A7"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Beta</w:t>
            </w:r>
          </w:p>
        </w:tc>
        <w:tc>
          <w:tcPr>
            <w:tcW w:w="849" w:type="pct"/>
            <w:tcBorders>
              <w:left w:val="nil"/>
              <w:bottom w:val="single" w:sz="4" w:space="0" w:color="auto"/>
              <w:right w:val="nil"/>
            </w:tcBorders>
            <w:shd w:val="clear" w:color="auto" w:fill="BDD6EE"/>
            <w:vAlign w:val="center"/>
          </w:tcPr>
          <w:p w14:paraId="4722CD03"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SE</w:t>
            </w:r>
          </w:p>
        </w:tc>
        <w:tc>
          <w:tcPr>
            <w:tcW w:w="937" w:type="pct"/>
            <w:vMerge/>
            <w:tcBorders>
              <w:left w:val="nil"/>
              <w:right w:val="nil"/>
            </w:tcBorders>
            <w:shd w:val="clear" w:color="auto" w:fill="FFFFFF"/>
            <w:vAlign w:val="center"/>
          </w:tcPr>
          <w:p w14:paraId="1D1FC1A9"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p>
        </w:tc>
        <w:tc>
          <w:tcPr>
            <w:tcW w:w="644" w:type="pct"/>
            <w:vMerge/>
            <w:tcBorders>
              <w:left w:val="nil"/>
              <w:bottom w:val="single" w:sz="4" w:space="0" w:color="auto"/>
              <w:right w:val="nil"/>
            </w:tcBorders>
            <w:shd w:val="clear" w:color="auto" w:fill="FFFFFF"/>
            <w:vAlign w:val="center"/>
          </w:tcPr>
          <w:p w14:paraId="66553481"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b/>
                <w:sz w:val="24"/>
                <w:szCs w:val="24"/>
              </w:rPr>
            </w:pPr>
          </w:p>
        </w:tc>
        <w:tc>
          <w:tcPr>
            <w:tcW w:w="644" w:type="pct"/>
            <w:vMerge/>
            <w:tcBorders>
              <w:left w:val="nil"/>
              <w:bottom w:val="single" w:sz="4" w:space="0" w:color="auto"/>
              <w:right w:val="nil"/>
            </w:tcBorders>
            <w:shd w:val="clear" w:color="auto" w:fill="FFFFFF"/>
            <w:vAlign w:val="center"/>
          </w:tcPr>
          <w:p w14:paraId="6DCC16F9"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b/>
                <w:sz w:val="24"/>
                <w:szCs w:val="24"/>
              </w:rPr>
            </w:pPr>
          </w:p>
        </w:tc>
      </w:tr>
      <w:tr w:rsidR="00073A16" w:rsidRPr="00BB6978" w14:paraId="14549D24" w14:textId="77777777" w:rsidTr="00CE66D1">
        <w:trPr>
          <w:cantSplit/>
        </w:trPr>
        <w:tc>
          <w:tcPr>
            <w:tcW w:w="1077" w:type="pct"/>
            <w:tcBorders>
              <w:left w:val="nil"/>
              <w:bottom w:val="nil"/>
              <w:right w:val="nil"/>
            </w:tcBorders>
            <w:shd w:val="clear" w:color="auto" w:fill="FFFFFF"/>
            <w:vAlign w:val="center"/>
          </w:tcPr>
          <w:p w14:paraId="3AD7B40C"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(Constant)</w:t>
            </w:r>
          </w:p>
        </w:tc>
        <w:tc>
          <w:tcPr>
            <w:tcW w:w="849" w:type="pct"/>
            <w:tcBorders>
              <w:left w:val="nil"/>
              <w:bottom w:val="nil"/>
              <w:right w:val="nil"/>
            </w:tcBorders>
            <w:shd w:val="clear" w:color="auto" w:fill="FFFFFF"/>
            <w:vAlign w:val="center"/>
          </w:tcPr>
          <w:p w14:paraId="0022F48C"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1.931</w:t>
            </w:r>
          </w:p>
        </w:tc>
        <w:tc>
          <w:tcPr>
            <w:tcW w:w="849" w:type="pct"/>
            <w:tcBorders>
              <w:left w:val="nil"/>
              <w:bottom w:val="nil"/>
              <w:right w:val="nil"/>
            </w:tcBorders>
            <w:shd w:val="clear" w:color="auto" w:fill="FFFFFF"/>
            <w:vAlign w:val="center"/>
          </w:tcPr>
          <w:p w14:paraId="580C5D93"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0.166</w:t>
            </w:r>
          </w:p>
        </w:tc>
        <w:tc>
          <w:tcPr>
            <w:tcW w:w="937" w:type="pct"/>
            <w:vMerge w:val="restart"/>
            <w:tcBorders>
              <w:left w:val="nil"/>
              <w:right w:val="nil"/>
            </w:tcBorders>
            <w:shd w:val="clear" w:color="auto" w:fill="FFFFFF"/>
            <w:vAlign w:val="center"/>
          </w:tcPr>
          <w:p w14:paraId="6D6EAB84"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0.378</w:t>
            </w:r>
          </w:p>
        </w:tc>
        <w:tc>
          <w:tcPr>
            <w:tcW w:w="644" w:type="pct"/>
            <w:tcBorders>
              <w:left w:val="nil"/>
              <w:bottom w:val="nil"/>
              <w:right w:val="nil"/>
            </w:tcBorders>
            <w:shd w:val="clear" w:color="auto" w:fill="FFFFFF"/>
            <w:vAlign w:val="center"/>
          </w:tcPr>
          <w:p w14:paraId="49B6CA62"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11.628</w:t>
            </w:r>
          </w:p>
        </w:tc>
        <w:tc>
          <w:tcPr>
            <w:tcW w:w="644" w:type="pct"/>
            <w:tcBorders>
              <w:left w:val="nil"/>
              <w:bottom w:val="nil"/>
              <w:right w:val="nil"/>
            </w:tcBorders>
            <w:shd w:val="clear" w:color="auto" w:fill="FFFFFF"/>
            <w:vAlign w:val="center"/>
          </w:tcPr>
          <w:p w14:paraId="047EECF1"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0.000</w:t>
            </w:r>
          </w:p>
        </w:tc>
      </w:tr>
      <w:tr w:rsidR="00073A16" w:rsidRPr="00BB6978" w14:paraId="490F2272" w14:textId="77777777" w:rsidTr="00CE66D1">
        <w:trPr>
          <w:cantSplit/>
        </w:trPr>
        <w:tc>
          <w:tcPr>
            <w:tcW w:w="1077" w:type="pct"/>
            <w:tcBorders>
              <w:top w:val="nil"/>
              <w:left w:val="nil"/>
              <w:right w:val="nil"/>
            </w:tcBorders>
            <w:shd w:val="clear" w:color="auto" w:fill="FFFFFF"/>
            <w:vAlign w:val="center"/>
          </w:tcPr>
          <w:p w14:paraId="0D1D1B6A"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School Quality</w:t>
            </w:r>
          </w:p>
        </w:tc>
        <w:tc>
          <w:tcPr>
            <w:tcW w:w="849" w:type="pct"/>
            <w:tcBorders>
              <w:top w:val="nil"/>
              <w:left w:val="nil"/>
              <w:right w:val="nil"/>
            </w:tcBorders>
            <w:shd w:val="clear" w:color="auto" w:fill="FFFFFF"/>
            <w:vAlign w:val="center"/>
          </w:tcPr>
          <w:p w14:paraId="30B160DD"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0.616</w:t>
            </w:r>
          </w:p>
        </w:tc>
        <w:tc>
          <w:tcPr>
            <w:tcW w:w="849" w:type="pct"/>
            <w:tcBorders>
              <w:top w:val="nil"/>
              <w:left w:val="nil"/>
              <w:right w:val="nil"/>
            </w:tcBorders>
            <w:shd w:val="clear" w:color="auto" w:fill="FFFFFF"/>
            <w:vAlign w:val="center"/>
          </w:tcPr>
          <w:p w14:paraId="1FDDD055"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0.040</w:t>
            </w:r>
          </w:p>
        </w:tc>
        <w:tc>
          <w:tcPr>
            <w:tcW w:w="937" w:type="pct"/>
            <w:vMerge/>
            <w:tcBorders>
              <w:left w:val="nil"/>
              <w:right w:val="nil"/>
            </w:tcBorders>
            <w:shd w:val="clear" w:color="auto" w:fill="FFFFFF"/>
            <w:vAlign w:val="center"/>
          </w:tcPr>
          <w:p w14:paraId="1B8E22C0"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c>
          <w:tcPr>
            <w:tcW w:w="644" w:type="pct"/>
            <w:tcBorders>
              <w:top w:val="nil"/>
              <w:left w:val="nil"/>
              <w:right w:val="nil"/>
            </w:tcBorders>
            <w:shd w:val="clear" w:color="auto" w:fill="FFFFFF"/>
            <w:vAlign w:val="center"/>
          </w:tcPr>
          <w:p w14:paraId="36D7D95F"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15.567</w:t>
            </w:r>
          </w:p>
        </w:tc>
        <w:tc>
          <w:tcPr>
            <w:tcW w:w="644" w:type="pct"/>
            <w:tcBorders>
              <w:top w:val="nil"/>
              <w:left w:val="nil"/>
              <w:right w:val="nil"/>
            </w:tcBorders>
            <w:shd w:val="clear" w:color="auto" w:fill="FFFFFF"/>
            <w:vAlign w:val="center"/>
          </w:tcPr>
          <w:p w14:paraId="11BADF24"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0.000**</w:t>
            </w:r>
          </w:p>
        </w:tc>
      </w:tr>
    </w:tbl>
    <w:p w14:paraId="64A95C5C" w14:textId="77777777" w:rsidR="006E3964" w:rsidRPr="00BB6978" w:rsidRDefault="006E3964" w:rsidP="006E3964">
      <w:pPr>
        <w:autoSpaceDE w:val="0"/>
        <w:autoSpaceDN w:val="0"/>
        <w:adjustRightInd w:val="0"/>
        <w:spacing w:after="0" w:line="400" w:lineRule="atLeast"/>
        <w:rPr>
          <w:rFonts w:ascii="Times New Roman" w:eastAsia="Calibri" w:hAnsi="Times New Roman" w:cs="Times New Roman"/>
          <w:sz w:val="24"/>
          <w:szCs w:val="24"/>
        </w:rPr>
      </w:pPr>
      <w:r w:rsidRPr="00BB6978">
        <w:rPr>
          <w:rFonts w:ascii="Times New Roman" w:eastAsia="Calibri" w:hAnsi="Times New Roman" w:cs="Times New Roman"/>
          <w:sz w:val="24"/>
          <w:szCs w:val="24"/>
        </w:rPr>
        <w:t>Dependent Variable: Student achievement, **p&lt;0.001</w:t>
      </w:r>
    </w:p>
    <w:p w14:paraId="5049134E" w14:textId="77777777" w:rsidR="006E3964" w:rsidRPr="00BB6978" w:rsidRDefault="006E3964" w:rsidP="006E3964">
      <w:pPr>
        <w:autoSpaceDE w:val="0"/>
        <w:autoSpaceDN w:val="0"/>
        <w:adjustRightInd w:val="0"/>
        <w:spacing w:after="0" w:line="400" w:lineRule="atLeast"/>
        <w:jc w:val="both"/>
        <w:rPr>
          <w:rFonts w:ascii="Times New Roman" w:eastAsia="Calibri" w:hAnsi="Times New Roman" w:cs="Times New Roman"/>
          <w:iCs/>
          <w:sz w:val="24"/>
          <w:szCs w:val="24"/>
        </w:rPr>
      </w:pPr>
    </w:p>
    <w:p w14:paraId="1E768808" w14:textId="77777777" w:rsidR="006E3964" w:rsidRPr="00BB6978" w:rsidRDefault="006E3964" w:rsidP="006E3964">
      <w:pPr>
        <w:spacing w:before="240" w:after="200" w:line="276" w:lineRule="auto"/>
        <w:ind w:left="426" w:hanging="426"/>
        <w:jc w:val="both"/>
        <w:rPr>
          <w:rFonts w:ascii="Times New Roman" w:eastAsia="Calibri" w:hAnsi="Times New Roman" w:cs="Times New Roman"/>
          <w:i/>
          <w:iCs/>
          <w:sz w:val="24"/>
          <w:szCs w:val="24"/>
        </w:rPr>
      </w:pPr>
      <w:r w:rsidRPr="00BB6978">
        <w:rPr>
          <w:rFonts w:ascii="Times New Roman" w:eastAsia="Calibri" w:hAnsi="Times New Roman" w:cs="Times New Roman"/>
          <w:i/>
          <w:iCs/>
          <w:sz w:val="24"/>
          <w:szCs w:val="24"/>
        </w:rPr>
        <w:t>H</w:t>
      </w:r>
      <w:r w:rsidRPr="00BB6978">
        <w:rPr>
          <w:rFonts w:ascii="Times New Roman" w:eastAsia="Calibri" w:hAnsi="Times New Roman" w:cs="Times New Roman"/>
          <w:i/>
          <w:iCs/>
          <w:sz w:val="24"/>
          <w:szCs w:val="24"/>
          <w:vertAlign w:val="subscript"/>
        </w:rPr>
        <w:t xml:space="preserve">4: </w:t>
      </w:r>
      <w:r w:rsidRPr="00BB6978">
        <w:rPr>
          <w:rFonts w:ascii="Times New Roman" w:eastAsia="Calibri" w:hAnsi="Times New Roman" w:cs="Times New Roman"/>
          <w:i/>
          <w:iCs/>
          <w:sz w:val="24"/>
          <w:szCs w:val="24"/>
        </w:rPr>
        <w:t>School quality mediates the relationship between school cost and students’ achievement in private schools in Abu Dhabi.</w:t>
      </w:r>
    </w:p>
    <w:p w14:paraId="444D5593" w14:textId="77777777" w:rsidR="006E3964" w:rsidRPr="00BB6978" w:rsidRDefault="006E3964" w:rsidP="006E3964">
      <w:pPr>
        <w:spacing w:before="240" w:after="200" w:line="480" w:lineRule="auto"/>
        <w:ind w:firstLine="426"/>
        <w:jc w:val="both"/>
        <w:rPr>
          <w:rFonts w:asciiTheme="majorBidi" w:hAnsiTheme="majorBidi" w:cstheme="majorBidi"/>
          <w:sz w:val="24"/>
          <w:szCs w:val="24"/>
        </w:rPr>
      </w:pPr>
      <w:r w:rsidRPr="00BB6978">
        <w:rPr>
          <w:rFonts w:ascii="Times New Roman" w:eastAsia="Calibri" w:hAnsi="Times New Roman" w:cs="Times New Roman"/>
          <w:sz w:val="24"/>
          <w:szCs w:val="24"/>
        </w:rPr>
        <w:t xml:space="preserve">To trace whether there are changes in the significance impact of the school cost on the students; achievement after adding the mediating variable (school quality), a Baron and Kenny’s (1986) mediation analysis is followed by being tested the previous three hypotheses. Then coming to the mediation relationship, a hierarchical regression has been employed. As shown in Table 14, the results indicate that the relationship between the school cost as independent variable and the students’ achievement as dependent variable increases in the existence of the mediator (school quality). Although there is a direct effect of school cost on students’ achievement </w:t>
      </w:r>
      <w:r w:rsidRPr="00BB6978">
        <w:rPr>
          <w:rFonts w:ascii="Times New Roman" w:eastAsia="Calibri" w:hAnsi="Times New Roman" w:cs="Times New Roman"/>
          <w:iCs/>
          <w:sz w:val="24"/>
          <w:szCs w:val="24"/>
        </w:rPr>
        <w:t>(β=0.166, t=</w:t>
      </w:r>
      <w:r w:rsidRPr="00BB6978">
        <w:rPr>
          <w:rFonts w:ascii="Times New Roman" w:eastAsia="Calibri" w:hAnsi="Times New Roman" w:cs="Times New Roman"/>
          <w:sz w:val="24"/>
          <w:szCs w:val="24"/>
        </w:rPr>
        <w:t>5.411</w:t>
      </w:r>
      <w:r w:rsidRPr="00BB6978">
        <w:rPr>
          <w:rFonts w:ascii="Times New Roman" w:eastAsia="Calibri" w:hAnsi="Times New Roman" w:cs="Times New Roman"/>
          <w:iCs/>
          <w:sz w:val="24"/>
          <w:szCs w:val="24"/>
        </w:rPr>
        <w:t>, p&lt;0.001), this effect is increased by the school quality as a mediator (</w:t>
      </w:r>
      <w:r w:rsidRPr="00BB6978">
        <w:rPr>
          <w:rFonts w:asciiTheme="majorBidi" w:hAnsiTheme="majorBidi" w:cstheme="majorBidi"/>
          <w:i/>
          <w:iCs/>
          <w:sz w:val="24"/>
          <w:szCs w:val="24"/>
        </w:rPr>
        <w:t>R</w:t>
      </w:r>
      <w:r w:rsidRPr="00BB6978">
        <w:rPr>
          <w:rFonts w:asciiTheme="majorBidi" w:hAnsiTheme="majorBidi" w:cstheme="majorBidi"/>
          <w:i/>
          <w:iCs/>
          <w:sz w:val="24"/>
          <w:szCs w:val="24"/>
          <w:vertAlign w:val="superscript"/>
        </w:rPr>
        <w:t>2</w:t>
      </w:r>
      <w:r w:rsidRPr="00BB6978">
        <w:rPr>
          <w:rFonts w:asciiTheme="majorBidi" w:hAnsiTheme="majorBidi" w:cstheme="majorBidi"/>
          <w:sz w:val="24"/>
          <w:szCs w:val="24"/>
          <w:vertAlign w:val="superscript"/>
        </w:rPr>
        <w:t xml:space="preserve"> </w:t>
      </w:r>
      <w:r w:rsidRPr="00BB6978">
        <w:rPr>
          <w:rFonts w:asciiTheme="majorBidi" w:hAnsiTheme="majorBidi" w:cstheme="majorBidi"/>
          <w:sz w:val="24"/>
          <w:szCs w:val="24"/>
        </w:rPr>
        <w:t xml:space="preserve">= .421, </w:t>
      </w:r>
      <w:r w:rsidRPr="00BB6978">
        <w:rPr>
          <w:rFonts w:asciiTheme="majorBidi" w:hAnsiTheme="majorBidi" w:cstheme="majorBidi"/>
          <w:i/>
          <w:iCs/>
          <w:sz w:val="24"/>
          <w:szCs w:val="24"/>
        </w:rPr>
        <w:t>p</w:t>
      </w:r>
      <w:r w:rsidRPr="00BB6978">
        <w:rPr>
          <w:rFonts w:asciiTheme="majorBidi" w:hAnsiTheme="majorBidi" w:cstheme="majorBidi"/>
          <w:sz w:val="24"/>
          <w:szCs w:val="24"/>
        </w:rPr>
        <w:t xml:space="preserve">&lt;0.001). </w:t>
      </w:r>
      <w:r w:rsidRPr="00BB6978">
        <w:rPr>
          <w:rFonts w:ascii="Times New Roman" w:eastAsia="Calibri" w:hAnsi="Times New Roman" w:cs="Times New Roman"/>
          <w:iCs/>
          <w:sz w:val="24"/>
          <w:szCs w:val="24"/>
        </w:rPr>
        <w:t xml:space="preserve">This means </w:t>
      </w:r>
      <w:r w:rsidRPr="00BB6978">
        <w:rPr>
          <w:rFonts w:asciiTheme="majorBidi" w:hAnsiTheme="majorBidi" w:cstheme="majorBidi"/>
          <w:sz w:val="24"/>
          <w:szCs w:val="24"/>
        </w:rPr>
        <w:t>that 42.1% of the variability in students’ achievement can be attributed to school cost in the existence of school quality as a mediator. More specifically, the coefficient of school cost is positive for students’ achievement with a beta value of (β= .461, t=</w:t>
      </w:r>
      <w:r w:rsidRPr="00BB6978">
        <w:rPr>
          <w:rFonts w:ascii="Times New Roman" w:eastAsia="Calibri" w:hAnsi="Times New Roman" w:cs="Times New Roman"/>
          <w:sz w:val="24"/>
          <w:szCs w:val="24"/>
        </w:rPr>
        <w:t xml:space="preserve">9.646, </w:t>
      </w:r>
      <w:r w:rsidRPr="00BB6978">
        <w:rPr>
          <w:rFonts w:ascii="Times New Roman" w:eastAsia="Calibri" w:hAnsi="Times New Roman" w:cs="Times New Roman"/>
          <w:iCs/>
          <w:sz w:val="24"/>
          <w:szCs w:val="24"/>
        </w:rPr>
        <w:t>p&lt;0.001</w:t>
      </w:r>
      <w:r w:rsidRPr="00BB6978">
        <w:rPr>
          <w:rFonts w:asciiTheme="majorBidi" w:hAnsiTheme="majorBidi" w:cstheme="majorBidi"/>
          <w:sz w:val="24"/>
          <w:szCs w:val="24"/>
        </w:rPr>
        <w:t xml:space="preserve">) at the significant level of </w:t>
      </w:r>
      <w:r w:rsidRPr="00BB6978">
        <w:rPr>
          <w:rFonts w:asciiTheme="majorBidi" w:hAnsiTheme="majorBidi" w:cstheme="majorBidi"/>
          <w:i/>
          <w:iCs/>
          <w:sz w:val="24"/>
          <w:szCs w:val="24"/>
        </w:rPr>
        <w:t>p</w:t>
      </w:r>
      <w:r w:rsidRPr="00BB6978">
        <w:rPr>
          <w:rFonts w:asciiTheme="majorBidi" w:hAnsiTheme="majorBidi" w:cstheme="majorBidi"/>
          <w:sz w:val="24"/>
          <w:szCs w:val="24"/>
        </w:rPr>
        <w:t xml:space="preserve">&lt;0.001, when this relationship is mediated by school quality. </w:t>
      </w:r>
    </w:p>
    <w:p w14:paraId="65D8CADB" w14:textId="77777777" w:rsidR="00273D94" w:rsidRPr="00BB6978" w:rsidRDefault="00273D94" w:rsidP="006E3964">
      <w:pPr>
        <w:spacing w:before="240" w:after="200" w:line="480" w:lineRule="auto"/>
        <w:ind w:firstLine="426"/>
        <w:jc w:val="both"/>
        <w:rPr>
          <w:rFonts w:asciiTheme="majorBidi" w:hAnsiTheme="majorBidi" w:cstheme="majorBidi"/>
          <w:sz w:val="24"/>
          <w:szCs w:val="24"/>
        </w:rPr>
      </w:pPr>
    </w:p>
    <w:p w14:paraId="48EB2753" w14:textId="77777777" w:rsidR="006E3964" w:rsidRPr="00BB6978" w:rsidRDefault="00131282" w:rsidP="007F58DC">
      <w:pPr>
        <w:pStyle w:val="Caption"/>
      </w:pPr>
      <w:bookmarkStart w:id="153" w:name="_Toc134452498"/>
      <w:r w:rsidRPr="00BB6978">
        <w:t xml:space="preserve">Table </w:t>
      </w:r>
      <w:r w:rsidRPr="00BB6978">
        <w:fldChar w:fldCharType="begin"/>
      </w:r>
      <w:r w:rsidRPr="00BB6978">
        <w:instrText xml:space="preserve"> SEQ Table \* ARABIC </w:instrText>
      </w:r>
      <w:r w:rsidRPr="00BB6978">
        <w:fldChar w:fldCharType="separate"/>
      </w:r>
      <w:r w:rsidRPr="00BB6978">
        <w:rPr>
          <w:noProof/>
        </w:rPr>
        <w:t>14</w:t>
      </w:r>
      <w:r w:rsidRPr="00BB6978">
        <w:rPr>
          <w:noProof/>
        </w:rPr>
        <w:fldChar w:fldCharType="end"/>
      </w:r>
      <w:r w:rsidR="006E3964" w:rsidRPr="00BB6978">
        <w:t>: School quality as a mediator between school cost and students’ achievement</w:t>
      </w:r>
      <w:bookmarkEnd w:id="15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634"/>
        <w:gridCol w:w="1288"/>
        <w:gridCol w:w="1288"/>
        <w:gridCol w:w="1422"/>
        <w:gridCol w:w="977"/>
        <w:gridCol w:w="977"/>
      </w:tblGrid>
      <w:tr w:rsidR="00073A16" w:rsidRPr="00BB6978" w14:paraId="128357A9" w14:textId="77777777" w:rsidTr="00CE66D1">
        <w:trPr>
          <w:cantSplit/>
        </w:trPr>
        <w:tc>
          <w:tcPr>
            <w:tcW w:w="1076" w:type="pct"/>
            <w:vMerge w:val="restart"/>
            <w:tcBorders>
              <w:left w:val="nil"/>
              <w:right w:val="nil"/>
            </w:tcBorders>
            <w:shd w:val="clear" w:color="auto" w:fill="BDD6EE"/>
          </w:tcPr>
          <w:p w14:paraId="005066FC" w14:textId="77777777" w:rsidR="006E3964" w:rsidRPr="00BB6978" w:rsidRDefault="006E3964" w:rsidP="00CE66D1">
            <w:pPr>
              <w:pBdr>
                <w:left w:val="single" w:sz="4" w:space="4" w:color="auto"/>
              </w:pBdr>
              <w:autoSpaceDE w:val="0"/>
              <w:autoSpaceDN w:val="0"/>
              <w:adjustRightInd w:val="0"/>
              <w:spacing w:after="0" w:line="320" w:lineRule="atLeast"/>
              <w:ind w:right="60"/>
              <w:rPr>
                <w:rFonts w:ascii="Times New Roman" w:eastAsia="Calibri" w:hAnsi="Times New Roman" w:cs="Times New Roman"/>
                <w:sz w:val="24"/>
                <w:szCs w:val="24"/>
              </w:rPr>
            </w:pPr>
          </w:p>
        </w:tc>
        <w:tc>
          <w:tcPr>
            <w:tcW w:w="1698" w:type="pct"/>
            <w:gridSpan w:val="2"/>
            <w:tcBorders>
              <w:left w:val="nil"/>
              <w:bottom w:val="single" w:sz="4" w:space="0" w:color="auto"/>
              <w:right w:val="nil"/>
            </w:tcBorders>
            <w:shd w:val="clear" w:color="auto" w:fill="BDD6EE"/>
            <w:vAlign w:val="center"/>
          </w:tcPr>
          <w:p w14:paraId="278B7E22" w14:textId="77777777" w:rsidR="006E3964" w:rsidRPr="00BB6978" w:rsidRDefault="006E3964" w:rsidP="00CE66D1">
            <w:pPr>
              <w:pBdr>
                <w:left w:val="single" w:sz="4" w:space="4" w:color="auto"/>
              </w:pBd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Unstandardized Coefficients</w:t>
            </w:r>
          </w:p>
        </w:tc>
        <w:tc>
          <w:tcPr>
            <w:tcW w:w="937" w:type="pct"/>
            <w:vMerge w:val="restart"/>
            <w:tcBorders>
              <w:left w:val="nil"/>
              <w:right w:val="nil"/>
            </w:tcBorders>
            <w:shd w:val="clear" w:color="auto" w:fill="BDD6EE"/>
            <w:vAlign w:val="center"/>
          </w:tcPr>
          <w:p w14:paraId="2D7294C1" w14:textId="77777777" w:rsidR="006E3964" w:rsidRPr="00BB6978" w:rsidRDefault="006E3964" w:rsidP="00CE66D1">
            <w:pPr>
              <w:pBdr>
                <w:left w:val="single" w:sz="4" w:space="4" w:color="auto"/>
              </w:pBd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R-square</w:t>
            </w:r>
          </w:p>
        </w:tc>
        <w:tc>
          <w:tcPr>
            <w:tcW w:w="644" w:type="pct"/>
            <w:vMerge w:val="restart"/>
            <w:tcBorders>
              <w:left w:val="nil"/>
              <w:right w:val="nil"/>
            </w:tcBorders>
            <w:shd w:val="clear" w:color="auto" w:fill="BDD6EE"/>
            <w:vAlign w:val="center"/>
          </w:tcPr>
          <w:p w14:paraId="1FC16D08" w14:textId="77777777" w:rsidR="006E3964" w:rsidRPr="00BB6978" w:rsidRDefault="006E3964" w:rsidP="00CE66D1">
            <w:pPr>
              <w:pBdr>
                <w:left w:val="single" w:sz="4" w:space="4" w:color="auto"/>
              </w:pBd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t-value</w:t>
            </w:r>
          </w:p>
        </w:tc>
        <w:tc>
          <w:tcPr>
            <w:tcW w:w="644" w:type="pct"/>
            <w:vMerge w:val="restart"/>
            <w:tcBorders>
              <w:left w:val="nil"/>
              <w:right w:val="nil"/>
            </w:tcBorders>
            <w:shd w:val="clear" w:color="auto" w:fill="BDD6EE"/>
            <w:vAlign w:val="center"/>
          </w:tcPr>
          <w:p w14:paraId="5A80993B" w14:textId="77777777" w:rsidR="006E3964" w:rsidRPr="00BB6978" w:rsidRDefault="006E3964" w:rsidP="00CE66D1">
            <w:pPr>
              <w:pBdr>
                <w:left w:val="single" w:sz="4" w:space="4" w:color="auto"/>
              </w:pBd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p-value</w:t>
            </w:r>
          </w:p>
        </w:tc>
      </w:tr>
      <w:tr w:rsidR="00073A16" w:rsidRPr="00BB6978" w14:paraId="2EDFAB33" w14:textId="77777777" w:rsidTr="00CE66D1">
        <w:trPr>
          <w:cantSplit/>
        </w:trPr>
        <w:tc>
          <w:tcPr>
            <w:tcW w:w="1076" w:type="pct"/>
            <w:vMerge/>
            <w:tcBorders>
              <w:left w:val="nil"/>
              <w:bottom w:val="single" w:sz="4" w:space="0" w:color="auto"/>
              <w:right w:val="nil"/>
            </w:tcBorders>
            <w:shd w:val="clear" w:color="auto" w:fill="FFFFFF"/>
          </w:tcPr>
          <w:p w14:paraId="53C69F19" w14:textId="77777777" w:rsidR="006E3964" w:rsidRPr="00BB6978" w:rsidRDefault="006E3964" w:rsidP="00CE66D1">
            <w:pPr>
              <w:autoSpaceDE w:val="0"/>
              <w:autoSpaceDN w:val="0"/>
              <w:adjustRightInd w:val="0"/>
              <w:spacing w:after="0" w:line="240" w:lineRule="auto"/>
              <w:rPr>
                <w:rFonts w:ascii="Times New Roman" w:eastAsia="Calibri" w:hAnsi="Times New Roman" w:cs="Times New Roman"/>
                <w:sz w:val="24"/>
                <w:szCs w:val="24"/>
              </w:rPr>
            </w:pPr>
          </w:p>
        </w:tc>
        <w:tc>
          <w:tcPr>
            <w:tcW w:w="849" w:type="pct"/>
            <w:tcBorders>
              <w:left w:val="nil"/>
              <w:bottom w:val="single" w:sz="4" w:space="0" w:color="auto"/>
              <w:right w:val="nil"/>
            </w:tcBorders>
            <w:shd w:val="clear" w:color="auto" w:fill="BDD6EE"/>
            <w:vAlign w:val="center"/>
          </w:tcPr>
          <w:p w14:paraId="05D25E79"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Beta</w:t>
            </w:r>
          </w:p>
        </w:tc>
        <w:tc>
          <w:tcPr>
            <w:tcW w:w="849" w:type="pct"/>
            <w:tcBorders>
              <w:left w:val="nil"/>
              <w:bottom w:val="single" w:sz="4" w:space="0" w:color="auto"/>
              <w:right w:val="nil"/>
            </w:tcBorders>
            <w:shd w:val="clear" w:color="auto" w:fill="BDD6EE"/>
            <w:vAlign w:val="center"/>
          </w:tcPr>
          <w:p w14:paraId="727EFA02"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SE</w:t>
            </w:r>
          </w:p>
        </w:tc>
        <w:tc>
          <w:tcPr>
            <w:tcW w:w="937" w:type="pct"/>
            <w:vMerge/>
            <w:tcBorders>
              <w:left w:val="nil"/>
              <w:right w:val="nil"/>
            </w:tcBorders>
            <w:shd w:val="clear" w:color="auto" w:fill="FFFFFF"/>
            <w:vAlign w:val="center"/>
          </w:tcPr>
          <w:p w14:paraId="0C4A0575"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p>
        </w:tc>
        <w:tc>
          <w:tcPr>
            <w:tcW w:w="644" w:type="pct"/>
            <w:vMerge/>
            <w:tcBorders>
              <w:left w:val="nil"/>
              <w:bottom w:val="single" w:sz="4" w:space="0" w:color="auto"/>
              <w:right w:val="nil"/>
            </w:tcBorders>
            <w:shd w:val="clear" w:color="auto" w:fill="FFFFFF"/>
            <w:vAlign w:val="center"/>
          </w:tcPr>
          <w:p w14:paraId="0EC00E2F"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b/>
                <w:sz w:val="24"/>
                <w:szCs w:val="24"/>
              </w:rPr>
            </w:pPr>
          </w:p>
        </w:tc>
        <w:tc>
          <w:tcPr>
            <w:tcW w:w="644" w:type="pct"/>
            <w:vMerge/>
            <w:tcBorders>
              <w:left w:val="nil"/>
              <w:bottom w:val="single" w:sz="4" w:space="0" w:color="auto"/>
              <w:right w:val="nil"/>
            </w:tcBorders>
            <w:shd w:val="clear" w:color="auto" w:fill="FFFFFF"/>
            <w:vAlign w:val="center"/>
          </w:tcPr>
          <w:p w14:paraId="78ECC8C8"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b/>
                <w:sz w:val="24"/>
                <w:szCs w:val="24"/>
              </w:rPr>
            </w:pPr>
          </w:p>
        </w:tc>
      </w:tr>
      <w:tr w:rsidR="00073A16" w:rsidRPr="00BB6978" w14:paraId="53C08B33" w14:textId="77777777" w:rsidTr="00CE66D1">
        <w:trPr>
          <w:cantSplit/>
        </w:trPr>
        <w:tc>
          <w:tcPr>
            <w:tcW w:w="1076" w:type="pct"/>
            <w:tcBorders>
              <w:left w:val="nil"/>
              <w:bottom w:val="nil"/>
              <w:right w:val="nil"/>
            </w:tcBorders>
            <w:shd w:val="clear" w:color="auto" w:fill="FFFFFF"/>
            <w:vAlign w:val="center"/>
          </w:tcPr>
          <w:p w14:paraId="55B797D2"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(Constant)</w:t>
            </w:r>
          </w:p>
        </w:tc>
        <w:tc>
          <w:tcPr>
            <w:tcW w:w="849" w:type="pct"/>
            <w:tcBorders>
              <w:left w:val="nil"/>
              <w:bottom w:val="nil"/>
              <w:right w:val="nil"/>
            </w:tcBorders>
            <w:shd w:val="clear" w:color="auto" w:fill="FFFFFF"/>
          </w:tcPr>
          <w:p w14:paraId="7F483A63"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1.882</w:t>
            </w:r>
          </w:p>
        </w:tc>
        <w:tc>
          <w:tcPr>
            <w:tcW w:w="849" w:type="pct"/>
            <w:tcBorders>
              <w:left w:val="nil"/>
              <w:bottom w:val="nil"/>
              <w:right w:val="nil"/>
            </w:tcBorders>
            <w:shd w:val="clear" w:color="auto" w:fill="FFFFFF"/>
          </w:tcPr>
          <w:p w14:paraId="10F4E5C6"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.161</w:t>
            </w:r>
          </w:p>
        </w:tc>
        <w:tc>
          <w:tcPr>
            <w:tcW w:w="937" w:type="pct"/>
            <w:vMerge w:val="restart"/>
            <w:tcBorders>
              <w:left w:val="nil"/>
              <w:right w:val="nil"/>
            </w:tcBorders>
            <w:shd w:val="clear" w:color="auto" w:fill="FFFFFF"/>
            <w:vAlign w:val="center"/>
          </w:tcPr>
          <w:p w14:paraId="1E1F8F82"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0.421</w:t>
            </w:r>
          </w:p>
        </w:tc>
        <w:tc>
          <w:tcPr>
            <w:tcW w:w="644" w:type="pct"/>
            <w:tcBorders>
              <w:left w:val="nil"/>
              <w:bottom w:val="nil"/>
              <w:right w:val="nil"/>
            </w:tcBorders>
            <w:shd w:val="clear" w:color="auto" w:fill="FFFFFF"/>
          </w:tcPr>
          <w:p w14:paraId="3BD13901"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11.712</w:t>
            </w:r>
          </w:p>
        </w:tc>
        <w:tc>
          <w:tcPr>
            <w:tcW w:w="644" w:type="pct"/>
            <w:tcBorders>
              <w:left w:val="nil"/>
              <w:bottom w:val="nil"/>
              <w:right w:val="nil"/>
            </w:tcBorders>
            <w:shd w:val="clear" w:color="auto" w:fill="FFFFFF"/>
            <w:vAlign w:val="center"/>
          </w:tcPr>
          <w:p w14:paraId="6484BFD7"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0.000</w:t>
            </w:r>
          </w:p>
        </w:tc>
      </w:tr>
      <w:tr w:rsidR="00073A16" w:rsidRPr="00BB6978" w14:paraId="6D00116B" w14:textId="77777777" w:rsidTr="00CE66D1">
        <w:trPr>
          <w:cantSplit/>
        </w:trPr>
        <w:tc>
          <w:tcPr>
            <w:tcW w:w="1076" w:type="pct"/>
            <w:tcBorders>
              <w:top w:val="nil"/>
              <w:left w:val="nil"/>
              <w:bottom w:val="nil"/>
              <w:right w:val="nil"/>
            </w:tcBorders>
            <w:shd w:val="clear" w:color="auto" w:fill="FFFFFF"/>
            <w:vAlign w:val="center"/>
          </w:tcPr>
          <w:p w14:paraId="1CA8F32E"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School Cost</w:t>
            </w:r>
          </w:p>
        </w:tc>
        <w:tc>
          <w:tcPr>
            <w:tcW w:w="849" w:type="pct"/>
            <w:tcBorders>
              <w:top w:val="nil"/>
              <w:left w:val="nil"/>
              <w:bottom w:val="nil"/>
              <w:right w:val="nil"/>
            </w:tcBorders>
            <w:shd w:val="clear" w:color="auto" w:fill="FFFFFF"/>
          </w:tcPr>
          <w:p w14:paraId="1885E269"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.166</w:t>
            </w:r>
          </w:p>
        </w:tc>
        <w:tc>
          <w:tcPr>
            <w:tcW w:w="849" w:type="pct"/>
            <w:tcBorders>
              <w:top w:val="nil"/>
              <w:left w:val="nil"/>
              <w:bottom w:val="nil"/>
              <w:right w:val="nil"/>
            </w:tcBorders>
            <w:shd w:val="clear" w:color="auto" w:fill="FFFFFF"/>
          </w:tcPr>
          <w:p w14:paraId="634BA08C"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.031</w:t>
            </w:r>
          </w:p>
        </w:tc>
        <w:tc>
          <w:tcPr>
            <w:tcW w:w="937" w:type="pct"/>
            <w:vMerge/>
            <w:tcBorders>
              <w:left w:val="nil"/>
              <w:right w:val="nil"/>
            </w:tcBorders>
            <w:shd w:val="clear" w:color="auto" w:fill="FFFFFF"/>
            <w:vAlign w:val="center"/>
          </w:tcPr>
          <w:p w14:paraId="675B02DC"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c>
          <w:tcPr>
            <w:tcW w:w="644" w:type="pct"/>
            <w:tcBorders>
              <w:top w:val="nil"/>
              <w:left w:val="nil"/>
              <w:bottom w:val="nil"/>
              <w:right w:val="nil"/>
            </w:tcBorders>
            <w:shd w:val="clear" w:color="auto" w:fill="FFFFFF"/>
          </w:tcPr>
          <w:p w14:paraId="29899042"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5.411</w:t>
            </w:r>
          </w:p>
        </w:tc>
        <w:tc>
          <w:tcPr>
            <w:tcW w:w="644" w:type="pct"/>
            <w:tcBorders>
              <w:top w:val="nil"/>
              <w:left w:val="nil"/>
              <w:bottom w:val="nil"/>
              <w:right w:val="nil"/>
            </w:tcBorders>
            <w:shd w:val="clear" w:color="auto" w:fill="FFFFFF"/>
            <w:vAlign w:val="center"/>
          </w:tcPr>
          <w:p w14:paraId="1D7001C1"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0.000**</w:t>
            </w:r>
          </w:p>
        </w:tc>
      </w:tr>
      <w:tr w:rsidR="00073A16" w:rsidRPr="00BB6978" w14:paraId="4768476A" w14:textId="77777777" w:rsidTr="00CE66D1">
        <w:trPr>
          <w:cantSplit/>
        </w:trPr>
        <w:tc>
          <w:tcPr>
            <w:tcW w:w="1076" w:type="pct"/>
            <w:tcBorders>
              <w:top w:val="nil"/>
              <w:left w:val="nil"/>
              <w:right w:val="nil"/>
            </w:tcBorders>
            <w:shd w:val="clear" w:color="auto" w:fill="FFFFFF"/>
            <w:vAlign w:val="center"/>
          </w:tcPr>
          <w:p w14:paraId="36A91A93"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School Quality</w:t>
            </w:r>
          </w:p>
        </w:tc>
        <w:tc>
          <w:tcPr>
            <w:tcW w:w="849" w:type="pct"/>
            <w:tcBorders>
              <w:top w:val="nil"/>
              <w:left w:val="nil"/>
              <w:right w:val="nil"/>
            </w:tcBorders>
            <w:shd w:val="clear" w:color="auto" w:fill="FFFFFF"/>
          </w:tcPr>
          <w:p w14:paraId="106D580A"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.461</w:t>
            </w:r>
          </w:p>
        </w:tc>
        <w:tc>
          <w:tcPr>
            <w:tcW w:w="849" w:type="pct"/>
            <w:tcBorders>
              <w:top w:val="nil"/>
              <w:left w:val="nil"/>
              <w:right w:val="nil"/>
            </w:tcBorders>
            <w:shd w:val="clear" w:color="auto" w:fill="FFFFFF"/>
          </w:tcPr>
          <w:p w14:paraId="4DD73AEB"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.048</w:t>
            </w:r>
          </w:p>
        </w:tc>
        <w:tc>
          <w:tcPr>
            <w:tcW w:w="937" w:type="pct"/>
            <w:tcBorders>
              <w:left w:val="nil"/>
              <w:right w:val="nil"/>
            </w:tcBorders>
            <w:shd w:val="clear" w:color="auto" w:fill="FFFFFF"/>
            <w:vAlign w:val="center"/>
          </w:tcPr>
          <w:p w14:paraId="54FC278E"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c>
          <w:tcPr>
            <w:tcW w:w="644" w:type="pct"/>
            <w:tcBorders>
              <w:top w:val="nil"/>
              <w:left w:val="nil"/>
              <w:right w:val="nil"/>
            </w:tcBorders>
            <w:shd w:val="clear" w:color="auto" w:fill="FFFFFF"/>
          </w:tcPr>
          <w:p w14:paraId="688658C9"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9.646</w:t>
            </w:r>
          </w:p>
        </w:tc>
        <w:tc>
          <w:tcPr>
            <w:tcW w:w="644" w:type="pct"/>
            <w:tcBorders>
              <w:top w:val="nil"/>
              <w:left w:val="nil"/>
              <w:right w:val="nil"/>
            </w:tcBorders>
            <w:shd w:val="clear" w:color="auto" w:fill="FFFFFF"/>
            <w:vAlign w:val="center"/>
          </w:tcPr>
          <w:p w14:paraId="05090DEF"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0.000**</w:t>
            </w:r>
          </w:p>
        </w:tc>
      </w:tr>
    </w:tbl>
    <w:p w14:paraId="06889330" w14:textId="77777777" w:rsidR="006E3964" w:rsidRPr="00BB6978" w:rsidRDefault="006E3964" w:rsidP="006E3964">
      <w:pPr>
        <w:autoSpaceDE w:val="0"/>
        <w:autoSpaceDN w:val="0"/>
        <w:adjustRightInd w:val="0"/>
        <w:spacing w:after="0" w:line="400" w:lineRule="atLeast"/>
        <w:rPr>
          <w:rFonts w:ascii="Times New Roman" w:eastAsia="Calibri" w:hAnsi="Times New Roman" w:cs="Times New Roman"/>
          <w:sz w:val="24"/>
          <w:szCs w:val="24"/>
        </w:rPr>
      </w:pPr>
      <w:r w:rsidRPr="00BB6978">
        <w:rPr>
          <w:rFonts w:ascii="Times New Roman" w:eastAsia="Calibri" w:hAnsi="Times New Roman" w:cs="Times New Roman"/>
          <w:sz w:val="24"/>
          <w:szCs w:val="24"/>
        </w:rPr>
        <w:t>Dependent Variable: Student achievement, **p&lt;0.001</w:t>
      </w:r>
    </w:p>
    <w:p w14:paraId="40835E92" w14:textId="77777777" w:rsidR="006E3964" w:rsidRPr="00BB6978" w:rsidRDefault="006E3964" w:rsidP="006E3964">
      <w:pPr>
        <w:autoSpaceDE w:val="0"/>
        <w:autoSpaceDN w:val="0"/>
        <w:adjustRightInd w:val="0"/>
        <w:spacing w:after="0" w:line="400" w:lineRule="atLeast"/>
        <w:jc w:val="both"/>
        <w:rPr>
          <w:rFonts w:ascii="Times New Roman" w:eastAsia="Calibri" w:hAnsi="Times New Roman" w:cs="Times New Roman"/>
          <w:iCs/>
          <w:sz w:val="24"/>
          <w:szCs w:val="24"/>
        </w:rPr>
      </w:pPr>
    </w:p>
    <w:p w14:paraId="0ACFE17B" w14:textId="77777777" w:rsidR="006E3964" w:rsidRPr="00BB6978" w:rsidRDefault="006E3964" w:rsidP="006E3964">
      <w:pPr>
        <w:spacing w:line="360" w:lineRule="auto"/>
        <w:ind w:left="426" w:hanging="426"/>
        <w:jc w:val="both"/>
        <w:rPr>
          <w:rFonts w:ascii="Times New Roman" w:eastAsia="Calibri" w:hAnsi="Times New Roman" w:cs="Times New Roman"/>
          <w:i/>
          <w:sz w:val="24"/>
          <w:szCs w:val="24"/>
        </w:rPr>
      </w:pPr>
      <w:r w:rsidRPr="00BB6978">
        <w:rPr>
          <w:rFonts w:ascii="Times New Roman" w:eastAsia="Calibri" w:hAnsi="Times New Roman" w:cs="Times New Roman"/>
          <w:i/>
          <w:sz w:val="24"/>
          <w:szCs w:val="24"/>
        </w:rPr>
        <w:t>H</w:t>
      </w:r>
      <w:r w:rsidRPr="00BB6978">
        <w:rPr>
          <w:rFonts w:ascii="Times New Roman" w:eastAsia="Calibri" w:hAnsi="Times New Roman" w:cs="Times New Roman"/>
          <w:i/>
          <w:sz w:val="24"/>
          <w:szCs w:val="24"/>
          <w:vertAlign w:val="subscript"/>
        </w:rPr>
        <w:t xml:space="preserve">5: </w:t>
      </w:r>
      <w:r w:rsidRPr="00BB6978">
        <w:rPr>
          <w:rFonts w:ascii="Times New Roman" w:eastAsia="Calibri" w:hAnsi="Times New Roman" w:cs="Times New Roman"/>
          <w:i/>
          <w:iCs/>
          <w:sz w:val="24"/>
          <w:szCs w:val="24"/>
        </w:rPr>
        <w:t>Parents’ income moderates the relationship between school cost and students’ achievements in private schools in Abu Dhabi</w:t>
      </w:r>
      <w:r w:rsidRPr="00BB6978">
        <w:rPr>
          <w:rFonts w:ascii="Times New Roman" w:eastAsia="Calibri" w:hAnsi="Times New Roman" w:cs="Times New Roman"/>
          <w:sz w:val="24"/>
          <w:szCs w:val="24"/>
        </w:rPr>
        <w:t>.</w:t>
      </w:r>
    </w:p>
    <w:p w14:paraId="6409E860" w14:textId="77777777" w:rsidR="006E3964" w:rsidRPr="00BB6978" w:rsidRDefault="006E3964" w:rsidP="006E3964">
      <w:pPr>
        <w:spacing w:line="480" w:lineRule="auto"/>
        <w:ind w:firstLine="720"/>
        <w:jc w:val="both"/>
        <w:rPr>
          <w:rFonts w:asciiTheme="majorBidi" w:hAnsiTheme="majorBidi" w:cstheme="majorBidi"/>
          <w:sz w:val="24"/>
          <w:szCs w:val="24"/>
        </w:rPr>
      </w:pPr>
      <w:r w:rsidRPr="00BB6978">
        <w:rPr>
          <w:rFonts w:ascii="Times New Roman" w:eastAsia="Calibri" w:hAnsi="Times New Roman" w:cs="Times New Roman"/>
          <w:iCs/>
          <w:sz w:val="24"/>
          <w:szCs w:val="24"/>
        </w:rPr>
        <w:t xml:space="preserve">To understand the relationship between school cost and students’ achievement and how it is moderated by parents’ income, the linear regression analysis has been employed after splitting the data in terms of the nominal classifications of the parents’ income, which are: 1) </w:t>
      </w:r>
      <w:r w:rsidRPr="00BB6978">
        <w:rPr>
          <w:rFonts w:ascii="Times New Roman" w:hAnsi="Times New Roman" w:cs="Times New Roman"/>
          <w:sz w:val="24"/>
          <w:szCs w:val="24"/>
        </w:rPr>
        <w:t>Up to 20,000 AED; 2) between 21,000 and 40,000 AED; 3)</w:t>
      </w:r>
      <w:r w:rsidRPr="00BB6978">
        <w:rPr>
          <w:rFonts w:ascii="Times New Roman" w:eastAsia="Calibri" w:hAnsi="Times New Roman" w:cs="Times New Roman"/>
          <w:iCs/>
          <w:sz w:val="24"/>
          <w:szCs w:val="24"/>
        </w:rPr>
        <w:t xml:space="preserve"> </w:t>
      </w:r>
      <w:r w:rsidRPr="00BB6978">
        <w:rPr>
          <w:rFonts w:ascii="Times New Roman" w:hAnsi="Times New Roman" w:cs="Times New Roman"/>
          <w:sz w:val="24"/>
          <w:szCs w:val="24"/>
        </w:rPr>
        <w:t>between 41,000 and 60,000 AED</w:t>
      </w:r>
      <w:r w:rsidRPr="00BB6978">
        <w:rPr>
          <w:rFonts w:ascii="Times New Roman" w:eastAsia="Calibri" w:hAnsi="Times New Roman" w:cs="Times New Roman"/>
          <w:iCs/>
          <w:sz w:val="24"/>
          <w:szCs w:val="24"/>
        </w:rPr>
        <w:t xml:space="preserve">; and 4) </w:t>
      </w:r>
      <w:r w:rsidRPr="00BB6978">
        <w:rPr>
          <w:rFonts w:ascii="Times New Roman" w:hAnsi="Times New Roman" w:cs="Times New Roman"/>
          <w:sz w:val="24"/>
          <w:szCs w:val="24"/>
        </w:rPr>
        <w:t xml:space="preserve">More than 60,000 AED. The results displayed in Table 15 that the parents’ income as a moderator strengthen the correlation between school cost and students’ achievement. As mentioned before that </w:t>
      </w:r>
      <w:r w:rsidRPr="00BB6978">
        <w:rPr>
          <w:rFonts w:asciiTheme="majorBidi" w:hAnsiTheme="majorBidi" w:cstheme="majorBidi"/>
          <w:sz w:val="24"/>
          <w:szCs w:val="24"/>
        </w:rPr>
        <w:t xml:space="preserve">28.5% of the variability in students’ achievement can be attributed to school cost. However, now it increases in each classification of the parents’ income </w:t>
      </w:r>
      <w:r w:rsidRPr="00BB6978">
        <w:rPr>
          <w:rFonts w:ascii="Times New Roman" w:hAnsi="Times New Roman" w:cs="Times New Roman"/>
          <w:sz w:val="24"/>
          <w:szCs w:val="24"/>
        </w:rPr>
        <w:t>with exception to the classification of “More than 60.000” (</w:t>
      </w:r>
      <w:r w:rsidRPr="00BB6978">
        <w:rPr>
          <w:rFonts w:asciiTheme="majorBidi" w:hAnsiTheme="majorBidi" w:cstheme="majorBidi"/>
          <w:i/>
          <w:iCs/>
          <w:sz w:val="24"/>
          <w:szCs w:val="24"/>
        </w:rPr>
        <w:t>R</w:t>
      </w:r>
      <w:r w:rsidRPr="00BB6978">
        <w:rPr>
          <w:rFonts w:asciiTheme="majorBidi" w:hAnsiTheme="majorBidi" w:cstheme="majorBidi"/>
          <w:i/>
          <w:iCs/>
          <w:sz w:val="24"/>
          <w:szCs w:val="24"/>
          <w:vertAlign w:val="superscript"/>
        </w:rPr>
        <w:t>2</w:t>
      </w:r>
      <w:r w:rsidRPr="00BB6978">
        <w:rPr>
          <w:rFonts w:asciiTheme="majorBidi" w:hAnsiTheme="majorBidi" w:cstheme="majorBidi"/>
          <w:sz w:val="24"/>
          <w:szCs w:val="24"/>
          <w:vertAlign w:val="superscript"/>
        </w:rPr>
        <w:t xml:space="preserve"> </w:t>
      </w:r>
      <w:r w:rsidRPr="00BB6978">
        <w:rPr>
          <w:rFonts w:asciiTheme="majorBidi" w:hAnsiTheme="majorBidi" w:cstheme="majorBidi"/>
          <w:sz w:val="24"/>
          <w:szCs w:val="24"/>
        </w:rPr>
        <w:t xml:space="preserve">= </w:t>
      </w:r>
      <w:r w:rsidRPr="00BB6978">
        <w:rPr>
          <w:rFonts w:ascii="Times New Roman" w:eastAsia="Calibri" w:hAnsi="Times New Roman" w:cs="Times New Roman"/>
          <w:sz w:val="24"/>
          <w:szCs w:val="24"/>
        </w:rPr>
        <w:t>.162</w:t>
      </w:r>
      <w:r w:rsidRPr="00BB6978">
        <w:rPr>
          <w:rFonts w:asciiTheme="majorBidi" w:hAnsiTheme="majorBidi" w:cstheme="majorBidi"/>
          <w:sz w:val="24"/>
          <w:szCs w:val="24"/>
        </w:rPr>
        <w:t xml:space="preserve">, </w:t>
      </w:r>
      <w:r w:rsidRPr="00BB6978">
        <w:rPr>
          <w:rFonts w:asciiTheme="majorBidi" w:hAnsiTheme="majorBidi" w:cstheme="majorBidi"/>
          <w:i/>
          <w:iCs/>
          <w:sz w:val="24"/>
          <w:szCs w:val="24"/>
        </w:rPr>
        <w:t>p</w:t>
      </w:r>
      <w:r w:rsidRPr="00BB6978">
        <w:rPr>
          <w:rFonts w:asciiTheme="majorBidi" w:hAnsiTheme="majorBidi" w:cstheme="majorBidi"/>
          <w:sz w:val="24"/>
          <w:szCs w:val="24"/>
        </w:rPr>
        <w:t xml:space="preserve">&lt;0.001), although it is still significant. To elaborate more, the highest classification is parents whose income between 41.000 and 60.000; this classification shows a significant effect as a moderator on the relationship between school cost and students’ achievement </w:t>
      </w:r>
      <w:r w:rsidRPr="00BB6978">
        <w:rPr>
          <w:rFonts w:ascii="Times New Roman" w:hAnsi="Times New Roman" w:cs="Times New Roman"/>
          <w:sz w:val="24"/>
          <w:szCs w:val="24"/>
        </w:rPr>
        <w:t>(</w:t>
      </w:r>
      <w:r w:rsidRPr="00BB6978">
        <w:rPr>
          <w:rFonts w:asciiTheme="majorBidi" w:hAnsiTheme="majorBidi" w:cstheme="majorBidi"/>
          <w:i/>
          <w:iCs/>
          <w:sz w:val="24"/>
          <w:szCs w:val="24"/>
        </w:rPr>
        <w:t>R</w:t>
      </w:r>
      <w:r w:rsidRPr="00BB6978">
        <w:rPr>
          <w:rFonts w:asciiTheme="majorBidi" w:hAnsiTheme="majorBidi" w:cstheme="majorBidi"/>
          <w:i/>
          <w:iCs/>
          <w:sz w:val="24"/>
          <w:szCs w:val="24"/>
          <w:vertAlign w:val="superscript"/>
        </w:rPr>
        <w:t>2</w:t>
      </w:r>
      <w:r w:rsidRPr="00BB6978">
        <w:rPr>
          <w:rFonts w:asciiTheme="majorBidi" w:hAnsiTheme="majorBidi" w:cstheme="majorBidi"/>
          <w:sz w:val="24"/>
          <w:szCs w:val="24"/>
          <w:vertAlign w:val="superscript"/>
        </w:rPr>
        <w:t xml:space="preserve"> </w:t>
      </w:r>
      <w:r w:rsidRPr="00BB6978">
        <w:rPr>
          <w:rFonts w:asciiTheme="majorBidi" w:hAnsiTheme="majorBidi" w:cstheme="majorBidi"/>
          <w:sz w:val="24"/>
          <w:szCs w:val="24"/>
        </w:rPr>
        <w:t xml:space="preserve">= </w:t>
      </w:r>
      <w:r w:rsidRPr="00BB6978">
        <w:rPr>
          <w:rFonts w:ascii="Times New Roman" w:eastAsia="Calibri" w:hAnsi="Times New Roman" w:cs="Times New Roman"/>
          <w:sz w:val="24"/>
          <w:szCs w:val="24"/>
        </w:rPr>
        <w:t>.438</w:t>
      </w:r>
      <w:r w:rsidRPr="00BB6978">
        <w:rPr>
          <w:rFonts w:asciiTheme="majorBidi" w:hAnsiTheme="majorBidi" w:cstheme="majorBidi"/>
          <w:sz w:val="24"/>
          <w:szCs w:val="24"/>
        </w:rPr>
        <w:t xml:space="preserve">, </w:t>
      </w:r>
      <w:r w:rsidRPr="00BB6978">
        <w:rPr>
          <w:rFonts w:asciiTheme="majorBidi" w:hAnsiTheme="majorBidi" w:cstheme="majorBidi"/>
          <w:i/>
          <w:iCs/>
          <w:sz w:val="24"/>
          <w:szCs w:val="24"/>
        </w:rPr>
        <w:t>p</w:t>
      </w:r>
      <w:r w:rsidRPr="00BB6978">
        <w:rPr>
          <w:rFonts w:asciiTheme="majorBidi" w:hAnsiTheme="majorBidi" w:cstheme="majorBidi"/>
          <w:sz w:val="24"/>
          <w:szCs w:val="24"/>
        </w:rPr>
        <w:t>&lt;0.001). This means that 43.8% of the variability in students’ achievement can be attributed to school cost moderated by parents with high income. So, the higher income is found, the more school cost positively affects the students’ achievement. Therefore, the hypothesis is accepted.</w:t>
      </w:r>
    </w:p>
    <w:p w14:paraId="6B2489A8" w14:textId="77777777" w:rsidR="006E3964" w:rsidRPr="00BB6978" w:rsidRDefault="00131282" w:rsidP="007F58DC">
      <w:pPr>
        <w:pStyle w:val="Caption"/>
        <w:rPr>
          <w:rFonts w:eastAsia="Times New Roman"/>
          <w:u w:val="single"/>
        </w:rPr>
      </w:pPr>
      <w:bookmarkStart w:id="154" w:name="_Toc134452499"/>
      <w:r w:rsidRPr="00BB6978">
        <w:t xml:space="preserve">Table </w:t>
      </w:r>
      <w:r w:rsidRPr="00BB6978">
        <w:fldChar w:fldCharType="begin"/>
      </w:r>
      <w:r w:rsidRPr="00BB6978">
        <w:instrText xml:space="preserve"> SEQ Table \* ARABIC </w:instrText>
      </w:r>
      <w:r w:rsidRPr="00BB6978">
        <w:fldChar w:fldCharType="separate"/>
      </w:r>
      <w:r w:rsidRPr="00BB6978">
        <w:rPr>
          <w:noProof/>
        </w:rPr>
        <w:t>15</w:t>
      </w:r>
      <w:r w:rsidRPr="00BB6978">
        <w:rPr>
          <w:noProof/>
        </w:rPr>
        <w:fldChar w:fldCharType="end"/>
      </w:r>
      <w:r w:rsidR="006E3964" w:rsidRPr="00BB6978">
        <w:t>: Association between school cost, parents’ income and students’ achievement</w:t>
      </w:r>
      <w:bookmarkEnd w:id="15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547"/>
        <w:gridCol w:w="1134"/>
        <w:gridCol w:w="881"/>
        <w:gridCol w:w="880"/>
        <w:gridCol w:w="841"/>
        <w:gridCol w:w="638"/>
        <w:gridCol w:w="725"/>
        <w:gridCol w:w="940"/>
      </w:tblGrid>
      <w:tr w:rsidR="00073A16" w:rsidRPr="00BB6978" w14:paraId="5D609A5A" w14:textId="77777777" w:rsidTr="00CE66D1">
        <w:trPr>
          <w:cantSplit/>
        </w:trPr>
        <w:tc>
          <w:tcPr>
            <w:tcW w:w="1068" w:type="pct"/>
            <w:tcBorders>
              <w:left w:val="nil"/>
              <w:right w:val="nil"/>
            </w:tcBorders>
            <w:shd w:val="clear" w:color="auto" w:fill="BDD6EE" w:themeFill="accent5" w:themeFillTint="66"/>
          </w:tcPr>
          <w:p w14:paraId="73C1E99D" w14:textId="77777777" w:rsidR="006E3964" w:rsidRPr="00BB6978" w:rsidRDefault="006E3964" w:rsidP="00CE66D1">
            <w:pPr>
              <w:tabs>
                <w:tab w:val="left" w:pos="253"/>
              </w:tabs>
              <w:autoSpaceDE w:val="0"/>
              <w:autoSpaceDN w:val="0"/>
              <w:adjustRightInd w:val="0"/>
              <w:spacing w:after="0" w:line="320" w:lineRule="atLeast"/>
              <w:ind w:right="60"/>
              <w:rPr>
                <w:rFonts w:ascii="Times New Roman" w:eastAsia="Calibri" w:hAnsi="Times New Roman" w:cs="Times New Roman"/>
                <w:sz w:val="24"/>
                <w:szCs w:val="24"/>
              </w:rPr>
            </w:pPr>
          </w:p>
        </w:tc>
        <w:tc>
          <w:tcPr>
            <w:tcW w:w="733" w:type="pct"/>
            <w:vMerge w:val="restart"/>
            <w:tcBorders>
              <w:left w:val="nil"/>
              <w:right w:val="nil"/>
            </w:tcBorders>
            <w:shd w:val="clear" w:color="auto" w:fill="BDD6EE" w:themeFill="accent5" w:themeFillTint="66"/>
          </w:tcPr>
          <w:p w14:paraId="712C2857" w14:textId="77777777" w:rsidR="006E3964" w:rsidRPr="00BB6978" w:rsidRDefault="006E3964" w:rsidP="00CE66D1">
            <w:pPr>
              <w:tabs>
                <w:tab w:val="left" w:pos="253"/>
              </w:tabs>
              <w:autoSpaceDE w:val="0"/>
              <w:autoSpaceDN w:val="0"/>
              <w:adjustRightInd w:val="0"/>
              <w:spacing w:after="0" w:line="320" w:lineRule="atLeast"/>
              <w:ind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ab/>
            </w:r>
          </w:p>
          <w:p w14:paraId="461478A2" w14:textId="77777777" w:rsidR="006E3964" w:rsidRPr="00BB6978" w:rsidRDefault="006E3964" w:rsidP="00CE66D1">
            <w:pPr>
              <w:autoSpaceDE w:val="0"/>
              <w:autoSpaceDN w:val="0"/>
              <w:adjustRightInd w:val="0"/>
              <w:spacing w:after="0" w:line="320" w:lineRule="atLeast"/>
              <w:ind w:left="60" w:right="60"/>
              <w:jc w:val="right"/>
              <w:rPr>
                <w:rFonts w:ascii="Times New Roman" w:eastAsia="Calibri" w:hAnsi="Times New Roman" w:cs="Times New Roman"/>
                <w:sz w:val="24"/>
                <w:szCs w:val="24"/>
              </w:rPr>
            </w:pPr>
          </w:p>
        </w:tc>
        <w:tc>
          <w:tcPr>
            <w:tcW w:w="994" w:type="pct"/>
            <w:gridSpan w:val="2"/>
            <w:tcBorders>
              <w:left w:val="nil"/>
              <w:right w:val="nil"/>
            </w:tcBorders>
            <w:shd w:val="clear" w:color="auto" w:fill="BDD6EE" w:themeFill="accent5" w:themeFillTint="66"/>
            <w:vAlign w:val="center"/>
          </w:tcPr>
          <w:p w14:paraId="1A64AF67" w14:textId="77777777" w:rsidR="006E3964" w:rsidRPr="00BB6978" w:rsidRDefault="006E3964" w:rsidP="00CE66D1">
            <w:pPr>
              <w:autoSpaceDE w:val="0"/>
              <w:autoSpaceDN w:val="0"/>
              <w:adjustRightInd w:val="0"/>
              <w:spacing w:after="0" w:line="240" w:lineRule="auto"/>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Unstandardized</w:t>
            </w:r>
          </w:p>
          <w:p w14:paraId="23A9C003" w14:textId="77777777" w:rsidR="006E3964" w:rsidRPr="00BB6978" w:rsidRDefault="006E3964" w:rsidP="00CE66D1">
            <w:pPr>
              <w:autoSpaceDE w:val="0"/>
              <w:autoSpaceDN w:val="0"/>
              <w:adjustRightInd w:val="0"/>
              <w:spacing w:after="0" w:line="240" w:lineRule="auto"/>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Coefficients</w:t>
            </w:r>
          </w:p>
        </w:tc>
        <w:tc>
          <w:tcPr>
            <w:tcW w:w="602" w:type="pct"/>
            <w:vMerge w:val="restart"/>
            <w:tcBorders>
              <w:left w:val="nil"/>
              <w:right w:val="nil"/>
            </w:tcBorders>
            <w:shd w:val="clear" w:color="auto" w:fill="BDD6EE"/>
            <w:vAlign w:val="center"/>
          </w:tcPr>
          <w:p w14:paraId="4237F268" w14:textId="77777777" w:rsidR="006E3964" w:rsidRPr="00BB6978" w:rsidRDefault="006E3964" w:rsidP="00CE66D1">
            <w:pPr>
              <w:autoSpaceDE w:val="0"/>
              <w:autoSpaceDN w:val="0"/>
              <w:adjustRightInd w:val="0"/>
              <w:spacing w:after="0" w:line="240" w:lineRule="auto"/>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R-square</w:t>
            </w:r>
          </w:p>
        </w:tc>
        <w:tc>
          <w:tcPr>
            <w:tcW w:w="468" w:type="pct"/>
            <w:vMerge w:val="restart"/>
            <w:tcBorders>
              <w:left w:val="nil"/>
              <w:right w:val="nil"/>
            </w:tcBorders>
            <w:shd w:val="clear" w:color="auto" w:fill="BDD6EE"/>
          </w:tcPr>
          <w:p w14:paraId="775B45E9" w14:textId="77777777" w:rsidR="006E3964" w:rsidRPr="00BB6978" w:rsidRDefault="006E3964" w:rsidP="00CE66D1">
            <w:pPr>
              <w:autoSpaceDE w:val="0"/>
              <w:autoSpaceDN w:val="0"/>
              <w:adjustRightInd w:val="0"/>
              <w:spacing w:after="0" w:line="240" w:lineRule="auto"/>
              <w:ind w:left="60" w:right="60"/>
              <w:jc w:val="center"/>
              <w:rPr>
                <w:rFonts w:ascii="Times New Roman" w:eastAsia="Calibri" w:hAnsi="Times New Roman" w:cs="Times New Roman"/>
                <w:b/>
                <w:sz w:val="24"/>
                <w:szCs w:val="24"/>
              </w:rPr>
            </w:pPr>
          </w:p>
          <w:p w14:paraId="0395FC73" w14:textId="77777777" w:rsidR="006E3964" w:rsidRPr="00BB6978" w:rsidRDefault="006E3964" w:rsidP="00CE66D1">
            <w:pPr>
              <w:autoSpaceDE w:val="0"/>
              <w:autoSpaceDN w:val="0"/>
              <w:adjustRightInd w:val="0"/>
              <w:spacing w:after="0" w:line="240" w:lineRule="auto"/>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R</w:t>
            </w:r>
          </w:p>
        </w:tc>
        <w:tc>
          <w:tcPr>
            <w:tcW w:w="468" w:type="pct"/>
            <w:vMerge w:val="restart"/>
            <w:tcBorders>
              <w:left w:val="nil"/>
              <w:right w:val="nil"/>
            </w:tcBorders>
            <w:shd w:val="clear" w:color="auto" w:fill="BDD6EE"/>
            <w:vAlign w:val="center"/>
          </w:tcPr>
          <w:p w14:paraId="2C02848C" w14:textId="77777777" w:rsidR="006E3964" w:rsidRPr="00BB6978" w:rsidRDefault="006E3964" w:rsidP="00CE66D1">
            <w:pPr>
              <w:autoSpaceDE w:val="0"/>
              <w:autoSpaceDN w:val="0"/>
              <w:adjustRightInd w:val="0"/>
              <w:spacing w:after="0" w:line="240" w:lineRule="auto"/>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t-value</w:t>
            </w:r>
          </w:p>
        </w:tc>
        <w:tc>
          <w:tcPr>
            <w:tcW w:w="667" w:type="pct"/>
            <w:vMerge w:val="restart"/>
            <w:tcBorders>
              <w:left w:val="nil"/>
              <w:right w:val="nil"/>
            </w:tcBorders>
            <w:shd w:val="clear" w:color="auto" w:fill="BDD6EE"/>
            <w:vAlign w:val="center"/>
          </w:tcPr>
          <w:p w14:paraId="77A3AE3F" w14:textId="77777777" w:rsidR="006E3964" w:rsidRPr="00BB6978" w:rsidRDefault="006E3964" w:rsidP="00CE66D1">
            <w:pPr>
              <w:autoSpaceDE w:val="0"/>
              <w:autoSpaceDN w:val="0"/>
              <w:adjustRightInd w:val="0"/>
              <w:spacing w:after="0" w:line="240" w:lineRule="auto"/>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p-value</w:t>
            </w:r>
          </w:p>
        </w:tc>
      </w:tr>
      <w:tr w:rsidR="00073A16" w:rsidRPr="00BB6978" w14:paraId="13760B97" w14:textId="77777777" w:rsidTr="00CE66D1">
        <w:trPr>
          <w:cantSplit/>
        </w:trPr>
        <w:tc>
          <w:tcPr>
            <w:tcW w:w="1068" w:type="pct"/>
            <w:tcBorders>
              <w:left w:val="nil"/>
              <w:bottom w:val="single" w:sz="4" w:space="0" w:color="auto"/>
              <w:right w:val="nil"/>
            </w:tcBorders>
            <w:shd w:val="clear" w:color="auto" w:fill="BDD6EE" w:themeFill="accent5" w:themeFillTint="66"/>
          </w:tcPr>
          <w:p w14:paraId="5E0E4516" w14:textId="77777777" w:rsidR="006E3964" w:rsidRPr="00BB6978" w:rsidRDefault="006E3964" w:rsidP="00CE66D1">
            <w:pPr>
              <w:autoSpaceDE w:val="0"/>
              <w:autoSpaceDN w:val="0"/>
              <w:adjustRightInd w:val="0"/>
              <w:spacing w:after="0" w:line="240" w:lineRule="auto"/>
              <w:rPr>
                <w:rFonts w:ascii="Times New Roman" w:eastAsia="Calibri" w:hAnsi="Times New Roman" w:cs="Times New Roman"/>
                <w:b/>
                <w:bCs/>
                <w:sz w:val="24"/>
                <w:szCs w:val="24"/>
              </w:rPr>
            </w:pPr>
            <w:r w:rsidRPr="00BB6978">
              <w:rPr>
                <w:rFonts w:ascii="Times New Roman" w:eastAsia="Calibri" w:hAnsi="Times New Roman" w:cs="Times New Roman"/>
                <w:b/>
                <w:bCs/>
                <w:sz w:val="24"/>
                <w:szCs w:val="24"/>
              </w:rPr>
              <w:t>Income</w:t>
            </w:r>
          </w:p>
        </w:tc>
        <w:tc>
          <w:tcPr>
            <w:tcW w:w="733" w:type="pct"/>
            <w:vMerge/>
            <w:tcBorders>
              <w:left w:val="nil"/>
              <w:bottom w:val="single" w:sz="4" w:space="0" w:color="auto"/>
              <w:right w:val="nil"/>
            </w:tcBorders>
            <w:shd w:val="clear" w:color="auto" w:fill="BDD6EE" w:themeFill="accent5" w:themeFillTint="66"/>
          </w:tcPr>
          <w:p w14:paraId="647D4763" w14:textId="77777777" w:rsidR="006E3964" w:rsidRPr="00BB6978" w:rsidRDefault="006E3964" w:rsidP="00CE66D1">
            <w:pPr>
              <w:autoSpaceDE w:val="0"/>
              <w:autoSpaceDN w:val="0"/>
              <w:adjustRightInd w:val="0"/>
              <w:spacing w:after="0" w:line="240" w:lineRule="auto"/>
              <w:rPr>
                <w:rFonts w:ascii="Times New Roman" w:eastAsia="Calibri" w:hAnsi="Times New Roman" w:cs="Times New Roman"/>
                <w:sz w:val="24"/>
                <w:szCs w:val="24"/>
              </w:rPr>
            </w:pPr>
          </w:p>
        </w:tc>
        <w:tc>
          <w:tcPr>
            <w:tcW w:w="497" w:type="pct"/>
            <w:tcBorders>
              <w:left w:val="nil"/>
              <w:bottom w:val="single" w:sz="4" w:space="0" w:color="auto"/>
              <w:right w:val="nil"/>
            </w:tcBorders>
            <w:shd w:val="clear" w:color="auto" w:fill="BDD6EE" w:themeFill="accent5" w:themeFillTint="66"/>
            <w:vAlign w:val="center"/>
          </w:tcPr>
          <w:p w14:paraId="35289E79" w14:textId="77777777" w:rsidR="006E3964" w:rsidRPr="00BB6978" w:rsidRDefault="006E3964" w:rsidP="00CE66D1">
            <w:pPr>
              <w:autoSpaceDE w:val="0"/>
              <w:autoSpaceDN w:val="0"/>
              <w:adjustRightInd w:val="0"/>
              <w:spacing w:after="0" w:line="240" w:lineRule="auto"/>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Beta</w:t>
            </w:r>
          </w:p>
        </w:tc>
        <w:tc>
          <w:tcPr>
            <w:tcW w:w="497" w:type="pct"/>
            <w:tcBorders>
              <w:left w:val="nil"/>
              <w:bottom w:val="single" w:sz="4" w:space="0" w:color="auto"/>
              <w:right w:val="nil"/>
            </w:tcBorders>
            <w:shd w:val="clear" w:color="auto" w:fill="BDD6EE"/>
            <w:vAlign w:val="center"/>
          </w:tcPr>
          <w:p w14:paraId="725444F2" w14:textId="77777777" w:rsidR="006E3964" w:rsidRPr="00BB6978" w:rsidRDefault="006E3964" w:rsidP="00CE66D1">
            <w:pPr>
              <w:autoSpaceDE w:val="0"/>
              <w:autoSpaceDN w:val="0"/>
              <w:adjustRightInd w:val="0"/>
              <w:spacing w:after="0" w:line="240" w:lineRule="auto"/>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SE</w:t>
            </w:r>
          </w:p>
        </w:tc>
        <w:tc>
          <w:tcPr>
            <w:tcW w:w="602" w:type="pct"/>
            <w:vMerge/>
            <w:tcBorders>
              <w:left w:val="nil"/>
              <w:bottom w:val="single" w:sz="4" w:space="0" w:color="auto"/>
              <w:right w:val="nil"/>
            </w:tcBorders>
            <w:shd w:val="clear" w:color="auto" w:fill="FFFFFF"/>
            <w:vAlign w:val="center"/>
          </w:tcPr>
          <w:p w14:paraId="25E5F293"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b/>
                <w:sz w:val="24"/>
                <w:szCs w:val="24"/>
              </w:rPr>
            </w:pPr>
          </w:p>
        </w:tc>
        <w:tc>
          <w:tcPr>
            <w:tcW w:w="468" w:type="pct"/>
            <w:vMerge/>
            <w:tcBorders>
              <w:left w:val="nil"/>
              <w:bottom w:val="single" w:sz="4" w:space="0" w:color="auto"/>
              <w:right w:val="nil"/>
            </w:tcBorders>
            <w:shd w:val="clear" w:color="auto" w:fill="FFFFFF"/>
          </w:tcPr>
          <w:p w14:paraId="0197B238"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b/>
                <w:sz w:val="24"/>
                <w:szCs w:val="24"/>
              </w:rPr>
            </w:pPr>
          </w:p>
        </w:tc>
        <w:tc>
          <w:tcPr>
            <w:tcW w:w="468" w:type="pct"/>
            <w:vMerge/>
            <w:tcBorders>
              <w:left w:val="nil"/>
              <w:bottom w:val="single" w:sz="4" w:space="0" w:color="auto"/>
              <w:right w:val="nil"/>
            </w:tcBorders>
            <w:shd w:val="clear" w:color="auto" w:fill="FFFFFF"/>
            <w:vAlign w:val="center"/>
          </w:tcPr>
          <w:p w14:paraId="339CC664"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b/>
                <w:sz w:val="24"/>
                <w:szCs w:val="24"/>
              </w:rPr>
            </w:pPr>
          </w:p>
        </w:tc>
        <w:tc>
          <w:tcPr>
            <w:tcW w:w="667" w:type="pct"/>
            <w:vMerge/>
            <w:tcBorders>
              <w:left w:val="nil"/>
              <w:bottom w:val="single" w:sz="4" w:space="0" w:color="auto"/>
              <w:right w:val="nil"/>
            </w:tcBorders>
            <w:shd w:val="clear" w:color="auto" w:fill="FFFFFF"/>
            <w:vAlign w:val="center"/>
          </w:tcPr>
          <w:p w14:paraId="2073BF13"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b/>
                <w:sz w:val="24"/>
                <w:szCs w:val="24"/>
              </w:rPr>
            </w:pPr>
          </w:p>
        </w:tc>
      </w:tr>
      <w:tr w:rsidR="00073A16" w:rsidRPr="00BB6978" w14:paraId="440279C3" w14:textId="77777777" w:rsidTr="00CE66D1">
        <w:trPr>
          <w:cantSplit/>
        </w:trPr>
        <w:tc>
          <w:tcPr>
            <w:tcW w:w="1068" w:type="pct"/>
            <w:vMerge w:val="restart"/>
            <w:tcBorders>
              <w:left w:val="nil"/>
              <w:right w:val="nil"/>
            </w:tcBorders>
            <w:shd w:val="clear" w:color="auto" w:fill="FFFFFF"/>
          </w:tcPr>
          <w:p w14:paraId="32A76D38"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Up to 20,000 AED</w:t>
            </w:r>
          </w:p>
        </w:tc>
        <w:tc>
          <w:tcPr>
            <w:tcW w:w="733" w:type="pct"/>
            <w:tcBorders>
              <w:left w:val="nil"/>
              <w:bottom w:val="nil"/>
              <w:right w:val="nil"/>
            </w:tcBorders>
            <w:shd w:val="clear" w:color="auto" w:fill="FFFFFF"/>
            <w:vAlign w:val="center"/>
          </w:tcPr>
          <w:p w14:paraId="5C15D8DE"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(Constant)</w:t>
            </w:r>
          </w:p>
        </w:tc>
        <w:tc>
          <w:tcPr>
            <w:tcW w:w="497" w:type="pct"/>
            <w:tcBorders>
              <w:left w:val="nil"/>
              <w:bottom w:val="nil"/>
              <w:right w:val="nil"/>
            </w:tcBorders>
            <w:shd w:val="clear" w:color="auto" w:fill="FFFFFF"/>
          </w:tcPr>
          <w:p w14:paraId="4D2DA4D6"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2.931</w:t>
            </w:r>
          </w:p>
        </w:tc>
        <w:tc>
          <w:tcPr>
            <w:tcW w:w="497" w:type="pct"/>
            <w:tcBorders>
              <w:left w:val="nil"/>
              <w:bottom w:val="nil"/>
              <w:right w:val="nil"/>
            </w:tcBorders>
            <w:shd w:val="clear" w:color="auto" w:fill="FFFFFF"/>
          </w:tcPr>
          <w:p w14:paraId="6B19825A"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.247</w:t>
            </w:r>
          </w:p>
        </w:tc>
        <w:tc>
          <w:tcPr>
            <w:tcW w:w="602" w:type="pct"/>
            <w:vMerge w:val="restart"/>
            <w:tcBorders>
              <w:left w:val="nil"/>
              <w:bottom w:val="nil"/>
              <w:right w:val="nil"/>
            </w:tcBorders>
            <w:shd w:val="clear" w:color="auto" w:fill="FFFFFF"/>
            <w:vAlign w:val="center"/>
          </w:tcPr>
          <w:p w14:paraId="4CAAA404"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.398</w:t>
            </w:r>
          </w:p>
        </w:tc>
        <w:tc>
          <w:tcPr>
            <w:tcW w:w="468" w:type="pct"/>
            <w:vMerge w:val="restart"/>
            <w:tcBorders>
              <w:left w:val="nil"/>
              <w:right w:val="nil"/>
            </w:tcBorders>
            <w:shd w:val="clear" w:color="auto" w:fill="FFFFFF"/>
          </w:tcPr>
          <w:p w14:paraId="496307E4" w14:textId="77777777" w:rsidR="006E3964" w:rsidRPr="00BB6978" w:rsidRDefault="006E3964" w:rsidP="00CE66D1">
            <w:pPr>
              <w:autoSpaceDE w:val="0"/>
              <w:autoSpaceDN w:val="0"/>
              <w:adjustRightInd w:val="0"/>
              <w:spacing w:before="160" w:after="120" w:line="320" w:lineRule="atLeast"/>
              <w:ind w:right="62"/>
              <w:rPr>
                <w:rFonts w:ascii="Times New Roman" w:eastAsia="Calibri" w:hAnsi="Times New Roman" w:cs="Times New Roman"/>
                <w:sz w:val="24"/>
                <w:szCs w:val="24"/>
              </w:rPr>
            </w:pPr>
            <w:r w:rsidRPr="00BB6978">
              <w:rPr>
                <w:rFonts w:ascii="Times New Roman" w:eastAsia="Calibri" w:hAnsi="Times New Roman" w:cs="Times New Roman"/>
                <w:sz w:val="24"/>
                <w:szCs w:val="24"/>
              </w:rPr>
              <w:t xml:space="preserve">   .631</w:t>
            </w:r>
          </w:p>
        </w:tc>
        <w:tc>
          <w:tcPr>
            <w:tcW w:w="468" w:type="pct"/>
            <w:tcBorders>
              <w:left w:val="nil"/>
              <w:bottom w:val="nil"/>
              <w:right w:val="nil"/>
            </w:tcBorders>
            <w:shd w:val="clear" w:color="auto" w:fill="FFFFFF"/>
          </w:tcPr>
          <w:p w14:paraId="773298E1" w14:textId="77777777" w:rsidR="006E3964" w:rsidRPr="00BB6978" w:rsidRDefault="006E3964" w:rsidP="00CE66D1">
            <w:pPr>
              <w:autoSpaceDE w:val="0"/>
              <w:autoSpaceDN w:val="0"/>
              <w:adjustRightInd w:val="0"/>
              <w:spacing w:after="0" w:line="320" w:lineRule="atLeast"/>
              <w:ind w:left="60" w:right="60"/>
              <w:jc w:val="center"/>
              <w:rPr>
                <w:rFonts w:asciiTheme="majorBidi" w:eastAsia="Calibri" w:hAnsiTheme="majorBidi" w:cstheme="majorBidi"/>
              </w:rPr>
            </w:pPr>
            <w:r w:rsidRPr="00BB6978">
              <w:rPr>
                <w:rFonts w:asciiTheme="majorBidi" w:hAnsiTheme="majorBidi" w:cstheme="majorBidi"/>
                <w:lang/>
                <w14:ligatures w14:val="standardContextual"/>
              </w:rPr>
              <w:t>11.864</w:t>
            </w:r>
          </w:p>
        </w:tc>
        <w:tc>
          <w:tcPr>
            <w:tcW w:w="667" w:type="pct"/>
            <w:tcBorders>
              <w:left w:val="nil"/>
              <w:bottom w:val="nil"/>
              <w:right w:val="nil"/>
            </w:tcBorders>
            <w:shd w:val="clear" w:color="auto" w:fill="FFFFFF"/>
          </w:tcPr>
          <w:p w14:paraId="6B1FF4E2" w14:textId="77777777" w:rsidR="006E3964" w:rsidRPr="00BB6978" w:rsidRDefault="006E3964" w:rsidP="00CE66D1">
            <w:pPr>
              <w:autoSpaceDE w:val="0"/>
              <w:autoSpaceDN w:val="0"/>
              <w:adjustRightInd w:val="0"/>
              <w:spacing w:after="0" w:line="320" w:lineRule="atLeast"/>
              <w:ind w:left="60" w:right="60"/>
              <w:jc w:val="center"/>
              <w:rPr>
                <w:rFonts w:asciiTheme="majorBidi" w:hAnsiTheme="majorBidi" w:cstheme="majorBidi"/>
                <w:lang/>
                <w14:ligatures w14:val="standardContextual"/>
              </w:rPr>
            </w:pPr>
            <w:r w:rsidRPr="00BB6978">
              <w:rPr>
                <w:rFonts w:asciiTheme="majorBidi" w:hAnsiTheme="majorBidi" w:cstheme="majorBidi"/>
                <w:lang/>
                <w14:ligatures w14:val="standardContextual"/>
              </w:rPr>
              <w:t>&lt;.001</w:t>
            </w:r>
          </w:p>
        </w:tc>
      </w:tr>
      <w:tr w:rsidR="00073A16" w:rsidRPr="00BB6978" w14:paraId="36586C91" w14:textId="77777777" w:rsidTr="00CE66D1">
        <w:trPr>
          <w:cantSplit/>
        </w:trPr>
        <w:tc>
          <w:tcPr>
            <w:tcW w:w="1068" w:type="pct"/>
            <w:vMerge/>
            <w:tcBorders>
              <w:left w:val="nil"/>
              <w:bottom w:val="single" w:sz="4" w:space="0" w:color="000000" w:themeColor="text1"/>
              <w:right w:val="nil"/>
            </w:tcBorders>
            <w:shd w:val="clear" w:color="auto" w:fill="FFFFFF"/>
          </w:tcPr>
          <w:p w14:paraId="2E060AD4"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p>
        </w:tc>
        <w:tc>
          <w:tcPr>
            <w:tcW w:w="733" w:type="pct"/>
            <w:tcBorders>
              <w:top w:val="nil"/>
              <w:left w:val="nil"/>
              <w:bottom w:val="single" w:sz="4" w:space="0" w:color="auto"/>
              <w:right w:val="nil"/>
            </w:tcBorders>
            <w:shd w:val="clear" w:color="auto" w:fill="FFFFFF"/>
            <w:vAlign w:val="center"/>
          </w:tcPr>
          <w:p w14:paraId="38DA2A74"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School Cost</w:t>
            </w:r>
          </w:p>
        </w:tc>
        <w:tc>
          <w:tcPr>
            <w:tcW w:w="497" w:type="pct"/>
            <w:tcBorders>
              <w:top w:val="nil"/>
              <w:left w:val="nil"/>
              <w:bottom w:val="single" w:sz="4" w:space="0" w:color="auto"/>
              <w:right w:val="nil"/>
            </w:tcBorders>
            <w:shd w:val="clear" w:color="auto" w:fill="FFFFFF"/>
          </w:tcPr>
          <w:p w14:paraId="249B69E7"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.376</w:t>
            </w:r>
          </w:p>
        </w:tc>
        <w:tc>
          <w:tcPr>
            <w:tcW w:w="497" w:type="pct"/>
            <w:tcBorders>
              <w:top w:val="nil"/>
              <w:left w:val="nil"/>
              <w:bottom w:val="single" w:sz="4" w:space="0" w:color="auto"/>
              <w:right w:val="nil"/>
            </w:tcBorders>
            <w:shd w:val="clear" w:color="auto" w:fill="FFFFFF"/>
          </w:tcPr>
          <w:p w14:paraId="793A7A83"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.059</w:t>
            </w:r>
          </w:p>
        </w:tc>
        <w:tc>
          <w:tcPr>
            <w:tcW w:w="602" w:type="pct"/>
            <w:vMerge/>
            <w:tcBorders>
              <w:top w:val="nil"/>
              <w:left w:val="nil"/>
              <w:bottom w:val="single" w:sz="4" w:space="0" w:color="auto"/>
              <w:right w:val="nil"/>
            </w:tcBorders>
            <w:shd w:val="clear" w:color="auto" w:fill="FFFFFF"/>
            <w:vAlign w:val="center"/>
          </w:tcPr>
          <w:p w14:paraId="537AEB40"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c>
          <w:tcPr>
            <w:tcW w:w="468" w:type="pct"/>
            <w:vMerge/>
            <w:tcBorders>
              <w:left w:val="nil"/>
              <w:bottom w:val="single" w:sz="4" w:space="0" w:color="auto"/>
              <w:right w:val="nil"/>
            </w:tcBorders>
            <w:shd w:val="clear" w:color="auto" w:fill="FFFFFF"/>
          </w:tcPr>
          <w:p w14:paraId="2D9FD33D"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c>
          <w:tcPr>
            <w:tcW w:w="468" w:type="pct"/>
            <w:tcBorders>
              <w:top w:val="nil"/>
              <w:left w:val="nil"/>
              <w:bottom w:val="single" w:sz="4" w:space="0" w:color="auto"/>
              <w:right w:val="nil"/>
            </w:tcBorders>
            <w:shd w:val="clear" w:color="auto" w:fill="FFFFFF"/>
          </w:tcPr>
          <w:p w14:paraId="67778E98" w14:textId="77777777" w:rsidR="006E3964" w:rsidRPr="00BB6978" w:rsidRDefault="006E3964" w:rsidP="00CE66D1">
            <w:pPr>
              <w:autoSpaceDE w:val="0"/>
              <w:autoSpaceDN w:val="0"/>
              <w:adjustRightInd w:val="0"/>
              <w:spacing w:after="0" w:line="320" w:lineRule="atLeast"/>
              <w:ind w:left="60" w:right="60"/>
              <w:jc w:val="center"/>
              <w:rPr>
                <w:rFonts w:asciiTheme="majorBidi" w:eastAsia="Calibri" w:hAnsiTheme="majorBidi" w:cstheme="majorBidi"/>
              </w:rPr>
            </w:pPr>
            <w:r w:rsidRPr="00BB6978">
              <w:rPr>
                <w:rFonts w:asciiTheme="majorBidi" w:hAnsiTheme="majorBidi" w:cstheme="majorBidi"/>
                <w:lang/>
                <w14:ligatures w14:val="standardContextual"/>
              </w:rPr>
              <w:t>6.399</w:t>
            </w:r>
          </w:p>
        </w:tc>
        <w:tc>
          <w:tcPr>
            <w:tcW w:w="667" w:type="pct"/>
            <w:tcBorders>
              <w:top w:val="nil"/>
              <w:left w:val="nil"/>
              <w:bottom w:val="single" w:sz="4" w:space="0" w:color="auto"/>
              <w:right w:val="nil"/>
            </w:tcBorders>
            <w:shd w:val="clear" w:color="auto" w:fill="FFFFFF"/>
          </w:tcPr>
          <w:p w14:paraId="70A64956" w14:textId="77777777" w:rsidR="006E3964" w:rsidRPr="00BB6978" w:rsidRDefault="006E3964" w:rsidP="00CE66D1">
            <w:pPr>
              <w:autoSpaceDE w:val="0"/>
              <w:autoSpaceDN w:val="0"/>
              <w:adjustRightInd w:val="0"/>
              <w:spacing w:after="0" w:line="320" w:lineRule="atLeast"/>
              <w:ind w:left="60" w:right="60"/>
              <w:jc w:val="center"/>
              <w:rPr>
                <w:rFonts w:asciiTheme="majorBidi" w:hAnsiTheme="majorBidi" w:cstheme="majorBidi"/>
                <w:lang/>
                <w14:ligatures w14:val="standardContextual"/>
              </w:rPr>
            </w:pPr>
            <w:r w:rsidRPr="00BB6978">
              <w:rPr>
                <w:rFonts w:asciiTheme="majorBidi" w:hAnsiTheme="majorBidi" w:cstheme="majorBidi"/>
                <w:lang/>
                <w14:ligatures w14:val="standardContextual"/>
              </w:rPr>
              <w:t>&lt;.001</w:t>
            </w:r>
          </w:p>
        </w:tc>
      </w:tr>
      <w:tr w:rsidR="00073A16" w:rsidRPr="00BB6978" w14:paraId="5717E96A" w14:textId="77777777" w:rsidTr="00CE66D1">
        <w:trPr>
          <w:cantSplit/>
        </w:trPr>
        <w:tc>
          <w:tcPr>
            <w:tcW w:w="1068" w:type="pct"/>
            <w:vMerge w:val="restart"/>
            <w:tcBorders>
              <w:top w:val="single" w:sz="4" w:space="0" w:color="000000" w:themeColor="text1"/>
              <w:left w:val="nil"/>
              <w:bottom w:val="single" w:sz="4" w:space="0" w:color="auto"/>
              <w:right w:val="nil"/>
            </w:tcBorders>
            <w:shd w:val="clear" w:color="auto" w:fill="FFFFFF"/>
          </w:tcPr>
          <w:p w14:paraId="7949C81F"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Between 21,000 and 40,000 AED</w:t>
            </w:r>
          </w:p>
        </w:tc>
        <w:tc>
          <w:tcPr>
            <w:tcW w:w="733" w:type="pct"/>
            <w:tcBorders>
              <w:top w:val="single" w:sz="4" w:space="0" w:color="auto"/>
              <w:left w:val="nil"/>
              <w:bottom w:val="single" w:sz="4" w:space="0" w:color="FFFFFF" w:themeColor="background1"/>
              <w:right w:val="nil"/>
            </w:tcBorders>
            <w:shd w:val="clear" w:color="auto" w:fill="FFFFFF"/>
            <w:vAlign w:val="center"/>
          </w:tcPr>
          <w:p w14:paraId="1E8F381D"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(Constant)</w:t>
            </w:r>
          </w:p>
        </w:tc>
        <w:tc>
          <w:tcPr>
            <w:tcW w:w="497" w:type="pct"/>
            <w:tcBorders>
              <w:top w:val="nil"/>
              <w:left w:val="nil"/>
              <w:bottom w:val="single" w:sz="4" w:space="0" w:color="FFFFFF" w:themeColor="background1"/>
              <w:right w:val="nil"/>
            </w:tcBorders>
            <w:shd w:val="clear" w:color="auto" w:fill="FFFFFF"/>
          </w:tcPr>
          <w:p w14:paraId="776864E8"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2.949</w:t>
            </w:r>
          </w:p>
        </w:tc>
        <w:tc>
          <w:tcPr>
            <w:tcW w:w="497" w:type="pct"/>
            <w:tcBorders>
              <w:top w:val="single" w:sz="4" w:space="0" w:color="auto"/>
              <w:left w:val="nil"/>
              <w:bottom w:val="single" w:sz="4" w:space="0" w:color="FFFFFF" w:themeColor="background1"/>
              <w:right w:val="nil"/>
            </w:tcBorders>
            <w:shd w:val="clear" w:color="auto" w:fill="FFFFFF"/>
          </w:tcPr>
          <w:p w14:paraId="7AF41735"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.339</w:t>
            </w:r>
          </w:p>
        </w:tc>
        <w:tc>
          <w:tcPr>
            <w:tcW w:w="602" w:type="pct"/>
            <w:vMerge w:val="restart"/>
            <w:tcBorders>
              <w:top w:val="single" w:sz="4" w:space="0" w:color="auto"/>
              <w:left w:val="nil"/>
              <w:bottom w:val="single" w:sz="4" w:space="0" w:color="auto"/>
              <w:right w:val="nil"/>
            </w:tcBorders>
            <w:shd w:val="clear" w:color="auto" w:fill="FFFFFF"/>
            <w:vAlign w:val="center"/>
          </w:tcPr>
          <w:p w14:paraId="012B4112"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.225</w:t>
            </w:r>
          </w:p>
        </w:tc>
        <w:tc>
          <w:tcPr>
            <w:tcW w:w="468" w:type="pct"/>
            <w:vMerge w:val="restart"/>
            <w:tcBorders>
              <w:top w:val="single" w:sz="4" w:space="0" w:color="auto"/>
              <w:left w:val="nil"/>
              <w:right w:val="nil"/>
            </w:tcBorders>
            <w:shd w:val="clear" w:color="auto" w:fill="FFFFFF"/>
          </w:tcPr>
          <w:p w14:paraId="736C09E8" w14:textId="77777777" w:rsidR="006E3964" w:rsidRPr="00BB6978" w:rsidRDefault="006E3964" w:rsidP="00CE66D1">
            <w:pPr>
              <w:autoSpaceDE w:val="0"/>
              <w:autoSpaceDN w:val="0"/>
              <w:adjustRightInd w:val="0"/>
              <w:spacing w:before="160" w:after="120" w:line="320" w:lineRule="atLeast"/>
              <w:ind w:left="62" w:right="62"/>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.474</w:t>
            </w:r>
          </w:p>
        </w:tc>
        <w:tc>
          <w:tcPr>
            <w:tcW w:w="468" w:type="pct"/>
            <w:tcBorders>
              <w:top w:val="single" w:sz="4" w:space="0" w:color="auto"/>
              <w:left w:val="nil"/>
              <w:bottom w:val="single" w:sz="4" w:space="0" w:color="FFFFFF" w:themeColor="background1"/>
              <w:right w:val="nil"/>
            </w:tcBorders>
            <w:shd w:val="clear" w:color="auto" w:fill="FFFFFF"/>
          </w:tcPr>
          <w:p w14:paraId="12C4F63B" w14:textId="77777777" w:rsidR="006E3964" w:rsidRPr="00BB6978" w:rsidRDefault="006E3964" w:rsidP="00CE66D1">
            <w:pPr>
              <w:autoSpaceDE w:val="0"/>
              <w:autoSpaceDN w:val="0"/>
              <w:adjustRightInd w:val="0"/>
              <w:spacing w:after="0" w:line="320" w:lineRule="atLeast"/>
              <w:ind w:left="60" w:right="60"/>
              <w:jc w:val="center"/>
              <w:rPr>
                <w:rFonts w:asciiTheme="majorBidi" w:eastAsia="Calibri" w:hAnsiTheme="majorBidi" w:cstheme="majorBidi"/>
              </w:rPr>
            </w:pPr>
            <w:r w:rsidRPr="00BB6978">
              <w:rPr>
                <w:rFonts w:asciiTheme="majorBidi" w:hAnsiTheme="majorBidi" w:cstheme="majorBidi"/>
                <w:lang/>
                <w14:ligatures w14:val="standardContextual"/>
              </w:rPr>
              <w:t>8.691</w:t>
            </w:r>
          </w:p>
        </w:tc>
        <w:tc>
          <w:tcPr>
            <w:tcW w:w="667" w:type="pct"/>
            <w:tcBorders>
              <w:top w:val="nil"/>
              <w:left w:val="nil"/>
              <w:bottom w:val="single" w:sz="4" w:space="0" w:color="FFFFFF" w:themeColor="background1"/>
              <w:right w:val="nil"/>
            </w:tcBorders>
            <w:shd w:val="clear" w:color="auto" w:fill="FFFFFF"/>
          </w:tcPr>
          <w:p w14:paraId="2926F87F" w14:textId="77777777" w:rsidR="006E3964" w:rsidRPr="00BB6978" w:rsidRDefault="006E3964" w:rsidP="00CE66D1">
            <w:pPr>
              <w:autoSpaceDE w:val="0"/>
              <w:autoSpaceDN w:val="0"/>
              <w:adjustRightInd w:val="0"/>
              <w:spacing w:after="0" w:line="320" w:lineRule="atLeast"/>
              <w:ind w:left="60" w:right="60"/>
              <w:jc w:val="center"/>
              <w:rPr>
                <w:rFonts w:asciiTheme="majorBidi" w:hAnsiTheme="majorBidi" w:cstheme="majorBidi"/>
                <w:lang/>
                <w14:ligatures w14:val="standardContextual"/>
              </w:rPr>
            </w:pPr>
            <w:r w:rsidRPr="00BB6978">
              <w:rPr>
                <w:rFonts w:asciiTheme="majorBidi" w:hAnsiTheme="majorBidi" w:cstheme="majorBidi"/>
                <w:lang/>
                <w14:ligatures w14:val="standardContextual"/>
              </w:rPr>
              <w:t>&lt;.001</w:t>
            </w:r>
          </w:p>
        </w:tc>
      </w:tr>
      <w:tr w:rsidR="00073A16" w:rsidRPr="00BB6978" w14:paraId="5FC12E8D" w14:textId="77777777" w:rsidTr="00CE66D1">
        <w:trPr>
          <w:cantSplit/>
        </w:trPr>
        <w:tc>
          <w:tcPr>
            <w:tcW w:w="1068" w:type="pct"/>
            <w:vMerge/>
            <w:tcBorders>
              <w:left w:val="nil"/>
              <w:bottom w:val="single" w:sz="4" w:space="0" w:color="000000" w:themeColor="text1"/>
              <w:right w:val="nil"/>
            </w:tcBorders>
            <w:shd w:val="clear" w:color="auto" w:fill="FFFFFF"/>
          </w:tcPr>
          <w:p w14:paraId="4B627A13"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p>
        </w:tc>
        <w:tc>
          <w:tcPr>
            <w:tcW w:w="733" w:type="pct"/>
            <w:tcBorders>
              <w:top w:val="single" w:sz="4" w:space="0" w:color="FFFFFF" w:themeColor="background1"/>
              <w:left w:val="nil"/>
              <w:bottom w:val="single" w:sz="4" w:space="0" w:color="auto"/>
              <w:right w:val="nil"/>
            </w:tcBorders>
            <w:shd w:val="clear" w:color="auto" w:fill="FFFFFF"/>
            <w:vAlign w:val="center"/>
          </w:tcPr>
          <w:p w14:paraId="1BF1FA54"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School Cost</w:t>
            </w:r>
          </w:p>
        </w:tc>
        <w:tc>
          <w:tcPr>
            <w:tcW w:w="497" w:type="pct"/>
            <w:tcBorders>
              <w:top w:val="single" w:sz="4" w:space="0" w:color="FFFFFF" w:themeColor="background1"/>
              <w:left w:val="nil"/>
              <w:bottom w:val="single" w:sz="4" w:space="0" w:color="auto"/>
              <w:right w:val="nil"/>
            </w:tcBorders>
            <w:shd w:val="clear" w:color="auto" w:fill="FFFFFF"/>
          </w:tcPr>
          <w:p w14:paraId="2D1D30AC"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.371</w:t>
            </w:r>
          </w:p>
        </w:tc>
        <w:tc>
          <w:tcPr>
            <w:tcW w:w="497" w:type="pct"/>
            <w:tcBorders>
              <w:top w:val="single" w:sz="4" w:space="0" w:color="FFFFFF" w:themeColor="background1"/>
              <w:left w:val="nil"/>
              <w:bottom w:val="single" w:sz="4" w:space="0" w:color="000000" w:themeColor="text1"/>
              <w:right w:val="nil"/>
            </w:tcBorders>
            <w:shd w:val="clear" w:color="auto" w:fill="FFFFFF"/>
          </w:tcPr>
          <w:p w14:paraId="53E10D40"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.078</w:t>
            </w:r>
          </w:p>
        </w:tc>
        <w:tc>
          <w:tcPr>
            <w:tcW w:w="602" w:type="pct"/>
            <w:vMerge/>
            <w:tcBorders>
              <w:top w:val="nil"/>
              <w:left w:val="nil"/>
              <w:bottom w:val="single" w:sz="4" w:space="0" w:color="000000" w:themeColor="text1"/>
              <w:right w:val="nil"/>
            </w:tcBorders>
            <w:shd w:val="clear" w:color="auto" w:fill="FFFFFF"/>
            <w:vAlign w:val="center"/>
          </w:tcPr>
          <w:p w14:paraId="7BC63720"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c>
          <w:tcPr>
            <w:tcW w:w="468" w:type="pct"/>
            <w:vMerge/>
            <w:tcBorders>
              <w:left w:val="nil"/>
              <w:bottom w:val="single" w:sz="4" w:space="0" w:color="auto"/>
              <w:right w:val="nil"/>
            </w:tcBorders>
            <w:shd w:val="clear" w:color="auto" w:fill="FFFFFF"/>
          </w:tcPr>
          <w:p w14:paraId="7E3DAF85"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c>
          <w:tcPr>
            <w:tcW w:w="468" w:type="pct"/>
            <w:tcBorders>
              <w:top w:val="single" w:sz="4" w:space="0" w:color="FFFFFF" w:themeColor="background1"/>
              <w:left w:val="nil"/>
              <w:bottom w:val="single" w:sz="4" w:space="0" w:color="auto"/>
              <w:right w:val="nil"/>
            </w:tcBorders>
            <w:shd w:val="clear" w:color="auto" w:fill="FFFFFF"/>
          </w:tcPr>
          <w:p w14:paraId="1F838CE9" w14:textId="77777777" w:rsidR="006E3964" w:rsidRPr="00BB6978" w:rsidRDefault="006E3964" w:rsidP="00CE66D1">
            <w:pPr>
              <w:autoSpaceDE w:val="0"/>
              <w:autoSpaceDN w:val="0"/>
              <w:adjustRightInd w:val="0"/>
              <w:spacing w:after="0" w:line="320" w:lineRule="atLeast"/>
              <w:ind w:left="60" w:right="60"/>
              <w:jc w:val="center"/>
              <w:rPr>
                <w:rFonts w:asciiTheme="majorBidi" w:eastAsia="Calibri" w:hAnsiTheme="majorBidi" w:cstheme="majorBidi"/>
              </w:rPr>
            </w:pPr>
            <w:r w:rsidRPr="00BB6978">
              <w:rPr>
                <w:rFonts w:asciiTheme="majorBidi" w:hAnsiTheme="majorBidi" w:cstheme="majorBidi"/>
                <w:lang/>
                <w14:ligatures w14:val="standardContextual"/>
              </w:rPr>
              <w:t>4.784</w:t>
            </w:r>
          </w:p>
        </w:tc>
        <w:tc>
          <w:tcPr>
            <w:tcW w:w="667" w:type="pct"/>
            <w:tcBorders>
              <w:top w:val="single" w:sz="4" w:space="0" w:color="FFFFFF" w:themeColor="background1"/>
              <w:left w:val="nil"/>
              <w:bottom w:val="single" w:sz="4" w:space="0" w:color="auto"/>
              <w:right w:val="nil"/>
            </w:tcBorders>
            <w:shd w:val="clear" w:color="auto" w:fill="FFFFFF"/>
          </w:tcPr>
          <w:p w14:paraId="14C18969" w14:textId="77777777" w:rsidR="006E3964" w:rsidRPr="00BB6978" w:rsidRDefault="006E3964" w:rsidP="00CE66D1">
            <w:pPr>
              <w:autoSpaceDE w:val="0"/>
              <w:autoSpaceDN w:val="0"/>
              <w:adjustRightInd w:val="0"/>
              <w:spacing w:after="0" w:line="320" w:lineRule="atLeast"/>
              <w:ind w:left="60" w:right="60"/>
              <w:jc w:val="center"/>
              <w:rPr>
                <w:rFonts w:asciiTheme="majorBidi" w:hAnsiTheme="majorBidi" w:cstheme="majorBidi"/>
                <w:lang/>
                <w14:ligatures w14:val="standardContextual"/>
              </w:rPr>
            </w:pPr>
            <w:r w:rsidRPr="00BB6978">
              <w:rPr>
                <w:rFonts w:asciiTheme="majorBidi" w:hAnsiTheme="majorBidi" w:cstheme="majorBidi"/>
                <w:lang/>
                <w14:ligatures w14:val="standardContextual"/>
              </w:rPr>
              <w:t>&lt;.001</w:t>
            </w:r>
          </w:p>
        </w:tc>
      </w:tr>
      <w:tr w:rsidR="00073A16" w:rsidRPr="00BB6978" w14:paraId="7C7E6A8A" w14:textId="77777777" w:rsidTr="00CE66D1">
        <w:trPr>
          <w:cantSplit/>
        </w:trPr>
        <w:tc>
          <w:tcPr>
            <w:tcW w:w="1068" w:type="pct"/>
            <w:vMerge w:val="restart"/>
            <w:tcBorders>
              <w:top w:val="single" w:sz="4" w:space="0" w:color="000000" w:themeColor="text1"/>
              <w:left w:val="nil"/>
              <w:bottom w:val="single" w:sz="4" w:space="0" w:color="auto"/>
              <w:right w:val="nil"/>
            </w:tcBorders>
            <w:shd w:val="clear" w:color="auto" w:fill="FFFFFF"/>
          </w:tcPr>
          <w:p w14:paraId="1123B3EA"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Between 41,000 and 60,000 AED</w:t>
            </w:r>
          </w:p>
        </w:tc>
        <w:tc>
          <w:tcPr>
            <w:tcW w:w="733" w:type="pct"/>
            <w:tcBorders>
              <w:top w:val="single" w:sz="4" w:space="0" w:color="FFFFFF" w:themeColor="background1"/>
              <w:left w:val="nil"/>
              <w:bottom w:val="single" w:sz="4" w:space="0" w:color="FFFFFF" w:themeColor="background1"/>
              <w:right w:val="nil"/>
            </w:tcBorders>
            <w:shd w:val="clear" w:color="auto" w:fill="FFFFFF"/>
            <w:vAlign w:val="center"/>
          </w:tcPr>
          <w:p w14:paraId="21B9BF92"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(Constant)</w:t>
            </w:r>
          </w:p>
        </w:tc>
        <w:tc>
          <w:tcPr>
            <w:tcW w:w="497" w:type="pct"/>
            <w:tcBorders>
              <w:top w:val="single" w:sz="4" w:space="0" w:color="FFFFFF" w:themeColor="background1"/>
              <w:left w:val="nil"/>
              <w:bottom w:val="single" w:sz="4" w:space="0" w:color="FFFFFF" w:themeColor="background1"/>
              <w:right w:val="nil"/>
            </w:tcBorders>
            <w:shd w:val="clear" w:color="auto" w:fill="FFFFFF"/>
          </w:tcPr>
          <w:p w14:paraId="6DF71A47"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2.470</w:t>
            </w:r>
          </w:p>
        </w:tc>
        <w:tc>
          <w:tcPr>
            <w:tcW w:w="497" w:type="pct"/>
            <w:tcBorders>
              <w:top w:val="single" w:sz="4" w:space="0" w:color="000000" w:themeColor="text1"/>
              <w:left w:val="nil"/>
              <w:bottom w:val="single" w:sz="4" w:space="0" w:color="FFFFFF" w:themeColor="background1"/>
              <w:right w:val="nil"/>
            </w:tcBorders>
            <w:shd w:val="clear" w:color="auto" w:fill="FFFFFF"/>
          </w:tcPr>
          <w:p w14:paraId="3BB8189E"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.316</w:t>
            </w:r>
          </w:p>
        </w:tc>
        <w:tc>
          <w:tcPr>
            <w:tcW w:w="602" w:type="pct"/>
            <w:vMerge w:val="restart"/>
            <w:tcBorders>
              <w:top w:val="single" w:sz="4" w:space="0" w:color="000000" w:themeColor="text1"/>
              <w:left w:val="nil"/>
              <w:bottom w:val="single" w:sz="4" w:space="0" w:color="auto"/>
              <w:right w:val="nil"/>
            </w:tcBorders>
            <w:shd w:val="clear" w:color="auto" w:fill="FFFFFF"/>
            <w:vAlign w:val="center"/>
          </w:tcPr>
          <w:p w14:paraId="209544EF"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.438</w:t>
            </w:r>
          </w:p>
        </w:tc>
        <w:tc>
          <w:tcPr>
            <w:tcW w:w="468" w:type="pct"/>
            <w:vMerge w:val="restart"/>
            <w:tcBorders>
              <w:top w:val="single" w:sz="4" w:space="0" w:color="FFFFFF" w:themeColor="background1"/>
              <w:left w:val="nil"/>
              <w:right w:val="nil"/>
            </w:tcBorders>
            <w:shd w:val="clear" w:color="auto" w:fill="FFFFFF"/>
          </w:tcPr>
          <w:p w14:paraId="19824F02" w14:textId="77777777" w:rsidR="006E3964" w:rsidRPr="00BB6978" w:rsidRDefault="006E3964" w:rsidP="00CE66D1">
            <w:pPr>
              <w:autoSpaceDE w:val="0"/>
              <w:autoSpaceDN w:val="0"/>
              <w:adjustRightInd w:val="0"/>
              <w:spacing w:before="160" w:after="120" w:line="320" w:lineRule="atLeast"/>
              <w:ind w:left="62" w:right="62"/>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.662</w:t>
            </w:r>
          </w:p>
        </w:tc>
        <w:tc>
          <w:tcPr>
            <w:tcW w:w="468" w:type="pct"/>
            <w:tcBorders>
              <w:top w:val="single" w:sz="4" w:space="0" w:color="FFFFFF" w:themeColor="background1"/>
              <w:left w:val="nil"/>
              <w:bottom w:val="single" w:sz="4" w:space="0" w:color="FFFFFF" w:themeColor="background1"/>
              <w:right w:val="nil"/>
            </w:tcBorders>
            <w:shd w:val="clear" w:color="auto" w:fill="FFFFFF"/>
          </w:tcPr>
          <w:p w14:paraId="371DAC76" w14:textId="77777777" w:rsidR="006E3964" w:rsidRPr="00BB6978" w:rsidRDefault="006E3964" w:rsidP="00CE66D1">
            <w:pPr>
              <w:autoSpaceDE w:val="0"/>
              <w:autoSpaceDN w:val="0"/>
              <w:adjustRightInd w:val="0"/>
              <w:spacing w:after="0" w:line="320" w:lineRule="atLeast"/>
              <w:ind w:left="60" w:right="60"/>
              <w:jc w:val="center"/>
              <w:rPr>
                <w:rFonts w:asciiTheme="majorBidi" w:eastAsia="Calibri" w:hAnsiTheme="majorBidi" w:cstheme="majorBidi"/>
              </w:rPr>
            </w:pPr>
            <w:r w:rsidRPr="00BB6978">
              <w:rPr>
                <w:rFonts w:asciiTheme="majorBidi" w:hAnsiTheme="majorBidi" w:cstheme="majorBidi"/>
                <w:lang/>
                <w14:ligatures w14:val="standardContextual"/>
              </w:rPr>
              <w:t>7.824</w:t>
            </w:r>
          </w:p>
        </w:tc>
        <w:tc>
          <w:tcPr>
            <w:tcW w:w="667" w:type="pct"/>
            <w:tcBorders>
              <w:top w:val="single" w:sz="4" w:space="0" w:color="FFFFFF" w:themeColor="background1"/>
              <w:left w:val="nil"/>
              <w:bottom w:val="single" w:sz="4" w:space="0" w:color="FFFFFF" w:themeColor="background1"/>
              <w:right w:val="nil"/>
            </w:tcBorders>
            <w:shd w:val="clear" w:color="auto" w:fill="FFFFFF"/>
          </w:tcPr>
          <w:p w14:paraId="086DEF35" w14:textId="77777777" w:rsidR="006E3964" w:rsidRPr="00BB6978" w:rsidRDefault="006E3964" w:rsidP="00CE66D1">
            <w:pPr>
              <w:autoSpaceDE w:val="0"/>
              <w:autoSpaceDN w:val="0"/>
              <w:adjustRightInd w:val="0"/>
              <w:spacing w:after="0" w:line="320" w:lineRule="atLeast"/>
              <w:ind w:left="60" w:right="60"/>
              <w:jc w:val="center"/>
              <w:rPr>
                <w:rFonts w:asciiTheme="majorBidi" w:hAnsiTheme="majorBidi" w:cstheme="majorBidi"/>
                <w:lang/>
                <w14:ligatures w14:val="standardContextual"/>
              </w:rPr>
            </w:pPr>
            <w:r w:rsidRPr="00BB6978">
              <w:rPr>
                <w:rFonts w:asciiTheme="majorBidi" w:hAnsiTheme="majorBidi" w:cstheme="majorBidi"/>
                <w:lang/>
                <w14:ligatures w14:val="standardContextual"/>
              </w:rPr>
              <w:t>&lt;.001</w:t>
            </w:r>
          </w:p>
        </w:tc>
      </w:tr>
      <w:tr w:rsidR="00073A16" w:rsidRPr="00BB6978" w14:paraId="12419929" w14:textId="77777777" w:rsidTr="00CE66D1">
        <w:trPr>
          <w:cantSplit/>
        </w:trPr>
        <w:tc>
          <w:tcPr>
            <w:tcW w:w="1068" w:type="pct"/>
            <w:vMerge/>
            <w:tcBorders>
              <w:left w:val="nil"/>
              <w:bottom w:val="single" w:sz="4" w:space="0" w:color="000000" w:themeColor="text1"/>
              <w:right w:val="nil"/>
            </w:tcBorders>
            <w:shd w:val="clear" w:color="auto" w:fill="FFFFFF"/>
          </w:tcPr>
          <w:p w14:paraId="18CA295F"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p>
        </w:tc>
        <w:tc>
          <w:tcPr>
            <w:tcW w:w="733" w:type="pct"/>
            <w:tcBorders>
              <w:top w:val="single" w:sz="4" w:space="0" w:color="FFFFFF" w:themeColor="background1"/>
              <w:left w:val="nil"/>
              <w:bottom w:val="single" w:sz="4" w:space="0" w:color="auto"/>
              <w:right w:val="nil"/>
            </w:tcBorders>
            <w:shd w:val="clear" w:color="auto" w:fill="FFFFFF"/>
            <w:vAlign w:val="center"/>
          </w:tcPr>
          <w:p w14:paraId="1EA1D118"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School Cost</w:t>
            </w:r>
          </w:p>
        </w:tc>
        <w:tc>
          <w:tcPr>
            <w:tcW w:w="497" w:type="pct"/>
            <w:tcBorders>
              <w:top w:val="single" w:sz="4" w:space="0" w:color="FFFFFF" w:themeColor="background1"/>
              <w:left w:val="nil"/>
              <w:bottom w:val="single" w:sz="4" w:space="0" w:color="auto"/>
              <w:right w:val="nil"/>
            </w:tcBorders>
            <w:shd w:val="clear" w:color="auto" w:fill="FFFFFF"/>
          </w:tcPr>
          <w:p w14:paraId="40DF464F"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.466</w:t>
            </w:r>
          </w:p>
        </w:tc>
        <w:tc>
          <w:tcPr>
            <w:tcW w:w="497" w:type="pct"/>
            <w:tcBorders>
              <w:top w:val="single" w:sz="4" w:space="0" w:color="FFFFFF" w:themeColor="background1"/>
              <w:left w:val="nil"/>
              <w:bottom w:val="single" w:sz="4" w:space="0" w:color="auto"/>
              <w:right w:val="nil"/>
            </w:tcBorders>
            <w:shd w:val="clear" w:color="auto" w:fill="FFFFFF"/>
          </w:tcPr>
          <w:p w14:paraId="50990E34"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.073</w:t>
            </w:r>
          </w:p>
        </w:tc>
        <w:tc>
          <w:tcPr>
            <w:tcW w:w="602" w:type="pct"/>
            <w:vMerge/>
            <w:tcBorders>
              <w:top w:val="nil"/>
              <w:left w:val="nil"/>
              <w:bottom w:val="single" w:sz="4" w:space="0" w:color="000000" w:themeColor="text1"/>
              <w:right w:val="nil"/>
            </w:tcBorders>
            <w:shd w:val="clear" w:color="auto" w:fill="FFFFFF"/>
            <w:vAlign w:val="center"/>
          </w:tcPr>
          <w:p w14:paraId="1AC2C200"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c>
          <w:tcPr>
            <w:tcW w:w="468" w:type="pct"/>
            <w:vMerge/>
            <w:tcBorders>
              <w:left w:val="nil"/>
              <w:bottom w:val="single" w:sz="4" w:space="0" w:color="auto"/>
              <w:right w:val="nil"/>
            </w:tcBorders>
            <w:shd w:val="clear" w:color="auto" w:fill="FFFFFF"/>
          </w:tcPr>
          <w:p w14:paraId="3C993D10"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c>
          <w:tcPr>
            <w:tcW w:w="468" w:type="pct"/>
            <w:tcBorders>
              <w:top w:val="single" w:sz="4" w:space="0" w:color="FFFFFF" w:themeColor="background1"/>
              <w:left w:val="nil"/>
              <w:bottom w:val="single" w:sz="4" w:space="0" w:color="auto"/>
              <w:right w:val="nil"/>
            </w:tcBorders>
            <w:shd w:val="clear" w:color="auto" w:fill="FFFFFF"/>
          </w:tcPr>
          <w:p w14:paraId="5DC85817" w14:textId="77777777" w:rsidR="006E3964" w:rsidRPr="00BB6978" w:rsidRDefault="006E3964" w:rsidP="00CE66D1">
            <w:pPr>
              <w:autoSpaceDE w:val="0"/>
              <w:autoSpaceDN w:val="0"/>
              <w:adjustRightInd w:val="0"/>
              <w:spacing w:after="0" w:line="320" w:lineRule="atLeast"/>
              <w:ind w:left="60" w:right="60"/>
              <w:jc w:val="center"/>
              <w:rPr>
                <w:rFonts w:asciiTheme="majorBidi" w:eastAsia="Calibri" w:hAnsiTheme="majorBidi" w:cstheme="majorBidi"/>
              </w:rPr>
            </w:pPr>
            <w:r w:rsidRPr="00BB6978">
              <w:rPr>
                <w:rFonts w:asciiTheme="majorBidi" w:hAnsiTheme="majorBidi" w:cstheme="majorBidi"/>
                <w:lang/>
                <w14:ligatures w14:val="standardContextual"/>
              </w:rPr>
              <w:t>6.367</w:t>
            </w:r>
          </w:p>
        </w:tc>
        <w:tc>
          <w:tcPr>
            <w:tcW w:w="667" w:type="pct"/>
            <w:tcBorders>
              <w:top w:val="single" w:sz="4" w:space="0" w:color="FFFFFF" w:themeColor="background1"/>
              <w:left w:val="nil"/>
              <w:bottom w:val="single" w:sz="4" w:space="0" w:color="auto"/>
              <w:right w:val="nil"/>
            </w:tcBorders>
            <w:shd w:val="clear" w:color="auto" w:fill="FFFFFF"/>
          </w:tcPr>
          <w:p w14:paraId="69E85CEB" w14:textId="77777777" w:rsidR="006E3964" w:rsidRPr="00BB6978" w:rsidRDefault="006E3964" w:rsidP="00CE66D1">
            <w:pPr>
              <w:autoSpaceDE w:val="0"/>
              <w:autoSpaceDN w:val="0"/>
              <w:adjustRightInd w:val="0"/>
              <w:spacing w:after="0" w:line="320" w:lineRule="atLeast"/>
              <w:ind w:left="60" w:right="60"/>
              <w:jc w:val="center"/>
              <w:rPr>
                <w:rFonts w:asciiTheme="majorBidi" w:hAnsiTheme="majorBidi" w:cstheme="majorBidi"/>
                <w:lang/>
                <w14:ligatures w14:val="standardContextual"/>
              </w:rPr>
            </w:pPr>
            <w:r w:rsidRPr="00BB6978">
              <w:rPr>
                <w:rFonts w:asciiTheme="majorBidi" w:hAnsiTheme="majorBidi" w:cstheme="majorBidi"/>
                <w:lang/>
                <w14:ligatures w14:val="standardContextual"/>
              </w:rPr>
              <w:t>&lt;.001</w:t>
            </w:r>
          </w:p>
        </w:tc>
      </w:tr>
      <w:tr w:rsidR="00073A16" w:rsidRPr="00BB6978" w14:paraId="7FACF5AD" w14:textId="77777777" w:rsidTr="00CE66D1">
        <w:trPr>
          <w:cantSplit/>
        </w:trPr>
        <w:tc>
          <w:tcPr>
            <w:tcW w:w="1068" w:type="pct"/>
            <w:vMerge w:val="restart"/>
            <w:tcBorders>
              <w:top w:val="single" w:sz="4" w:space="0" w:color="000000" w:themeColor="text1"/>
              <w:left w:val="nil"/>
              <w:bottom w:val="single" w:sz="4" w:space="0" w:color="auto"/>
              <w:right w:val="nil"/>
            </w:tcBorders>
            <w:shd w:val="clear" w:color="auto" w:fill="FFFFFF"/>
          </w:tcPr>
          <w:p w14:paraId="799D820C"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More than 60,000 AED</w:t>
            </w:r>
          </w:p>
        </w:tc>
        <w:tc>
          <w:tcPr>
            <w:tcW w:w="733" w:type="pct"/>
            <w:tcBorders>
              <w:top w:val="single" w:sz="4" w:space="0" w:color="FFFFFF" w:themeColor="background1"/>
              <w:left w:val="nil"/>
              <w:bottom w:val="single" w:sz="4" w:space="0" w:color="FFFFFF" w:themeColor="background1"/>
              <w:right w:val="nil"/>
            </w:tcBorders>
            <w:shd w:val="clear" w:color="auto" w:fill="FFFFFF"/>
            <w:vAlign w:val="center"/>
          </w:tcPr>
          <w:p w14:paraId="2A93037E"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(Constant)</w:t>
            </w:r>
          </w:p>
        </w:tc>
        <w:tc>
          <w:tcPr>
            <w:tcW w:w="497" w:type="pct"/>
            <w:tcBorders>
              <w:top w:val="single" w:sz="4" w:space="0" w:color="FFFFFF" w:themeColor="background1"/>
              <w:left w:val="nil"/>
              <w:bottom w:val="single" w:sz="4" w:space="0" w:color="FFFFFF" w:themeColor="background1"/>
              <w:right w:val="nil"/>
            </w:tcBorders>
            <w:shd w:val="clear" w:color="auto" w:fill="FFFFFF"/>
          </w:tcPr>
          <w:p w14:paraId="64F9B96F"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3.428</w:t>
            </w:r>
          </w:p>
        </w:tc>
        <w:tc>
          <w:tcPr>
            <w:tcW w:w="497" w:type="pct"/>
            <w:tcBorders>
              <w:top w:val="single" w:sz="4" w:space="0" w:color="FFFFFF" w:themeColor="background1"/>
              <w:left w:val="nil"/>
              <w:bottom w:val="single" w:sz="4" w:space="0" w:color="FFFFFF" w:themeColor="background1"/>
              <w:right w:val="nil"/>
            </w:tcBorders>
            <w:shd w:val="clear" w:color="auto" w:fill="FFFFFF"/>
          </w:tcPr>
          <w:p w14:paraId="5B4BCE29"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.210</w:t>
            </w:r>
          </w:p>
        </w:tc>
        <w:tc>
          <w:tcPr>
            <w:tcW w:w="602" w:type="pct"/>
            <w:vMerge w:val="restart"/>
            <w:tcBorders>
              <w:top w:val="single" w:sz="4" w:space="0" w:color="000000" w:themeColor="text1"/>
              <w:left w:val="nil"/>
              <w:bottom w:val="single" w:sz="4" w:space="0" w:color="auto"/>
              <w:right w:val="nil"/>
            </w:tcBorders>
            <w:shd w:val="clear" w:color="auto" w:fill="FFFFFF"/>
            <w:vAlign w:val="center"/>
          </w:tcPr>
          <w:p w14:paraId="0630D7E2"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.162</w:t>
            </w:r>
          </w:p>
        </w:tc>
        <w:tc>
          <w:tcPr>
            <w:tcW w:w="468" w:type="pct"/>
            <w:vMerge w:val="restart"/>
            <w:tcBorders>
              <w:top w:val="single" w:sz="4" w:space="0" w:color="FFFFFF" w:themeColor="background1"/>
              <w:left w:val="nil"/>
              <w:right w:val="nil"/>
            </w:tcBorders>
            <w:shd w:val="clear" w:color="auto" w:fill="FFFFFF"/>
          </w:tcPr>
          <w:p w14:paraId="1AD6BC8A" w14:textId="77777777" w:rsidR="006E3964" w:rsidRPr="00BB6978" w:rsidRDefault="006E3964" w:rsidP="00CE66D1">
            <w:pPr>
              <w:autoSpaceDE w:val="0"/>
              <w:autoSpaceDN w:val="0"/>
              <w:adjustRightInd w:val="0"/>
              <w:spacing w:before="160" w:after="120" w:line="320" w:lineRule="atLeast"/>
              <w:ind w:left="62" w:right="62"/>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.403</w:t>
            </w:r>
          </w:p>
        </w:tc>
        <w:tc>
          <w:tcPr>
            <w:tcW w:w="468" w:type="pct"/>
            <w:tcBorders>
              <w:top w:val="single" w:sz="4" w:space="0" w:color="FFFFFF" w:themeColor="background1"/>
              <w:left w:val="nil"/>
              <w:bottom w:val="single" w:sz="4" w:space="0" w:color="FFFFFF" w:themeColor="background1"/>
              <w:right w:val="nil"/>
            </w:tcBorders>
            <w:shd w:val="clear" w:color="auto" w:fill="FFFFFF"/>
          </w:tcPr>
          <w:p w14:paraId="3B0BBFE4" w14:textId="77777777" w:rsidR="006E3964" w:rsidRPr="00BB6978" w:rsidRDefault="006E3964" w:rsidP="00CE66D1">
            <w:pPr>
              <w:autoSpaceDE w:val="0"/>
              <w:autoSpaceDN w:val="0"/>
              <w:adjustRightInd w:val="0"/>
              <w:spacing w:after="0" w:line="320" w:lineRule="atLeast"/>
              <w:ind w:left="60" w:right="60"/>
              <w:jc w:val="center"/>
              <w:rPr>
                <w:rFonts w:asciiTheme="majorBidi" w:eastAsia="Calibri" w:hAnsiTheme="majorBidi" w:cstheme="majorBidi"/>
              </w:rPr>
            </w:pPr>
            <w:r w:rsidRPr="00BB6978">
              <w:rPr>
                <w:rFonts w:asciiTheme="majorBidi" w:hAnsiTheme="majorBidi" w:cstheme="majorBidi"/>
                <w:lang/>
                <w14:ligatures w14:val="standardContextual"/>
              </w:rPr>
              <w:t>16.322</w:t>
            </w:r>
          </w:p>
        </w:tc>
        <w:tc>
          <w:tcPr>
            <w:tcW w:w="667" w:type="pct"/>
            <w:tcBorders>
              <w:top w:val="single" w:sz="4" w:space="0" w:color="FFFFFF" w:themeColor="background1"/>
              <w:left w:val="nil"/>
              <w:bottom w:val="single" w:sz="4" w:space="0" w:color="FFFFFF" w:themeColor="background1"/>
              <w:right w:val="nil"/>
            </w:tcBorders>
            <w:shd w:val="clear" w:color="auto" w:fill="FFFFFF"/>
          </w:tcPr>
          <w:p w14:paraId="4CCD6BCA" w14:textId="77777777" w:rsidR="006E3964" w:rsidRPr="00BB6978" w:rsidRDefault="006E3964" w:rsidP="00CE66D1">
            <w:pPr>
              <w:autoSpaceDE w:val="0"/>
              <w:autoSpaceDN w:val="0"/>
              <w:adjustRightInd w:val="0"/>
              <w:spacing w:after="0" w:line="320" w:lineRule="atLeast"/>
              <w:ind w:left="60" w:right="60"/>
              <w:jc w:val="center"/>
              <w:rPr>
                <w:rFonts w:asciiTheme="majorBidi" w:hAnsiTheme="majorBidi" w:cstheme="majorBidi"/>
                <w:lang/>
                <w14:ligatures w14:val="standardContextual"/>
              </w:rPr>
            </w:pPr>
            <w:r w:rsidRPr="00BB6978">
              <w:rPr>
                <w:rFonts w:asciiTheme="majorBidi" w:hAnsiTheme="majorBidi" w:cstheme="majorBidi"/>
                <w:lang/>
                <w14:ligatures w14:val="standardContextual"/>
              </w:rPr>
              <w:t>&lt;.001</w:t>
            </w:r>
          </w:p>
        </w:tc>
      </w:tr>
      <w:tr w:rsidR="00073A16" w:rsidRPr="00BB6978" w14:paraId="1DA6C620" w14:textId="77777777" w:rsidTr="00CE66D1">
        <w:trPr>
          <w:cantSplit/>
        </w:trPr>
        <w:tc>
          <w:tcPr>
            <w:tcW w:w="1068" w:type="pct"/>
            <w:vMerge/>
            <w:tcBorders>
              <w:left w:val="nil"/>
              <w:bottom w:val="single" w:sz="4" w:space="0" w:color="000000" w:themeColor="text1"/>
              <w:right w:val="nil"/>
            </w:tcBorders>
            <w:shd w:val="clear" w:color="auto" w:fill="FFFFFF"/>
          </w:tcPr>
          <w:p w14:paraId="2959F120"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p>
        </w:tc>
        <w:tc>
          <w:tcPr>
            <w:tcW w:w="733" w:type="pct"/>
            <w:tcBorders>
              <w:top w:val="single" w:sz="4" w:space="0" w:color="FFFFFF" w:themeColor="background1"/>
              <w:left w:val="nil"/>
              <w:bottom w:val="single" w:sz="4" w:space="0" w:color="auto"/>
              <w:right w:val="nil"/>
            </w:tcBorders>
            <w:shd w:val="clear" w:color="auto" w:fill="FFFFFF"/>
            <w:vAlign w:val="center"/>
          </w:tcPr>
          <w:p w14:paraId="7A841517"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School Cost</w:t>
            </w:r>
          </w:p>
        </w:tc>
        <w:tc>
          <w:tcPr>
            <w:tcW w:w="497" w:type="pct"/>
            <w:tcBorders>
              <w:top w:val="single" w:sz="4" w:space="0" w:color="FFFFFF" w:themeColor="background1"/>
              <w:left w:val="nil"/>
              <w:bottom w:val="single" w:sz="4" w:space="0" w:color="auto"/>
              <w:right w:val="nil"/>
            </w:tcBorders>
            <w:shd w:val="clear" w:color="auto" w:fill="FFFFFF"/>
          </w:tcPr>
          <w:p w14:paraId="382A0399"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.256</w:t>
            </w:r>
          </w:p>
        </w:tc>
        <w:tc>
          <w:tcPr>
            <w:tcW w:w="497" w:type="pct"/>
            <w:tcBorders>
              <w:top w:val="single" w:sz="4" w:space="0" w:color="FFFFFF" w:themeColor="background1"/>
              <w:left w:val="nil"/>
              <w:bottom w:val="single" w:sz="4" w:space="0" w:color="auto"/>
              <w:right w:val="nil"/>
            </w:tcBorders>
            <w:shd w:val="clear" w:color="auto" w:fill="FFFFFF"/>
          </w:tcPr>
          <w:p w14:paraId="3ED8E251"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.050</w:t>
            </w:r>
          </w:p>
        </w:tc>
        <w:tc>
          <w:tcPr>
            <w:tcW w:w="602" w:type="pct"/>
            <w:vMerge/>
            <w:tcBorders>
              <w:top w:val="nil"/>
              <w:left w:val="nil"/>
              <w:bottom w:val="single" w:sz="4" w:space="0" w:color="000000" w:themeColor="text1"/>
              <w:right w:val="nil"/>
            </w:tcBorders>
            <w:shd w:val="clear" w:color="auto" w:fill="FFFFFF"/>
            <w:vAlign w:val="center"/>
          </w:tcPr>
          <w:p w14:paraId="216F202F"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c>
          <w:tcPr>
            <w:tcW w:w="468" w:type="pct"/>
            <w:vMerge/>
            <w:tcBorders>
              <w:left w:val="nil"/>
              <w:bottom w:val="single" w:sz="4" w:space="0" w:color="auto"/>
              <w:right w:val="nil"/>
            </w:tcBorders>
            <w:shd w:val="clear" w:color="auto" w:fill="FFFFFF"/>
          </w:tcPr>
          <w:p w14:paraId="3F326DFC"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c>
          <w:tcPr>
            <w:tcW w:w="468" w:type="pct"/>
            <w:tcBorders>
              <w:top w:val="single" w:sz="4" w:space="0" w:color="FFFFFF" w:themeColor="background1"/>
              <w:left w:val="nil"/>
              <w:bottom w:val="single" w:sz="4" w:space="0" w:color="auto"/>
              <w:right w:val="nil"/>
            </w:tcBorders>
            <w:shd w:val="clear" w:color="auto" w:fill="FFFFFF"/>
          </w:tcPr>
          <w:p w14:paraId="0CB23E42" w14:textId="77777777" w:rsidR="006E3964" w:rsidRPr="00BB6978" w:rsidRDefault="006E3964" w:rsidP="00CE66D1">
            <w:pPr>
              <w:autoSpaceDE w:val="0"/>
              <w:autoSpaceDN w:val="0"/>
              <w:adjustRightInd w:val="0"/>
              <w:spacing w:after="0" w:line="320" w:lineRule="atLeast"/>
              <w:ind w:left="60" w:right="60"/>
              <w:jc w:val="center"/>
              <w:rPr>
                <w:rFonts w:asciiTheme="majorBidi" w:eastAsia="Calibri" w:hAnsiTheme="majorBidi" w:cstheme="majorBidi"/>
              </w:rPr>
            </w:pPr>
            <w:r w:rsidRPr="00BB6978">
              <w:rPr>
                <w:rFonts w:asciiTheme="majorBidi" w:hAnsiTheme="majorBidi" w:cstheme="majorBidi"/>
                <w:lang/>
                <w14:ligatures w14:val="standardContextual"/>
              </w:rPr>
              <w:t>5.150</w:t>
            </w:r>
          </w:p>
        </w:tc>
        <w:tc>
          <w:tcPr>
            <w:tcW w:w="667" w:type="pct"/>
            <w:tcBorders>
              <w:top w:val="single" w:sz="4" w:space="0" w:color="FFFFFF" w:themeColor="background1"/>
              <w:left w:val="nil"/>
              <w:bottom w:val="single" w:sz="4" w:space="0" w:color="auto"/>
              <w:right w:val="nil"/>
            </w:tcBorders>
            <w:shd w:val="clear" w:color="auto" w:fill="FFFFFF"/>
          </w:tcPr>
          <w:p w14:paraId="2D0B180F" w14:textId="77777777" w:rsidR="006E3964" w:rsidRPr="00BB6978" w:rsidRDefault="006E3964" w:rsidP="00CE66D1">
            <w:pPr>
              <w:autoSpaceDE w:val="0"/>
              <w:autoSpaceDN w:val="0"/>
              <w:adjustRightInd w:val="0"/>
              <w:spacing w:after="0" w:line="320" w:lineRule="atLeast"/>
              <w:ind w:left="60" w:right="60"/>
              <w:jc w:val="center"/>
              <w:rPr>
                <w:rFonts w:asciiTheme="majorBidi" w:hAnsiTheme="majorBidi" w:cstheme="majorBidi"/>
                <w:lang/>
                <w14:ligatures w14:val="standardContextual"/>
              </w:rPr>
            </w:pPr>
            <w:r w:rsidRPr="00BB6978">
              <w:rPr>
                <w:rFonts w:asciiTheme="majorBidi" w:hAnsiTheme="majorBidi" w:cstheme="majorBidi"/>
                <w:lang/>
                <w14:ligatures w14:val="standardContextual"/>
              </w:rPr>
              <w:t>&lt;.001</w:t>
            </w:r>
          </w:p>
        </w:tc>
      </w:tr>
      <w:tr w:rsidR="00073A16" w:rsidRPr="00BB6978" w14:paraId="459672F9" w14:textId="77777777" w:rsidTr="00CE66D1">
        <w:trPr>
          <w:cantSplit/>
        </w:trPr>
        <w:tc>
          <w:tcPr>
            <w:tcW w:w="1068" w:type="pct"/>
            <w:vMerge w:val="restart"/>
            <w:tcBorders>
              <w:top w:val="single" w:sz="4" w:space="0" w:color="000000" w:themeColor="text1"/>
              <w:left w:val="nil"/>
              <w:bottom w:val="single" w:sz="4" w:space="0" w:color="auto"/>
              <w:right w:val="nil"/>
            </w:tcBorders>
            <w:shd w:val="clear" w:color="auto" w:fill="FFFFFF"/>
          </w:tcPr>
          <w:p w14:paraId="220B88D4"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No Response</w:t>
            </w:r>
          </w:p>
        </w:tc>
        <w:tc>
          <w:tcPr>
            <w:tcW w:w="733" w:type="pct"/>
            <w:tcBorders>
              <w:top w:val="single" w:sz="4" w:space="0" w:color="FFFFFF" w:themeColor="background1"/>
              <w:left w:val="nil"/>
              <w:bottom w:val="single" w:sz="4" w:space="0" w:color="FFFFFF" w:themeColor="background1"/>
              <w:right w:val="nil"/>
            </w:tcBorders>
            <w:shd w:val="clear" w:color="auto" w:fill="FFFFFF"/>
            <w:vAlign w:val="center"/>
          </w:tcPr>
          <w:p w14:paraId="2F8CE045"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(Constant)</w:t>
            </w:r>
          </w:p>
        </w:tc>
        <w:tc>
          <w:tcPr>
            <w:tcW w:w="497" w:type="pct"/>
            <w:tcBorders>
              <w:top w:val="single" w:sz="4" w:space="0" w:color="FFFFFF" w:themeColor="background1"/>
              <w:left w:val="nil"/>
              <w:bottom w:val="single" w:sz="4" w:space="0" w:color="FFFFFF" w:themeColor="background1"/>
              <w:right w:val="nil"/>
            </w:tcBorders>
            <w:shd w:val="clear" w:color="auto" w:fill="FFFFFF"/>
          </w:tcPr>
          <w:p w14:paraId="4A8473D5"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2.939</w:t>
            </w:r>
          </w:p>
        </w:tc>
        <w:tc>
          <w:tcPr>
            <w:tcW w:w="497" w:type="pct"/>
            <w:tcBorders>
              <w:top w:val="single" w:sz="4" w:space="0" w:color="FFFFFF" w:themeColor="background1"/>
              <w:left w:val="nil"/>
              <w:bottom w:val="single" w:sz="4" w:space="0" w:color="FFFFFF" w:themeColor="background1"/>
              <w:right w:val="nil"/>
            </w:tcBorders>
            <w:shd w:val="clear" w:color="auto" w:fill="FFFFFF"/>
          </w:tcPr>
          <w:p w14:paraId="565C9821"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.257</w:t>
            </w:r>
          </w:p>
        </w:tc>
        <w:tc>
          <w:tcPr>
            <w:tcW w:w="602" w:type="pct"/>
            <w:vMerge w:val="restart"/>
            <w:tcBorders>
              <w:top w:val="single" w:sz="4" w:space="0" w:color="000000" w:themeColor="text1"/>
              <w:left w:val="nil"/>
              <w:bottom w:val="single" w:sz="4" w:space="0" w:color="auto"/>
              <w:right w:val="nil"/>
            </w:tcBorders>
            <w:shd w:val="clear" w:color="auto" w:fill="FFFFFF"/>
            <w:vAlign w:val="center"/>
          </w:tcPr>
          <w:p w14:paraId="39451D74"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.398</w:t>
            </w:r>
          </w:p>
        </w:tc>
        <w:tc>
          <w:tcPr>
            <w:tcW w:w="468" w:type="pct"/>
            <w:vMerge w:val="restart"/>
            <w:tcBorders>
              <w:top w:val="single" w:sz="4" w:space="0" w:color="FFFFFF" w:themeColor="background1"/>
              <w:left w:val="nil"/>
              <w:right w:val="nil"/>
            </w:tcBorders>
            <w:shd w:val="clear" w:color="auto" w:fill="FFFFFF"/>
          </w:tcPr>
          <w:p w14:paraId="2B87C176" w14:textId="77777777" w:rsidR="006E3964" w:rsidRPr="00BB6978" w:rsidRDefault="006E3964" w:rsidP="00CE66D1">
            <w:pPr>
              <w:autoSpaceDE w:val="0"/>
              <w:autoSpaceDN w:val="0"/>
              <w:adjustRightInd w:val="0"/>
              <w:spacing w:before="160" w:after="120" w:line="320" w:lineRule="atLeast"/>
              <w:ind w:left="62" w:right="62"/>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.631</w:t>
            </w:r>
          </w:p>
        </w:tc>
        <w:tc>
          <w:tcPr>
            <w:tcW w:w="468" w:type="pct"/>
            <w:tcBorders>
              <w:top w:val="single" w:sz="4" w:space="0" w:color="FFFFFF" w:themeColor="background1"/>
              <w:left w:val="nil"/>
              <w:bottom w:val="single" w:sz="4" w:space="0" w:color="FFFFFF" w:themeColor="background1"/>
              <w:right w:val="nil"/>
            </w:tcBorders>
            <w:shd w:val="clear" w:color="auto" w:fill="FFFFFF"/>
          </w:tcPr>
          <w:p w14:paraId="121588F0" w14:textId="77777777" w:rsidR="006E3964" w:rsidRPr="00BB6978" w:rsidRDefault="006E3964" w:rsidP="00CE66D1">
            <w:pPr>
              <w:autoSpaceDE w:val="0"/>
              <w:autoSpaceDN w:val="0"/>
              <w:adjustRightInd w:val="0"/>
              <w:spacing w:after="0" w:line="320" w:lineRule="atLeast"/>
              <w:ind w:left="60" w:right="60"/>
              <w:jc w:val="center"/>
              <w:rPr>
                <w:rFonts w:asciiTheme="majorBidi" w:eastAsia="Calibri" w:hAnsiTheme="majorBidi" w:cstheme="majorBidi"/>
              </w:rPr>
            </w:pPr>
            <w:r w:rsidRPr="00BB6978">
              <w:rPr>
                <w:rFonts w:asciiTheme="majorBidi" w:hAnsiTheme="majorBidi" w:cstheme="majorBidi"/>
                <w:lang/>
                <w14:ligatures w14:val="standardContextual"/>
              </w:rPr>
              <w:t>11.415</w:t>
            </w:r>
          </w:p>
        </w:tc>
        <w:tc>
          <w:tcPr>
            <w:tcW w:w="667" w:type="pct"/>
            <w:tcBorders>
              <w:top w:val="single" w:sz="4" w:space="0" w:color="FFFFFF" w:themeColor="background1"/>
              <w:left w:val="nil"/>
              <w:bottom w:val="single" w:sz="4" w:space="0" w:color="FFFFFF" w:themeColor="background1"/>
              <w:right w:val="nil"/>
            </w:tcBorders>
            <w:shd w:val="clear" w:color="auto" w:fill="FFFFFF"/>
          </w:tcPr>
          <w:p w14:paraId="5F331416" w14:textId="77777777" w:rsidR="006E3964" w:rsidRPr="00BB6978" w:rsidRDefault="006E3964" w:rsidP="00CE66D1">
            <w:pPr>
              <w:autoSpaceDE w:val="0"/>
              <w:autoSpaceDN w:val="0"/>
              <w:adjustRightInd w:val="0"/>
              <w:spacing w:after="0" w:line="320" w:lineRule="atLeast"/>
              <w:ind w:left="60" w:right="60"/>
              <w:jc w:val="center"/>
              <w:rPr>
                <w:rFonts w:asciiTheme="majorBidi" w:hAnsiTheme="majorBidi" w:cstheme="majorBidi"/>
                <w:lang/>
                <w14:ligatures w14:val="standardContextual"/>
              </w:rPr>
            </w:pPr>
            <w:r w:rsidRPr="00BB6978">
              <w:rPr>
                <w:rFonts w:asciiTheme="majorBidi" w:hAnsiTheme="majorBidi" w:cstheme="majorBidi"/>
                <w:lang/>
                <w14:ligatures w14:val="standardContextual"/>
              </w:rPr>
              <w:t>&lt;.001</w:t>
            </w:r>
          </w:p>
        </w:tc>
      </w:tr>
      <w:tr w:rsidR="00073A16" w:rsidRPr="00BB6978" w14:paraId="6DADC30C" w14:textId="77777777" w:rsidTr="00CE66D1">
        <w:trPr>
          <w:cantSplit/>
        </w:trPr>
        <w:tc>
          <w:tcPr>
            <w:tcW w:w="1068" w:type="pct"/>
            <w:vMerge/>
            <w:tcBorders>
              <w:left w:val="nil"/>
              <w:bottom w:val="single" w:sz="4" w:space="0" w:color="auto"/>
              <w:right w:val="nil"/>
            </w:tcBorders>
            <w:shd w:val="clear" w:color="auto" w:fill="FFFFFF"/>
          </w:tcPr>
          <w:p w14:paraId="37C59246"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c>
          <w:tcPr>
            <w:tcW w:w="733" w:type="pct"/>
            <w:tcBorders>
              <w:top w:val="single" w:sz="4" w:space="0" w:color="FFFFFF" w:themeColor="background1"/>
              <w:left w:val="nil"/>
              <w:bottom w:val="single" w:sz="4" w:space="0" w:color="auto"/>
              <w:right w:val="nil"/>
            </w:tcBorders>
            <w:shd w:val="clear" w:color="auto" w:fill="FFFFFF"/>
            <w:vAlign w:val="center"/>
          </w:tcPr>
          <w:p w14:paraId="31895CC6"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School Cost</w:t>
            </w:r>
          </w:p>
        </w:tc>
        <w:tc>
          <w:tcPr>
            <w:tcW w:w="497" w:type="pct"/>
            <w:tcBorders>
              <w:top w:val="single" w:sz="4" w:space="0" w:color="FFFFFF" w:themeColor="background1"/>
              <w:left w:val="nil"/>
              <w:bottom w:val="single" w:sz="4" w:space="0" w:color="auto"/>
              <w:right w:val="nil"/>
            </w:tcBorders>
            <w:shd w:val="clear" w:color="auto" w:fill="FFFFFF"/>
          </w:tcPr>
          <w:p w14:paraId="7DB8ED7F"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.374</w:t>
            </w:r>
          </w:p>
        </w:tc>
        <w:tc>
          <w:tcPr>
            <w:tcW w:w="497" w:type="pct"/>
            <w:tcBorders>
              <w:top w:val="single" w:sz="4" w:space="0" w:color="FFFFFF" w:themeColor="background1"/>
              <w:left w:val="nil"/>
              <w:bottom w:val="single" w:sz="4" w:space="0" w:color="auto"/>
              <w:right w:val="nil"/>
            </w:tcBorders>
            <w:shd w:val="clear" w:color="auto" w:fill="FFFFFF"/>
          </w:tcPr>
          <w:p w14:paraId="3A7C0B9C"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.059</w:t>
            </w:r>
          </w:p>
        </w:tc>
        <w:tc>
          <w:tcPr>
            <w:tcW w:w="602" w:type="pct"/>
            <w:vMerge/>
            <w:tcBorders>
              <w:top w:val="nil"/>
              <w:left w:val="nil"/>
              <w:bottom w:val="single" w:sz="4" w:space="0" w:color="auto"/>
              <w:right w:val="nil"/>
            </w:tcBorders>
            <w:shd w:val="clear" w:color="auto" w:fill="FFFFFF"/>
            <w:vAlign w:val="center"/>
          </w:tcPr>
          <w:p w14:paraId="43D63DDB"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c>
          <w:tcPr>
            <w:tcW w:w="468" w:type="pct"/>
            <w:vMerge/>
            <w:tcBorders>
              <w:left w:val="nil"/>
              <w:bottom w:val="single" w:sz="4" w:space="0" w:color="auto"/>
              <w:right w:val="nil"/>
            </w:tcBorders>
            <w:shd w:val="clear" w:color="auto" w:fill="FFFFFF"/>
          </w:tcPr>
          <w:p w14:paraId="0D0FE0C4"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c>
          <w:tcPr>
            <w:tcW w:w="468" w:type="pct"/>
            <w:tcBorders>
              <w:top w:val="single" w:sz="4" w:space="0" w:color="FFFFFF" w:themeColor="background1"/>
              <w:left w:val="nil"/>
              <w:bottom w:val="single" w:sz="4" w:space="0" w:color="auto"/>
              <w:right w:val="nil"/>
            </w:tcBorders>
            <w:shd w:val="clear" w:color="auto" w:fill="FFFFFF"/>
          </w:tcPr>
          <w:p w14:paraId="352E6964" w14:textId="77777777" w:rsidR="006E3964" w:rsidRPr="00BB6978" w:rsidRDefault="006E3964" w:rsidP="00CE66D1">
            <w:pPr>
              <w:autoSpaceDE w:val="0"/>
              <w:autoSpaceDN w:val="0"/>
              <w:adjustRightInd w:val="0"/>
              <w:spacing w:after="0" w:line="320" w:lineRule="atLeast"/>
              <w:ind w:left="60" w:right="60"/>
              <w:jc w:val="center"/>
              <w:rPr>
                <w:rFonts w:asciiTheme="majorBidi" w:eastAsia="Calibri" w:hAnsiTheme="majorBidi" w:cstheme="majorBidi"/>
              </w:rPr>
            </w:pPr>
            <w:r w:rsidRPr="00BB6978">
              <w:rPr>
                <w:rFonts w:asciiTheme="majorBidi" w:hAnsiTheme="majorBidi" w:cstheme="majorBidi"/>
                <w:lang/>
                <w14:ligatures w14:val="standardContextual"/>
              </w:rPr>
              <w:t>6.296</w:t>
            </w:r>
          </w:p>
        </w:tc>
        <w:tc>
          <w:tcPr>
            <w:tcW w:w="667" w:type="pct"/>
            <w:tcBorders>
              <w:top w:val="single" w:sz="4" w:space="0" w:color="FFFFFF" w:themeColor="background1"/>
              <w:left w:val="nil"/>
              <w:bottom w:val="single" w:sz="4" w:space="0" w:color="auto"/>
              <w:right w:val="nil"/>
            </w:tcBorders>
            <w:shd w:val="clear" w:color="auto" w:fill="FFFFFF"/>
          </w:tcPr>
          <w:p w14:paraId="508DDEEB" w14:textId="77777777" w:rsidR="006E3964" w:rsidRPr="00BB6978" w:rsidRDefault="006E3964" w:rsidP="00CE66D1">
            <w:pPr>
              <w:autoSpaceDE w:val="0"/>
              <w:autoSpaceDN w:val="0"/>
              <w:adjustRightInd w:val="0"/>
              <w:spacing w:after="0" w:line="320" w:lineRule="atLeast"/>
              <w:ind w:left="60" w:right="60"/>
              <w:jc w:val="center"/>
              <w:rPr>
                <w:rFonts w:asciiTheme="majorBidi" w:hAnsiTheme="majorBidi" w:cstheme="majorBidi"/>
                <w:lang/>
                <w14:ligatures w14:val="standardContextual"/>
              </w:rPr>
            </w:pPr>
            <w:r w:rsidRPr="00BB6978">
              <w:rPr>
                <w:rFonts w:asciiTheme="majorBidi" w:hAnsiTheme="majorBidi" w:cstheme="majorBidi"/>
                <w:lang/>
                <w14:ligatures w14:val="standardContextual"/>
              </w:rPr>
              <w:t>&lt;.001</w:t>
            </w:r>
          </w:p>
        </w:tc>
      </w:tr>
    </w:tbl>
    <w:p w14:paraId="3E208FDB" w14:textId="77777777" w:rsidR="006E3964" w:rsidRPr="00BB6978" w:rsidRDefault="006E3964" w:rsidP="006E3964">
      <w:pPr>
        <w:autoSpaceDE w:val="0"/>
        <w:autoSpaceDN w:val="0"/>
        <w:adjustRightInd w:val="0"/>
        <w:spacing w:after="0" w:line="360" w:lineRule="auto"/>
        <w:jc w:val="both"/>
        <w:rPr>
          <w:rFonts w:ascii="Times New Roman" w:eastAsia="Times New Roman" w:hAnsi="Times New Roman" w:cs="Times New Roman"/>
          <w:b/>
          <w:sz w:val="24"/>
          <w:szCs w:val="24"/>
        </w:rPr>
      </w:pPr>
      <w:r w:rsidRPr="00BB6978">
        <w:rPr>
          <w:rFonts w:ascii="Times New Roman" w:eastAsia="Times New Roman" w:hAnsi="Times New Roman" w:cs="Times New Roman"/>
          <w:sz w:val="24"/>
          <w:szCs w:val="24"/>
        </w:rPr>
        <w:t>Dependent Variable: Student achievement, **p&lt;0.001</w:t>
      </w:r>
    </w:p>
    <w:p w14:paraId="023B9F00" w14:textId="77777777" w:rsidR="006E3964" w:rsidRPr="00BB6978" w:rsidRDefault="006E3964" w:rsidP="006E3964">
      <w:pPr>
        <w:spacing w:after="0" w:line="240" w:lineRule="auto"/>
        <w:jc w:val="both"/>
        <w:rPr>
          <w:rFonts w:ascii="Times New Roman" w:eastAsia="Calibri" w:hAnsi="Times New Roman" w:cs="Times New Roman"/>
          <w:sz w:val="24"/>
          <w:szCs w:val="24"/>
        </w:rPr>
      </w:pPr>
    </w:p>
    <w:p w14:paraId="444F7FB1" w14:textId="77777777" w:rsidR="006E3964" w:rsidRPr="00BB6978" w:rsidRDefault="006E3964" w:rsidP="006E3964">
      <w:pPr>
        <w:spacing w:after="0" w:line="240" w:lineRule="auto"/>
        <w:jc w:val="both"/>
        <w:rPr>
          <w:rFonts w:ascii="Times New Roman" w:eastAsia="Calibri" w:hAnsi="Times New Roman" w:cs="Times New Roman"/>
          <w:sz w:val="24"/>
          <w:szCs w:val="24"/>
        </w:rPr>
      </w:pPr>
    </w:p>
    <w:p w14:paraId="38E28817" w14:textId="77777777" w:rsidR="006E3964" w:rsidRPr="00BB6978" w:rsidRDefault="006E3964" w:rsidP="006E3964">
      <w:pPr>
        <w:spacing w:line="360" w:lineRule="auto"/>
        <w:ind w:left="426" w:hanging="426"/>
        <w:jc w:val="both"/>
        <w:rPr>
          <w:rFonts w:ascii="Times New Roman" w:eastAsia="Calibri" w:hAnsi="Times New Roman" w:cs="Times New Roman"/>
          <w:i/>
          <w:iCs/>
          <w:sz w:val="24"/>
          <w:szCs w:val="24"/>
        </w:rPr>
      </w:pPr>
      <w:r w:rsidRPr="00BB6978">
        <w:rPr>
          <w:rFonts w:ascii="Times New Roman" w:eastAsia="Calibri" w:hAnsi="Times New Roman" w:cs="Times New Roman"/>
          <w:i/>
          <w:sz w:val="24"/>
        </w:rPr>
        <w:t>H</w:t>
      </w:r>
      <w:r w:rsidRPr="00BB6978">
        <w:rPr>
          <w:rFonts w:ascii="Times New Roman" w:eastAsia="Calibri" w:hAnsi="Times New Roman" w:cs="Times New Roman"/>
          <w:i/>
          <w:sz w:val="24"/>
          <w:vertAlign w:val="subscript"/>
        </w:rPr>
        <w:t xml:space="preserve">6: </w:t>
      </w:r>
      <w:r w:rsidRPr="00BB6978">
        <w:rPr>
          <w:rFonts w:ascii="Times New Roman" w:eastAsia="Calibri" w:hAnsi="Times New Roman" w:cs="Times New Roman"/>
          <w:i/>
          <w:iCs/>
          <w:sz w:val="24"/>
          <w:szCs w:val="24"/>
        </w:rPr>
        <w:t>Parents’ education moderates the relationship between school quality and students’ achievements in private schools in Abu Dhabi.</w:t>
      </w:r>
    </w:p>
    <w:p w14:paraId="658B9C37" w14:textId="77777777" w:rsidR="006E3964" w:rsidRPr="00BB6978" w:rsidRDefault="006E3964" w:rsidP="006E3964">
      <w:pPr>
        <w:spacing w:line="480" w:lineRule="auto"/>
        <w:ind w:firstLine="720"/>
        <w:jc w:val="both"/>
        <w:rPr>
          <w:rFonts w:asciiTheme="majorBidi" w:hAnsiTheme="majorBidi" w:cstheme="majorBidi"/>
          <w:sz w:val="24"/>
          <w:szCs w:val="24"/>
        </w:rPr>
      </w:pPr>
      <w:r w:rsidRPr="00BB6978">
        <w:rPr>
          <w:rFonts w:ascii="Times New Roman" w:eastAsia="Calibri" w:hAnsi="Times New Roman" w:cs="Times New Roman"/>
          <w:iCs/>
          <w:sz w:val="24"/>
          <w:szCs w:val="24"/>
        </w:rPr>
        <w:t xml:space="preserve">To understand the relationship between school quality and students’ achievement and how it is moderated by parents’ education, the linear regression analysis has been employed after splitting the data in terms of the nominal classifications of the parents’ education, which are: 1) </w:t>
      </w:r>
      <w:r w:rsidRPr="00BB6978">
        <w:rPr>
          <w:rFonts w:ascii="Times New Roman" w:hAnsi="Times New Roman" w:cs="Times New Roman"/>
          <w:sz w:val="24"/>
          <w:szCs w:val="24"/>
        </w:rPr>
        <w:t>High school or less; 2) Diploma; 3)</w:t>
      </w:r>
      <w:r w:rsidRPr="00BB6978">
        <w:rPr>
          <w:rFonts w:ascii="Times New Roman" w:eastAsia="Calibri" w:hAnsi="Times New Roman" w:cs="Times New Roman"/>
          <w:iCs/>
          <w:sz w:val="24"/>
          <w:szCs w:val="24"/>
        </w:rPr>
        <w:t xml:space="preserve"> </w:t>
      </w:r>
      <w:r w:rsidRPr="00BB6978">
        <w:rPr>
          <w:rFonts w:ascii="Times New Roman" w:hAnsi="Times New Roman" w:cs="Times New Roman"/>
          <w:sz w:val="24"/>
          <w:szCs w:val="24"/>
        </w:rPr>
        <w:t>Bachelor</w:t>
      </w:r>
      <w:r w:rsidRPr="00BB6978">
        <w:rPr>
          <w:rFonts w:ascii="Times New Roman" w:eastAsia="Calibri" w:hAnsi="Times New Roman" w:cs="Times New Roman"/>
          <w:iCs/>
          <w:sz w:val="24"/>
          <w:szCs w:val="24"/>
        </w:rPr>
        <w:t xml:space="preserve">; and 4) </w:t>
      </w:r>
      <w:r w:rsidRPr="00BB6978">
        <w:rPr>
          <w:rFonts w:ascii="Times New Roman" w:hAnsi="Times New Roman" w:cs="Times New Roman"/>
          <w:sz w:val="24"/>
          <w:szCs w:val="24"/>
        </w:rPr>
        <w:t xml:space="preserve">Graduate studies. The results displayed in Table 16 that the parents’ education as a moderator strengthens the correlation between school quality and students’ achievement. As mentioned before that </w:t>
      </w:r>
      <w:r w:rsidRPr="00BB6978">
        <w:rPr>
          <w:rFonts w:asciiTheme="majorBidi" w:hAnsiTheme="majorBidi" w:cstheme="majorBidi"/>
          <w:sz w:val="24"/>
          <w:szCs w:val="24"/>
        </w:rPr>
        <w:t xml:space="preserve">37.8% of the variability in students’ achievement can be attributed to school quality. However, now it increases in each classification of the parents’ education </w:t>
      </w:r>
      <w:r w:rsidRPr="00BB6978">
        <w:rPr>
          <w:rFonts w:ascii="Times New Roman" w:hAnsi="Times New Roman" w:cs="Times New Roman"/>
          <w:sz w:val="24"/>
          <w:szCs w:val="24"/>
        </w:rPr>
        <w:t>with exception to the classification of “graduate studies” (</w:t>
      </w:r>
      <w:r w:rsidRPr="00BB6978">
        <w:rPr>
          <w:rFonts w:asciiTheme="majorBidi" w:hAnsiTheme="majorBidi" w:cstheme="majorBidi"/>
          <w:i/>
          <w:iCs/>
          <w:sz w:val="24"/>
          <w:szCs w:val="24"/>
        </w:rPr>
        <w:t>R</w:t>
      </w:r>
      <w:r w:rsidRPr="00BB6978">
        <w:rPr>
          <w:rFonts w:asciiTheme="majorBidi" w:hAnsiTheme="majorBidi" w:cstheme="majorBidi"/>
          <w:i/>
          <w:iCs/>
          <w:sz w:val="24"/>
          <w:szCs w:val="24"/>
          <w:vertAlign w:val="superscript"/>
        </w:rPr>
        <w:t>2</w:t>
      </w:r>
      <w:r w:rsidRPr="00BB6978">
        <w:rPr>
          <w:rFonts w:asciiTheme="majorBidi" w:hAnsiTheme="majorBidi" w:cstheme="majorBidi"/>
          <w:sz w:val="24"/>
          <w:szCs w:val="24"/>
          <w:vertAlign w:val="superscript"/>
        </w:rPr>
        <w:t xml:space="preserve"> </w:t>
      </w:r>
      <w:r w:rsidRPr="00BB6978">
        <w:rPr>
          <w:rFonts w:asciiTheme="majorBidi" w:hAnsiTheme="majorBidi" w:cstheme="majorBidi"/>
          <w:sz w:val="24"/>
          <w:szCs w:val="24"/>
        </w:rPr>
        <w:t xml:space="preserve">= </w:t>
      </w:r>
      <w:r w:rsidRPr="00BB6978">
        <w:rPr>
          <w:rFonts w:ascii="Times New Roman" w:eastAsia="Calibri" w:hAnsi="Times New Roman" w:cs="Times New Roman"/>
          <w:sz w:val="24"/>
          <w:szCs w:val="24"/>
        </w:rPr>
        <w:t>.317</w:t>
      </w:r>
      <w:r w:rsidRPr="00BB6978">
        <w:rPr>
          <w:rFonts w:asciiTheme="majorBidi" w:hAnsiTheme="majorBidi" w:cstheme="majorBidi"/>
          <w:sz w:val="24"/>
          <w:szCs w:val="24"/>
        </w:rPr>
        <w:t xml:space="preserve">, </w:t>
      </w:r>
      <w:r w:rsidRPr="00BB6978">
        <w:rPr>
          <w:rFonts w:asciiTheme="majorBidi" w:hAnsiTheme="majorBidi" w:cstheme="majorBidi"/>
          <w:i/>
          <w:iCs/>
          <w:sz w:val="24"/>
          <w:szCs w:val="24"/>
        </w:rPr>
        <w:t>p</w:t>
      </w:r>
      <w:r w:rsidRPr="00BB6978">
        <w:rPr>
          <w:rFonts w:asciiTheme="majorBidi" w:hAnsiTheme="majorBidi" w:cstheme="majorBidi"/>
          <w:sz w:val="24"/>
          <w:szCs w:val="24"/>
        </w:rPr>
        <w:t xml:space="preserve">&lt;0.001), although it is still significant. To elaborate more, the highest classification is parents who are within the classification of high school or less; this classification shows a significant effect as a moderator on the relationship between school quality and students’ achievement </w:t>
      </w:r>
      <w:r w:rsidRPr="00BB6978">
        <w:rPr>
          <w:rFonts w:ascii="Times New Roman" w:hAnsi="Times New Roman" w:cs="Times New Roman"/>
          <w:sz w:val="24"/>
          <w:szCs w:val="24"/>
        </w:rPr>
        <w:t>(</w:t>
      </w:r>
      <w:r w:rsidRPr="00BB6978">
        <w:rPr>
          <w:rFonts w:asciiTheme="majorBidi" w:hAnsiTheme="majorBidi" w:cstheme="majorBidi"/>
          <w:i/>
          <w:iCs/>
          <w:sz w:val="24"/>
          <w:szCs w:val="24"/>
        </w:rPr>
        <w:t>R</w:t>
      </w:r>
      <w:r w:rsidRPr="00BB6978">
        <w:rPr>
          <w:rFonts w:asciiTheme="majorBidi" w:hAnsiTheme="majorBidi" w:cstheme="majorBidi"/>
          <w:i/>
          <w:iCs/>
          <w:sz w:val="24"/>
          <w:szCs w:val="24"/>
          <w:vertAlign w:val="superscript"/>
        </w:rPr>
        <w:t>2</w:t>
      </w:r>
      <w:r w:rsidRPr="00BB6978">
        <w:rPr>
          <w:rFonts w:asciiTheme="majorBidi" w:hAnsiTheme="majorBidi" w:cstheme="majorBidi"/>
          <w:sz w:val="24"/>
          <w:szCs w:val="24"/>
          <w:vertAlign w:val="superscript"/>
        </w:rPr>
        <w:t xml:space="preserve"> </w:t>
      </w:r>
      <w:r w:rsidRPr="00BB6978">
        <w:rPr>
          <w:rFonts w:asciiTheme="majorBidi" w:hAnsiTheme="majorBidi" w:cstheme="majorBidi"/>
          <w:sz w:val="24"/>
          <w:szCs w:val="24"/>
        </w:rPr>
        <w:t xml:space="preserve">= </w:t>
      </w:r>
      <w:r w:rsidRPr="00BB6978">
        <w:rPr>
          <w:rFonts w:ascii="Times New Roman" w:eastAsia="Calibri" w:hAnsi="Times New Roman" w:cs="Times New Roman"/>
          <w:sz w:val="24"/>
          <w:szCs w:val="24"/>
        </w:rPr>
        <w:t>.469</w:t>
      </w:r>
      <w:r w:rsidRPr="00BB6978">
        <w:rPr>
          <w:rFonts w:asciiTheme="majorBidi" w:hAnsiTheme="majorBidi" w:cstheme="majorBidi"/>
          <w:sz w:val="24"/>
          <w:szCs w:val="24"/>
        </w:rPr>
        <w:t xml:space="preserve">, </w:t>
      </w:r>
      <w:r w:rsidRPr="00BB6978">
        <w:rPr>
          <w:rFonts w:asciiTheme="majorBidi" w:hAnsiTheme="majorBidi" w:cstheme="majorBidi"/>
          <w:i/>
          <w:iCs/>
          <w:sz w:val="24"/>
          <w:szCs w:val="24"/>
        </w:rPr>
        <w:t>p</w:t>
      </w:r>
      <w:r w:rsidRPr="00BB6978">
        <w:rPr>
          <w:rFonts w:asciiTheme="majorBidi" w:hAnsiTheme="majorBidi" w:cstheme="majorBidi"/>
          <w:sz w:val="24"/>
          <w:szCs w:val="24"/>
        </w:rPr>
        <w:t xml:space="preserve">&lt;0.001). This means that 46.9% of the variability in students’ achievement can be attributed to school quality moderated by parents’ awareness even they are within the classification of high school or less. So, the higher parents’ awareness and education is found, the more school quality positively affects the students’ achievement. Therefore, the hypothesis is accepted. </w:t>
      </w:r>
    </w:p>
    <w:p w14:paraId="37F4DD39" w14:textId="77777777" w:rsidR="005401E1" w:rsidRPr="00BB6978" w:rsidRDefault="005401E1" w:rsidP="006E3964">
      <w:pPr>
        <w:spacing w:line="480" w:lineRule="auto"/>
        <w:ind w:firstLine="720"/>
        <w:jc w:val="both"/>
        <w:rPr>
          <w:rFonts w:asciiTheme="majorBidi" w:hAnsiTheme="majorBidi" w:cstheme="majorBidi"/>
          <w:sz w:val="24"/>
          <w:szCs w:val="24"/>
        </w:rPr>
      </w:pPr>
      <w:r w:rsidRPr="00BB6978">
        <w:rPr>
          <w:rFonts w:asciiTheme="majorBidi" w:hAnsiTheme="majorBidi" w:cstheme="majorBidi"/>
          <w:sz w:val="24"/>
          <w:szCs w:val="24"/>
        </w:rPr>
        <w:t xml:space="preserve">Comparing the effects of parents’ income as a moderator with the parents’ education, it shows that the effect of parents’ education on the relationship between school quality and students’ achievement is significantly higher than the effect of parents’ income in the relationship between school cost and students’ achievement. This result supports the previous ones through confirming that the school quality has more significant impact on the students’ achievement than the school cost. </w:t>
      </w:r>
    </w:p>
    <w:p w14:paraId="47D7951F" w14:textId="77777777" w:rsidR="00CA529C" w:rsidRPr="00BB6978" w:rsidRDefault="00CA529C" w:rsidP="006E3964">
      <w:pPr>
        <w:spacing w:line="480" w:lineRule="auto"/>
        <w:ind w:firstLine="720"/>
        <w:jc w:val="both"/>
        <w:rPr>
          <w:rFonts w:asciiTheme="majorBidi" w:hAnsiTheme="majorBidi" w:cstheme="majorBidi"/>
          <w:sz w:val="24"/>
          <w:szCs w:val="24"/>
        </w:rPr>
      </w:pPr>
    </w:p>
    <w:p w14:paraId="34808FB1" w14:textId="77777777" w:rsidR="006E3964" w:rsidRPr="00BB6978" w:rsidRDefault="00131282" w:rsidP="007F58DC">
      <w:pPr>
        <w:pStyle w:val="Caption"/>
        <w:rPr>
          <w:rFonts w:eastAsia="Times New Roman"/>
          <w:u w:val="single"/>
        </w:rPr>
      </w:pPr>
      <w:bookmarkStart w:id="155" w:name="_Toc134452500"/>
      <w:r w:rsidRPr="00BB6978">
        <w:t xml:space="preserve">Table </w:t>
      </w:r>
      <w:r w:rsidRPr="00BB6978">
        <w:fldChar w:fldCharType="begin"/>
      </w:r>
      <w:r w:rsidRPr="00BB6978">
        <w:instrText xml:space="preserve"> SEQ Table \* ARABIC </w:instrText>
      </w:r>
      <w:r w:rsidRPr="00BB6978">
        <w:fldChar w:fldCharType="separate"/>
      </w:r>
      <w:r w:rsidRPr="00BB6978">
        <w:rPr>
          <w:noProof/>
        </w:rPr>
        <w:t>16</w:t>
      </w:r>
      <w:r w:rsidRPr="00BB6978">
        <w:rPr>
          <w:noProof/>
        </w:rPr>
        <w:fldChar w:fldCharType="end"/>
      </w:r>
      <w:r w:rsidR="006E3964" w:rsidRPr="00BB6978">
        <w:t>: Association between school quality, parents’ education and students’ achievement</w:t>
      </w:r>
      <w:bookmarkEnd w:id="15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484"/>
        <w:gridCol w:w="1134"/>
        <w:gridCol w:w="881"/>
        <w:gridCol w:w="880"/>
        <w:gridCol w:w="833"/>
        <w:gridCol w:w="646"/>
        <w:gridCol w:w="780"/>
        <w:gridCol w:w="948"/>
      </w:tblGrid>
      <w:tr w:rsidR="00073A16" w:rsidRPr="00BB6978" w14:paraId="547DD47F" w14:textId="77777777" w:rsidTr="00CE66D1">
        <w:trPr>
          <w:cantSplit/>
        </w:trPr>
        <w:tc>
          <w:tcPr>
            <w:tcW w:w="1021" w:type="pct"/>
            <w:tcBorders>
              <w:left w:val="nil"/>
              <w:right w:val="nil"/>
            </w:tcBorders>
            <w:shd w:val="clear" w:color="auto" w:fill="BDD6EE" w:themeFill="accent5" w:themeFillTint="66"/>
          </w:tcPr>
          <w:p w14:paraId="43155371" w14:textId="77777777" w:rsidR="006E3964" w:rsidRPr="00BB6978" w:rsidRDefault="006E3964" w:rsidP="00CE66D1">
            <w:pPr>
              <w:tabs>
                <w:tab w:val="left" w:pos="253"/>
              </w:tabs>
              <w:autoSpaceDE w:val="0"/>
              <w:autoSpaceDN w:val="0"/>
              <w:adjustRightInd w:val="0"/>
              <w:spacing w:after="0" w:line="320" w:lineRule="atLeast"/>
              <w:ind w:right="60"/>
              <w:rPr>
                <w:rFonts w:ascii="Times New Roman" w:eastAsia="Calibri" w:hAnsi="Times New Roman" w:cs="Times New Roman"/>
                <w:sz w:val="24"/>
                <w:szCs w:val="24"/>
              </w:rPr>
            </w:pPr>
          </w:p>
        </w:tc>
        <w:tc>
          <w:tcPr>
            <w:tcW w:w="780" w:type="pct"/>
            <w:vMerge w:val="restart"/>
            <w:tcBorders>
              <w:left w:val="nil"/>
              <w:right w:val="nil"/>
            </w:tcBorders>
            <w:shd w:val="clear" w:color="auto" w:fill="BDD6EE" w:themeFill="accent5" w:themeFillTint="66"/>
          </w:tcPr>
          <w:p w14:paraId="242EDD3C" w14:textId="77777777" w:rsidR="006E3964" w:rsidRPr="00BB6978" w:rsidRDefault="006E3964" w:rsidP="00CE66D1">
            <w:pPr>
              <w:tabs>
                <w:tab w:val="left" w:pos="253"/>
              </w:tabs>
              <w:autoSpaceDE w:val="0"/>
              <w:autoSpaceDN w:val="0"/>
              <w:adjustRightInd w:val="0"/>
              <w:spacing w:after="0" w:line="320" w:lineRule="atLeast"/>
              <w:ind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ab/>
            </w:r>
          </w:p>
          <w:p w14:paraId="34EA0FB4" w14:textId="77777777" w:rsidR="006E3964" w:rsidRPr="00BB6978" w:rsidRDefault="006E3964" w:rsidP="00CE66D1">
            <w:pPr>
              <w:autoSpaceDE w:val="0"/>
              <w:autoSpaceDN w:val="0"/>
              <w:adjustRightInd w:val="0"/>
              <w:spacing w:after="0" w:line="320" w:lineRule="atLeast"/>
              <w:ind w:left="60" w:right="60"/>
              <w:jc w:val="right"/>
              <w:rPr>
                <w:rFonts w:ascii="Times New Roman" w:eastAsia="Calibri" w:hAnsi="Times New Roman" w:cs="Times New Roman"/>
                <w:sz w:val="24"/>
                <w:szCs w:val="24"/>
              </w:rPr>
            </w:pPr>
          </w:p>
        </w:tc>
        <w:tc>
          <w:tcPr>
            <w:tcW w:w="994" w:type="pct"/>
            <w:gridSpan w:val="2"/>
            <w:tcBorders>
              <w:left w:val="nil"/>
              <w:right w:val="nil"/>
            </w:tcBorders>
            <w:shd w:val="clear" w:color="auto" w:fill="BDD6EE" w:themeFill="accent5" w:themeFillTint="66"/>
            <w:vAlign w:val="center"/>
          </w:tcPr>
          <w:p w14:paraId="12693C1E" w14:textId="77777777" w:rsidR="006E3964" w:rsidRPr="00BB6978" w:rsidRDefault="006E3964" w:rsidP="00CE66D1">
            <w:pPr>
              <w:autoSpaceDE w:val="0"/>
              <w:autoSpaceDN w:val="0"/>
              <w:adjustRightInd w:val="0"/>
              <w:spacing w:after="0" w:line="240" w:lineRule="auto"/>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Unstandardized</w:t>
            </w:r>
          </w:p>
          <w:p w14:paraId="6A340890" w14:textId="77777777" w:rsidR="006E3964" w:rsidRPr="00BB6978" w:rsidRDefault="006E3964" w:rsidP="00CE66D1">
            <w:pPr>
              <w:autoSpaceDE w:val="0"/>
              <w:autoSpaceDN w:val="0"/>
              <w:adjustRightInd w:val="0"/>
              <w:spacing w:after="0" w:line="240" w:lineRule="auto"/>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Coefficients</w:t>
            </w:r>
          </w:p>
        </w:tc>
        <w:tc>
          <w:tcPr>
            <w:tcW w:w="602" w:type="pct"/>
            <w:vMerge w:val="restart"/>
            <w:tcBorders>
              <w:left w:val="nil"/>
              <w:right w:val="nil"/>
            </w:tcBorders>
            <w:shd w:val="clear" w:color="auto" w:fill="BDD6EE"/>
            <w:vAlign w:val="center"/>
          </w:tcPr>
          <w:p w14:paraId="693968F5" w14:textId="77777777" w:rsidR="006E3964" w:rsidRPr="00BB6978" w:rsidRDefault="006E3964" w:rsidP="00CE66D1">
            <w:pPr>
              <w:autoSpaceDE w:val="0"/>
              <w:autoSpaceDN w:val="0"/>
              <w:adjustRightInd w:val="0"/>
              <w:spacing w:after="0" w:line="240" w:lineRule="auto"/>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R-square</w:t>
            </w:r>
          </w:p>
        </w:tc>
        <w:tc>
          <w:tcPr>
            <w:tcW w:w="468" w:type="pct"/>
            <w:vMerge w:val="restart"/>
            <w:tcBorders>
              <w:left w:val="nil"/>
              <w:right w:val="nil"/>
            </w:tcBorders>
            <w:shd w:val="clear" w:color="auto" w:fill="BDD6EE"/>
          </w:tcPr>
          <w:p w14:paraId="5A7C6761" w14:textId="77777777" w:rsidR="006E3964" w:rsidRPr="00BB6978" w:rsidRDefault="006E3964" w:rsidP="00CE66D1">
            <w:pPr>
              <w:autoSpaceDE w:val="0"/>
              <w:autoSpaceDN w:val="0"/>
              <w:adjustRightInd w:val="0"/>
              <w:spacing w:after="0" w:line="240" w:lineRule="auto"/>
              <w:ind w:left="60" w:right="60"/>
              <w:jc w:val="center"/>
              <w:rPr>
                <w:rFonts w:ascii="Times New Roman" w:eastAsia="Calibri" w:hAnsi="Times New Roman" w:cs="Times New Roman"/>
                <w:b/>
                <w:sz w:val="24"/>
                <w:szCs w:val="24"/>
              </w:rPr>
            </w:pPr>
          </w:p>
          <w:p w14:paraId="7196CF0C" w14:textId="77777777" w:rsidR="006E3964" w:rsidRPr="00BB6978" w:rsidRDefault="006E3964" w:rsidP="00CE66D1">
            <w:pPr>
              <w:autoSpaceDE w:val="0"/>
              <w:autoSpaceDN w:val="0"/>
              <w:adjustRightInd w:val="0"/>
              <w:spacing w:after="0" w:line="240" w:lineRule="auto"/>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R</w:t>
            </w:r>
          </w:p>
        </w:tc>
        <w:tc>
          <w:tcPr>
            <w:tcW w:w="468" w:type="pct"/>
            <w:vMerge w:val="restart"/>
            <w:tcBorders>
              <w:left w:val="nil"/>
              <w:right w:val="nil"/>
            </w:tcBorders>
            <w:shd w:val="clear" w:color="auto" w:fill="BDD6EE"/>
            <w:vAlign w:val="center"/>
          </w:tcPr>
          <w:p w14:paraId="41920542" w14:textId="77777777" w:rsidR="006E3964" w:rsidRPr="00BB6978" w:rsidRDefault="006E3964" w:rsidP="00CE66D1">
            <w:pPr>
              <w:autoSpaceDE w:val="0"/>
              <w:autoSpaceDN w:val="0"/>
              <w:adjustRightInd w:val="0"/>
              <w:spacing w:after="0" w:line="240" w:lineRule="auto"/>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t-value</w:t>
            </w:r>
          </w:p>
        </w:tc>
        <w:tc>
          <w:tcPr>
            <w:tcW w:w="667" w:type="pct"/>
            <w:vMerge w:val="restart"/>
            <w:tcBorders>
              <w:left w:val="nil"/>
              <w:right w:val="nil"/>
            </w:tcBorders>
            <w:shd w:val="clear" w:color="auto" w:fill="BDD6EE"/>
            <w:vAlign w:val="center"/>
          </w:tcPr>
          <w:p w14:paraId="19E07F3C" w14:textId="77777777" w:rsidR="006E3964" w:rsidRPr="00BB6978" w:rsidRDefault="006E3964" w:rsidP="00CE66D1">
            <w:pPr>
              <w:autoSpaceDE w:val="0"/>
              <w:autoSpaceDN w:val="0"/>
              <w:adjustRightInd w:val="0"/>
              <w:spacing w:after="0" w:line="240" w:lineRule="auto"/>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p-value</w:t>
            </w:r>
          </w:p>
        </w:tc>
      </w:tr>
      <w:tr w:rsidR="00073A16" w:rsidRPr="00BB6978" w14:paraId="7AADF047" w14:textId="77777777" w:rsidTr="00CE66D1">
        <w:trPr>
          <w:cantSplit/>
        </w:trPr>
        <w:tc>
          <w:tcPr>
            <w:tcW w:w="1021" w:type="pct"/>
            <w:tcBorders>
              <w:left w:val="nil"/>
              <w:bottom w:val="single" w:sz="4" w:space="0" w:color="auto"/>
              <w:right w:val="nil"/>
            </w:tcBorders>
            <w:shd w:val="clear" w:color="auto" w:fill="BDD6EE" w:themeFill="accent5" w:themeFillTint="66"/>
          </w:tcPr>
          <w:p w14:paraId="7A4DF2B6" w14:textId="77777777" w:rsidR="006E3964" w:rsidRPr="00BB6978" w:rsidRDefault="006E3964" w:rsidP="00CE66D1">
            <w:pPr>
              <w:autoSpaceDE w:val="0"/>
              <w:autoSpaceDN w:val="0"/>
              <w:adjustRightInd w:val="0"/>
              <w:spacing w:after="0" w:line="240" w:lineRule="auto"/>
              <w:rPr>
                <w:rFonts w:ascii="Times New Roman" w:eastAsia="Calibri" w:hAnsi="Times New Roman" w:cs="Times New Roman"/>
                <w:b/>
                <w:bCs/>
                <w:sz w:val="24"/>
                <w:szCs w:val="24"/>
              </w:rPr>
            </w:pPr>
            <w:r w:rsidRPr="00BB6978">
              <w:rPr>
                <w:rFonts w:ascii="Times New Roman" w:eastAsia="Calibri" w:hAnsi="Times New Roman" w:cs="Times New Roman"/>
                <w:b/>
                <w:bCs/>
                <w:sz w:val="24"/>
                <w:szCs w:val="24"/>
              </w:rPr>
              <w:t>Income</w:t>
            </w:r>
          </w:p>
        </w:tc>
        <w:tc>
          <w:tcPr>
            <w:tcW w:w="780" w:type="pct"/>
            <w:vMerge/>
            <w:tcBorders>
              <w:left w:val="nil"/>
              <w:bottom w:val="single" w:sz="4" w:space="0" w:color="auto"/>
              <w:right w:val="nil"/>
            </w:tcBorders>
            <w:shd w:val="clear" w:color="auto" w:fill="BDD6EE" w:themeFill="accent5" w:themeFillTint="66"/>
          </w:tcPr>
          <w:p w14:paraId="1B652382" w14:textId="77777777" w:rsidR="006E3964" w:rsidRPr="00BB6978" w:rsidRDefault="006E3964" w:rsidP="00CE66D1">
            <w:pPr>
              <w:autoSpaceDE w:val="0"/>
              <w:autoSpaceDN w:val="0"/>
              <w:adjustRightInd w:val="0"/>
              <w:spacing w:after="0" w:line="240" w:lineRule="auto"/>
              <w:rPr>
                <w:rFonts w:ascii="Times New Roman" w:eastAsia="Calibri" w:hAnsi="Times New Roman" w:cs="Times New Roman"/>
                <w:sz w:val="24"/>
                <w:szCs w:val="24"/>
              </w:rPr>
            </w:pPr>
          </w:p>
        </w:tc>
        <w:tc>
          <w:tcPr>
            <w:tcW w:w="497" w:type="pct"/>
            <w:tcBorders>
              <w:left w:val="nil"/>
              <w:bottom w:val="single" w:sz="4" w:space="0" w:color="auto"/>
              <w:right w:val="nil"/>
            </w:tcBorders>
            <w:shd w:val="clear" w:color="auto" w:fill="BDD6EE" w:themeFill="accent5" w:themeFillTint="66"/>
            <w:vAlign w:val="center"/>
          </w:tcPr>
          <w:p w14:paraId="12100194" w14:textId="77777777" w:rsidR="006E3964" w:rsidRPr="00BB6978" w:rsidRDefault="006E3964" w:rsidP="00CE66D1">
            <w:pPr>
              <w:autoSpaceDE w:val="0"/>
              <w:autoSpaceDN w:val="0"/>
              <w:adjustRightInd w:val="0"/>
              <w:spacing w:after="0" w:line="240" w:lineRule="auto"/>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Beta</w:t>
            </w:r>
          </w:p>
        </w:tc>
        <w:tc>
          <w:tcPr>
            <w:tcW w:w="497" w:type="pct"/>
            <w:tcBorders>
              <w:left w:val="nil"/>
              <w:bottom w:val="single" w:sz="4" w:space="0" w:color="auto"/>
              <w:right w:val="nil"/>
            </w:tcBorders>
            <w:shd w:val="clear" w:color="auto" w:fill="BDD6EE"/>
            <w:vAlign w:val="center"/>
          </w:tcPr>
          <w:p w14:paraId="0B194BF5" w14:textId="77777777" w:rsidR="006E3964" w:rsidRPr="00BB6978" w:rsidRDefault="006E3964" w:rsidP="00CE66D1">
            <w:pPr>
              <w:autoSpaceDE w:val="0"/>
              <w:autoSpaceDN w:val="0"/>
              <w:adjustRightInd w:val="0"/>
              <w:spacing w:after="0" w:line="240" w:lineRule="auto"/>
              <w:ind w:left="60" w:right="60"/>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SE</w:t>
            </w:r>
          </w:p>
        </w:tc>
        <w:tc>
          <w:tcPr>
            <w:tcW w:w="602" w:type="pct"/>
            <w:vMerge/>
            <w:tcBorders>
              <w:left w:val="nil"/>
              <w:bottom w:val="single" w:sz="4" w:space="0" w:color="auto"/>
              <w:right w:val="nil"/>
            </w:tcBorders>
            <w:shd w:val="clear" w:color="auto" w:fill="FFFFFF"/>
            <w:vAlign w:val="center"/>
          </w:tcPr>
          <w:p w14:paraId="6483AA87"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b/>
                <w:sz w:val="24"/>
                <w:szCs w:val="24"/>
              </w:rPr>
            </w:pPr>
          </w:p>
        </w:tc>
        <w:tc>
          <w:tcPr>
            <w:tcW w:w="468" w:type="pct"/>
            <w:vMerge/>
            <w:tcBorders>
              <w:left w:val="nil"/>
              <w:bottom w:val="single" w:sz="4" w:space="0" w:color="auto"/>
              <w:right w:val="nil"/>
            </w:tcBorders>
            <w:shd w:val="clear" w:color="auto" w:fill="FFFFFF"/>
          </w:tcPr>
          <w:p w14:paraId="2A31E38C"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b/>
                <w:sz w:val="24"/>
                <w:szCs w:val="24"/>
              </w:rPr>
            </w:pPr>
          </w:p>
        </w:tc>
        <w:tc>
          <w:tcPr>
            <w:tcW w:w="468" w:type="pct"/>
            <w:vMerge/>
            <w:tcBorders>
              <w:left w:val="nil"/>
              <w:bottom w:val="single" w:sz="4" w:space="0" w:color="auto"/>
              <w:right w:val="nil"/>
            </w:tcBorders>
            <w:shd w:val="clear" w:color="auto" w:fill="FFFFFF"/>
            <w:vAlign w:val="center"/>
          </w:tcPr>
          <w:p w14:paraId="56F337EB"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b/>
                <w:sz w:val="24"/>
                <w:szCs w:val="24"/>
              </w:rPr>
            </w:pPr>
          </w:p>
        </w:tc>
        <w:tc>
          <w:tcPr>
            <w:tcW w:w="667" w:type="pct"/>
            <w:vMerge/>
            <w:tcBorders>
              <w:left w:val="nil"/>
              <w:bottom w:val="single" w:sz="4" w:space="0" w:color="auto"/>
              <w:right w:val="nil"/>
            </w:tcBorders>
            <w:shd w:val="clear" w:color="auto" w:fill="FFFFFF"/>
            <w:vAlign w:val="center"/>
          </w:tcPr>
          <w:p w14:paraId="4BB505D7" w14:textId="77777777" w:rsidR="006E3964" w:rsidRPr="00BB6978" w:rsidRDefault="006E3964" w:rsidP="00CE66D1">
            <w:pPr>
              <w:autoSpaceDE w:val="0"/>
              <w:autoSpaceDN w:val="0"/>
              <w:adjustRightInd w:val="0"/>
              <w:spacing w:after="0" w:line="240" w:lineRule="auto"/>
              <w:jc w:val="center"/>
              <w:rPr>
                <w:rFonts w:ascii="Times New Roman" w:eastAsia="Calibri" w:hAnsi="Times New Roman" w:cs="Times New Roman"/>
                <w:b/>
                <w:sz w:val="24"/>
                <w:szCs w:val="24"/>
              </w:rPr>
            </w:pPr>
          </w:p>
        </w:tc>
      </w:tr>
      <w:tr w:rsidR="00073A16" w:rsidRPr="00BB6978" w14:paraId="1594C19F" w14:textId="77777777" w:rsidTr="00CE66D1">
        <w:trPr>
          <w:cantSplit/>
        </w:trPr>
        <w:tc>
          <w:tcPr>
            <w:tcW w:w="1021" w:type="pct"/>
            <w:vMerge w:val="restart"/>
            <w:tcBorders>
              <w:left w:val="nil"/>
              <w:right w:val="nil"/>
            </w:tcBorders>
            <w:shd w:val="clear" w:color="auto" w:fill="FFFFFF"/>
          </w:tcPr>
          <w:p w14:paraId="7DE7D890" w14:textId="77777777" w:rsidR="006E3964" w:rsidRPr="00BB6978" w:rsidRDefault="006E3964" w:rsidP="00CE66D1">
            <w:pPr>
              <w:autoSpaceDE w:val="0"/>
              <w:autoSpaceDN w:val="0"/>
              <w:adjustRightInd w:val="0"/>
              <w:spacing w:after="0" w:line="320" w:lineRule="atLeast"/>
              <w:ind w:left="60" w:right="60"/>
              <w:rPr>
                <w:rFonts w:asciiTheme="majorBidi" w:eastAsia="Calibri" w:hAnsiTheme="majorBidi" w:cstheme="majorBidi"/>
              </w:rPr>
            </w:pPr>
            <w:r w:rsidRPr="00BB6978">
              <w:rPr>
                <w:rFonts w:asciiTheme="majorBidi" w:hAnsiTheme="majorBidi" w:cstheme="majorBidi"/>
                <w:lang/>
                <w14:ligatures w14:val="standardContextual"/>
              </w:rPr>
              <w:t>High school or less</w:t>
            </w:r>
          </w:p>
        </w:tc>
        <w:tc>
          <w:tcPr>
            <w:tcW w:w="780" w:type="pct"/>
            <w:tcBorders>
              <w:left w:val="nil"/>
              <w:bottom w:val="nil"/>
              <w:right w:val="nil"/>
            </w:tcBorders>
            <w:shd w:val="clear" w:color="auto" w:fill="FFFFFF"/>
            <w:vAlign w:val="center"/>
          </w:tcPr>
          <w:p w14:paraId="426C076B"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(Constant)</w:t>
            </w:r>
          </w:p>
        </w:tc>
        <w:tc>
          <w:tcPr>
            <w:tcW w:w="497" w:type="pct"/>
            <w:tcBorders>
              <w:left w:val="nil"/>
              <w:bottom w:val="nil"/>
              <w:right w:val="nil"/>
            </w:tcBorders>
            <w:shd w:val="clear" w:color="auto" w:fill="FFFFFF"/>
          </w:tcPr>
          <w:p w14:paraId="45657E7E"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1.898</w:t>
            </w:r>
          </w:p>
        </w:tc>
        <w:tc>
          <w:tcPr>
            <w:tcW w:w="497" w:type="pct"/>
            <w:tcBorders>
              <w:left w:val="nil"/>
              <w:bottom w:val="nil"/>
              <w:right w:val="nil"/>
            </w:tcBorders>
            <w:shd w:val="clear" w:color="auto" w:fill="FFFFFF"/>
          </w:tcPr>
          <w:p w14:paraId="61B293D1"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.341</w:t>
            </w:r>
          </w:p>
        </w:tc>
        <w:tc>
          <w:tcPr>
            <w:tcW w:w="602" w:type="pct"/>
            <w:vMerge w:val="restart"/>
            <w:tcBorders>
              <w:left w:val="nil"/>
              <w:bottom w:val="nil"/>
              <w:right w:val="nil"/>
            </w:tcBorders>
            <w:shd w:val="clear" w:color="auto" w:fill="FFFFFF"/>
            <w:vAlign w:val="center"/>
          </w:tcPr>
          <w:p w14:paraId="1ADDB649"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.469</w:t>
            </w:r>
          </w:p>
        </w:tc>
        <w:tc>
          <w:tcPr>
            <w:tcW w:w="468" w:type="pct"/>
            <w:vMerge w:val="restart"/>
            <w:tcBorders>
              <w:left w:val="nil"/>
              <w:right w:val="nil"/>
            </w:tcBorders>
            <w:shd w:val="clear" w:color="auto" w:fill="FFFFFF"/>
          </w:tcPr>
          <w:p w14:paraId="46A6BD93" w14:textId="77777777" w:rsidR="006E3964" w:rsidRPr="00BB6978" w:rsidRDefault="006E3964" w:rsidP="00CE66D1">
            <w:pPr>
              <w:autoSpaceDE w:val="0"/>
              <w:autoSpaceDN w:val="0"/>
              <w:adjustRightInd w:val="0"/>
              <w:spacing w:before="160" w:after="120" w:line="320" w:lineRule="atLeast"/>
              <w:ind w:right="62"/>
              <w:rPr>
                <w:rFonts w:ascii="Times New Roman" w:eastAsia="Calibri" w:hAnsi="Times New Roman" w:cs="Times New Roman"/>
                <w:sz w:val="24"/>
                <w:szCs w:val="24"/>
              </w:rPr>
            </w:pPr>
            <w:r w:rsidRPr="00BB6978">
              <w:rPr>
                <w:rFonts w:ascii="Times New Roman" w:eastAsia="Calibri" w:hAnsi="Times New Roman" w:cs="Times New Roman"/>
                <w:sz w:val="24"/>
                <w:szCs w:val="24"/>
              </w:rPr>
              <w:t xml:space="preserve">   .685</w:t>
            </w:r>
          </w:p>
        </w:tc>
        <w:tc>
          <w:tcPr>
            <w:tcW w:w="468" w:type="pct"/>
            <w:tcBorders>
              <w:left w:val="nil"/>
              <w:bottom w:val="nil"/>
              <w:right w:val="nil"/>
            </w:tcBorders>
            <w:shd w:val="clear" w:color="auto" w:fill="FFFFFF"/>
          </w:tcPr>
          <w:p w14:paraId="05C38CF1"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5.561</w:t>
            </w:r>
          </w:p>
        </w:tc>
        <w:tc>
          <w:tcPr>
            <w:tcW w:w="667" w:type="pct"/>
            <w:tcBorders>
              <w:left w:val="nil"/>
              <w:bottom w:val="nil"/>
              <w:right w:val="nil"/>
            </w:tcBorders>
            <w:shd w:val="clear" w:color="auto" w:fill="FFFFFF"/>
          </w:tcPr>
          <w:p w14:paraId="3A02B98A"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&lt;.001</w:t>
            </w:r>
          </w:p>
        </w:tc>
      </w:tr>
      <w:tr w:rsidR="00073A16" w:rsidRPr="00BB6978" w14:paraId="01A0F7BD" w14:textId="77777777" w:rsidTr="00CE66D1">
        <w:trPr>
          <w:cantSplit/>
        </w:trPr>
        <w:tc>
          <w:tcPr>
            <w:tcW w:w="1021" w:type="pct"/>
            <w:vMerge/>
            <w:tcBorders>
              <w:left w:val="nil"/>
              <w:bottom w:val="single" w:sz="4" w:space="0" w:color="000000" w:themeColor="text1"/>
              <w:right w:val="nil"/>
            </w:tcBorders>
            <w:shd w:val="clear" w:color="auto" w:fill="FFFFFF"/>
          </w:tcPr>
          <w:p w14:paraId="06D4A61D" w14:textId="77777777" w:rsidR="006E3964" w:rsidRPr="00BB6978" w:rsidRDefault="006E3964" w:rsidP="00CE66D1">
            <w:pPr>
              <w:autoSpaceDE w:val="0"/>
              <w:autoSpaceDN w:val="0"/>
              <w:adjustRightInd w:val="0"/>
              <w:spacing w:after="0" w:line="320" w:lineRule="atLeast"/>
              <w:ind w:left="60" w:right="60"/>
              <w:rPr>
                <w:rFonts w:asciiTheme="majorBidi" w:eastAsia="Calibri" w:hAnsiTheme="majorBidi" w:cstheme="majorBidi"/>
              </w:rPr>
            </w:pPr>
          </w:p>
        </w:tc>
        <w:tc>
          <w:tcPr>
            <w:tcW w:w="780" w:type="pct"/>
            <w:tcBorders>
              <w:top w:val="nil"/>
              <w:left w:val="nil"/>
              <w:bottom w:val="single" w:sz="4" w:space="0" w:color="auto"/>
              <w:right w:val="nil"/>
            </w:tcBorders>
            <w:shd w:val="clear" w:color="auto" w:fill="FFFFFF"/>
            <w:vAlign w:val="center"/>
          </w:tcPr>
          <w:p w14:paraId="26F5669A"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0"/>
                <w:szCs w:val="20"/>
              </w:rPr>
            </w:pPr>
            <w:r w:rsidRPr="00BB6978">
              <w:rPr>
                <w:rFonts w:ascii="Times New Roman" w:eastAsia="Calibri" w:hAnsi="Times New Roman" w:cs="Times New Roman"/>
                <w:sz w:val="20"/>
                <w:szCs w:val="20"/>
              </w:rPr>
              <w:t xml:space="preserve">School Quality </w:t>
            </w:r>
          </w:p>
        </w:tc>
        <w:tc>
          <w:tcPr>
            <w:tcW w:w="497" w:type="pct"/>
            <w:tcBorders>
              <w:top w:val="nil"/>
              <w:left w:val="nil"/>
              <w:bottom w:val="single" w:sz="4" w:space="0" w:color="auto"/>
              <w:right w:val="nil"/>
            </w:tcBorders>
            <w:shd w:val="clear" w:color="auto" w:fill="FFFFFF"/>
          </w:tcPr>
          <w:p w14:paraId="2F6DE109"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.632</w:t>
            </w:r>
          </w:p>
        </w:tc>
        <w:tc>
          <w:tcPr>
            <w:tcW w:w="497" w:type="pct"/>
            <w:tcBorders>
              <w:top w:val="nil"/>
              <w:left w:val="nil"/>
              <w:bottom w:val="single" w:sz="4" w:space="0" w:color="auto"/>
              <w:right w:val="nil"/>
            </w:tcBorders>
            <w:shd w:val="clear" w:color="auto" w:fill="FFFFFF"/>
          </w:tcPr>
          <w:p w14:paraId="255EEDDD"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.083</w:t>
            </w:r>
          </w:p>
        </w:tc>
        <w:tc>
          <w:tcPr>
            <w:tcW w:w="602" w:type="pct"/>
            <w:vMerge/>
            <w:tcBorders>
              <w:top w:val="nil"/>
              <w:left w:val="nil"/>
              <w:bottom w:val="single" w:sz="4" w:space="0" w:color="auto"/>
              <w:right w:val="nil"/>
            </w:tcBorders>
            <w:shd w:val="clear" w:color="auto" w:fill="FFFFFF"/>
            <w:vAlign w:val="center"/>
          </w:tcPr>
          <w:p w14:paraId="45D7F7B9"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c>
          <w:tcPr>
            <w:tcW w:w="468" w:type="pct"/>
            <w:vMerge/>
            <w:tcBorders>
              <w:left w:val="nil"/>
              <w:bottom w:val="single" w:sz="4" w:space="0" w:color="auto"/>
              <w:right w:val="nil"/>
            </w:tcBorders>
            <w:shd w:val="clear" w:color="auto" w:fill="FFFFFF"/>
          </w:tcPr>
          <w:p w14:paraId="09475624"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c>
          <w:tcPr>
            <w:tcW w:w="468" w:type="pct"/>
            <w:tcBorders>
              <w:top w:val="nil"/>
              <w:left w:val="nil"/>
              <w:bottom w:val="single" w:sz="4" w:space="0" w:color="auto"/>
              <w:right w:val="nil"/>
            </w:tcBorders>
            <w:shd w:val="clear" w:color="auto" w:fill="FFFFFF"/>
          </w:tcPr>
          <w:p w14:paraId="10C06611"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7.638</w:t>
            </w:r>
          </w:p>
        </w:tc>
        <w:tc>
          <w:tcPr>
            <w:tcW w:w="667" w:type="pct"/>
            <w:tcBorders>
              <w:top w:val="nil"/>
              <w:left w:val="nil"/>
              <w:bottom w:val="single" w:sz="4" w:space="0" w:color="auto"/>
              <w:right w:val="nil"/>
            </w:tcBorders>
            <w:shd w:val="clear" w:color="auto" w:fill="FFFFFF"/>
          </w:tcPr>
          <w:p w14:paraId="40185C7D"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&lt;.001</w:t>
            </w:r>
          </w:p>
        </w:tc>
      </w:tr>
      <w:tr w:rsidR="00073A16" w:rsidRPr="00BB6978" w14:paraId="3FBA1C9E" w14:textId="77777777" w:rsidTr="00CE66D1">
        <w:trPr>
          <w:cantSplit/>
        </w:trPr>
        <w:tc>
          <w:tcPr>
            <w:tcW w:w="1021" w:type="pct"/>
            <w:vMerge w:val="restart"/>
            <w:tcBorders>
              <w:top w:val="single" w:sz="4" w:space="0" w:color="000000" w:themeColor="text1"/>
              <w:left w:val="nil"/>
              <w:bottom w:val="single" w:sz="4" w:space="0" w:color="auto"/>
              <w:right w:val="nil"/>
            </w:tcBorders>
            <w:shd w:val="clear" w:color="auto" w:fill="FFFFFF"/>
          </w:tcPr>
          <w:p w14:paraId="174CB659" w14:textId="77777777" w:rsidR="006E3964" w:rsidRPr="00BB6978" w:rsidRDefault="006E3964" w:rsidP="00CE66D1">
            <w:pPr>
              <w:autoSpaceDE w:val="0"/>
              <w:autoSpaceDN w:val="0"/>
              <w:adjustRightInd w:val="0"/>
              <w:spacing w:after="0" w:line="320" w:lineRule="atLeast"/>
              <w:ind w:left="60" w:right="60"/>
              <w:rPr>
                <w:rFonts w:asciiTheme="majorBidi" w:eastAsia="Calibri" w:hAnsiTheme="majorBidi" w:cstheme="majorBidi"/>
              </w:rPr>
            </w:pPr>
            <w:r w:rsidRPr="00BB6978">
              <w:rPr>
                <w:rFonts w:asciiTheme="majorBidi" w:hAnsiTheme="majorBidi" w:cstheme="majorBidi"/>
                <w:lang/>
                <w14:ligatures w14:val="standardContextual"/>
              </w:rPr>
              <w:t>Diploma</w:t>
            </w:r>
          </w:p>
        </w:tc>
        <w:tc>
          <w:tcPr>
            <w:tcW w:w="780" w:type="pct"/>
            <w:tcBorders>
              <w:top w:val="single" w:sz="4" w:space="0" w:color="auto"/>
              <w:left w:val="nil"/>
              <w:bottom w:val="single" w:sz="4" w:space="0" w:color="FFFFFF" w:themeColor="background1"/>
              <w:right w:val="nil"/>
            </w:tcBorders>
            <w:shd w:val="clear" w:color="auto" w:fill="FFFFFF"/>
            <w:vAlign w:val="center"/>
          </w:tcPr>
          <w:p w14:paraId="74FC4002"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(Constant)</w:t>
            </w:r>
          </w:p>
        </w:tc>
        <w:tc>
          <w:tcPr>
            <w:tcW w:w="497" w:type="pct"/>
            <w:tcBorders>
              <w:top w:val="nil"/>
              <w:left w:val="nil"/>
              <w:bottom w:val="single" w:sz="4" w:space="0" w:color="FFFFFF" w:themeColor="background1"/>
              <w:right w:val="nil"/>
            </w:tcBorders>
            <w:shd w:val="clear" w:color="auto" w:fill="FFFFFF"/>
          </w:tcPr>
          <w:p w14:paraId="0C30839B"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1.947</w:t>
            </w:r>
          </w:p>
        </w:tc>
        <w:tc>
          <w:tcPr>
            <w:tcW w:w="497" w:type="pct"/>
            <w:tcBorders>
              <w:top w:val="single" w:sz="4" w:space="0" w:color="auto"/>
              <w:left w:val="nil"/>
              <w:bottom w:val="single" w:sz="4" w:space="0" w:color="FFFFFF" w:themeColor="background1"/>
              <w:right w:val="nil"/>
            </w:tcBorders>
            <w:shd w:val="clear" w:color="auto" w:fill="FFFFFF"/>
          </w:tcPr>
          <w:p w14:paraId="3C357859"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.484</w:t>
            </w:r>
          </w:p>
        </w:tc>
        <w:tc>
          <w:tcPr>
            <w:tcW w:w="602" w:type="pct"/>
            <w:vMerge w:val="restart"/>
            <w:tcBorders>
              <w:top w:val="single" w:sz="4" w:space="0" w:color="auto"/>
              <w:left w:val="nil"/>
              <w:bottom w:val="single" w:sz="4" w:space="0" w:color="auto"/>
              <w:right w:val="nil"/>
            </w:tcBorders>
            <w:shd w:val="clear" w:color="auto" w:fill="FFFFFF"/>
            <w:vAlign w:val="center"/>
          </w:tcPr>
          <w:p w14:paraId="6A56BA28"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.382</w:t>
            </w:r>
          </w:p>
        </w:tc>
        <w:tc>
          <w:tcPr>
            <w:tcW w:w="468" w:type="pct"/>
            <w:vMerge w:val="restart"/>
            <w:tcBorders>
              <w:top w:val="single" w:sz="4" w:space="0" w:color="auto"/>
              <w:left w:val="nil"/>
              <w:right w:val="nil"/>
            </w:tcBorders>
            <w:shd w:val="clear" w:color="auto" w:fill="FFFFFF"/>
          </w:tcPr>
          <w:p w14:paraId="1C3089D8" w14:textId="77777777" w:rsidR="006E3964" w:rsidRPr="00BB6978" w:rsidRDefault="006E3964" w:rsidP="00CE66D1">
            <w:pPr>
              <w:autoSpaceDE w:val="0"/>
              <w:autoSpaceDN w:val="0"/>
              <w:adjustRightInd w:val="0"/>
              <w:spacing w:before="160" w:after="120" w:line="320" w:lineRule="atLeast"/>
              <w:ind w:left="62" w:right="62"/>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.618</w:t>
            </w:r>
          </w:p>
        </w:tc>
        <w:tc>
          <w:tcPr>
            <w:tcW w:w="468" w:type="pct"/>
            <w:tcBorders>
              <w:top w:val="single" w:sz="4" w:space="0" w:color="auto"/>
              <w:left w:val="nil"/>
              <w:bottom w:val="single" w:sz="4" w:space="0" w:color="FFFFFF" w:themeColor="background1"/>
              <w:right w:val="nil"/>
            </w:tcBorders>
            <w:shd w:val="clear" w:color="auto" w:fill="FFFFFF"/>
          </w:tcPr>
          <w:p w14:paraId="0D24D9DF"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4.022</w:t>
            </w:r>
          </w:p>
        </w:tc>
        <w:tc>
          <w:tcPr>
            <w:tcW w:w="667" w:type="pct"/>
            <w:tcBorders>
              <w:top w:val="nil"/>
              <w:left w:val="nil"/>
              <w:bottom w:val="single" w:sz="4" w:space="0" w:color="FFFFFF" w:themeColor="background1"/>
              <w:right w:val="nil"/>
            </w:tcBorders>
            <w:shd w:val="clear" w:color="auto" w:fill="FFFFFF"/>
          </w:tcPr>
          <w:p w14:paraId="59C6EE8A"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&lt;.001</w:t>
            </w:r>
          </w:p>
        </w:tc>
      </w:tr>
      <w:tr w:rsidR="00073A16" w:rsidRPr="00BB6978" w14:paraId="36E4B17C" w14:textId="77777777" w:rsidTr="00CE66D1">
        <w:trPr>
          <w:cantSplit/>
        </w:trPr>
        <w:tc>
          <w:tcPr>
            <w:tcW w:w="1021" w:type="pct"/>
            <w:vMerge/>
            <w:tcBorders>
              <w:left w:val="nil"/>
              <w:bottom w:val="single" w:sz="4" w:space="0" w:color="000000" w:themeColor="text1"/>
              <w:right w:val="nil"/>
            </w:tcBorders>
            <w:shd w:val="clear" w:color="auto" w:fill="FFFFFF"/>
          </w:tcPr>
          <w:p w14:paraId="61E8B63C" w14:textId="77777777" w:rsidR="006E3964" w:rsidRPr="00BB6978" w:rsidRDefault="006E3964" w:rsidP="00CE66D1">
            <w:pPr>
              <w:autoSpaceDE w:val="0"/>
              <w:autoSpaceDN w:val="0"/>
              <w:adjustRightInd w:val="0"/>
              <w:spacing w:after="0" w:line="320" w:lineRule="atLeast"/>
              <w:ind w:left="60" w:right="60"/>
              <w:rPr>
                <w:rFonts w:asciiTheme="majorBidi" w:eastAsia="Calibri" w:hAnsiTheme="majorBidi" w:cstheme="majorBidi"/>
              </w:rPr>
            </w:pPr>
          </w:p>
        </w:tc>
        <w:tc>
          <w:tcPr>
            <w:tcW w:w="780" w:type="pct"/>
            <w:tcBorders>
              <w:top w:val="single" w:sz="4" w:space="0" w:color="FFFFFF" w:themeColor="background1"/>
              <w:left w:val="nil"/>
              <w:bottom w:val="single" w:sz="4" w:space="0" w:color="auto"/>
              <w:right w:val="nil"/>
            </w:tcBorders>
            <w:shd w:val="clear" w:color="auto" w:fill="FFFFFF"/>
            <w:vAlign w:val="center"/>
          </w:tcPr>
          <w:p w14:paraId="37A3F7A9"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0"/>
                <w:szCs w:val="20"/>
              </w:rPr>
              <w:t>School Quality</w:t>
            </w:r>
          </w:p>
        </w:tc>
        <w:tc>
          <w:tcPr>
            <w:tcW w:w="497" w:type="pct"/>
            <w:tcBorders>
              <w:top w:val="single" w:sz="4" w:space="0" w:color="FFFFFF" w:themeColor="background1"/>
              <w:left w:val="nil"/>
              <w:bottom w:val="single" w:sz="4" w:space="0" w:color="auto"/>
              <w:right w:val="nil"/>
            </w:tcBorders>
            <w:shd w:val="clear" w:color="auto" w:fill="FFFFFF"/>
          </w:tcPr>
          <w:p w14:paraId="2860DC66"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.606</w:t>
            </w:r>
          </w:p>
        </w:tc>
        <w:tc>
          <w:tcPr>
            <w:tcW w:w="497" w:type="pct"/>
            <w:tcBorders>
              <w:top w:val="single" w:sz="4" w:space="0" w:color="FFFFFF" w:themeColor="background1"/>
              <w:left w:val="nil"/>
              <w:bottom w:val="single" w:sz="4" w:space="0" w:color="000000" w:themeColor="text1"/>
              <w:right w:val="nil"/>
            </w:tcBorders>
            <w:shd w:val="clear" w:color="auto" w:fill="FFFFFF"/>
          </w:tcPr>
          <w:p w14:paraId="26F3EBE7"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.111</w:t>
            </w:r>
          </w:p>
        </w:tc>
        <w:tc>
          <w:tcPr>
            <w:tcW w:w="602" w:type="pct"/>
            <w:vMerge/>
            <w:tcBorders>
              <w:top w:val="nil"/>
              <w:left w:val="nil"/>
              <w:bottom w:val="single" w:sz="4" w:space="0" w:color="000000" w:themeColor="text1"/>
              <w:right w:val="nil"/>
            </w:tcBorders>
            <w:shd w:val="clear" w:color="auto" w:fill="FFFFFF"/>
            <w:vAlign w:val="center"/>
          </w:tcPr>
          <w:p w14:paraId="76ADD541"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c>
          <w:tcPr>
            <w:tcW w:w="468" w:type="pct"/>
            <w:vMerge/>
            <w:tcBorders>
              <w:left w:val="nil"/>
              <w:bottom w:val="single" w:sz="4" w:space="0" w:color="auto"/>
              <w:right w:val="nil"/>
            </w:tcBorders>
            <w:shd w:val="clear" w:color="auto" w:fill="FFFFFF"/>
          </w:tcPr>
          <w:p w14:paraId="05DB24BD"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c>
          <w:tcPr>
            <w:tcW w:w="468" w:type="pct"/>
            <w:tcBorders>
              <w:top w:val="single" w:sz="4" w:space="0" w:color="FFFFFF" w:themeColor="background1"/>
              <w:left w:val="nil"/>
              <w:bottom w:val="single" w:sz="4" w:space="0" w:color="auto"/>
              <w:right w:val="nil"/>
            </w:tcBorders>
            <w:shd w:val="clear" w:color="auto" w:fill="FFFFFF"/>
          </w:tcPr>
          <w:p w14:paraId="431D1F88"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5.452</w:t>
            </w:r>
          </w:p>
        </w:tc>
        <w:tc>
          <w:tcPr>
            <w:tcW w:w="667" w:type="pct"/>
            <w:tcBorders>
              <w:top w:val="single" w:sz="4" w:space="0" w:color="FFFFFF" w:themeColor="background1"/>
              <w:left w:val="nil"/>
              <w:bottom w:val="single" w:sz="4" w:space="0" w:color="auto"/>
              <w:right w:val="nil"/>
            </w:tcBorders>
            <w:shd w:val="clear" w:color="auto" w:fill="FFFFFF"/>
          </w:tcPr>
          <w:p w14:paraId="4F4F7913"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&lt;.001</w:t>
            </w:r>
          </w:p>
        </w:tc>
      </w:tr>
      <w:tr w:rsidR="00073A16" w:rsidRPr="00BB6978" w14:paraId="4505F29C" w14:textId="77777777" w:rsidTr="00CE66D1">
        <w:trPr>
          <w:cantSplit/>
        </w:trPr>
        <w:tc>
          <w:tcPr>
            <w:tcW w:w="1021" w:type="pct"/>
            <w:vMerge w:val="restart"/>
            <w:tcBorders>
              <w:top w:val="single" w:sz="4" w:space="0" w:color="000000" w:themeColor="text1"/>
              <w:left w:val="nil"/>
              <w:bottom w:val="single" w:sz="4" w:space="0" w:color="auto"/>
              <w:right w:val="nil"/>
            </w:tcBorders>
            <w:shd w:val="clear" w:color="auto" w:fill="FFFFFF"/>
          </w:tcPr>
          <w:p w14:paraId="7E79A4E1" w14:textId="77777777" w:rsidR="006E3964" w:rsidRPr="00BB6978" w:rsidRDefault="006E3964" w:rsidP="00CE66D1">
            <w:pPr>
              <w:autoSpaceDE w:val="0"/>
              <w:autoSpaceDN w:val="0"/>
              <w:adjustRightInd w:val="0"/>
              <w:spacing w:after="0" w:line="320" w:lineRule="atLeast"/>
              <w:ind w:left="60" w:right="60"/>
              <w:rPr>
                <w:rFonts w:asciiTheme="majorBidi" w:eastAsia="Calibri" w:hAnsiTheme="majorBidi" w:cstheme="majorBidi"/>
              </w:rPr>
            </w:pPr>
            <w:r w:rsidRPr="00BB6978">
              <w:rPr>
                <w:rFonts w:asciiTheme="majorBidi" w:hAnsiTheme="majorBidi" w:cstheme="majorBidi"/>
                <w:lang/>
                <w14:ligatures w14:val="standardContextual"/>
              </w:rPr>
              <w:t>Bachelor</w:t>
            </w:r>
          </w:p>
        </w:tc>
        <w:tc>
          <w:tcPr>
            <w:tcW w:w="780" w:type="pct"/>
            <w:tcBorders>
              <w:top w:val="single" w:sz="4" w:space="0" w:color="FFFFFF" w:themeColor="background1"/>
              <w:left w:val="nil"/>
              <w:bottom w:val="single" w:sz="4" w:space="0" w:color="FFFFFF" w:themeColor="background1"/>
              <w:right w:val="nil"/>
            </w:tcBorders>
            <w:shd w:val="clear" w:color="auto" w:fill="FFFFFF"/>
            <w:vAlign w:val="center"/>
          </w:tcPr>
          <w:p w14:paraId="1BB74CD8"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(Constant)</w:t>
            </w:r>
          </w:p>
        </w:tc>
        <w:tc>
          <w:tcPr>
            <w:tcW w:w="497" w:type="pct"/>
            <w:tcBorders>
              <w:top w:val="single" w:sz="4" w:space="0" w:color="FFFFFF" w:themeColor="background1"/>
              <w:left w:val="nil"/>
              <w:bottom w:val="single" w:sz="4" w:space="0" w:color="FFFFFF" w:themeColor="background1"/>
              <w:right w:val="nil"/>
            </w:tcBorders>
            <w:shd w:val="clear" w:color="auto" w:fill="FFFFFF"/>
          </w:tcPr>
          <w:p w14:paraId="620BACBE"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1.694</w:t>
            </w:r>
          </w:p>
        </w:tc>
        <w:tc>
          <w:tcPr>
            <w:tcW w:w="497" w:type="pct"/>
            <w:tcBorders>
              <w:top w:val="single" w:sz="4" w:space="0" w:color="000000" w:themeColor="text1"/>
              <w:left w:val="nil"/>
              <w:bottom w:val="single" w:sz="4" w:space="0" w:color="FFFFFF" w:themeColor="background1"/>
              <w:right w:val="nil"/>
            </w:tcBorders>
            <w:shd w:val="clear" w:color="auto" w:fill="FFFFFF"/>
          </w:tcPr>
          <w:p w14:paraId="74EEF0A7"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.276</w:t>
            </w:r>
          </w:p>
        </w:tc>
        <w:tc>
          <w:tcPr>
            <w:tcW w:w="602" w:type="pct"/>
            <w:vMerge w:val="restart"/>
            <w:tcBorders>
              <w:top w:val="single" w:sz="4" w:space="0" w:color="000000" w:themeColor="text1"/>
              <w:left w:val="nil"/>
              <w:bottom w:val="single" w:sz="4" w:space="0" w:color="auto"/>
              <w:right w:val="nil"/>
            </w:tcBorders>
            <w:shd w:val="clear" w:color="auto" w:fill="FFFFFF"/>
            <w:vAlign w:val="center"/>
          </w:tcPr>
          <w:p w14:paraId="0D932BA2"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.390</w:t>
            </w:r>
          </w:p>
        </w:tc>
        <w:tc>
          <w:tcPr>
            <w:tcW w:w="468" w:type="pct"/>
            <w:vMerge w:val="restart"/>
            <w:tcBorders>
              <w:top w:val="single" w:sz="4" w:space="0" w:color="FFFFFF" w:themeColor="background1"/>
              <w:left w:val="nil"/>
              <w:right w:val="nil"/>
            </w:tcBorders>
            <w:shd w:val="clear" w:color="auto" w:fill="FFFFFF"/>
          </w:tcPr>
          <w:p w14:paraId="61FDAE28" w14:textId="77777777" w:rsidR="006E3964" w:rsidRPr="00BB6978" w:rsidRDefault="006E3964" w:rsidP="00CE66D1">
            <w:pPr>
              <w:autoSpaceDE w:val="0"/>
              <w:autoSpaceDN w:val="0"/>
              <w:adjustRightInd w:val="0"/>
              <w:spacing w:before="160" w:after="120" w:line="320" w:lineRule="atLeast"/>
              <w:ind w:left="62" w:right="62"/>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.625</w:t>
            </w:r>
          </w:p>
        </w:tc>
        <w:tc>
          <w:tcPr>
            <w:tcW w:w="468" w:type="pct"/>
            <w:tcBorders>
              <w:top w:val="single" w:sz="4" w:space="0" w:color="FFFFFF" w:themeColor="background1"/>
              <w:left w:val="nil"/>
              <w:bottom w:val="single" w:sz="4" w:space="0" w:color="FFFFFF" w:themeColor="background1"/>
              <w:right w:val="nil"/>
            </w:tcBorders>
            <w:shd w:val="clear" w:color="auto" w:fill="FFFFFF"/>
          </w:tcPr>
          <w:p w14:paraId="5C0F193C"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6.139</w:t>
            </w:r>
          </w:p>
        </w:tc>
        <w:tc>
          <w:tcPr>
            <w:tcW w:w="667" w:type="pct"/>
            <w:tcBorders>
              <w:top w:val="single" w:sz="4" w:space="0" w:color="FFFFFF" w:themeColor="background1"/>
              <w:left w:val="nil"/>
              <w:bottom w:val="single" w:sz="4" w:space="0" w:color="FFFFFF" w:themeColor="background1"/>
              <w:right w:val="nil"/>
            </w:tcBorders>
            <w:shd w:val="clear" w:color="auto" w:fill="FFFFFF"/>
          </w:tcPr>
          <w:p w14:paraId="4A47F16E"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&lt;.001</w:t>
            </w:r>
          </w:p>
        </w:tc>
      </w:tr>
      <w:tr w:rsidR="00073A16" w:rsidRPr="00BB6978" w14:paraId="230CFFE2" w14:textId="77777777" w:rsidTr="00CE66D1">
        <w:trPr>
          <w:cantSplit/>
        </w:trPr>
        <w:tc>
          <w:tcPr>
            <w:tcW w:w="1021" w:type="pct"/>
            <w:vMerge/>
            <w:tcBorders>
              <w:left w:val="nil"/>
              <w:bottom w:val="single" w:sz="4" w:space="0" w:color="000000" w:themeColor="text1"/>
              <w:right w:val="nil"/>
            </w:tcBorders>
            <w:shd w:val="clear" w:color="auto" w:fill="FFFFFF"/>
          </w:tcPr>
          <w:p w14:paraId="103928DC" w14:textId="77777777" w:rsidR="006E3964" w:rsidRPr="00BB6978" w:rsidRDefault="006E3964" w:rsidP="00CE66D1">
            <w:pPr>
              <w:autoSpaceDE w:val="0"/>
              <w:autoSpaceDN w:val="0"/>
              <w:adjustRightInd w:val="0"/>
              <w:spacing w:after="0" w:line="320" w:lineRule="atLeast"/>
              <w:ind w:left="60" w:right="60"/>
              <w:rPr>
                <w:rFonts w:asciiTheme="majorBidi" w:eastAsia="Calibri" w:hAnsiTheme="majorBidi" w:cstheme="majorBidi"/>
              </w:rPr>
            </w:pPr>
          </w:p>
        </w:tc>
        <w:tc>
          <w:tcPr>
            <w:tcW w:w="780" w:type="pct"/>
            <w:tcBorders>
              <w:top w:val="single" w:sz="4" w:space="0" w:color="FFFFFF" w:themeColor="background1"/>
              <w:left w:val="nil"/>
              <w:bottom w:val="single" w:sz="4" w:space="0" w:color="auto"/>
              <w:right w:val="nil"/>
            </w:tcBorders>
            <w:shd w:val="clear" w:color="auto" w:fill="FFFFFF"/>
            <w:vAlign w:val="center"/>
          </w:tcPr>
          <w:p w14:paraId="7BE13FC2"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0"/>
                <w:szCs w:val="20"/>
              </w:rPr>
              <w:t>School Quality</w:t>
            </w:r>
          </w:p>
        </w:tc>
        <w:tc>
          <w:tcPr>
            <w:tcW w:w="497" w:type="pct"/>
            <w:tcBorders>
              <w:top w:val="single" w:sz="4" w:space="0" w:color="FFFFFF" w:themeColor="background1"/>
              <w:left w:val="nil"/>
              <w:bottom w:val="single" w:sz="4" w:space="0" w:color="auto"/>
              <w:right w:val="nil"/>
            </w:tcBorders>
            <w:shd w:val="clear" w:color="auto" w:fill="FFFFFF"/>
          </w:tcPr>
          <w:p w14:paraId="0B57EC64"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.667</w:t>
            </w:r>
          </w:p>
        </w:tc>
        <w:tc>
          <w:tcPr>
            <w:tcW w:w="497" w:type="pct"/>
            <w:tcBorders>
              <w:top w:val="single" w:sz="4" w:space="0" w:color="FFFFFF" w:themeColor="background1"/>
              <w:left w:val="nil"/>
              <w:bottom w:val="single" w:sz="4" w:space="0" w:color="auto"/>
              <w:right w:val="nil"/>
            </w:tcBorders>
            <w:shd w:val="clear" w:color="auto" w:fill="FFFFFF"/>
          </w:tcPr>
          <w:p w14:paraId="471475FE"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.065</w:t>
            </w:r>
          </w:p>
        </w:tc>
        <w:tc>
          <w:tcPr>
            <w:tcW w:w="602" w:type="pct"/>
            <w:vMerge/>
            <w:tcBorders>
              <w:top w:val="nil"/>
              <w:left w:val="nil"/>
              <w:bottom w:val="single" w:sz="4" w:space="0" w:color="000000" w:themeColor="text1"/>
              <w:right w:val="nil"/>
            </w:tcBorders>
            <w:shd w:val="clear" w:color="auto" w:fill="FFFFFF"/>
            <w:vAlign w:val="center"/>
          </w:tcPr>
          <w:p w14:paraId="76FF7DEB"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c>
          <w:tcPr>
            <w:tcW w:w="468" w:type="pct"/>
            <w:vMerge/>
            <w:tcBorders>
              <w:left w:val="nil"/>
              <w:bottom w:val="single" w:sz="4" w:space="0" w:color="auto"/>
              <w:right w:val="nil"/>
            </w:tcBorders>
            <w:shd w:val="clear" w:color="auto" w:fill="FFFFFF"/>
          </w:tcPr>
          <w:p w14:paraId="428E88BF"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c>
          <w:tcPr>
            <w:tcW w:w="468" w:type="pct"/>
            <w:tcBorders>
              <w:top w:val="single" w:sz="4" w:space="0" w:color="FFFFFF" w:themeColor="background1"/>
              <w:left w:val="nil"/>
              <w:bottom w:val="single" w:sz="4" w:space="0" w:color="auto"/>
              <w:right w:val="nil"/>
            </w:tcBorders>
            <w:shd w:val="clear" w:color="auto" w:fill="FFFFFF"/>
          </w:tcPr>
          <w:p w14:paraId="7120E246"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10.211</w:t>
            </w:r>
          </w:p>
        </w:tc>
        <w:tc>
          <w:tcPr>
            <w:tcW w:w="667" w:type="pct"/>
            <w:tcBorders>
              <w:top w:val="single" w:sz="4" w:space="0" w:color="FFFFFF" w:themeColor="background1"/>
              <w:left w:val="nil"/>
              <w:bottom w:val="single" w:sz="4" w:space="0" w:color="auto"/>
              <w:right w:val="nil"/>
            </w:tcBorders>
            <w:shd w:val="clear" w:color="auto" w:fill="FFFFFF"/>
          </w:tcPr>
          <w:p w14:paraId="15957DEF"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&lt;.001</w:t>
            </w:r>
          </w:p>
        </w:tc>
      </w:tr>
      <w:tr w:rsidR="00073A16" w:rsidRPr="00BB6978" w14:paraId="7AD80F5E" w14:textId="77777777" w:rsidTr="00CE66D1">
        <w:trPr>
          <w:cantSplit/>
        </w:trPr>
        <w:tc>
          <w:tcPr>
            <w:tcW w:w="1021" w:type="pct"/>
            <w:vMerge w:val="restart"/>
            <w:tcBorders>
              <w:top w:val="single" w:sz="4" w:space="0" w:color="000000" w:themeColor="text1"/>
              <w:left w:val="nil"/>
              <w:bottom w:val="single" w:sz="4" w:space="0" w:color="auto"/>
              <w:right w:val="nil"/>
            </w:tcBorders>
            <w:shd w:val="clear" w:color="auto" w:fill="FFFFFF"/>
          </w:tcPr>
          <w:p w14:paraId="44C15492" w14:textId="77777777" w:rsidR="006E3964" w:rsidRPr="00BB6978" w:rsidRDefault="006E3964" w:rsidP="00CE66D1">
            <w:pPr>
              <w:autoSpaceDE w:val="0"/>
              <w:autoSpaceDN w:val="0"/>
              <w:adjustRightInd w:val="0"/>
              <w:spacing w:after="0" w:line="320" w:lineRule="atLeast"/>
              <w:ind w:left="60" w:right="60"/>
              <w:rPr>
                <w:rFonts w:asciiTheme="majorBidi" w:eastAsia="Calibri" w:hAnsiTheme="majorBidi" w:cstheme="majorBidi"/>
              </w:rPr>
            </w:pPr>
            <w:r w:rsidRPr="00BB6978">
              <w:rPr>
                <w:rFonts w:asciiTheme="majorBidi" w:hAnsiTheme="majorBidi" w:cstheme="majorBidi"/>
                <w:lang/>
                <w14:ligatures w14:val="standardContextual"/>
              </w:rPr>
              <w:t>Graduate studies</w:t>
            </w:r>
          </w:p>
        </w:tc>
        <w:tc>
          <w:tcPr>
            <w:tcW w:w="780" w:type="pct"/>
            <w:tcBorders>
              <w:top w:val="single" w:sz="4" w:space="0" w:color="FFFFFF" w:themeColor="background1"/>
              <w:left w:val="nil"/>
              <w:bottom w:val="single" w:sz="4" w:space="0" w:color="FFFFFF" w:themeColor="background1"/>
              <w:right w:val="nil"/>
            </w:tcBorders>
            <w:shd w:val="clear" w:color="auto" w:fill="FFFFFF"/>
            <w:vAlign w:val="center"/>
          </w:tcPr>
          <w:p w14:paraId="47D64C37"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4"/>
                <w:szCs w:val="24"/>
              </w:rPr>
              <w:t>(Constant)</w:t>
            </w:r>
          </w:p>
        </w:tc>
        <w:tc>
          <w:tcPr>
            <w:tcW w:w="497" w:type="pct"/>
            <w:tcBorders>
              <w:top w:val="single" w:sz="4" w:space="0" w:color="FFFFFF" w:themeColor="background1"/>
              <w:left w:val="nil"/>
              <w:bottom w:val="single" w:sz="4" w:space="0" w:color="FFFFFF" w:themeColor="background1"/>
              <w:right w:val="nil"/>
            </w:tcBorders>
            <w:shd w:val="clear" w:color="auto" w:fill="FFFFFF"/>
          </w:tcPr>
          <w:p w14:paraId="0336B865"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2.159</w:t>
            </w:r>
          </w:p>
        </w:tc>
        <w:tc>
          <w:tcPr>
            <w:tcW w:w="497" w:type="pct"/>
            <w:tcBorders>
              <w:top w:val="single" w:sz="4" w:space="0" w:color="FFFFFF" w:themeColor="background1"/>
              <w:left w:val="nil"/>
              <w:bottom w:val="single" w:sz="4" w:space="0" w:color="FFFFFF" w:themeColor="background1"/>
              <w:right w:val="nil"/>
            </w:tcBorders>
            <w:shd w:val="clear" w:color="auto" w:fill="FFFFFF"/>
          </w:tcPr>
          <w:p w14:paraId="654CA912"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.320</w:t>
            </w:r>
          </w:p>
        </w:tc>
        <w:tc>
          <w:tcPr>
            <w:tcW w:w="602" w:type="pct"/>
            <w:vMerge w:val="restart"/>
            <w:tcBorders>
              <w:top w:val="single" w:sz="4" w:space="0" w:color="000000" w:themeColor="text1"/>
              <w:left w:val="nil"/>
              <w:bottom w:val="single" w:sz="4" w:space="0" w:color="auto"/>
              <w:right w:val="nil"/>
            </w:tcBorders>
            <w:shd w:val="clear" w:color="auto" w:fill="FFFFFF"/>
            <w:vAlign w:val="center"/>
          </w:tcPr>
          <w:p w14:paraId="48FF0217"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.317</w:t>
            </w:r>
          </w:p>
        </w:tc>
        <w:tc>
          <w:tcPr>
            <w:tcW w:w="468" w:type="pct"/>
            <w:vMerge w:val="restart"/>
            <w:tcBorders>
              <w:top w:val="single" w:sz="4" w:space="0" w:color="FFFFFF" w:themeColor="background1"/>
              <w:left w:val="nil"/>
              <w:right w:val="nil"/>
            </w:tcBorders>
            <w:shd w:val="clear" w:color="auto" w:fill="FFFFFF"/>
          </w:tcPr>
          <w:p w14:paraId="7A000212" w14:textId="77777777" w:rsidR="006E3964" w:rsidRPr="00BB6978" w:rsidRDefault="006E3964" w:rsidP="00CE66D1">
            <w:pPr>
              <w:autoSpaceDE w:val="0"/>
              <w:autoSpaceDN w:val="0"/>
              <w:adjustRightInd w:val="0"/>
              <w:spacing w:before="160" w:after="120" w:line="320" w:lineRule="atLeast"/>
              <w:ind w:left="62" w:right="62"/>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.563</w:t>
            </w:r>
          </w:p>
        </w:tc>
        <w:tc>
          <w:tcPr>
            <w:tcW w:w="468" w:type="pct"/>
            <w:tcBorders>
              <w:top w:val="single" w:sz="4" w:space="0" w:color="FFFFFF" w:themeColor="background1"/>
              <w:left w:val="nil"/>
              <w:bottom w:val="single" w:sz="4" w:space="0" w:color="FFFFFF" w:themeColor="background1"/>
              <w:right w:val="nil"/>
            </w:tcBorders>
            <w:shd w:val="clear" w:color="auto" w:fill="FFFFFF"/>
          </w:tcPr>
          <w:p w14:paraId="6D5C64F2"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6.742</w:t>
            </w:r>
          </w:p>
        </w:tc>
        <w:tc>
          <w:tcPr>
            <w:tcW w:w="667" w:type="pct"/>
            <w:tcBorders>
              <w:top w:val="single" w:sz="4" w:space="0" w:color="FFFFFF" w:themeColor="background1"/>
              <w:left w:val="nil"/>
              <w:bottom w:val="single" w:sz="4" w:space="0" w:color="FFFFFF" w:themeColor="background1"/>
              <w:right w:val="nil"/>
            </w:tcBorders>
            <w:shd w:val="clear" w:color="auto" w:fill="FFFFFF"/>
          </w:tcPr>
          <w:p w14:paraId="0C999439"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&lt;.001</w:t>
            </w:r>
          </w:p>
        </w:tc>
      </w:tr>
      <w:tr w:rsidR="00073A16" w:rsidRPr="00BB6978" w14:paraId="48AD84E8" w14:textId="77777777" w:rsidTr="00CE66D1">
        <w:trPr>
          <w:cantSplit/>
        </w:trPr>
        <w:tc>
          <w:tcPr>
            <w:tcW w:w="1021" w:type="pct"/>
            <w:vMerge/>
            <w:tcBorders>
              <w:left w:val="nil"/>
              <w:bottom w:val="single" w:sz="4" w:space="0" w:color="000000" w:themeColor="text1"/>
              <w:right w:val="nil"/>
            </w:tcBorders>
            <w:shd w:val="clear" w:color="auto" w:fill="FFFFFF"/>
          </w:tcPr>
          <w:p w14:paraId="4DD27FFC"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p>
        </w:tc>
        <w:tc>
          <w:tcPr>
            <w:tcW w:w="780" w:type="pct"/>
            <w:tcBorders>
              <w:top w:val="single" w:sz="4" w:space="0" w:color="FFFFFF" w:themeColor="background1"/>
              <w:left w:val="nil"/>
              <w:bottom w:val="single" w:sz="4" w:space="0" w:color="auto"/>
              <w:right w:val="nil"/>
            </w:tcBorders>
            <w:shd w:val="clear" w:color="auto" w:fill="FFFFFF"/>
            <w:vAlign w:val="center"/>
          </w:tcPr>
          <w:p w14:paraId="1F84C3AF" w14:textId="77777777" w:rsidR="006E3964" w:rsidRPr="00BB6978" w:rsidRDefault="006E3964" w:rsidP="00CE66D1">
            <w:pPr>
              <w:autoSpaceDE w:val="0"/>
              <w:autoSpaceDN w:val="0"/>
              <w:adjustRightInd w:val="0"/>
              <w:spacing w:after="0" w:line="320" w:lineRule="atLeast"/>
              <w:ind w:left="60" w:right="60"/>
              <w:rPr>
                <w:rFonts w:ascii="Times New Roman" w:eastAsia="Calibri" w:hAnsi="Times New Roman" w:cs="Times New Roman"/>
                <w:sz w:val="24"/>
                <w:szCs w:val="24"/>
              </w:rPr>
            </w:pPr>
            <w:r w:rsidRPr="00BB6978">
              <w:rPr>
                <w:rFonts w:ascii="Times New Roman" w:eastAsia="Calibri" w:hAnsi="Times New Roman" w:cs="Times New Roman"/>
                <w:sz w:val="20"/>
                <w:szCs w:val="20"/>
              </w:rPr>
              <w:t>School Quality</w:t>
            </w:r>
          </w:p>
        </w:tc>
        <w:tc>
          <w:tcPr>
            <w:tcW w:w="497" w:type="pct"/>
            <w:tcBorders>
              <w:top w:val="single" w:sz="4" w:space="0" w:color="FFFFFF" w:themeColor="background1"/>
              <w:left w:val="nil"/>
              <w:bottom w:val="single" w:sz="4" w:space="0" w:color="auto"/>
              <w:right w:val="nil"/>
            </w:tcBorders>
            <w:shd w:val="clear" w:color="auto" w:fill="FFFFFF"/>
          </w:tcPr>
          <w:p w14:paraId="4353E1F2"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.565</w:t>
            </w:r>
          </w:p>
        </w:tc>
        <w:tc>
          <w:tcPr>
            <w:tcW w:w="497" w:type="pct"/>
            <w:tcBorders>
              <w:top w:val="single" w:sz="4" w:space="0" w:color="FFFFFF" w:themeColor="background1"/>
              <w:left w:val="nil"/>
              <w:bottom w:val="single" w:sz="4" w:space="0" w:color="auto"/>
              <w:right w:val="nil"/>
            </w:tcBorders>
            <w:shd w:val="clear" w:color="auto" w:fill="FFFFFF"/>
          </w:tcPr>
          <w:p w14:paraId="040FE4CC"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.077</w:t>
            </w:r>
          </w:p>
        </w:tc>
        <w:tc>
          <w:tcPr>
            <w:tcW w:w="602" w:type="pct"/>
            <w:vMerge/>
            <w:tcBorders>
              <w:top w:val="nil"/>
              <w:left w:val="nil"/>
              <w:bottom w:val="single" w:sz="4" w:space="0" w:color="000000" w:themeColor="text1"/>
              <w:right w:val="nil"/>
            </w:tcBorders>
            <w:shd w:val="clear" w:color="auto" w:fill="FFFFFF"/>
            <w:vAlign w:val="center"/>
          </w:tcPr>
          <w:p w14:paraId="70C91E74"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c>
          <w:tcPr>
            <w:tcW w:w="468" w:type="pct"/>
            <w:vMerge/>
            <w:tcBorders>
              <w:left w:val="nil"/>
              <w:bottom w:val="single" w:sz="4" w:space="0" w:color="auto"/>
              <w:right w:val="nil"/>
            </w:tcBorders>
            <w:shd w:val="clear" w:color="auto" w:fill="FFFFFF"/>
          </w:tcPr>
          <w:p w14:paraId="6EA238C1"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p>
        </w:tc>
        <w:tc>
          <w:tcPr>
            <w:tcW w:w="468" w:type="pct"/>
            <w:tcBorders>
              <w:top w:val="single" w:sz="4" w:space="0" w:color="FFFFFF" w:themeColor="background1"/>
              <w:left w:val="nil"/>
              <w:bottom w:val="single" w:sz="4" w:space="0" w:color="auto"/>
              <w:right w:val="nil"/>
            </w:tcBorders>
            <w:shd w:val="clear" w:color="auto" w:fill="FFFFFF"/>
          </w:tcPr>
          <w:p w14:paraId="6068449D"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7.300</w:t>
            </w:r>
          </w:p>
        </w:tc>
        <w:tc>
          <w:tcPr>
            <w:tcW w:w="667" w:type="pct"/>
            <w:tcBorders>
              <w:top w:val="single" w:sz="4" w:space="0" w:color="FFFFFF" w:themeColor="background1"/>
              <w:left w:val="nil"/>
              <w:bottom w:val="single" w:sz="4" w:space="0" w:color="auto"/>
              <w:right w:val="nil"/>
            </w:tcBorders>
            <w:shd w:val="clear" w:color="auto" w:fill="FFFFFF"/>
          </w:tcPr>
          <w:p w14:paraId="1B1D28A8" w14:textId="77777777" w:rsidR="006E3964" w:rsidRPr="00BB6978" w:rsidRDefault="006E3964" w:rsidP="00CE66D1">
            <w:pPr>
              <w:autoSpaceDE w:val="0"/>
              <w:autoSpaceDN w:val="0"/>
              <w:adjustRightInd w:val="0"/>
              <w:spacing w:after="0" w:line="320" w:lineRule="atLeast"/>
              <w:ind w:left="60" w:right="60"/>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&lt;.001</w:t>
            </w:r>
          </w:p>
        </w:tc>
      </w:tr>
    </w:tbl>
    <w:p w14:paraId="43D083E2" w14:textId="77777777" w:rsidR="006E3964" w:rsidRPr="00BB6978" w:rsidRDefault="006E3964" w:rsidP="006E3964">
      <w:pPr>
        <w:autoSpaceDE w:val="0"/>
        <w:autoSpaceDN w:val="0"/>
        <w:adjustRightInd w:val="0"/>
        <w:spacing w:after="0" w:line="360" w:lineRule="auto"/>
        <w:jc w:val="both"/>
        <w:rPr>
          <w:rFonts w:ascii="Times New Roman" w:eastAsia="Times New Roman" w:hAnsi="Times New Roman" w:cs="Times New Roman"/>
          <w:b/>
          <w:sz w:val="24"/>
          <w:szCs w:val="24"/>
        </w:rPr>
      </w:pPr>
      <w:r w:rsidRPr="00BB6978">
        <w:rPr>
          <w:rFonts w:ascii="Times New Roman" w:eastAsia="Times New Roman" w:hAnsi="Times New Roman" w:cs="Times New Roman"/>
          <w:sz w:val="24"/>
          <w:szCs w:val="24"/>
        </w:rPr>
        <w:t>Dependent Variable: Student achievement, **p&lt;0.00</w:t>
      </w:r>
      <w:bookmarkStart w:id="156" w:name="_Toc66784565"/>
      <w:bookmarkStart w:id="157" w:name="_Toc96103767"/>
      <w:r w:rsidRPr="00BB6978">
        <w:rPr>
          <w:rFonts w:ascii="Times New Roman" w:eastAsia="Times New Roman" w:hAnsi="Times New Roman" w:cs="Times New Roman"/>
          <w:sz w:val="24"/>
          <w:szCs w:val="24"/>
        </w:rPr>
        <w:t>1</w:t>
      </w:r>
    </w:p>
    <w:p w14:paraId="31605982" w14:textId="77777777" w:rsidR="006E3964" w:rsidRPr="00BB6978" w:rsidRDefault="006E3964" w:rsidP="006E3964">
      <w:pPr>
        <w:pStyle w:val="Heading1"/>
        <w:rPr>
          <w:rFonts w:asciiTheme="majorBidi" w:eastAsia="Times New Roman" w:hAnsiTheme="majorBidi"/>
          <w:b w:val="0"/>
          <w:bCs w:val="0"/>
          <w:color w:val="auto"/>
          <w:sz w:val="24"/>
          <w:szCs w:val="24"/>
        </w:rPr>
      </w:pPr>
      <w:bookmarkStart w:id="158" w:name="_Toc138239818"/>
      <w:r w:rsidRPr="00BB6978">
        <w:rPr>
          <w:rFonts w:asciiTheme="majorBidi" w:eastAsia="Times New Roman" w:hAnsiTheme="majorBidi"/>
          <w:color w:val="auto"/>
          <w:sz w:val="24"/>
          <w:szCs w:val="24"/>
        </w:rPr>
        <w:t>4.5 Confirmatory factor analysis</w:t>
      </w:r>
      <w:bookmarkEnd w:id="156"/>
      <w:bookmarkEnd w:id="157"/>
      <w:bookmarkEnd w:id="158"/>
      <w:r w:rsidRPr="00BB6978">
        <w:rPr>
          <w:rFonts w:asciiTheme="majorBidi" w:eastAsia="Times New Roman" w:hAnsiTheme="majorBidi"/>
          <w:color w:val="auto"/>
          <w:sz w:val="24"/>
          <w:szCs w:val="24"/>
        </w:rPr>
        <w:t xml:space="preserve"> </w:t>
      </w:r>
    </w:p>
    <w:p w14:paraId="585692FD" w14:textId="77777777" w:rsidR="006E3964" w:rsidRPr="00BB6978" w:rsidRDefault="006E3964" w:rsidP="006E3964"/>
    <w:p w14:paraId="0C51C7AF" w14:textId="77777777" w:rsidR="006E3964" w:rsidRPr="00BB6978" w:rsidRDefault="006E3964" w:rsidP="006E3964">
      <w:pPr>
        <w:spacing w:after="200" w:line="480" w:lineRule="auto"/>
        <w:jc w:val="both"/>
        <w:rPr>
          <w:rFonts w:ascii="Times New Roman" w:eastAsia="Calibri" w:hAnsi="Times New Roman" w:cs="Times New Roman"/>
          <w:bCs/>
          <w:iCs/>
          <w:sz w:val="24"/>
          <w:szCs w:val="24"/>
        </w:rPr>
      </w:pPr>
      <w:r w:rsidRPr="00BB6978">
        <w:rPr>
          <w:rFonts w:ascii="Times New Roman" w:eastAsia="Calibri" w:hAnsi="Times New Roman" w:cs="Times New Roman"/>
          <w:bCs/>
          <w:iCs/>
          <w:sz w:val="24"/>
          <w:szCs w:val="24"/>
        </w:rPr>
        <w:t xml:space="preserve"> </w:t>
      </w:r>
      <w:r w:rsidRPr="00BB6978">
        <w:rPr>
          <w:rFonts w:ascii="Times New Roman" w:eastAsia="Calibri" w:hAnsi="Times New Roman" w:cs="Times New Roman"/>
          <w:bCs/>
          <w:iCs/>
          <w:sz w:val="24"/>
          <w:szCs w:val="24"/>
        </w:rPr>
        <w:tab/>
        <w:t xml:space="preserve">Commonly the confirmatory of the factor analysis procedure is employed in social research to test the alignment between the variables measures and the researcher's understanding of these variables. In this sense, the confirmatory factor analysis is meant to test if the data fit a hypothesized measurement model.  The following Figure </w:t>
      </w:r>
      <w:r w:rsidR="00016620" w:rsidRPr="00BB6978">
        <w:rPr>
          <w:rFonts w:ascii="Times New Roman" w:eastAsia="Calibri" w:hAnsi="Times New Roman" w:cs="Times New Roman"/>
          <w:bCs/>
          <w:iCs/>
          <w:sz w:val="24"/>
          <w:szCs w:val="24"/>
        </w:rPr>
        <w:t>4</w:t>
      </w:r>
      <w:r w:rsidRPr="00BB6978">
        <w:rPr>
          <w:rFonts w:ascii="Times New Roman" w:eastAsia="Calibri" w:hAnsi="Times New Roman" w:cs="Times New Roman"/>
          <w:bCs/>
          <w:iCs/>
          <w:sz w:val="24"/>
          <w:szCs w:val="24"/>
        </w:rPr>
        <w:t xml:space="preserve"> and Table 17 demonstrate the results of this analysis for the school cost factor. This global fit (of seven indices) in which the ‘r’ detected the degree of consistency between the hypothesized model and the data revealed that the model is a good </w:t>
      </w:r>
      <w:r w:rsidR="00CB05B6" w:rsidRPr="00BB6978">
        <w:rPr>
          <w:rFonts w:ascii="Times New Roman" w:eastAsia="Calibri" w:hAnsi="Times New Roman" w:cs="Times New Roman"/>
          <w:bCs/>
          <w:iCs/>
          <w:sz w:val="24"/>
          <w:szCs w:val="24"/>
        </w:rPr>
        <w:t>fit with</w:t>
      </w:r>
      <w:r w:rsidRPr="00BB6978">
        <w:rPr>
          <w:rFonts w:ascii="Times New Roman" w:eastAsia="Calibri" w:hAnsi="Times New Roman" w:cs="Times New Roman"/>
          <w:bCs/>
          <w:iCs/>
          <w:sz w:val="24"/>
          <w:szCs w:val="24"/>
        </w:rPr>
        <w:t xml:space="preserve"> the data as the factors are significant at the p&lt;0.05. This means that , the implicit matrix of co variances of the hypothesized model and the sample covariance matrix, of data, are consistent </w:t>
      </w:r>
      <w:r w:rsidRPr="00BB6978">
        <w:rPr>
          <w:rFonts w:ascii="Times New Roman" w:eastAsia="Calibri" w:hAnsi="Times New Roman" w:cs="Times New Roman"/>
          <w:bCs/>
          <w:iCs/>
          <w:sz w:val="24"/>
          <w:szCs w:val="24"/>
        </w:rPr>
        <w:fldChar w:fldCharType="begin" w:fldLock="1"/>
      </w:r>
      <w:r w:rsidRPr="00BB6978">
        <w:rPr>
          <w:rFonts w:ascii="Times New Roman" w:eastAsia="Calibri" w:hAnsi="Times New Roman" w:cs="Times New Roman"/>
          <w:bCs/>
          <w:iCs/>
          <w:sz w:val="24"/>
          <w:szCs w:val="24"/>
        </w:rPr>
        <w:instrText>ADDIN CSL_CITATION { "citationItems" : [ { "id" : "ITEM-1", "itemData" : { "author" : [ { "dropping-particle" : "", "family" : "Bollen", "given" : "K. A.", "non-dropping-particle" : "", "parse-names" : false, "suffix" : "" } ], "id" : "ITEM-1", "issued" : { "date-parts" : [ [ "1989" ] ] }, "publisher" : "New York, NY: John Wiley &amp; Sons, Inc", "title" : "Structural equations with latent variables", "type" : "book" }, "uris" : [ "http://www.mendeley.com/documents/?uuid=6957e9f3-152c-4c2e-b4e1-c18d103bc14a" ] } ], "mendeley" : { "formattedCitation" : "(Bollen, 1989)", "plainTextFormattedCitation" : "(Bollen, 1989)", "previouslyFormattedCitation" : "(Bollen, 1989)" }, "properties" : { "noteIndex" : 0 }, "schema" : "https://github.com/citation-style-language/schema/raw/master/csl-citation.json" }</w:instrText>
      </w:r>
      <w:r w:rsidRPr="00BB6978">
        <w:rPr>
          <w:rFonts w:ascii="Times New Roman" w:eastAsia="Calibri" w:hAnsi="Times New Roman" w:cs="Times New Roman"/>
          <w:bCs/>
          <w:iCs/>
          <w:sz w:val="24"/>
          <w:szCs w:val="24"/>
        </w:rPr>
        <w:fldChar w:fldCharType="separate"/>
      </w:r>
      <w:r w:rsidRPr="00BB6978">
        <w:rPr>
          <w:rFonts w:ascii="Times New Roman" w:eastAsia="Calibri" w:hAnsi="Times New Roman" w:cs="Times New Roman"/>
          <w:bCs/>
          <w:iCs/>
          <w:sz w:val="24"/>
          <w:szCs w:val="24"/>
        </w:rPr>
        <w:t>(Bollen, 1989)</w:t>
      </w:r>
      <w:r w:rsidRPr="00BB6978">
        <w:rPr>
          <w:rFonts w:ascii="Times New Roman" w:eastAsia="Calibri" w:hAnsi="Times New Roman" w:cs="Times New Roman"/>
          <w:bCs/>
          <w:iCs/>
          <w:sz w:val="24"/>
          <w:szCs w:val="24"/>
        </w:rPr>
        <w:fldChar w:fldCharType="end"/>
      </w:r>
      <w:r w:rsidRPr="00BB6978">
        <w:rPr>
          <w:rFonts w:ascii="Times New Roman" w:eastAsia="Calibri" w:hAnsi="Times New Roman" w:cs="Times New Roman"/>
          <w:bCs/>
          <w:iCs/>
          <w:sz w:val="24"/>
          <w:szCs w:val="24"/>
        </w:rPr>
        <w:t>.</w:t>
      </w:r>
    </w:p>
    <w:p w14:paraId="38663AE6" w14:textId="77777777" w:rsidR="006E3964" w:rsidRPr="00BB6978" w:rsidRDefault="00016620" w:rsidP="00016620">
      <w:pPr>
        <w:pStyle w:val="Caption"/>
        <w:rPr>
          <w:rFonts w:ascii="Times New Roman" w:eastAsia="Calibri" w:hAnsi="Times New Roman" w:cs="Times New Roman"/>
          <w:b w:val="0"/>
          <w:iCs/>
        </w:rPr>
      </w:pPr>
      <w:bookmarkStart w:id="159" w:name="_Toc134452511"/>
      <w:r w:rsidRPr="00BB6978">
        <w:t xml:space="preserve">Figure </w:t>
      </w:r>
      <w:r w:rsidRPr="00BB6978">
        <w:fldChar w:fldCharType="begin"/>
      </w:r>
      <w:r w:rsidRPr="00BB6978">
        <w:instrText xml:space="preserve"> SEQ Figure \* ARABIC </w:instrText>
      </w:r>
      <w:r w:rsidRPr="00BB6978">
        <w:fldChar w:fldCharType="separate"/>
      </w:r>
      <w:r w:rsidRPr="00BB6978">
        <w:rPr>
          <w:noProof/>
        </w:rPr>
        <w:t>4</w:t>
      </w:r>
      <w:r w:rsidRPr="00BB6978">
        <w:rPr>
          <w:noProof/>
        </w:rPr>
        <w:fldChar w:fldCharType="end"/>
      </w:r>
      <w:r w:rsidR="006E3964" w:rsidRPr="00BB6978">
        <w:rPr>
          <w:rFonts w:ascii="Times New Roman" w:eastAsia="Calibri" w:hAnsi="Times New Roman" w:cs="Times New Roman"/>
          <w:bCs w:val="0"/>
          <w:iCs/>
        </w:rPr>
        <w:t>: First orders model for cost school</w:t>
      </w:r>
      <w:bookmarkEnd w:id="159"/>
      <w:r w:rsidR="006E3964" w:rsidRPr="00BB6978">
        <w:rPr>
          <w:rFonts w:ascii="Times New Roman" w:eastAsia="Calibri" w:hAnsi="Times New Roman" w:cs="Times New Roman"/>
          <w:b w:val="0"/>
          <w:iCs/>
        </w:rPr>
        <w:t xml:space="preserve"> </w:t>
      </w:r>
    </w:p>
    <w:p w14:paraId="44EE577B" w14:textId="77777777" w:rsidR="006E3964" w:rsidRPr="00BB6978" w:rsidRDefault="006E3964" w:rsidP="006E3964">
      <w:pPr>
        <w:jc w:val="center"/>
        <w:rPr>
          <w:rFonts w:ascii="Times New Roman" w:eastAsia="Calibri" w:hAnsi="Times New Roman" w:cs="Times New Roman"/>
          <w:b/>
          <w:sz w:val="28"/>
          <w:szCs w:val="28"/>
        </w:rPr>
      </w:pPr>
      <w:r w:rsidRPr="00BB6978">
        <w:rPr>
          <w:rFonts w:ascii="Times New Roman" w:eastAsia="Calibri" w:hAnsi="Times New Roman" w:cs="Times New Roman"/>
          <w:b/>
          <w:noProof/>
          <w:sz w:val="28"/>
          <w:szCs w:val="28"/>
          <w:lang w:val="en-US"/>
        </w:rPr>
        <w:drawing>
          <wp:inline distT="0" distB="0" distL="0" distR="0" wp14:anchorId="0372A50C" wp14:editId="60327362">
            <wp:extent cx="4686300" cy="2708910"/>
            <wp:effectExtent l="19050" t="19050" r="19050" b="15240"/>
            <wp:docPr id="3" name="Picture 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a:picLocks noChangeAspect="1" noChangeArrowheads="1"/>
                    </pic:cNvPicPr>
                  </pic:nvPicPr>
                  <pic:blipFill rotWithShape="1">
                    <a:blip r:embed="rId42">
                      <a:extLst>
                        <a:ext uri="{28A0092B-C50C-407E-A947-70E740481C1C}">
                          <a14:useLocalDpi xmlns:a14="http://schemas.microsoft.com/office/drawing/2010/main" val="0"/>
                        </a:ext>
                      </a:extLst>
                    </a:blip>
                    <a:srcRect t="9138" r="1706" b="2872"/>
                    <a:stretch/>
                  </pic:blipFill>
                  <pic:spPr bwMode="auto">
                    <a:xfrm>
                      <a:off x="0" y="0"/>
                      <a:ext cx="4687340" cy="270951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069EDFEE" w14:textId="77777777" w:rsidR="006E3964" w:rsidRPr="00BB6978" w:rsidRDefault="006E3964" w:rsidP="006E3964">
      <w:pPr>
        <w:spacing w:after="200" w:line="240" w:lineRule="auto"/>
        <w:rPr>
          <w:rFonts w:ascii="Times New Roman" w:eastAsia="Calibri" w:hAnsi="Times New Roman" w:cs="Times New Roman"/>
          <w:b/>
          <w:iCs/>
          <w:sz w:val="24"/>
          <w:szCs w:val="24"/>
        </w:rPr>
      </w:pPr>
    </w:p>
    <w:p w14:paraId="18016390" w14:textId="77777777" w:rsidR="006E3964" w:rsidRPr="00BB6978" w:rsidRDefault="00131282" w:rsidP="007F58DC">
      <w:pPr>
        <w:pStyle w:val="Caption"/>
      </w:pPr>
      <w:bookmarkStart w:id="160" w:name="_Toc134452501"/>
      <w:r w:rsidRPr="00BB6978">
        <w:t xml:space="preserve">Table </w:t>
      </w:r>
      <w:r w:rsidRPr="00BB6978">
        <w:fldChar w:fldCharType="begin"/>
      </w:r>
      <w:r w:rsidRPr="00BB6978">
        <w:instrText xml:space="preserve"> SEQ Table \* ARABIC </w:instrText>
      </w:r>
      <w:r w:rsidRPr="00BB6978">
        <w:fldChar w:fldCharType="separate"/>
      </w:r>
      <w:r w:rsidRPr="00BB6978">
        <w:rPr>
          <w:noProof/>
        </w:rPr>
        <w:t>17</w:t>
      </w:r>
      <w:r w:rsidRPr="00BB6978">
        <w:rPr>
          <w:noProof/>
        </w:rPr>
        <w:fldChar w:fldCharType="end"/>
      </w:r>
      <w:r w:rsidR="006E3964" w:rsidRPr="00BB6978">
        <w:t xml:space="preserve">: </w:t>
      </w:r>
      <w:r w:rsidR="006E3964" w:rsidRPr="00BB6978">
        <w:rPr>
          <w:lang w:eastAsia="zh-CN"/>
        </w:rPr>
        <w:t>First-order model for c</w:t>
      </w:r>
      <w:r w:rsidR="006E3964" w:rsidRPr="00BB6978">
        <w:t>ost school</w:t>
      </w:r>
      <w:bookmarkEnd w:id="160"/>
    </w:p>
    <w:tbl>
      <w:tblPr>
        <w:tblW w:w="5000" w:type="pct"/>
        <w:tblBorders>
          <w:top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95"/>
        <w:gridCol w:w="490"/>
        <w:gridCol w:w="1072"/>
        <w:gridCol w:w="1921"/>
        <w:gridCol w:w="874"/>
        <w:gridCol w:w="1654"/>
        <w:gridCol w:w="1180"/>
      </w:tblGrid>
      <w:tr w:rsidR="00073A16" w:rsidRPr="00BB6978" w14:paraId="0F898E4E" w14:textId="77777777" w:rsidTr="00CE66D1">
        <w:trPr>
          <w:tblHeader/>
        </w:trPr>
        <w:tc>
          <w:tcPr>
            <w:tcW w:w="255" w:type="pct"/>
            <w:tcBorders>
              <w:bottom w:val="single" w:sz="4" w:space="0" w:color="auto"/>
              <w:right w:val="nil"/>
            </w:tcBorders>
            <w:shd w:val="clear" w:color="auto" w:fill="BDD6EE"/>
            <w:tcMar>
              <w:top w:w="15" w:type="dxa"/>
              <w:left w:w="140" w:type="dxa"/>
              <w:bottom w:w="15" w:type="dxa"/>
              <w:right w:w="140" w:type="dxa"/>
            </w:tcMar>
            <w:vAlign w:val="center"/>
            <w:hideMark/>
          </w:tcPr>
          <w:p w14:paraId="08554456" w14:textId="77777777" w:rsidR="006E3964" w:rsidRPr="00BB6978" w:rsidRDefault="006E3964" w:rsidP="00CE66D1">
            <w:pPr>
              <w:spacing w:after="0" w:line="240" w:lineRule="auto"/>
              <w:jc w:val="right"/>
              <w:rPr>
                <w:rFonts w:ascii="Times New Roman" w:eastAsia="Times New Roman" w:hAnsi="Times New Roman" w:cs="Times New Roman"/>
                <w:sz w:val="24"/>
                <w:szCs w:val="24"/>
              </w:rPr>
            </w:pPr>
          </w:p>
        </w:tc>
        <w:tc>
          <w:tcPr>
            <w:tcW w:w="316" w:type="pct"/>
            <w:tcBorders>
              <w:left w:val="nil"/>
              <w:bottom w:val="single" w:sz="4" w:space="0" w:color="auto"/>
              <w:right w:val="nil"/>
            </w:tcBorders>
            <w:shd w:val="clear" w:color="auto" w:fill="BDD6EE"/>
            <w:tcMar>
              <w:top w:w="15" w:type="dxa"/>
              <w:left w:w="140" w:type="dxa"/>
              <w:bottom w:w="15" w:type="dxa"/>
              <w:right w:w="140" w:type="dxa"/>
            </w:tcMar>
            <w:vAlign w:val="center"/>
            <w:hideMark/>
          </w:tcPr>
          <w:p w14:paraId="4A2B537C" w14:textId="77777777" w:rsidR="006E3964" w:rsidRPr="00BB6978" w:rsidRDefault="006E3964" w:rsidP="00CE66D1">
            <w:pPr>
              <w:spacing w:after="0" w:line="240" w:lineRule="auto"/>
              <w:jc w:val="right"/>
              <w:rPr>
                <w:rFonts w:ascii="Times New Roman" w:eastAsia="Times New Roman" w:hAnsi="Times New Roman" w:cs="Times New Roman"/>
                <w:sz w:val="24"/>
                <w:szCs w:val="24"/>
              </w:rPr>
            </w:pPr>
          </w:p>
        </w:tc>
        <w:tc>
          <w:tcPr>
            <w:tcW w:w="972" w:type="pct"/>
            <w:tcBorders>
              <w:left w:val="nil"/>
              <w:bottom w:val="single" w:sz="4" w:space="0" w:color="auto"/>
              <w:right w:val="nil"/>
            </w:tcBorders>
            <w:shd w:val="clear" w:color="auto" w:fill="BDD6EE"/>
            <w:tcMar>
              <w:top w:w="15" w:type="dxa"/>
              <w:left w:w="140" w:type="dxa"/>
              <w:bottom w:w="15" w:type="dxa"/>
              <w:right w:w="140" w:type="dxa"/>
            </w:tcMar>
            <w:vAlign w:val="center"/>
            <w:hideMark/>
          </w:tcPr>
          <w:p w14:paraId="7B2E9762" w14:textId="77777777" w:rsidR="006E3964" w:rsidRPr="00BB6978" w:rsidRDefault="006E3964" w:rsidP="00CE66D1">
            <w:pPr>
              <w:spacing w:after="0" w:line="240" w:lineRule="auto"/>
              <w:jc w:val="right"/>
              <w:rPr>
                <w:rFonts w:ascii="Times New Roman" w:eastAsia="Times New Roman" w:hAnsi="Times New Roman" w:cs="Times New Roman"/>
                <w:sz w:val="24"/>
                <w:szCs w:val="24"/>
              </w:rPr>
            </w:pPr>
          </w:p>
        </w:tc>
        <w:tc>
          <w:tcPr>
            <w:tcW w:w="1239" w:type="pct"/>
            <w:tcBorders>
              <w:left w:val="nil"/>
              <w:bottom w:val="single" w:sz="4" w:space="0" w:color="auto"/>
              <w:right w:val="nil"/>
            </w:tcBorders>
            <w:shd w:val="clear" w:color="auto" w:fill="BDD6EE"/>
            <w:tcMar>
              <w:top w:w="15" w:type="dxa"/>
              <w:left w:w="140" w:type="dxa"/>
              <w:bottom w:w="15" w:type="dxa"/>
              <w:right w:w="140" w:type="dxa"/>
            </w:tcMar>
            <w:vAlign w:val="center"/>
            <w:hideMark/>
          </w:tcPr>
          <w:p w14:paraId="4572748D" w14:textId="77777777" w:rsidR="006E3964" w:rsidRPr="00BB6978" w:rsidRDefault="006E3964" w:rsidP="00CE66D1">
            <w:pPr>
              <w:spacing w:after="0" w:line="240" w:lineRule="auto"/>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Unstandardized</w:t>
            </w:r>
          </w:p>
          <w:p w14:paraId="52EE1911" w14:textId="77777777" w:rsidR="006E3964" w:rsidRPr="00BB6978" w:rsidRDefault="006E3964" w:rsidP="00CE66D1">
            <w:pPr>
              <w:spacing w:after="0" w:line="240" w:lineRule="auto"/>
              <w:ind w:firstLineChars="100" w:firstLine="240"/>
              <w:jc w:val="center"/>
              <w:rPr>
                <w:rFonts w:ascii="Times New Roman" w:eastAsia="Calibri" w:hAnsi="Times New Roman" w:cs="Times New Roman"/>
                <w:sz w:val="24"/>
                <w:szCs w:val="24"/>
              </w:rPr>
            </w:pPr>
            <w:r w:rsidRPr="00BB6978">
              <w:rPr>
                <w:rFonts w:ascii="Times New Roman" w:eastAsia="Calibri" w:hAnsi="Times New Roman" w:cs="Times New Roman"/>
                <w:b/>
                <w:sz w:val="24"/>
                <w:szCs w:val="24"/>
              </w:rPr>
              <w:t>coefficient</w:t>
            </w:r>
          </w:p>
        </w:tc>
        <w:tc>
          <w:tcPr>
            <w:tcW w:w="480" w:type="pct"/>
            <w:tcBorders>
              <w:left w:val="nil"/>
              <w:bottom w:val="single" w:sz="4" w:space="0" w:color="auto"/>
              <w:right w:val="nil"/>
            </w:tcBorders>
            <w:shd w:val="clear" w:color="auto" w:fill="BDD6EE"/>
            <w:tcMar>
              <w:top w:w="15" w:type="dxa"/>
              <w:left w:w="140" w:type="dxa"/>
              <w:bottom w:w="15" w:type="dxa"/>
              <w:right w:w="140" w:type="dxa"/>
            </w:tcMar>
            <w:vAlign w:val="center"/>
            <w:hideMark/>
          </w:tcPr>
          <w:p w14:paraId="134484D5" w14:textId="77777777" w:rsidR="006E3964" w:rsidRPr="00BB6978" w:rsidRDefault="006E3964" w:rsidP="00CE66D1">
            <w:pPr>
              <w:spacing w:after="0" w:line="240" w:lineRule="auto"/>
              <w:ind w:firstLineChars="100" w:firstLine="240"/>
              <w:jc w:val="center"/>
              <w:rPr>
                <w:rFonts w:ascii="Times New Roman" w:eastAsia="Calibri" w:hAnsi="Times New Roman" w:cs="Times New Roman"/>
                <w:sz w:val="24"/>
                <w:szCs w:val="24"/>
              </w:rPr>
            </w:pPr>
            <w:r w:rsidRPr="00BB6978">
              <w:rPr>
                <w:rFonts w:ascii="Times New Roman" w:eastAsia="Calibri" w:hAnsi="Times New Roman" w:cs="Times New Roman"/>
                <w:b/>
                <w:sz w:val="24"/>
                <w:szCs w:val="24"/>
              </w:rPr>
              <w:t>S.E</w:t>
            </w:r>
          </w:p>
        </w:tc>
        <w:tc>
          <w:tcPr>
            <w:tcW w:w="1067" w:type="pct"/>
            <w:tcBorders>
              <w:left w:val="nil"/>
              <w:bottom w:val="single" w:sz="4" w:space="0" w:color="auto"/>
              <w:right w:val="nil"/>
            </w:tcBorders>
            <w:shd w:val="clear" w:color="auto" w:fill="BDD6EE"/>
            <w:tcMar>
              <w:top w:w="15" w:type="dxa"/>
              <w:left w:w="140" w:type="dxa"/>
              <w:bottom w:w="15" w:type="dxa"/>
              <w:right w:w="140" w:type="dxa"/>
            </w:tcMar>
            <w:vAlign w:val="center"/>
            <w:hideMark/>
          </w:tcPr>
          <w:p w14:paraId="46A8A92F" w14:textId="77777777" w:rsidR="006E3964" w:rsidRPr="00BB6978" w:rsidRDefault="006E3964" w:rsidP="00CE66D1">
            <w:pPr>
              <w:spacing w:after="0" w:line="240" w:lineRule="auto"/>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Standardized</w:t>
            </w:r>
          </w:p>
          <w:p w14:paraId="4F6F46B1" w14:textId="77777777" w:rsidR="006E3964" w:rsidRPr="00BB6978" w:rsidRDefault="006E3964" w:rsidP="00CE66D1">
            <w:pPr>
              <w:spacing w:after="0" w:line="240" w:lineRule="auto"/>
              <w:ind w:firstLineChars="100" w:firstLine="240"/>
              <w:jc w:val="center"/>
              <w:rPr>
                <w:rFonts w:ascii="Times New Roman" w:eastAsia="Calibri" w:hAnsi="Times New Roman" w:cs="Times New Roman"/>
                <w:sz w:val="24"/>
                <w:szCs w:val="24"/>
              </w:rPr>
            </w:pPr>
            <w:r w:rsidRPr="00BB6978">
              <w:rPr>
                <w:rFonts w:ascii="Times New Roman" w:eastAsia="Calibri" w:hAnsi="Times New Roman" w:cs="Times New Roman"/>
                <w:b/>
                <w:sz w:val="24"/>
                <w:szCs w:val="24"/>
              </w:rPr>
              <w:t>coefficient</w:t>
            </w:r>
          </w:p>
        </w:tc>
        <w:tc>
          <w:tcPr>
            <w:tcW w:w="671" w:type="pct"/>
            <w:tcBorders>
              <w:left w:val="nil"/>
              <w:bottom w:val="single" w:sz="4" w:space="0" w:color="auto"/>
              <w:right w:val="nil"/>
            </w:tcBorders>
            <w:shd w:val="clear" w:color="auto" w:fill="BDD6EE"/>
            <w:tcMar>
              <w:top w:w="15" w:type="dxa"/>
              <w:left w:w="140" w:type="dxa"/>
              <w:bottom w:w="15" w:type="dxa"/>
              <w:right w:w="140" w:type="dxa"/>
            </w:tcMar>
            <w:vAlign w:val="center"/>
            <w:hideMark/>
          </w:tcPr>
          <w:p w14:paraId="7AF7CD3D" w14:textId="77777777" w:rsidR="006E3964" w:rsidRPr="00BB6978" w:rsidRDefault="006E3964" w:rsidP="00CE66D1">
            <w:pPr>
              <w:spacing w:after="0" w:line="240" w:lineRule="auto"/>
              <w:ind w:firstLineChars="100" w:firstLine="240"/>
              <w:jc w:val="center"/>
              <w:rPr>
                <w:rFonts w:ascii="Times New Roman" w:eastAsia="Calibri" w:hAnsi="Times New Roman" w:cs="Times New Roman"/>
                <w:sz w:val="24"/>
                <w:szCs w:val="24"/>
              </w:rPr>
            </w:pPr>
            <w:r w:rsidRPr="00BB6978">
              <w:rPr>
                <w:rFonts w:ascii="Times New Roman" w:eastAsia="Calibri" w:hAnsi="Times New Roman" w:cs="Times New Roman"/>
                <w:b/>
                <w:sz w:val="24"/>
                <w:szCs w:val="24"/>
              </w:rPr>
              <w:t>p-value</w:t>
            </w:r>
          </w:p>
        </w:tc>
      </w:tr>
      <w:tr w:rsidR="00073A16" w:rsidRPr="00BB6978" w14:paraId="3DE12065" w14:textId="77777777" w:rsidTr="00CE66D1">
        <w:tc>
          <w:tcPr>
            <w:tcW w:w="255" w:type="pct"/>
            <w:tcBorders>
              <w:bottom w:val="nil"/>
              <w:right w:val="nil"/>
            </w:tcBorders>
            <w:tcMar>
              <w:top w:w="15" w:type="dxa"/>
              <w:left w:w="57" w:type="dxa"/>
              <w:bottom w:w="15" w:type="dxa"/>
              <w:right w:w="57" w:type="dxa"/>
            </w:tcMar>
            <w:vAlign w:val="center"/>
            <w:hideMark/>
          </w:tcPr>
          <w:p w14:paraId="2B25049A"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C9</w:t>
            </w:r>
          </w:p>
        </w:tc>
        <w:tc>
          <w:tcPr>
            <w:tcW w:w="316" w:type="pct"/>
            <w:tcBorders>
              <w:left w:val="nil"/>
              <w:bottom w:val="nil"/>
              <w:right w:val="nil"/>
            </w:tcBorders>
            <w:noWrap/>
            <w:tcMar>
              <w:top w:w="15" w:type="dxa"/>
              <w:left w:w="57" w:type="dxa"/>
              <w:bottom w:w="15" w:type="dxa"/>
              <w:right w:w="57" w:type="dxa"/>
            </w:tcMar>
            <w:vAlign w:val="center"/>
            <w:hideMark/>
          </w:tcPr>
          <w:p w14:paraId="462E5F9D"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972" w:type="pct"/>
            <w:tcBorders>
              <w:left w:val="nil"/>
              <w:bottom w:val="nil"/>
              <w:right w:val="nil"/>
            </w:tcBorders>
            <w:tcMar>
              <w:top w:w="15" w:type="dxa"/>
              <w:left w:w="140" w:type="dxa"/>
              <w:bottom w:w="15" w:type="dxa"/>
              <w:right w:w="140" w:type="dxa"/>
            </w:tcMar>
            <w:vAlign w:val="center"/>
            <w:hideMark/>
          </w:tcPr>
          <w:p w14:paraId="7C16D170"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Cost School</w:t>
            </w:r>
          </w:p>
        </w:tc>
        <w:tc>
          <w:tcPr>
            <w:tcW w:w="1239" w:type="pct"/>
            <w:tcBorders>
              <w:left w:val="nil"/>
              <w:bottom w:val="nil"/>
              <w:right w:val="nil"/>
            </w:tcBorders>
            <w:tcMar>
              <w:top w:w="15" w:type="dxa"/>
              <w:left w:w="140" w:type="dxa"/>
              <w:bottom w:w="15" w:type="dxa"/>
              <w:right w:w="140" w:type="dxa"/>
            </w:tcMar>
            <w:vAlign w:val="center"/>
            <w:hideMark/>
          </w:tcPr>
          <w:p w14:paraId="126DB9DD"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1.000</w:t>
            </w:r>
          </w:p>
        </w:tc>
        <w:tc>
          <w:tcPr>
            <w:tcW w:w="480" w:type="pct"/>
            <w:tcBorders>
              <w:left w:val="nil"/>
              <w:bottom w:val="nil"/>
              <w:right w:val="nil"/>
            </w:tcBorders>
            <w:tcMar>
              <w:top w:w="15" w:type="dxa"/>
              <w:left w:w="140" w:type="dxa"/>
              <w:bottom w:w="15" w:type="dxa"/>
              <w:right w:w="140" w:type="dxa"/>
            </w:tcMar>
            <w:vAlign w:val="center"/>
            <w:hideMark/>
          </w:tcPr>
          <w:p w14:paraId="168016A6"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p>
        </w:tc>
        <w:tc>
          <w:tcPr>
            <w:tcW w:w="1067" w:type="pct"/>
            <w:tcBorders>
              <w:left w:val="nil"/>
              <w:bottom w:val="nil"/>
              <w:right w:val="nil"/>
            </w:tcBorders>
            <w:vAlign w:val="center"/>
            <w:hideMark/>
          </w:tcPr>
          <w:p w14:paraId="4AF19D18"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.998</w:t>
            </w:r>
          </w:p>
        </w:tc>
        <w:tc>
          <w:tcPr>
            <w:tcW w:w="671" w:type="pct"/>
            <w:tcBorders>
              <w:left w:val="nil"/>
              <w:bottom w:val="nil"/>
              <w:right w:val="nil"/>
            </w:tcBorders>
            <w:vAlign w:val="center"/>
            <w:hideMark/>
          </w:tcPr>
          <w:p w14:paraId="322483CD" w14:textId="77777777" w:rsidR="006E3964" w:rsidRPr="00BB6978" w:rsidRDefault="006E3964" w:rsidP="00CE66D1">
            <w:pPr>
              <w:spacing w:after="0" w:line="240" w:lineRule="auto"/>
              <w:rPr>
                <w:rFonts w:ascii="Times New Roman" w:eastAsia="Times New Roman" w:hAnsi="Times New Roman" w:cs="Times New Roman"/>
                <w:sz w:val="24"/>
                <w:szCs w:val="24"/>
              </w:rPr>
            </w:pPr>
          </w:p>
        </w:tc>
      </w:tr>
      <w:tr w:rsidR="00073A16" w:rsidRPr="00BB6978" w14:paraId="03432541" w14:textId="77777777" w:rsidTr="00CE66D1">
        <w:tc>
          <w:tcPr>
            <w:tcW w:w="255" w:type="pct"/>
            <w:tcBorders>
              <w:top w:val="nil"/>
              <w:bottom w:val="nil"/>
              <w:right w:val="nil"/>
            </w:tcBorders>
            <w:tcMar>
              <w:top w:w="15" w:type="dxa"/>
              <w:left w:w="57" w:type="dxa"/>
              <w:bottom w:w="15" w:type="dxa"/>
              <w:right w:w="57" w:type="dxa"/>
            </w:tcMar>
            <w:vAlign w:val="center"/>
            <w:hideMark/>
          </w:tcPr>
          <w:p w14:paraId="00A4A321"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C8</w:t>
            </w:r>
          </w:p>
        </w:tc>
        <w:tc>
          <w:tcPr>
            <w:tcW w:w="316" w:type="pct"/>
            <w:tcBorders>
              <w:top w:val="nil"/>
              <w:left w:val="nil"/>
              <w:bottom w:val="nil"/>
              <w:right w:val="nil"/>
            </w:tcBorders>
            <w:noWrap/>
            <w:tcMar>
              <w:top w:w="15" w:type="dxa"/>
              <w:left w:w="57" w:type="dxa"/>
              <w:bottom w:w="15" w:type="dxa"/>
              <w:right w:w="57" w:type="dxa"/>
            </w:tcMar>
            <w:vAlign w:val="center"/>
            <w:hideMark/>
          </w:tcPr>
          <w:p w14:paraId="4712D3B3"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972" w:type="pct"/>
            <w:tcBorders>
              <w:top w:val="nil"/>
              <w:left w:val="nil"/>
              <w:bottom w:val="nil"/>
              <w:right w:val="nil"/>
            </w:tcBorders>
            <w:tcMar>
              <w:top w:w="15" w:type="dxa"/>
              <w:left w:w="140" w:type="dxa"/>
              <w:bottom w:w="15" w:type="dxa"/>
              <w:right w:w="140" w:type="dxa"/>
            </w:tcMar>
            <w:vAlign w:val="center"/>
            <w:hideMark/>
          </w:tcPr>
          <w:p w14:paraId="38504209"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Cost School</w:t>
            </w:r>
          </w:p>
        </w:tc>
        <w:tc>
          <w:tcPr>
            <w:tcW w:w="1239" w:type="pct"/>
            <w:tcBorders>
              <w:top w:val="nil"/>
              <w:left w:val="nil"/>
              <w:bottom w:val="nil"/>
              <w:right w:val="nil"/>
            </w:tcBorders>
            <w:tcMar>
              <w:top w:w="15" w:type="dxa"/>
              <w:left w:w="140" w:type="dxa"/>
              <w:bottom w:w="15" w:type="dxa"/>
              <w:right w:w="140" w:type="dxa"/>
            </w:tcMar>
            <w:vAlign w:val="center"/>
            <w:hideMark/>
          </w:tcPr>
          <w:p w14:paraId="7A022790"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1.003</w:t>
            </w:r>
          </w:p>
        </w:tc>
        <w:tc>
          <w:tcPr>
            <w:tcW w:w="480" w:type="pct"/>
            <w:tcBorders>
              <w:top w:val="nil"/>
              <w:left w:val="nil"/>
              <w:bottom w:val="nil"/>
              <w:right w:val="nil"/>
            </w:tcBorders>
            <w:tcMar>
              <w:top w:w="15" w:type="dxa"/>
              <w:left w:w="140" w:type="dxa"/>
              <w:bottom w:w="15" w:type="dxa"/>
              <w:right w:w="140" w:type="dxa"/>
            </w:tcMar>
            <w:vAlign w:val="center"/>
            <w:hideMark/>
          </w:tcPr>
          <w:p w14:paraId="3FB4A66A"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.005</w:t>
            </w:r>
          </w:p>
        </w:tc>
        <w:tc>
          <w:tcPr>
            <w:tcW w:w="1067" w:type="pct"/>
            <w:tcBorders>
              <w:top w:val="nil"/>
              <w:left w:val="nil"/>
              <w:bottom w:val="nil"/>
              <w:right w:val="nil"/>
            </w:tcBorders>
            <w:tcMar>
              <w:top w:w="15" w:type="dxa"/>
              <w:left w:w="140" w:type="dxa"/>
              <w:bottom w:w="15" w:type="dxa"/>
              <w:right w:w="140" w:type="dxa"/>
            </w:tcMar>
            <w:vAlign w:val="center"/>
            <w:hideMark/>
          </w:tcPr>
          <w:p w14:paraId="106107F4"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.998</w:t>
            </w:r>
          </w:p>
        </w:tc>
        <w:tc>
          <w:tcPr>
            <w:tcW w:w="671" w:type="pct"/>
            <w:tcBorders>
              <w:top w:val="nil"/>
              <w:left w:val="nil"/>
              <w:bottom w:val="nil"/>
              <w:right w:val="nil"/>
            </w:tcBorders>
            <w:tcMar>
              <w:top w:w="15" w:type="dxa"/>
              <w:left w:w="140" w:type="dxa"/>
              <w:bottom w:w="15" w:type="dxa"/>
              <w:right w:w="140" w:type="dxa"/>
            </w:tcMar>
            <w:vAlign w:val="center"/>
            <w:hideMark/>
          </w:tcPr>
          <w:p w14:paraId="757ACE24" w14:textId="77777777" w:rsidR="006E3964" w:rsidRPr="00BB6978" w:rsidRDefault="006E3964" w:rsidP="00CE66D1">
            <w:pPr>
              <w:spacing w:after="0" w:line="240" w:lineRule="auto"/>
              <w:jc w:val="center"/>
              <w:rPr>
                <w:rFonts w:ascii="Times New Roman" w:eastAsia="Times New Roman" w:hAnsi="Times New Roman" w:cs="Times New Roman"/>
                <w:b/>
                <w:sz w:val="24"/>
                <w:szCs w:val="24"/>
              </w:rPr>
            </w:pPr>
            <w:r w:rsidRPr="00BB6978">
              <w:rPr>
                <w:rFonts w:ascii="Times New Roman" w:eastAsia="Times New Roman" w:hAnsi="Times New Roman" w:cs="Times New Roman"/>
                <w:b/>
                <w:sz w:val="24"/>
                <w:szCs w:val="24"/>
              </w:rPr>
              <w:t>0.000***</w:t>
            </w:r>
          </w:p>
        </w:tc>
      </w:tr>
      <w:tr w:rsidR="00073A16" w:rsidRPr="00BB6978" w14:paraId="2C64AD37" w14:textId="77777777" w:rsidTr="00CE66D1">
        <w:tc>
          <w:tcPr>
            <w:tcW w:w="255" w:type="pct"/>
            <w:tcBorders>
              <w:top w:val="nil"/>
              <w:bottom w:val="nil"/>
              <w:right w:val="nil"/>
            </w:tcBorders>
            <w:tcMar>
              <w:top w:w="15" w:type="dxa"/>
              <w:left w:w="57" w:type="dxa"/>
              <w:bottom w:w="15" w:type="dxa"/>
              <w:right w:w="57" w:type="dxa"/>
            </w:tcMar>
            <w:vAlign w:val="center"/>
            <w:hideMark/>
          </w:tcPr>
          <w:p w14:paraId="41F8F0ED"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C7</w:t>
            </w:r>
          </w:p>
        </w:tc>
        <w:tc>
          <w:tcPr>
            <w:tcW w:w="316" w:type="pct"/>
            <w:tcBorders>
              <w:top w:val="nil"/>
              <w:left w:val="nil"/>
              <w:bottom w:val="nil"/>
              <w:right w:val="nil"/>
            </w:tcBorders>
            <w:noWrap/>
            <w:tcMar>
              <w:top w:w="15" w:type="dxa"/>
              <w:left w:w="57" w:type="dxa"/>
              <w:bottom w:w="15" w:type="dxa"/>
              <w:right w:w="57" w:type="dxa"/>
            </w:tcMar>
            <w:vAlign w:val="center"/>
            <w:hideMark/>
          </w:tcPr>
          <w:p w14:paraId="063F846D"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972" w:type="pct"/>
            <w:tcBorders>
              <w:top w:val="nil"/>
              <w:left w:val="nil"/>
              <w:bottom w:val="nil"/>
              <w:right w:val="nil"/>
            </w:tcBorders>
            <w:tcMar>
              <w:top w:w="15" w:type="dxa"/>
              <w:left w:w="140" w:type="dxa"/>
              <w:bottom w:w="15" w:type="dxa"/>
              <w:right w:w="140" w:type="dxa"/>
            </w:tcMar>
            <w:vAlign w:val="center"/>
            <w:hideMark/>
          </w:tcPr>
          <w:p w14:paraId="4DC80949"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Cost School</w:t>
            </w:r>
          </w:p>
        </w:tc>
        <w:tc>
          <w:tcPr>
            <w:tcW w:w="1239" w:type="pct"/>
            <w:tcBorders>
              <w:top w:val="nil"/>
              <w:left w:val="nil"/>
              <w:bottom w:val="nil"/>
              <w:right w:val="nil"/>
            </w:tcBorders>
            <w:tcMar>
              <w:top w:w="15" w:type="dxa"/>
              <w:left w:w="140" w:type="dxa"/>
              <w:bottom w:w="15" w:type="dxa"/>
              <w:right w:w="140" w:type="dxa"/>
            </w:tcMar>
            <w:vAlign w:val="center"/>
            <w:hideMark/>
          </w:tcPr>
          <w:p w14:paraId="0E191E7F"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1.002</w:t>
            </w:r>
          </w:p>
        </w:tc>
        <w:tc>
          <w:tcPr>
            <w:tcW w:w="480" w:type="pct"/>
            <w:tcBorders>
              <w:top w:val="nil"/>
              <w:left w:val="nil"/>
              <w:bottom w:val="nil"/>
              <w:right w:val="nil"/>
            </w:tcBorders>
            <w:tcMar>
              <w:top w:w="15" w:type="dxa"/>
              <w:left w:w="140" w:type="dxa"/>
              <w:bottom w:w="15" w:type="dxa"/>
              <w:right w:w="140" w:type="dxa"/>
            </w:tcMar>
            <w:vAlign w:val="center"/>
            <w:hideMark/>
          </w:tcPr>
          <w:p w14:paraId="74B3B3F8"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.006</w:t>
            </w:r>
          </w:p>
        </w:tc>
        <w:tc>
          <w:tcPr>
            <w:tcW w:w="1067" w:type="pct"/>
            <w:tcBorders>
              <w:top w:val="nil"/>
              <w:left w:val="nil"/>
              <w:bottom w:val="nil"/>
              <w:right w:val="nil"/>
            </w:tcBorders>
            <w:tcMar>
              <w:top w:w="15" w:type="dxa"/>
              <w:left w:w="140" w:type="dxa"/>
              <w:bottom w:w="15" w:type="dxa"/>
              <w:right w:w="140" w:type="dxa"/>
            </w:tcMar>
            <w:vAlign w:val="center"/>
            <w:hideMark/>
          </w:tcPr>
          <w:p w14:paraId="2D0C1606"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.996</w:t>
            </w:r>
          </w:p>
        </w:tc>
        <w:tc>
          <w:tcPr>
            <w:tcW w:w="671" w:type="pct"/>
            <w:tcBorders>
              <w:top w:val="nil"/>
              <w:left w:val="nil"/>
              <w:bottom w:val="nil"/>
              <w:right w:val="nil"/>
            </w:tcBorders>
            <w:tcMar>
              <w:top w:w="15" w:type="dxa"/>
              <w:left w:w="140" w:type="dxa"/>
              <w:bottom w:w="15" w:type="dxa"/>
              <w:right w:w="140" w:type="dxa"/>
            </w:tcMar>
            <w:hideMark/>
          </w:tcPr>
          <w:p w14:paraId="43B5B16E"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57AE4F23" w14:textId="77777777" w:rsidTr="00CE66D1">
        <w:tc>
          <w:tcPr>
            <w:tcW w:w="255" w:type="pct"/>
            <w:tcBorders>
              <w:top w:val="nil"/>
              <w:bottom w:val="nil"/>
              <w:right w:val="nil"/>
            </w:tcBorders>
            <w:tcMar>
              <w:top w:w="15" w:type="dxa"/>
              <w:left w:w="57" w:type="dxa"/>
              <w:bottom w:w="15" w:type="dxa"/>
              <w:right w:w="57" w:type="dxa"/>
            </w:tcMar>
            <w:vAlign w:val="center"/>
            <w:hideMark/>
          </w:tcPr>
          <w:p w14:paraId="2D55F22B"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C6</w:t>
            </w:r>
          </w:p>
        </w:tc>
        <w:tc>
          <w:tcPr>
            <w:tcW w:w="316" w:type="pct"/>
            <w:tcBorders>
              <w:top w:val="nil"/>
              <w:left w:val="nil"/>
              <w:bottom w:val="nil"/>
              <w:right w:val="nil"/>
            </w:tcBorders>
            <w:noWrap/>
            <w:tcMar>
              <w:top w:w="15" w:type="dxa"/>
              <w:left w:w="57" w:type="dxa"/>
              <w:bottom w:w="15" w:type="dxa"/>
              <w:right w:w="57" w:type="dxa"/>
            </w:tcMar>
            <w:vAlign w:val="center"/>
            <w:hideMark/>
          </w:tcPr>
          <w:p w14:paraId="553837A2"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972" w:type="pct"/>
            <w:tcBorders>
              <w:top w:val="nil"/>
              <w:left w:val="nil"/>
              <w:bottom w:val="nil"/>
              <w:right w:val="nil"/>
            </w:tcBorders>
            <w:tcMar>
              <w:top w:w="15" w:type="dxa"/>
              <w:left w:w="140" w:type="dxa"/>
              <w:bottom w:w="15" w:type="dxa"/>
              <w:right w:w="140" w:type="dxa"/>
            </w:tcMar>
            <w:vAlign w:val="center"/>
            <w:hideMark/>
          </w:tcPr>
          <w:p w14:paraId="68BB1DC9"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Cost School</w:t>
            </w:r>
          </w:p>
        </w:tc>
        <w:tc>
          <w:tcPr>
            <w:tcW w:w="1239" w:type="pct"/>
            <w:tcBorders>
              <w:top w:val="nil"/>
              <w:left w:val="nil"/>
              <w:bottom w:val="nil"/>
              <w:right w:val="nil"/>
            </w:tcBorders>
            <w:tcMar>
              <w:top w:w="15" w:type="dxa"/>
              <w:left w:w="140" w:type="dxa"/>
              <w:bottom w:w="15" w:type="dxa"/>
              <w:right w:w="140" w:type="dxa"/>
            </w:tcMar>
            <w:vAlign w:val="center"/>
            <w:hideMark/>
          </w:tcPr>
          <w:p w14:paraId="6D72A359"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.954</w:t>
            </w:r>
          </w:p>
        </w:tc>
        <w:tc>
          <w:tcPr>
            <w:tcW w:w="480" w:type="pct"/>
            <w:tcBorders>
              <w:top w:val="nil"/>
              <w:left w:val="nil"/>
              <w:bottom w:val="nil"/>
              <w:right w:val="nil"/>
            </w:tcBorders>
            <w:tcMar>
              <w:top w:w="15" w:type="dxa"/>
              <w:left w:w="140" w:type="dxa"/>
              <w:bottom w:w="15" w:type="dxa"/>
              <w:right w:w="140" w:type="dxa"/>
            </w:tcMar>
            <w:vAlign w:val="center"/>
            <w:hideMark/>
          </w:tcPr>
          <w:p w14:paraId="61F18CC9"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.011</w:t>
            </w:r>
          </w:p>
        </w:tc>
        <w:tc>
          <w:tcPr>
            <w:tcW w:w="1067" w:type="pct"/>
            <w:tcBorders>
              <w:top w:val="nil"/>
              <w:left w:val="nil"/>
              <w:bottom w:val="nil"/>
              <w:right w:val="nil"/>
            </w:tcBorders>
            <w:tcMar>
              <w:top w:w="15" w:type="dxa"/>
              <w:left w:w="140" w:type="dxa"/>
              <w:bottom w:w="15" w:type="dxa"/>
              <w:right w:w="140" w:type="dxa"/>
            </w:tcMar>
            <w:vAlign w:val="center"/>
            <w:hideMark/>
          </w:tcPr>
          <w:p w14:paraId="0AB2D3D0"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.975</w:t>
            </w:r>
          </w:p>
        </w:tc>
        <w:tc>
          <w:tcPr>
            <w:tcW w:w="671" w:type="pct"/>
            <w:tcBorders>
              <w:top w:val="nil"/>
              <w:left w:val="nil"/>
              <w:bottom w:val="nil"/>
              <w:right w:val="nil"/>
            </w:tcBorders>
            <w:tcMar>
              <w:top w:w="15" w:type="dxa"/>
              <w:left w:w="140" w:type="dxa"/>
              <w:bottom w:w="15" w:type="dxa"/>
              <w:right w:w="140" w:type="dxa"/>
            </w:tcMar>
            <w:hideMark/>
          </w:tcPr>
          <w:p w14:paraId="09748F68"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01DD6EDC" w14:textId="77777777" w:rsidTr="00CE66D1">
        <w:tc>
          <w:tcPr>
            <w:tcW w:w="255" w:type="pct"/>
            <w:tcBorders>
              <w:top w:val="nil"/>
              <w:bottom w:val="nil"/>
              <w:right w:val="nil"/>
            </w:tcBorders>
            <w:tcMar>
              <w:top w:w="15" w:type="dxa"/>
              <w:left w:w="57" w:type="dxa"/>
              <w:bottom w:w="15" w:type="dxa"/>
              <w:right w:w="57" w:type="dxa"/>
            </w:tcMar>
            <w:vAlign w:val="center"/>
            <w:hideMark/>
          </w:tcPr>
          <w:p w14:paraId="551EE10F"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C5</w:t>
            </w:r>
          </w:p>
        </w:tc>
        <w:tc>
          <w:tcPr>
            <w:tcW w:w="316" w:type="pct"/>
            <w:tcBorders>
              <w:top w:val="nil"/>
              <w:left w:val="nil"/>
              <w:bottom w:val="nil"/>
              <w:right w:val="nil"/>
            </w:tcBorders>
            <w:noWrap/>
            <w:tcMar>
              <w:top w:w="15" w:type="dxa"/>
              <w:left w:w="57" w:type="dxa"/>
              <w:bottom w:w="15" w:type="dxa"/>
              <w:right w:w="57" w:type="dxa"/>
            </w:tcMar>
            <w:vAlign w:val="center"/>
            <w:hideMark/>
          </w:tcPr>
          <w:p w14:paraId="1CACD325"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972" w:type="pct"/>
            <w:tcBorders>
              <w:top w:val="nil"/>
              <w:left w:val="nil"/>
              <w:bottom w:val="nil"/>
              <w:right w:val="nil"/>
            </w:tcBorders>
            <w:tcMar>
              <w:top w:w="15" w:type="dxa"/>
              <w:left w:w="140" w:type="dxa"/>
              <w:bottom w:w="15" w:type="dxa"/>
              <w:right w:w="140" w:type="dxa"/>
            </w:tcMar>
            <w:vAlign w:val="center"/>
            <w:hideMark/>
          </w:tcPr>
          <w:p w14:paraId="2D2CEBFD"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Cost School</w:t>
            </w:r>
          </w:p>
        </w:tc>
        <w:tc>
          <w:tcPr>
            <w:tcW w:w="1239" w:type="pct"/>
            <w:tcBorders>
              <w:top w:val="nil"/>
              <w:left w:val="nil"/>
              <w:bottom w:val="nil"/>
              <w:right w:val="nil"/>
            </w:tcBorders>
            <w:tcMar>
              <w:top w:w="15" w:type="dxa"/>
              <w:left w:w="140" w:type="dxa"/>
              <w:bottom w:w="15" w:type="dxa"/>
              <w:right w:w="140" w:type="dxa"/>
            </w:tcMar>
            <w:vAlign w:val="center"/>
            <w:hideMark/>
          </w:tcPr>
          <w:p w14:paraId="2F660F92"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.935</w:t>
            </w:r>
          </w:p>
        </w:tc>
        <w:tc>
          <w:tcPr>
            <w:tcW w:w="480" w:type="pct"/>
            <w:tcBorders>
              <w:top w:val="nil"/>
              <w:left w:val="nil"/>
              <w:bottom w:val="nil"/>
              <w:right w:val="nil"/>
            </w:tcBorders>
            <w:tcMar>
              <w:top w:w="15" w:type="dxa"/>
              <w:left w:w="140" w:type="dxa"/>
              <w:bottom w:w="15" w:type="dxa"/>
              <w:right w:w="140" w:type="dxa"/>
            </w:tcMar>
            <w:vAlign w:val="center"/>
            <w:hideMark/>
          </w:tcPr>
          <w:p w14:paraId="79701287"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.015</w:t>
            </w:r>
          </w:p>
        </w:tc>
        <w:tc>
          <w:tcPr>
            <w:tcW w:w="1067" w:type="pct"/>
            <w:tcBorders>
              <w:top w:val="nil"/>
              <w:left w:val="nil"/>
              <w:bottom w:val="nil"/>
              <w:right w:val="nil"/>
            </w:tcBorders>
            <w:tcMar>
              <w:top w:w="15" w:type="dxa"/>
              <w:left w:w="140" w:type="dxa"/>
              <w:bottom w:w="15" w:type="dxa"/>
              <w:right w:w="140" w:type="dxa"/>
            </w:tcMar>
            <w:vAlign w:val="center"/>
            <w:hideMark/>
          </w:tcPr>
          <w:p w14:paraId="5B83B19D"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.952</w:t>
            </w:r>
          </w:p>
        </w:tc>
        <w:tc>
          <w:tcPr>
            <w:tcW w:w="671" w:type="pct"/>
            <w:tcBorders>
              <w:top w:val="nil"/>
              <w:left w:val="nil"/>
              <w:bottom w:val="nil"/>
              <w:right w:val="nil"/>
            </w:tcBorders>
            <w:tcMar>
              <w:top w:w="15" w:type="dxa"/>
              <w:left w:w="140" w:type="dxa"/>
              <w:bottom w:w="15" w:type="dxa"/>
              <w:right w:w="140" w:type="dxa"/>
            </w:tcMar>
            <w:hideMark/>
          </w:tcPr>
          <w:p w14:paraId="6641B584"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7842EFD1" w14:textId="77777777" w:rsidTr="00CE66D1">
        <w:tc>
          <w:tcPr>
            <w:tcW w:w="255" w:type="pct"/>
            <w:tcBorders>
              <w:top w:val="nil"/>
              <w:bottom w:val="nil"/>
              <w:right w:val="nil"/>
            </w:tcBorders>
            <w:tcMar>
              <w:top w:w="15" w:type="dxa"/>
              <w:left w:w="57" w:type="dxa"/>
              <w:bottom w:w="15" w:type="dxa"/>
              <w:right w:w="57" w:type="dxa"/>
            </w:tcMar>
            <w:vAlign w:val="center"/>
            <w:hideMark/>
          </w:tcPr>
          <w:p w14:paraId="26F2A299"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C4</w:t>
            </w:r>
          </w:p>
        </w:tc>
        <w:tc>
          <w:tcPr>
            <w:tcW w:w="316" w:type="pct"/>
            <w:tcBorders>
              <w:top w:val="nil"/>
              <w:left w:val="nil"/>
              <w:bottom w:val="nil"/>
              <w:right w:val="nil"/>
            </w:tcBorders>
            <w:noWrap/>
            <w:tcMar>
              <w:top w:w="15" w:type="dxa"/>
              <w:left w:w="57" w:type="dxa"/>
              <w:bottom w:w="15" w:type="dxa"/>
              <w:right w:w="57" w:type="dxa"/>
            </w:tcMar>
            <w:vAlign w:val="center"/>
            <w:hideMark/>
          </w:tcPr>
          <w:p w14:paraId="455495A9"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972" w:type="pct"/>
            <w:tcBorders>
              <w:top w:val="nil"/>
              <w:left w:val="nil"/>
              <w:bottom w:val="nil"/>
              <w:right w:val="nil"/>
            </w:tcBorders>
            <w:tcMar>
              <w:top w:w="15" w:type="dxa"/>
              <w:left w:w="140" w:type="dxa"/>
              <w:bottom w:w="15" w:type="dxa"/>
              <w:right w:w="140" w:type="dxa"/>
            </w:tcMar>
            <w:vAlign w:val="center"/>
            <w:hideMark/>
          </w:tcPr>
          <w:p w14:paraId="58FE4936"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Cost School</w:t>
            </w:r>
          </w:p>
        </w:tc>
        <w:tc>
          <w:tcPr>
            <w:tcW w:w="1239" w:type="pct"/>
            <w:tcBorders>
              <w:top w:val="nil"/>
              <w:left w:val="nil"/>
              <w:bottom w:val="nil"/>
              <w:right w:val="nil"/>
            </w:tcBorders>
            <w:tcMar>
              <w:top w:w="15" w:type="dxa"/>
              <w:left w:w="140" w:type="dxa"/>
              <w:bottom w:w="15" w:type="dxa"/>
              <w:right w:w="140" w:type="dxa"/>
            </w:tcMar>
            <w:vAlign w:val="center"/>
            <w:hideMark/>
          </w:tcPr>
          <w:p w14:paraId="2E4B8E23"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.843</w:t>
            </w:r>
          </w:p>
        </w:tc>
        <w:tc>
          <w:tcPr>
            <w:tcW w:w="480" w:type="pct"/>
            <w:tcBorders>
              <w:top w:val="nil"/>
              <w:left w:val="nil"/>
              <w:bottom w:val="nil"/>
              <w:right w:val="nil"/>
            </w:tcBorders>
            <w:tcMar>
              <w:top w:w="15" w:type="dxa"/>
              <w:left w:w="140" w:type="dxa"/>
              <w:bottom w:w="15" w:type="dxa"/>
              <w:right w:w="140" w:type="dxa"/>
            </w:tcMar>
            <w:vAlign w:val="center"/>
            <w:hideMark/>
          </w:tcPr>
          <w:p w14:paraId="23988F50"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.024</w:t>
            </w:r>
          </w:p>
        </w:tc>
        <w:tc>
          <w:tcPr>
            <w:tcW w:w="1067" w:type="pct"/>
            <w:tcBorders>
              <w:top w:val="nil"/>
              <w:left w:val="nil"/>
              <w:bottom w:val="nil"/>
              <w:right w:val="nil"/>
            </w:tcBorders>
            <w:tcMar>
              <w:top w:w="15" w:type="dxa"/>
              <w:left w:w="140" w:type="dxa"/>
              <w:bottom w:w="15" w:type="dxa"/>
              <w:right w:w="140" w:type="dxa"/>
            </w:tcMar>
            <w:vAlign w:val="center"/>
            <w:hideMark/>
          </w:tcPr>
          <w:p w14:paraId="2EBEA530"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.872</w:t>
            </w:r>
          </w:p>
        </w:tc>
        <w:tc>
          <w:tcPr>
            <w:tcW w:w="671" w:type="pct"/>
            <w:tcBorders>
              <w:top w:val="nil"/>
              <w:left w:val="nil"/>
              <w:bottom w:val="nil"/>
              <w:right w:val="nil"/>
            </w:tcBorders>
            <w:tcMar>
              <w:top w:w="15" w:type="dxa"/>
              <w:left w:w="140" w:type="dxa"/>
              <w:bottom w:w="15" w:type="dxa"/>
              <w:right w:w="140" w:type="dxa"/>
            </w:tcMar>
            <w:hideMark/>
          </w:tcPr>
          <w:p w14:paraId="62D3F3F5"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14BB6A0E" w14:textId="77777777" w:rsidTr="00CE66D1">
        <w:tc>
          <w:tcPr>
            <w:tcW w:w="255" w:type="pct"/>
            <w:tcBorders>
              <w:top w:val="nil"/>
              <w:bottom w:val="nil"/>
              <w:right w:val="nil"/>
            </w:tcBorders>
            <w:tcMar>
              <w:top w:w="15" w:type="dxa"/>
              <w:left w:w="57" w:type="dxa"/>
              <w:bottom w:w="15" w:type="dxa"/>
              <w:right w:w="57" w:type="dxa"/>
            </w:tcMar>
            <w:vAlign w:val="center"/>
            <w:hideMark/>
          </w:tcPr>
          <w:p w14:paraId="3AF721C2"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C3</w:t>
            </w:r>
          </w:p>
        </w:tc>
        <w:tc>
          <w:tcPr>
            <w:tcW w:w="316" w:type="pct"/>
            <w:tcBorders>
              <w:top w:val="nil"/>
              <w:left w:val="nil"/>
              <w:bottom w:val="nil"/>
              <w:right w:val="nil"/>
            </w:tcBorders>
            <w:noWrap/>
            <w:tcMar>
              <w:top w:w="15" w:type="dxa"/>
              <w:left w:w="57" w:type="dxa"/>
              <w:bottom w:w="15" w:type="dxa"/>
              <w:right w:w="57" w:type="dxa"/>
            </w:tcMar>
            <w:vAlign w:val="center"/>
            <w:hideMark/>
          </w:tcPr>
          <w:p w14:paraId="35D6DAA1"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972" w:type="pct"/>
            <w:tcBorders>
              <w:top w:val="nil"/>
              <w:left w:val="nil"/>
              <w:bottom w:val="nil"/>
              <w:right w:val="nil"/>
            </w:tcBorders>
            <w:tcMar>
              <w:top w:w="15" w:type="dxa"/>
              <w:left w:w="140" w:type="dxa"/>
              <w:bottom w:w="15" w:type="dxa"/>
              <w:right w:w="140" w:type="dxa"/>
            </w:tcMar>
            <w:vAlign w:val="center"/>
            <w:hideMark/>
          </w:tcPr>
          <w:p w14:paraId="0E8E3373"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Cost School</w:t>
            </w:r>
          </w:p>
        </w:tc>
        <w:tc>
          <w:tcPr>
            <w:tcW w:w="1239" w:type="pct"/>
            <w:tcBorders>
              <w:top w:val="nil"/>
              <w:left w:val="nil"/>
              <w:bottom w:val="nil"/>
              <w:right w:val="nil"/>
            </w:tcBorders>
            <w:tcMar>
              <w:top w:w="15" w:type="dxa"/>
              <w:left w:w="140" w:type="dxa"/>
              <w:bottom w:w="15" w:type="dxa"/>
              <w:right w:w="140" w:type="dxa"/>
            </w:tcMar>
            <w:vAlign w:val="center"/>
            <w:hideMark/>
          </w:tcPr>
          <w:p w14:paraId="005877E8"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.982</w:t>
            </w:r>
          </w:p>
        </w:tc>
        <w:tc>
          <w:tcPr>
            <w:tcW w:w="480" w:type="pct"/>
            <w:tcBorders>
              <w:top w:val="nil"/>
              <w:left w:val="nil"/>
              <w:bottom w:val="nil"/>
              <w:right w:val="nil"/>
            </w:tcBorders>
            <w:tcMar>
              <w:top w:w="15" w:type="dxa"/>
              <w:left w:w="140" w:type="dxa"/>
              <w:bottom w:w="15" w:type="dxa"/>
              <w:right w:w="140" w:type="dxa"/>
            </w:tcMar>
            <w:vAlign w:val="center"/>
            <w:hideMark/>
          </w:tcPr>
          <w:p w14:paraId="5CFCAA70"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.012</w:t>
            </w:r>
          </w:p>
        </w:tc>
        <w:tc>
          <w:tcPr>
            <w:tcW w:w="1067" w:type="pct"/>
            <w:tcBorders>
              <w:top w:val="nil"/>
              <w:left w:val="nil"/>
              <w:bottom w:val="nil"/>
              <w:right w:val="nil"/>
            </w:tcBorders>
            <w:tcMar>
              <w:top w:w="15" w:type="dxa"/>
              <w:left w:w="140" w:type="dxa"/>
              <w:bottom w:w="15" w:type="dxa"/>
              <w:right w:w="140" w:type="dxa"/>
            </w:tcMar>
            <w:vAlign w:val="center"/>
            <w:hideMark/>
          </w:tcPr>
          <w:p w14:paraId="64237C81"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.973</w:t>
            </w:r>
          </w:p>
        </w:tc>
        <w:tc>
          <w:tcPr>
            <w:tcW w:w="671" w:type="pct"/>
            <w:tcBorders>
              <w:top w:val="nil"/>
              <w:left w:val="nil"/>
              <w:bottom w:val="nil"/>
              <w:right w:val="nil"/>
            </w:tcBorders>
            <w:tcMar>
              <w:top w:w="15" w:type="dxa"/>
              <w:left w:w="140" w:type="dxa"/>
              <w:bottom w:w="15" w:type="dxa"/>
              <w:right w:w="140" w:type="dxa"/>
            </w:tcMar>
            <w:hideMark/>
          </w:tcPr>
          <w:p w14:paraId="406C45B8"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662A8B5B" w14:textId="77777777" w:rsidTr="00CE66D1">
        <w:tc>
          <w:tcPr>
            <w:tcW w:w="255" w:type="pct"/>
            <w:tcBorders>
              <w:top w:val="nil"/>
              <w:bottom w:val="nil"/>
              <w:right w:val="nil"/>
            </w:tcBorders>
            <w:tcMar>
              <w:top w:w="15" w:type="dxa"/>
              <w:left w:w="57" w:type="dxa"/>
              <w:bottom w:w="15" w:type="dxa"/>
              <w:right w:w="57" w:type="dxa"/>
            </w:tcMar>
            <w:vAlign w:val="center"/>
            <w:hideMark/>
          </w:tcPr>
          <w:p w14:paraId="74E05620"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C2</w:t>
            </w:r>
          </w:p>
        </w:tc>
        <w:tc>
          <w:tcPr>
            <w:tcW w:w="316" w:type="pct"/>
            <w:tcBorders>
              <w:top w:val="nil"/>
              <w:left w:val="nil"/>
              <w:bottom w:val="nil"/>
              <w:right w:val="nil"/>
            </w:tcBorders>
            <w:noWrap/>
            <w:tcMar>
              <w:top w:w="15" w:type="dxa"/>
              <w:left w:w="57" w:type="dxa"/>
              <w:bottom w:w="15" w:type="dxa"/>
              <w:right w:w="57" w:type="dxa"/>
            </w:tcMar>
            <w:vAlign w:val="center"/>
            <w:hideMark/>
          </w:tcPr>
          <w:p w14:paraId="5D550EEC"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972" w:type="pct"/>
            <w:tcBorders>
              <w:top w:val="nil"/>
              <w:left w:val="nil"/>
              <w:bottom w:val="nil"/>
              <w:right w:val="nil"/>
            </w:tcBorders>
            <w:tcMar>
              <w:top w:w="15" w:type="dxa"/>
              <w:left w:w="140" w:type="dxa"/>
              <w:bottom w:w="15" w:type="dxa"/>
              <w:right w:w="140" w:type="dxa"/>
            </w:tcMar>
            <w:vAlign w:val="center"/>
            <w:hideMark/>
          </w:tcPr>
          <w:p w14:paraId="232A52F8"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Cost School</w:t>
            </w:r>
          </w:p>
        </w:tc>
        <w:tc>
          <w:tcPr>
            <w:tcW w:w="1239" w:type="pct"/>
            <w:tcBorders>
              <w:top w:val="nil"/>
              <w:left w:val="nil"/>
              <w:bottom w:val="nil"/>
              <w:right w:val="nil"/>
            </w:tcBorders>
            <w:tcMar>
              <w:top w:w="15" w:type="dxa"/>
              <w:left w:w="140" w:type="dxa"/>
              <w:bottom w:w="15" w:type="dxa"/>
              <w:right w:w="140" w:type="dxa"/>
            </w:tcMar>
            <w:vAlign w:val="center"/>
            <w:hideMark/>
          </w:tcPr>
          <w:p w14:paraId="29BDC8C4"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.956</w:t>
            </w:r>
          </w:p>
        </w:tc>
        <w:tc>
          <w:tcPr>
            <w:tcW w:w="480" w:type="pct"/>
            <w:tcBorders>
              <w:top w:val="nil"/>
              <w:left w:val="nil"/>
              <w:bottom w:val="nil"/>
              <w:right w:val="nil"/>
            </w:tcBorders>
            <w:tcMar>
              <w:top w:w="15" w:type="dxa"/>
              <w:left w:w="140" w:type="dxa"/>
              <w:bottom w:w="15" w:type="dxa"/>
              <w:right w:w="140" w:type="dxa"/>
            </w:tcMar>
            <w:vAlign w:val="center"/>
            <w:hideMark/>
          </w:tcPr>
          <w:p w14:paraId="70CBC46B"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.011</w:t>
            </w:r>
          </w:p>
        </w:tc>
        <w:tc>
          <w:tcPr>
            <w:tcW w:w="1067" w:type="pct"/>
            <w:tcBorders>
              <w:top w:val="nil"/>
              <w:left w:val="nil"/>
              <w:bottom w:val="nil"/>
              <w:right w:val="nil"/>
            </w:tcBorders>
            <w:tcMar>
              <w:top w:w="15" w:type="dxa"/>
              <w:left w:w="140" w:type="dxa"/>
              <w:bottom w:w="15" w:type="dxa"/>
              <w:right w:w="140" w:type="dxa"/>
            </w:tcMar>
            <w:vAlign w:val="center"/>
            <w:hideMark/>
          </w:tcPr>
          <w:p w14:paraId="543B2612"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.975</w:t>
            </w:r>
          </w:p>
        </w:tc>
        <w:tc>
          <w:tcPr>
            <w:tcW w:w="671" w:type="pct"/>
            <w:tcBorders>
              <w:top w:val="nil"/>
              <w:left w:val="nil"/>
              <w:bottom w:val="nil"/>
              <w:right w:val="nil"/>
            </w:tcBorders>
            <w:tcMar>
              <w:top w:w="15" w:type="dxa"/>
              <w:left w:w="140" w:type="dxa"/>
              <w:bottom w:w="15" w:type="dxa"/>
              <w:right w:w="140" w:type="dxa"/>
            </w:tcMar>
            <w:hideMark/>
          </w:tcPr>
          <w:p w14:paraId="7C305B46"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6E3964" w:rsidRPr="00BB6978" w14:paraId="0FBBFD98" w14:textId="77777777" w:rsidTr="00CE66D1">
        <w:tc>
          <w:tcPr>
            <w:tcW w:w="255" w:type="pct"/>
            <w:tcBorders>
              <w:top w:val="nil"/>
              <w:right w:val="nil"/>
            </w:tcBorders>
            <w:tcMar>
              <w:top w:w="15" w:type="dxa"/>
              <w:left w:w="57" w:type="dxa"/>
              <w:bottom w:w="15" w:type="dxa"/>
              <w:right w:w="57" w:type="dxa"/>
            </w:tcMar>
            <w:vAlign w:val="center"/>
            <w:hideMark/>
          </w:tcPr>
          <w:p w14:paraId="093116E0"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C1</w:t>
            </w:r>
          </w:p>
        </w:tc>
        <w:tc>
          <w:tcPr>
            <w:tcW w:w="316" w:type="pct"/>
            <w:tcBorders>
              <w:top w:val="nil"/>
              <w:left w:val="nil"/>
              <w:right w:val="nil"/>
            </w:tcBorders>
            <w:noWrap/>
            <w:tcMar>
              <w:top w:w="15" w:type="dxa"/>
              <w:left w:w="57" w:type="dxa"/>
              <w:bottom w:w="15" w:type="dxa"/>
              <w:right w:w="57" w:type="dxa"/>
            </w:tcMar>
            <w:vAlign w:val="center"/>
            <w:hideMark/>
          </w:tcPr>
          <w:p w14:paraId="3B4749AB"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972" w:type="pct"/>
            <w:tcBorders>
              <w:top w:val="nil"/>
              <w:left w:val="nil"/>
              <w:right w:val="nil"/>
            </w:tcBorders>
            <w:tcMar>
              <w:top w:w="15" w:type="dxa"/>
              <w:left w:w="140" w:type="dxa"/>
              <w:bottom w:w="15" w:type="dxa"/>
              <w:right w:w="140" w:type="dxa"/>
            </w:tcMar>
            <w:vAlign w:val="center"/>
            <w:hideMark/>
          </w:tcPr>
          <w:p w14:paraId="38E20B19"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Cost School</w:t>
            </w:r>
          </w:p>
        </w:tc>
        <w:tc>
          <w:tcPr>
            <w:tcW w:w="1239" w:type="pct"/>
            <w:tcBorders>
              <w:top w:val="nil"/>
              <w:left w:val="nil"/>
              <w:right w:val="nil"/>
            </w:tcBorders>
            <w:tcMar>
              <w:top w:w="15" w:type="dxa"/>
              <w:left w:w="140" w:type="dxa"/>
              <w:bottom w:w="15" w:type="dxa"/>
              <w:right w:w="140" w:type="dxa"/>
            </w:tcMar>
            <w:vAlign w:val="center"/>
            <w:hideMark/>
          </w:tcPr>
          <w:p w14:paraId="52D0A016"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1.007</w:t>
            </w:r>
          </w:p>
        </w:tc>
        <w:tc>
          <w:tcPr>
            <w:tcW w:w="480" w:type="pct"/>
            <w:tcBorders>
              <w:top w:val="nil"/>
              <w:left w:val="nil"/>
              <w:right w:val="nil"/>
            </w:tcBorders>
            <w:tcMar>
              <w:top w:w="15" w:type="dxa"/>
              <w:left w:w="140" w:type="dxa"/>
              <w:bottom w:w="15" w:type="dxa"/>
              <w:right w:w="140" w:type="dxa"/>
            </w:tcMar>
            <w:vAlign w:val="center"/>
            <w:hideMark/>
          </w:tcPr>
          <w:p w14:paraId="289A5C50"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.006</w:t>
            </w:r>
          </w:p>
        </w:tc>
        <w:tc>
          <w:tcPr>
            <w:tcW w:w="1067" w:type="pct"/>
            <w:tcBorders>
              <w:top w:val="nil"/>
              <w:left w:val="nil"/>
              <w:right w:val="nil"/>
            </w:tcBorders>
            <w:tcMar>
              <w:top w:w="15" w:type="dxa"/>
              <w:left w:w="140" w:type="dxa"/>
              <w:bottom w:w="15" w:type="dxa"/>
              <w:right w:w="140" w:type="dxa"/>
            </w:tcMar>
            <w:vAlign w:val="center"/>
            <w:hideMark/>
          </w:tcPr>
          <w:p w14:paraId="44D42741"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.990</w:t>
            </w:r>
          </w:p>
        </w:tc>
        <w:tc>
          <w:tcPr>
            <w:tcW w:w="671" w:type="pct"/>
            <w:tcBorders>
              <w:top w:val="nil"/>
              <w:left w:val="nil"/>
              <w:right w:val="nil"/>
            </w:tcBorders>
            <w:tcMar>
              <w:top w:w="15" w:type="dxa"/>
              <w:left w:w="140" w:type="dxa"/>
              <w:bottom w:w="15" w:type="dxa"/>
              <w:right w:w="140" w:type="dxa"/>
            </w:tcMar>
            <w:hideMark/>
          </w:tcPr>
          <w:p w14:paraId="19F2B950"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bl>
    <w:p w14:paraId="39FC674B" w14:textId="77777777" w:rsidR="006E3964" w:rsidRPr="00BB6978" w:rsidRDefault="006E3964" w:rsidP="006E3964">
      <w:pPr>
        <w:tabs>
          <w:tab w:val="left" w:pos="1725"/>
        </w:tabs>
        <w:autoSpaceDE w:val="0"/>
        <w:autoSpaceDN w:val="0"/>
        <w:adjustRightInd w:val="0"/>
        <w:rPr>
          <w:rFonts w:ascii="Times New Roman" w:eastAsia="Calibri" w:hAnsi="Times New Roman" w:cs="Times New Roman"/>
          <w:b/>
          <w:sz w:val="24"/>
          <w:szCs w:val="24"/>
        </w:rPr>
      </w:pPr>
    </w:p>
    <w:p w14:paraId="23136F21" w14:textId="77777777" w:rsidR="006E3964" w:rsidRPr="00BB6978" w:rsidRDefault="006E3964" w:rsidP="006E3964">
      <w:pPr>
        <w:tabs>
          <w:tab w:val="left" w:pos="1725"/>
        </w:tabs>
        <w:autoSpaceDE w:val="0"/>
        <w:autoSpaceDN w:val="0"/>
        <w:adjustRightInd w:val="0"/>
        <w:spacing w:line="480" w:lineRule="auto"/>
        <w:ind w:firstLine="567"/>
        <w:jc w:val="both"/>
        <w:rPr>
          <w:rFonts w:ascii="Times New Roman" w:eastAsia="Calibri" w:hAnsi="Times New Roman" w:cs="Arial"/>
          <w:sz w:val="24"/>
          <w:szCs w:val="24"/>
        </w:rPr>
      </w:pPr>
      <w:r w:rsidRPr="00BB6978">
        <w:rPr>
          <w:rFonts w:ascii="Times New Roman" w:eastAsia="Calibri" w:hAnsi="Times New Roman" w:cs="Arial"/>
          <w:sz w:val="24"/>
          <w:szCs w:val="24"/>
        </w:rPr>
        <w:t>The structural model revealed that the quality fit was a good representative for the data as shown by the following values (χ</w:t>
      </w:r>
      <w:r w:rsidRPr="00BB6978">
        <w:rPr>
          <w:rFonts w:ascii="Times New Roman" w:eastAsia="Calibri" w:hAnsi="Times New Roman" w:cs="Arial"/>
          <w:i/>
          <w:sz w:val="24"/>
          <w:szCs w:val="24"/>
          <w:vertAlign w:val="superscript"/>
        </w:rPr>
        <w:t>2</w:t>
      </w:r>
      <w:r w:rsidRPr="00BB6978">
        <w:rPr>
          <w:rFonts w:ascii="Times New Roman" w:eastAsia="Calibri" w:hAnsi="Times New Roman" w:cs="Arial"/>
          <w:sz w:val="24"/>
          <w:szCs w:val="24"/>
          <w:vertAlign w:val="superscript"/>
        </w:rPr>
        <w:t xml:space="preserve"> </w:t>
      </w:r>
      <w:r w:rsidRPr="00BB6978">
        <w:rPr>
          <w:rFonts w:ascii="Times New Roman" w:eastAsia="Calibri" w:hAnsi="Times New Roman" w:cs="Arial"/>
          <w:sz w:val="24"/>
          <w:szCs w:val="24"/>
        </w:rPr>
        <w:t xml:space="preserve">(24) = 27.375, (GFI) =0.985; (CFI)=0.999 (RFI)= 0.996 and (NFI) = 0.997 in Table 18. All of them are larger than 0.90, which is the standard criterion that was commended by </w:t>
      </w:r>
      <w:r w:rsidRPr="00BB6978">
        <w:rPr>
          <w:rFonts w:ascii="Times New Roman" w:eastAsia="Calibri" w:hAnsi="Times New Roman" w:cs="Arial"/>
          <w:sz w:val="24"/>
          <w:szCs w:val="24"/>
        </w:rPr>
        <w:fldChar w:fldCharType="begin" w:fldLock="1"/>
      </w:r>
      <w:r w:rsidRPr="00BB6978">
        <w:rPr>
          <w:rFonts w:ascii="Times New Roman" w:eastAsia="Calibri" w:hAnsi="Times New Roman" w:cs="Arial"/>
          <w:sz w:val="24"/>
          <w:szCs w:val="24"/>
        </w:rPr>
        <w:instrText>ADDIN CSL_CITATION { "citationItems" : [ { "id" : "ITEM-1", "itemData" : { "author" : [ { "dropping-particle" : "", "family" : "Joreskog", "given" : "K.", "non-dropping-particle" : "", "parse-names" : false, "suffix" : "" }, { "dropping-particle" : "", "family" : "Sorbom", "given" : "D.", "non-dropping-particle" : "", "parse-names" : false, "suffix" : "" } ], "id" : "ITEM-1", "issued" : { "date-parts" : [ [ "1981" ] ] }, "publisher" : "Chicago: National Educational Resources.", "title" : "LISREL V: analysis of linear structural relationships by the method of maximum likelihood", "type" : "book" }, "uris" : [ "http://www.mendeley.com/documents/?uuid=3c3aca7c-4cdb-4b46-9069-9cba0cbf6cf1" ] } ], "mendeley" : { "formattedCitation" : "(Joreskog &amp; Sorbom, 1981)", "manualFormatting" : "Joreskog and Sorbom (1981)", "plainTextFormattedCitation" : "(Joreskog &amp; Sorbom, 1981)", "previouslyFormattedCitation" : "(Joreskog &amp; Sorbom, 1981)" }, "properties" : { "noteIndex" : 0 }, "schema" : "https://github.com/citation-style-language/schema/raw/master/csl-citation.json" }</w:instrText>
      </w:r>
      <w:r w:rsidRPr="00BB6978">
        <w:rPr>
          <w:rFonts w:ascii="Times New Roman" w:eastAsia="Calibri" w:hAnsi="Times New Roman" w:cs="Arial"/>
          <w:sz w:val="24"/>
          <w:szCs w:val="24"/>
        </w:rPr>
        <w:fldChar w:fldCharType="separate"/>
      </w:r>
      <w:r w:rsidRPr="00BB6978">
        <w:rPr>
          <w:rFonts w:ascii="Times New Roman" w:eastAsia="Calibri" w:hAnsi="Times New Roman" w:cs="Arial"/>
          <w:sz w:val="24"/>
          <w:szCs w:val="24"/>
        </w:rPr>
        <w:t>Joreskog and Sorbom (1981)</w:t>
      </w:r>
      <w:r w:rsidRPr="00BB6978">
        <w:rPr>
          <w:rFonts w:ascii="Times New Roman" w:eastAsia="Calibri" w:hAnsi="Times New Roman" w:cs="Arial"/>
          <w:sz w:val="24"/>
          <w:szCs w:val="24"/>
        </w:rPr>
        <w:fldChar w:fldCharType="end"/>
      </w:r>
      <w:r w:rsidRPr="00BB6978">
        <w:rPr>
          <w:rFonts w:ascii="Times New Roman" w:eastAsia="Calibri" w:hAnsi="Times New Roman" w:cs="Arial"/>
          <w:sz w:val="24"/>
          <w:szCs w:val="24"/>
        </w:rPr>
        <w:t xml:space="preserve"> and </w:t>
      </w:r>
      <w:r w:rsidRPr="00BB6978">
        <w:rPr>
          <w:rFonts w:ascii="Times New Roman" w:eastAsia="Calibri" w:hAnsi="Times New Roman" w:cs="Arial"/>
          <w:sz w:val="24"/>
          <w:szCs w:val="24"/>
        </w:rPr>
        <w:fldChar w:fldCharType="begin" w:fldLock="1"/>
      </w:r>
      <w:r w:rsidRPr="00BB6978">
        <w:rPr>
          <w:rFonts w:ascii="Times New Roman" w:eastAsia="Calibri" w:hAnsi="Times New Roman" w:cs="Arial"/>
          <w:sz w:val="24"/>
          <w:szCs w:val="24"/>
        </w:rPr>
        <w:instrText>ADDIN CSL_CITATION { "citationItems" : [ { "id" : "ITEM-1", "itemData" : { "author" : [ { "dropping-particle" : "", "family" : "Hu", "given" : "L.T.", "non-dropping-particle" : "", "parse-names" : false, "suffix" : "" }, { "dropping-particle" : "", "family" : "Bentler", "given" : "P.M.", "non-dropping-particle" : "", "parse-names" : false, "suffix" : "" } ], "container-title" : "Structural Equation Modeling", "id" : "ITEM-1", "issue" : "1", "issued" : { "date-parts" : [ [ "1999" ] ] }, "page" : "1-55", "title" : "Cutoff Criteria for Fit Indexes in Covariance Structure Analysis: Conventional Criteria Versus New Alternatives", "type" : "article-journal", "volume" : "6" }, "uris" : [ "http://www.mendeley.com/documents/?uuid=5d6749ac-7ec7-44f5-af24-a55ca25e0302" ] } ], "mendeley" : { "formattedCitation" : "(Hu &amp; Bentler, 1999)", "manualFormatting" : "Hu and Bentler (1999)", "plainTextFormattedCitation" : "(Hu &amp; Bentler, 1999)", "previouslyFormattedCitation" : "(Hu &amp; Bentler, 1999)" }, "properties" : { "noteIndex" : 0 }, "schema" : "https://github.com/citation-style-language/schema/raw/master/csl-citation.json" }</w:instrText>
      </w:r>
      <w:r w:rsidRPr="00BB6978">
        <w:rPr>
          <w:rFonts w:ascii="Times New Roman" w:eastAsia="Calibri" w:hAnsi="Times New Roman" w:cs="Arial"/>
          <w:sz w:val="24"/>
          <w:szCs w:val="24"/>
        </w:rPr>
        <w:fldChar w:fldCharType="separate"/>
      </w:r>
      <w:r w:rsidRPr="00BB6978">
        <w:rPr>
          <w:rFonts w:ascii="Times New Roman" w:eastAsia="Calibri" w:hAnsi="Times New Roman" w:cs="Arial"/>
          <w:sz w:val="24"/>
          <w:szCs w:val="24"/>
        </w:rPr>
        <w:t>Hu and Bentler (1999)</w:t>
      </w:r>
      <w:r w:rsidRPr="00BB6978">
        <w:rPr>
          <w:rFonts w:ascii="Times New Roman" w:eastAsia="Calibri" w:hAnsi="Times New Roman" w:cs="Arial"/>
          <w:sz w:val="24"/>
          <w:szCs w:val="24"/>
        </w:rPr>
        <w:fldChar w:fldCharType="end"/>
      </w:r>
      <w:r w:rsidRPr="00BB6978">
        <w:rPr>
          <w:rFonts w:ascii="Times New Roman" w:eastAsia="Calibri" w:hAnsi="Times New Roman" w:cs="Arial"/>
          <w:sz w:val="24"/>
          <w:szCs w:val="24"/>
        </w:rPr>
        <w:t>.</w:t>
      </w:r>
      <w:r w:rsidRPr="00BB6978">
        <w:rPr>
          <w:rFonts w:ascii="Times New Roman" w:eastAsia="Calibri" w:hAnsi="Times New Roman" w:cs="Arial"/>
          <w:sz w:val="24"/>
          <w:szCs w:val="24"/>
          <w:vertAlign w:val="superscript"/>
        </w:rPr>
        <w:t xml:space="preserve"> </w:t>
      </w:r>
      <w:r w:rsidRPr="00BB6978">
        <w:rPr>
          <w:rFonts w:ascii="Times New Roman" w:eastAsia="Calibri" w:hAnsi="Times New Roman" w:cs="Arial"/>
          <w:sz w:val="24"/>
          <w:szCs w:val="24"/>
        </w:rPr>
        <w:t xml:space="preserve">In the same way, (RMR) =0.004 and (RMSEA) =0.019 are the values that came to be less than 0.08 which is the critical value recommended by </w:t>
      </w:r>
      <w:r w:rsidRPr="00BB6978">
        <w:rPr>
          <w:rFonts w:ascii="Times New Roman" w:eastAsia="Calibri" w:hAnsi="Times New Roman" w:cs="Arial"/>
          <w:sz w:val="24"/>
          <w:szCs w:val="24"/>
        </w:rPr>
        <w:fldChar w:fldCharType="begin" w:fldLock="1"/>
      </w:r>
      <w:r w:rsidRPr="00BB6978">
        <w:rPr>
          <w:rFonts w:ascii="Times New Roman" w:eastAsia="Calibri" w:hAnsi="Times New Roman" w:cs="Arial"/>
          <w:sz w:val="24"/>
          <w:szCs w:val="24"/>
        </w:rPr>
        <w:instrText>ADDIN CSL_CITATION { "citationItems" : [ { "id" : "ITEM-1", "itemData" : { "author" : [ { "dropping-particle" : "", "family" : "Steiger", "given" : "J. H.", "non-dropping-particle" : "", "parse-names" : false, "suffix" : "" } ], "id" : "ITEM-1", "issued" : { "date-parts" : [ [ "1989" ] ] }, "publisher" : "Evanston, IL: SYSTAT", "title" : "EzPATH: Causal modeling", "type" : "book" }, "uris" : [ "http://www.mendeley.com/documents/?uuid=5a036b9c-50b6-4a95-a10a-1b3058d408c8" ] } ], "mendeley" : { "formattedCitation" : "(Steiger, 1989)", "plainTextFormattedCitation" : "(Steiger, 1989)", "previouslyFormattedCitation" : "(Steiger, 1989)" }, "properties" : { "noteIndex" : 0 }, "schema" : "https://github.com/citation-style-language/schema/raw/master/csl-citation.json" }</w:instrText>
      </w:r>
      <w:r w:rsidRPr="00BB6978">
        <w:rPr>
          <w:rFonts w:ascii="Times New Roman" w:eastAsia="Calibri" w:hAnsi="Times New Roman" w:cs="Arial"/>
          <w:sz w:val="24"/>
          <w:szCs w:val="24"/>
        </w:rPr>
        <w:fldChar w:fldCharType="separate"/>
      </w:r>
      <w:r w:rsidRPr="00BB6978">
        <w:rPr>
          <w:rFonts w:ascii="Times New Roman" w:eastAsia="Calibri" w:hAnsi="Times New Roman" w:cs="Arial"/>
          <w:sz w:val="24"/>
          <w:szCs w:val="24"/>
        </w:rPr>
        <w:t>Steiger, (1989)</w:t>
      </w:r>
      <w:r w:rsidRPr="00BB6978">
        <w:rPr>
          <w:rFonts w:ascii="Times New Roman" w:eastAsia="Calibri" w:hAnsi="Times New Roman" w:cs="Arial"/>
          <w:sz w:val="24"/>
          <w:szCs w:val="24"/>
        </w:rPr>
        <w:fldChar w:fldCharType="end"/>
      </w:r>
      <w:r w:rsidRPr="00BB6978">
        <w:rPr>
          <w:rFonts w:ascii="Times New Roman" w:eastAsia="Calibri" w:hAnsi="Times New Roman" w:cs="Arial"/>
          <w:sz w:val="24"/>
          <w:szCs w:val="24"/>
        </w:rPr>
        <w:t>.</w:t>
      </w:r>
    </w:p>
    <w:p w14:paraId="3B9B1862" w14:textId="77777777" w:rsidR="006E3964" w:rsidRPr="00BB6978" w:rsidRDefault="00131282" w:rsidP="007F58DC">
      <w:pPr>
        <w:pStyle w:val="Caption"/>
        <w:rPr>
          <w:rFonts w:ascii="Times New Roman" w:eastAsia="Calibri" w:hAnsi="Times New Roman" w:cs="Arial"/>
        </w:rPr>
      </w:pPr>
      <w:bookmarkStart w:id="161" w:name="_Toc134452502"/>
      <w:r w:rsidRPr="00BB6978">
        <w:t xml:space="preserve">Table </w:t>
      </w:r>
      <w:r w:rsidRPr="00BB6978">
        <w:fldChar w:fldCharType="begin"/>
      </w:r>
      <w:r w:rsidRPr="00BB6978">
        <w:instrText xml:space="preserve"> SEQ Table \* ARABIC </w:instrText>
      </w:r>
      <w:r w:rsidRPr="00BB6978">
        <w:fldChar w:fldCharType="separate"/>
      </w:r>
      <w:r w:rsidRPr="00BB6978">
        <w:rPr>
          <w:noProof/>
        </w:rPr>
        <w:t>18</w:t>
      </w:r>
      <w:r w:rsidRPr="00BB6978">
        <w:rPr>
          <w:noProof/>
        </w:rPr>
        <w:fldChar w:fldCharType="end"/>
      </w:r>
      <w:r w:rsidR="006E3964" w:rsidRPr="00BB6978">
        <w:rPr>
          <w:rFonts w:ascii="Times New Roman" w:eastAsia="Calibri" w:hAnsi="Times New Roman" w:cs="Times New Roman"/>
        </w:rPr>
        <w:t xml:space="preserve">: </w:t>
      </w:r>
      <w:r w:rsidR="006E3964" w:rsidRPr="00BB6978">
        <w:rPr>
          <w:rFonts w:ascii="Times New Roman" w:eastAsia="SimSun" w:hAnsi="Times New Roman" w:cs="Times New Roman"/>
          <w:lang w:eastAsia="zh-CN"/>
        </w:rPr>
        <w:t>Model fit summary</w:t>
      </w:r>
      <w:bookmarkEnd w:id="161"/>
    </w:p>
    <w:tbl>
      <w:tblPr>
        <w:tblW w:w="4862" w:type="pct"/>
        <w:tblLook w:val="04A0" w:firstRow="1" w:lastRow="0" w:firstColumn="1" w:lastColumn="0" w:noHBand="0" w:noVBand="1"/>
      </w:tblPr>
      <w:tblGrid>
        <w:gridCol w:w="2526"/>
        <w:gridCol w:w="1571"/>
        <w:gridCol w:w="3280"/>
      </w:tblGrid>
      <w:tr w:rsidR="00073A16" w:rsidRPr="00BB6978" w14:paraId="1DD76C0B" w14:textId="77777777" w:rsidTr="00CE66D1">
        <w:trPr>
          <w:trHeight w:val="60"/>
        </w:trPr>
        <w:tc>
          <w:tcPr>
            <w:tcW w:w="1712" w:type="pct"/>
            <w:tcBorders>
              <w:top w:val="single" w:sz="4" w:space="0" w:color="auto"/>
              <w:bottom w:val="single" w:sz="4" w:space="0" w:color="auto"/>
            </w:tcBorders>
            <w:shd w:val="clear" w:color="auto" w:fill="BDD6EE"/>
          </w:tcPr>
          <w:p w14:paraId="480347CF" w14:textId="77777777" w:rsidR="006E3964" w:rsidRPr="00BB6978" w:rsidRDefault="006E3964" w:rsidP="00CE66D1">
            <w:pPr>
              <w:spacing w:line="240" w:lineRule="auto"/>
              <w:jc w:val="center"/>
              <w:rPr>
                <w:rFonts w:ascii="Times New Roman" w:eastAsia="Calibri" w:hAnsi="Times New Roman" w:cs="Times New Roman"/>
                <w:b/>
              </w:rPr>
            </w:pPr>
            <w:r w:rsidRPr="00BB6978">
              <w:rPr>
                <w:rFonts w:ascii="Times New Roman" w:eastAsia="Calibri" w:hAnsi="Times New Roman" w:cs="Times New Roman"/>
                <w:b/>
              </w:rPr>
              <w:t>Variable</w:t>
            </w:r>
          </w:p>
        </w:tc>
        <w:tc>
          <w:tcPr>
            <w:tcW w:w="1065" w:type="pct"/>
            <w:tcBorders>
              <w:top w:val="single" w:sz="4" w:space="0" w:color="auto"/>
              <w:bottom w:val="single" w:sz="4" w:space="0" w:color="auto"/>
            </w:tcBorders>
            <w:shd w:val="clear" w:color="auto" w:fill="BDD6EE"/>
          </w:tcPr>
          <w:p w14:paraId="40E6B2BB" w14:textId="77777777" w:rsidR="006E3964" w:rsidRPr="00BB6978" w:rsidRDefault="006E3964" w:rsidP="00CE66D1">
            <w:pPr>
              <w:spacing w:line="240" w:lineRule="auto"/>
              <w:jc w:val="center"/>
              <w:rPr>
                <w:rFonts w:ascii="Times New Roman" w:eastAsia="Calibri" w:hAnsi="Times New Roman" w:cs="Times New Roman"/>
                <w:b/>
              </w:rPr>
            </w:pPr>
            <w:r w:rsidRPr="00BB6978">
              <w:rPr>
                <w:rFonts w:ascii="Times New Roman" w:eastAsia="Calibri" w:hAnsi="Times New Roman" w:cs="Times New Roman"/>
                <w:b/>
              </w:rPr>
              <w:t>Value</w:t>
            </w:r>
          </w:p>
        </w:tc>
        <w:tc>
          <w:tcPr>
            <w:tcW w:w="2223" w:type="pct"/>
            <w:tcBorders>
              <w:top w:val="single" w:sz="4" w:space="0" w:color="auto"/>
              <w:bottom w:val="single" w:sz="4" w:space="0" w:color="auto"/>
            </w:tcBorders>
            <w:shd w:val="clear" w:color="auto" w:fill="BDD6EE"/>
          </w:tcPr>
          <w:p w14:paraId="6D63844D" w14:textId="77777777" w:rsidR="006E3964" w:rsidRPr="00BB6978" w:rsidRDefault="006E3964" w:rsidP="00CE66D1">
            <w:pPr>
              <w:spacing w:line="240" w:lineRule="auto"/>
              <w:jc w:val="center"/>
              <w:rPr>
                <w:rFonts w:ascii="Times New Roman" w:eastAsia="Calibri" w:hAnsi="Times New Roman" w:cs="Times New Roman"/>
                <w:b/>
              </w:rPr>
            </w:pPr>
            <w:r w:rsidRPr="00BB6978">
              <w:rPr>
                <w:rFonts w:ascii="Times New Roman" w:eastAsia="Calibri" w:hAnsi="Times New Roman" w:cs="Times New Roman"/>
                <w:b/>
              </w:rPr>
              <w:t>Suggested value</w:t>
            </w:r>
          </w:p>
        </w:tc>
      </w:tr>
      <w:tr w:rsidR="00073A16" w:rsidRPr="00BB6978" w14:paraId="04672559" w14:textId="77777777" w:rsidTr="00CE66D1">
        <w:trPr>
          <w:trHeight w:val="416"/>
        </w:trPr>
        <w:tc>
          <w:tcPr>
            <w:tcW w:w="1712" w:type="pct"/>
            <w:tcBorders>
              <w:top w:val="single" w:sz="4" w:space="0" w:color="auto"/>
            </w:tcBorders>
          </w:tcPr>
          <w:p w14:paraId="6C58B564" w14:textId="77777777" w:rsidR="006E3964" w:rsidRPr="00BB6978" w:rsidRDefault="006E3964" w:rsidP="00CE66D1">
            <w:pPr>
              <w:spacing w:line="240" w:lineRule="auto"/>
              <w:rPr>
                <w:rFonts w:ascii="Times New Roman" w:eastAsia="Calibri" w:hAnsi="Times New Roman" w:cs="Times New Roman"/>
                <w:sz w:val="24"/>
                <w:szCs w:val="24"/>
              </w:rPr>
            </w:pPr>
            <w:r w:rsidRPr="00BB6978">
              <w:rPr>
                <w:rFonts w:ascii="Times New Roman" w:eastAsia="Calibri" w:hAnsi="Times New Roman" w:cs="Times New Roman"/>
                <w:sz w:val="24"/>
                <w:szCs w:val="24"/>
              </w:rPr>
              <w:t>Chi-square value(χ</w:t>
            </w:r>
            <w:r w:rsidRPr="00BB6978">
              <w:rPr>
                <w:rFonts w:ascii="Times New Roman" w:eastAsia="Calibri" w:hAnsi="Times New Roman" w:cs="Times New Roman"/>
                <w:sz w:val="24"/>
                <w:szCs w:val="24"/>
                <w:vertAlign w:val="superscript"/>
              </w:rPr>
              <w:t>2</w:t>
            </w:r>
            <w:r w:rsidRPr="00BB6978">
              <w:rPr>
                <w:rFonts w:ascii="Times New Roman" w:eastAsia="Calibri" w:hAnsi="Times New Roman" w:cs="Times New Roman"/>
                <w:sz w:val="24"/>
                <w:szCs w:val="24"/>
              </w:rPr>
              <w:t>)</w:t>
            </w:r>
          </w:p>
        </w:tc>
        <w:tc>
          <w:tcPr>
            <w:tcW w:w="1065" w:type="pct"/>
            <w:tcBorders>
              <w:top w:val="single" w:sz="4" w:space="0" w:color="auto"/>
            </w:tcBorders>
          </w:tcPr>
          <w:p w14:paraId="22339D8A" w14:textId="77777777" w:rsidR="006E3964" w:rsidRPr="00BB6978" w:rsidRDefault="006E3964" w:rsidP="00CE66D1">
            <w:pPr>
              <w:spacing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27.375</w:t>
            </w:r>
          </w:p>
        </w:tc>
        <w:tc>
          <w:tcPr>
            <w:tcW w:w="2223" w:type="pct"/>
            <w:tcBorders>
              <w:top w:val="single" w:sz="4" w:space="0" w:color="auto"/>
            </w:tcBorders>
            <w:vAlign w:val="center"/>
          </w:tcPr>
          <w:p w14:paraId="312F734D" w14:textId="77777777" w:rsidR="006E3964" w:rsidRPr="00BB6978" w:rsidRDefault="006E3964" w:rsidP="00CE66D1">
            <w:pPr>
              <w:spacing w:line="240" w:lineRule="auto"/>
              <w:jc w:val="both"/>
              <w:rPr>
                <w:rFonts w:ascii="Times New Roman" w:eastAsia="Calibri" w:hAnsi="Times New Roman" w:cs="Times New Roman"/>
                <w:sz w:val="24"/>
                <w:szCs w:val="24"/>
              </w:rPr>
            </w:pPr>
          </w:p>
        </w:tc>
      </w:tr>
      <w:tr w:rsidR="00073A16" w:rsidRPr="00BB6978" w14:paraId="18EA8894" w14:textId="77777777" w:rsidTr="00CE66D1">
        <w:trPr>
          <w:trHeight w:val="429"/>
        </w:trPr>
        <w:tc>
          <w:tcPr>
            <w:tcW w:w="1712" w:type="pct"/>
          </w:tcPr>
          <w:p w14:paraId="041068AE" w14:textId="77777777" w:rsidR="006E3964" w:rsidRPr="00BB6978" w:rsidRDefault="006E3964" w:rsidP="00CE66D1">
            <w:pPr>
              <w:spacing w:line="240" w:lineRule="auto"/>
              <w:rPr>
                <w:rFonts w:ascii="Times New Roman" w:eastAsia="Calibri" w:hAnsi="Times New Roman" w:cs="Times New Roman"/>
                <w:sz w:val="24"/>
                <w:szCs w:val="24"/>
              </w:rPr>
            </w:pPr>
            <w:r w:rsidRPr="00BB6978">
              <w:rPr>
                <w:rFonts w:ascii="Times New Roman" w:eastAsia="Calibri" w:hAnsi="Times New Roman" w:cs="Times New Roman"/>
                <w:sz w:val="24"/>
                <w:szCs w:val="24"/>
              </w:rPr>
              <w:t>Degrees of freedom (df)</w:t>
            </w:r>
          </w:p>
        </w:tc>
        <w:tc>
          <w:tcPr>
            <w:tcW w:w="1065" w:type="pct"/>
          </w:tcPr>
          <w:p w14:paraId="048C882C" w14:textId="77777777" w:rsidR="006E3964" w:rsidRPr="00BB6978" w:rsidRDefault="006E3964" w:rsidP="00CE66D1">
            <w:pPr>
              <w:spacing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24</w:t>
            </w:r>
          </w:p>
        </w:tc>
        <w:tc>
          <w:tcPr>
            <w:tcW w:w="2223" w:type="pct"/>
            <w:vAlign w:val="center"/>
          </w:tcPr>
          <w:p w14:paraId="1E50B2DD" w14:textId="77777777" w:rsidR="006E3964" w:rsidRPr="00BB6978" w:rsidRDefault="006E3964" w:rsidP="00CE66D1">
            <w:pPr>
              <w:spacing w:line="240" w:lineRule="auto"/>
              <w:jc w:val="both"/>
              <w:rPr>
                <w:rFonts w:ascii="Times New Roman" w:eastAsia="Calibri" w:hAnsi="Times New Roman" w:cs="Times New Roman"/>
                <w:sz w:val="24"/>
                <w:szCs w:val="24"/>
              </w:rPr>
            </w:pPr>
          </w:p>
        </w:tc>
      </w:tr>
      <w:tr w:rsidR="00073A16" w:rsidRPr="00BB6978" w14:paraId="5EDEA9FE" w14:textId="77777777" w:rsidTr="00CE66D1">
        <w:trPr>
          <w:trHeight w:val="416"/>
        </w:trPr>
        <w:tc>
          <w:tcPr>
            <w:tcW w:w="1712" w:type="pct"/>
          </w:tcPr>
          <w:p w14:paraId="78864365" w14:textId="77777777" w:rsidR="006E3964" w:rsidRPr="00BB6978" w:rsidRDefault="006E3964" w:rsidP="00CE66D1">
            <w:pPr>
              <w:spacing w:line="240" w:lineRule="auto"/>
              <w:rPr>
                <w:rFonts w:ascii="Times New Roman" w:eastAsia="Calibri" w:hAnsi="Times New Roman" w:cs="Times New Roman"/>
                <w:sz w:val="24"/>
                <w:szCs w:val="24"/>
              </w:rPr>
            </w:pPr>
            <w:r w:rsidRPr="00BB6978">
              <w:rPr>
                <w:rFonts w:ascii="Times New Roman" w:eastAsia="Calibri" w:hAnsi="Times New Roman" w:cs="Times New Roman"/>
                <w:sz w:val="24"/>
                <w:szCs w:val="24"/>
              </w:rPr>
              <w:t>CMIN/DF</w:t>
            </w:r>
          </w:p>
        </w:tc>
        <w:tc>
          <w:tcPr>
            <w:tcW w:w="1065" w:type="pct"/>
          </w:tcPr>
          <w:p w14:paraId="51D46B48" w14:textId="77777777" w:rsidR="006E3964" w:rsidRPr="00BB6978" w:rsidRDefault="006E3964" w:rsidP="00CE66D1">
            <w:pPr>
              <w:spacing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1.141</w:t>
            </w:r>
          </w:p>
        </w:tc>
        <w:tc>
          <w:tcPr>
            <w:tcW w:w="2223" w:type="pct"/>
            <w:vAlign w:val="center"/>
          </w:tcPr>
          <w:p w14:paraId="5D249115" w14:textId="77777777" w:rsidR="006E3964" w:rsidRPr="00BB6978" w:rsidRDefault="006E3964" w:rsidP="00CE66D1">
            <w:pPr>
              <w:spacing w:line="240" w:lineRule="auto"/>
              <w:jc w:val="both"/>
              <w:rPr>
                <w:rFonts w:ascii="Times New Roman" w:eastAsia="Calibri" w:hAnsi="Times New Roman" w:cs="Times New Roman"/>
                <w:sz w:val="24"/>
                <w:szCs w:val="24"/>
              </w:rPr>
            </w:pPr>
          </w:p>
        </w:tc>
      </w:tr>
      <w:tr w:rsidR="00073A16" w:rsidRPr="00BB6978" w14:paraId="5BC7A17D" w14:textId="77777777" w:rsidTr="00CE66D1">
        <w:trPr>
          <w:trHeight w:val="429"/>
        </w:trPr>
        <w:tc>
          <w:tcPr>
            <w:tcW w:w="1712" w:type="pct"/>
          </w:tcPr>
          <w:p w14:paraId="1F2C6D89" w14:textId="77777777" w:rsidR="006E3964" w:rsidRPr="00BB6978" w:rsidRDefault="006E3964" w:rsidP="00CE66D1">
            <w:pPr>
              <w:spacing w:line="240" w:lineRule="auto"/>
              <w:rPr>
                <w:rFonts w:ascii="Times New Roman" w:eastAsia="Calibri" w:hAnsi="Times New Roman" w:cs="Times New Roman"/>
                <w:sz w:val="24"/>
                <w:szCs w:val="24"/>
              </w:rPr>
            </w:pPr>
            <w:r w:rsidRPr="00BB6978">
              <w:rPr>
                <w:rFonts w:ascii="Times New Roman" w:eastAsia="Calibri" w:hAnsi="Times New Roman" w:cs="Times New Roman"/>
                <w:sz w:val="24"/>
                <w:szCs w:val="24"/>
              </w:rPr>
              <w:t>P value</w:t>
            </w:r>
          </w:p>
        </w:tc>
        <w:tc>
          <w:tcPr>
            <w:tcW w:w="1065" w:type="pct"/>
          </w:tcPr>
          <w:p w14:paraId="0672E8B4" w14:textId="77777777" w:rsidR="006E3964" w:rsidRPr="00BB6978" w:rsidRDefault="006E3964" w:rsidP="00CE66D1">
            <w:pPr>
              <w:spacing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0.287</w:t>
            </w:r>
          </w:p>
        </w:tc>
        <w:tc>
          <w:tcPr>
            <w:tcW w:w="2223" w:type="pct"/>
            <w:vAlign w:val="center"/>
          </w:tcPr>
          <w:p w14:paraId="01560342" w14:textId="77777777" w:rsidR="006E3964" w:rsidRPr="00BB6978" w:rsidRDefault="006E3964" w:rsidP="00CE66D1">
            <w:pPr>
              <w:spacing w:line="240" w:lineRule="auto"/>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P-value &gt;0.05 (Hair et al., 2006)</w:t>
            </w:r>
          </w:p>
        </w:tc>
      </w:tr>
      <w:tr w:rsidR="00073A16" w:rsidRPr="00BB6978" w14:paraId="3B6E25D6" w14:textId="77777777" w:rsidTr="00CE66D1">
        <w:trPr>
          <w:trHeight w:val="416"/>
        </w:trPr>
        <w:tc>
          <w:tcPr>
            <w:tcW w:w="1712" w:type="pct"/>
          </w:tcPr>
          <w:p w14:paraId="148B2031" w14:textId="77777777" w:rsidR="006E3964" w:rsidRPr="00BB6978" w:rsidRDefault="006E3964" w:rsidP="00CE66D1">
            <w:pPr>
              <w:spacing w:line="240" w:lineRule="auto"/>
              <w:rPr>
                <w:rFonts w:ascii="Times New Roman" w:eastAsia="Calibri" w:hAnsi="Times New Roman" w:cs="Times New Roman"/>
                <w:sz w:val="24"/>
                <w:szCs w:val="24"/>
              </w:rPr>
            </w:pPr>
            <w:r w:rsidRPr="00BB6978">
              <w:rPr>
                <w:rFonts w:ascii="Times New Roman" w:eastAsia="Calibri" w:hAnsi="Times New Roman" w:cs="Times New Roman"/>
                <w:sz w:val="24"/>
                <w:szCs w:val="24"/>
              </w:rPr>
              <w:t>Goodness of Fit Index</w:t>
            </w:r>
          </w:p>
        </w:tc>
        <w:tc>
          <w:tcPr>
            <w:tcW w:w="1065" w:type="pct"/>
          </w:tcPr>
          <w:p w14:paraId="385EA655" w14:textId="77777777" w:rsidR="006E3964" w:rsidRPr="00BB6978" w:rsidRDefault="006E3964" w:rsidP="00CE66D1">
            <w:pPr>
              <w:spacing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0.985</w:t>
            </w:r>
          </w:p>
        </w:tc>
        <w:tc>
          <w:tcPr>
            <w:tcW w:w="2223" w:type="pct"/>
            <w:vAlign w:val="center"/>
          </w:tcPr>
          <w:p w14:paraId="221FDD01" w14:textId="77777777" w:rsidR="006E3964" w:rsidRPr="00BB6978" w:rsidRDefault="006E3964" w:rsidP="00CE66D1">
            <w:pPr>
              <w:spacing w:line="240" w:lineRule="auto"/>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&gt; 0.90 (Daire et al., 2008)</w:t>
            </w:r>
          </w:p>
        </w:tc>
      </w:tr>
      <w:tr w:rsidR="00073A16" w:rsidRPr="00BB6978" w14:paraId="6CC4E7FC" w14:textId="77777777" w:rsidTr="00CE66D1">
        <w:trPr>
          <w:trHeight w:val="429"/>
        </w:trPr>
        <w:tc>
          <w:tcPr>
            <w:tcW w:w="1712" w:type="pct"/>
          </w:tcPr>
          <w:p w14:paraId="0BAE5E9C" w14:textId="77777777" w:rsidR="006E3964" w:rsidRPr="00BB6978" w:rsidRDefault="006E3964" w:rsidP="00CE66D1">
            <w:pPr>
              <w:spacing w:line="240" w:lineRule="auto"/>
              <w:rPr>
                <w:rFonts w:ascii="Times New Roman" w:eastAsia="Calibri" w:hAnsi="Times New Roman" w:cs="Times New Roman"/>
                <w:sz w:val="24"/>
                <w:szCs w:val="24"/>
              </w:rPr>
            </w:pPr>
            <w:r w:rsidRPr="00BB6978">
              <w:rPr>
                <w:rFonts w:ascii="Times New Roman" w:eastAsia="Calibri" w:hAnsi="Times New Roman" w:cs="Times New Roman"/>
                <w:sz w:val="24"/>
                <w:szCs w:val="24"/>
              </w:rPr>
              <w:t>Relative fit index</w:t>
            </w:r>
          </w:p>
        </w:tc>
        <w:tc>
          <w:tcPr>
            <w:tcW w:w="1065" w:type="pct"/>
          </w:tcPr>
          <w:p w14:paraId="3B702E4F" w14:textId="77777777" w:rsidR="006E3964" w:rsidRPr="00BB6978" w:rsidRDefault="006E3964" w:rsidP="00CE66D1">
            <w:pPr>
              <w:spacing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0.996</w:t>
            </w:r>
          </w:p>
        </w:tc>
        <w:tc>
          <w:tcPr>
            <w:tcW w:w="2223" w:type="pct"/>
            <w:vAlign w:val="center"/>
          </w:tcPr>
          <w:p w14:paraId="59AD69E9" w14:textId="77777777" w:rsidR="006E3964" w:rsidRPr="00BB6978" w:rsidRDefault="006E3964" w:rsidP="00CE66D1">
            <w:pPr>
              <w:spacing w:line="240" w:lineRule="auto"/>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&gt;0.90 (Hair et al., 2006)</w:t>
            </w:r>
          </w:p>
        </w:tc>
      </w:tr>
      <w:tr w:rsidR="00073A16" w:rsidRPr="00BB6978" w14:paraId="0C83D156" w14:textId="77777777" w:rsidTr="00CE66D1">
        <w:trPr>
          <w:trHeight w:val="416"/>
        </w:trPr>
        <w:tc>
          <w:tcPr>
            <w:tcW w:w="1712" w:type="pct"/>
          </w:tcPr>
          <w:p w14:paraId="59048E4E" w14:textId="77777777" w:rsidR="006E3964" w:rsidRPr="00BB6978" w:rsidRDefault="006E3964" w:rsidP="00CE66D1">
            <w:pPr>
              <w:spacing w:line="240" w:lineRule="auto"/>
              <w:rPr>
                <w:rFonts w:ascii="Times New Roman" w:eastAsia="Calibri" w:hAnsi="Times New Roman" w:cs="Times New Roman"/>
                <w:sz w:val="24"/>
                <w:szCs w:val="24"/>
              </w:rPr>
            </w:pPr>
            <w:r w:rsidRPr="00BB6978">
              <w:rPr>
                <w:rFonts w:ascii="Times New Roman" w:eastAsia="Calibri" w:hAnsi="Times New Roman" w:cs="Times New Roman"/>
                <w:sz w:val="24"/>
                <w:szCs w:val="24"/>
              </w:rPr>
              <w:t>Normed Fit Index</w:t>
            </w:r>
          </w:p>
        </w:tc>
        <w:tc>
          <w:tcPr>
            <w:tcW w:w="1065" w:type="pct"/>
          </w:tcPr>
          <w:p w14:paraId="1ED42592" w14:textId="77777777" w:rsidR="006E3964" w:rsidRPr="00BB6978" w:rsidRDefault="006E3964" w:rsidP="00CE66D1">
            <w:pPr>
              <w:spacing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0.997</w:t>
            </w:r>
          </w:p>
        </w:tc>
        <w:tc>
          <w:tcPr>
            <w:tcW w:w="2223" w:type="pct"/>
            <w:vAlign w:val="center"/>
          </w:tcPr>
          <w:p w14:paraId="4BB226B5" w14:textId="77777777" w:rsidR="006E3964" w:rsidRPr="00BB6978" w:rsidRDefault="006E3964" w:rsidP="00CE66D1">
            <w:pPr>
              <w:spacing w:line="240" w:lineRule="auto"/>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&gt;0.90 (Hair et al., 2006)</w:t>
            </w:r>
          </w:p>
        </w:tc>
      </w:tr>
      <w:tr w:rsidR="00073A16" w:rsidRPr="00BB6978" w14:paraId="39E5C7C3" w14:textId="77777777" w:rsidTr="00CE66D1">
        <w:trPr>
          <w:trHeight w:val="429"/>
        </w:trPr>
        <w:tc>
          <w:tcPr>
            <w:tcW w:w="1712" w:type="pct"/>
          </w:tcPr>
          <w:p w14:paraId="38029314" w14:textId="77777777" w:rsidR="006E3964" w:rsidRPr="00BB6978" w:rsidRDefault="006E3964" w:rsidP="00CE66D1">
            <w:pPr>
              <w:spacing w:line="240" w:lineRule="auto"/>
              <w:rPr>
                <w:rFonts w:ascii="Times New Roman" w:eastAsia="Calibri" w:hAnsi="Times New Roman" w:cs="Times New Roman"/>
                <w:sz w:val="24"/>
                <w:szCs w:val="24"/>
              </w:rPr>
            </w:pPr>
            <w:r w:rsidRPr="00BB6978">
              <w:rPr>
                <w:rFonts w:ascii="Times New Roman" w:eastAsia="Calibri" w:hAnsi="Times New Roman" w:cs="Times New Roman"/>
                <w:sz w:val="24"/>
                <w:szCs w:val="24"/>
              </w:rPr>
              <w:t>IFI</w:t>
            </w:r>
          </w:p>
        </w:tc>
        <w:tc>
          <w:tcPr>
            <w:tcW w:w="1065" w:type="pct"/>
          </w:tcPr>
          <w:p w14:paraId="55D14101" w14:textId="77777777" w:rsidR="006E3964" w:rsidRPr="00BB6978" w:rsidRDefault="006E3964" w:rsidP="00CE66D1">
            <w:pPr>
              <w:spacing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0.999</w:t>
            </w:r>
          </w:p>
        </w:tc>
        <w:tc>
          <w:tcPr>
            <w:tcW w:w="2223" w:type="pct"/>
            <w:vAlign w:val="center"/>
          </w:tcPr>
          <w:p w14:paraId="57B79BED" w14:textId="77777777" w:rsidR="006E3964" w:rsidRPr="00BB6978" w:rsidRDefault="006E3964" w:rsidP="00CE66D1">
            <w:pPr>
              <w:spacing w:line="240" w:lineRule="auto"/>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&gt; 0.90 (Daire et al., 2008)</w:t>
            </w:r>
          </w:p>
        </w:tc>
      </w:tr>
      <w:tr w:rsidR="00073A16" w:rsidRPr="00BB6978" w14:paraId="28583CBD" w14:textId="77777777" w:rsidTr="00CE66D1">
        <w:trPr>
          <w:trHeight w:val="416"/>
        </w:trPr>
        <w:tc>
          <w:tcPr>
            <w:tcW w:w="1712" w:type="pct"/>
          </w:tcPr>
          <w:p w14:paraId="3F2D5690" w14:textId="77777777" w:rsidR="006E3964" w:rsidRPr="00BB6978" w:rsidRDefault="006E3964" w:rsidP="00CE66D1">
            <w:pPr>
              <w:spacing w:line="240" w:lineRule="auto"/>
              <w:rPr>
                <w:rFonts w:ascii="Times New Roman" w:eastAsia="Calibri" w:hAnsi="Times New Roman" w:cs="Times New Roman"/>
                <w:sz w:val="24"/>
                <w:szCs w:val="24"/>
              </w:rPr>
            </w:pPr>
            <w:r w:rsidRPr="00BB6978">
              <w:rPr>
                <w:rFonts w:ascii="Times New Roman" w:eastAsia="Calibri" w:hAnsi="Times New Roman" w:cs="Times New Roman"/>
                <w:sz w:val="24"/>
                <w:szCs w:val="24"/>
              </w:rPr>
              <w:t>Comparative Fit Index</w:t>
            </w:r>
          </w:p>
        </w:tc>
        <w:tc>
          <w:tcPr>
            <w:tcW w:w="1065" w:type="pct"/>
          </w:tcPr>
          <w:p w14:paraId="495E9A2B" w14:textId="77777777" w:rsidR="006E3964" w:rsidRPr="00BB6978" w:rsidRDefault="006E3964" w:rsidP="00CE66D1">
            <w:pPr>
              <w:spacing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0.999</w:t>
            </w:r>
          </w:p>
        </w:tc>
        <w:tc>
          <w:tcPr>
            <w:tcW w:w="2223" w:type="pct"/>
            <w:vAlign w:val="center"/>
          </w:tcPr>
          <w:p w14:paraId="4D4D44E1" w14:textId="77777777" w:rsidR="006E3964" w:rsidRPr="00BB6978" w:rsidRDefault="006E3964" w:rsidP="00CE66D1">
            <w:pPr>
              <w:spacing w:line="240" w:lineRule="auto"/>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&gt;0.90 (Hu and Bentler, 1999)</w:t>
            </w:r>
          </w:p>
        </w:tc>
      </w:tr>
      <w:tr w:rsidR="00073A16" w:rsidRPr="00BB6978" w14:paraId="62C062FC" w14:textId="77777777" w:rsidTr="00CE66D1">
        <w:trPr>
          <w:trHeight w:val="429"/>
        </w:trPr>
        <w:tc>
          <w:tcPr>
            <w:tcW w:w="1712" w:type="pct"/>
          </w:tcPr>
          <w:p w14:paraId="5C1EDFB2" w14:textId="77777777" w:rsidR="006E3964" w:rsidRPr="00BB6978" w:rsidRDefault="006E3964" w:rsidP="00CE66D1">
            <w:pPr>
              <w:spacing w:line="240" w:lineRule="auto"/>
              <w:rPr>
                <w:rFonts w:ascii="Times New Roman" w:eastAsia="Calibri" w:hAnsi="Times New Roman" w:cs="Times New Roman"/>
                <w:sz w:val="24"/>
                <w:szCs w:val="24"/>
              </w:rPr>
            </w:pPr>
            <w:r w:rsidRPr="00BB6978">
              <w:rPr>
                <w:rFonts w:ascii="Times New Roman" w:eastAsia="Calibri" w:hAnsi="Times New Roman" w:cs="Times New Roman"/>
                <w:sz w:val="24"/>
                <w:szCs w:val="24"/>
              </w:rPr>
              <w:t>Root Mean Square Residuals</w:t>
            </w:r>
          </w:p>
        </w:tc>
        <w:tc>
          <w:tcPr>
            <w:tcW w:w="1065" w:type="pct"/>
          </w:tcPr>
          <w:p w14:paraId="2778A2FB" w14:textId="77777777" w:rsidR="006E3964" w:rsidRPr="00BB6978" w:rsidRDefault="006E3964" w:rsidP="00CE66D1">
            <w:pPr>
              <w:spacing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0.004</w:t>
            </w:r>
          </w:p>
        </w:tc>
        <w:tc>
          <w:tcPr>
            <w:tcW w:w="2223" w:type="pct"/>
            <w:vAlign w:val="center"/>
          </w:tcPr>
          <w:p w14:paraId="5A113F90" w14:textId="77777777" w:rsidR="006E3964" w:rsidRPr="00BB6978" w:rsidRDefault="006E3964" w:rsidP="00CE66D1">
            <w:pPr>
              <w:spacing w:line="240" w:lineRule="auto"/>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&lt; 0.08 (Hair et al., 2006)</w:t>
            </w:r>
          </w:p>
        </w:tc>
      </w:tr>
      <w:tr w:rsidR="006E3964" w:rsidRPr="00BB6978" w14:paraId="29E57A5C" w14:textId="77777777" w:rsidTr="00CE66D1">
        <w:trPr>
          <w:trHeight w:val="684"/>
        </w:trPr>
        <w:tc>
          <w:tcPr>
            <w:tcW w:w="1712" w:type="pct"/>
            <w:tcBorders>
              <w:bottom w:val="single" w:sz="4" w:space="0" w:color="auto"/>
            </w:tcBorders>
          </w:tcPr>
          <w:p w14:paraId="09A23810" w14:textId="77777777" w:rsidR="006E3964" w:rsidRPr="00BB6978" w:rsidRDefault="006E3964" w:rsidP="00CE66D1">
            <w:pPr>
              <w:spacing w:line="240" w:lineRule="auto"/>
              <w:rPr>
                <w:rFonts w:ascii="Times New Roman" w:eastAsia="Calibri" w:hAnsi="Times New Roman" w:cs="Times New Roman"/>
                <w:sz w:val="24"/>
                <w:szCs w:val="24"/>
              </w:rPr>
            </w:pPr>
            <w:r w:rsidRPr="00BB6978">
              <w:rPr>
                <w:rFonts w:ascii="Times New Roman" w:eastAsia="Calibri" w:hAnsi="Times New Roman" w:cs="Times New Roman"/>
                <w:sz w:val="24"/>
                <w:szCs w:val="24"/>
              </w:rPr>
              <w:t>Root Mean Square Error of Approximation</w:t>
            </w:r>
          </w:p>
        </w:tc>
        <w:tc>
          <w:tcPr>
            <w:tcW w:w="1065" w:type="pct"/>
            <w:tcBorders>
              <w:bottom w:val="single" w:sz="4" w:space="0" w:color="auto"/>
            </w:tcBorders>
          </w:tcPr>
          <w:p w14:paraId="2F4D8179" w14:textId="77777777" w:rsidR="006E3964" w:rsidRPr="00BB6978" w:rsidRDefault="006E3964" w:rsidP="00CE66D1">
            <w:pPr>
              <w:spacing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0.019</w:t>
            </w:r>
          </w:p>
        </w:tc>
        <w:tc>
          <w:tcPr>
            <w:tcW w:w="2223" w:type="pct"/>
            <w:tcBorders>
              <w:bottom w:val="single" w:sz="4" w:space="0" w:color="auto"/>
            </w:tcBorders>
            <w:vAlign w:val="center"/>
          </w:tcPr>
          <w:p w14:paraId="4B6CD99F" w14:textId="77777777" w:rsidR="006E3964" w:rsidRPr="00BB6978" w:rsidRDefault="006E3964" w:rsidP="00CE66D1">
            <w:pPr>
              <w:spacing w:line="240" w:lineRule="auto"/>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&lt; 0.08 (Hair et al., 2006)</w:t>
            </w:r>
          </w:p>
        </w:tc>
      </w:tr>
    </w:tbl>
    <w:p w14:paraId="6393EDD7" w14:textId="77777777" w:rsidR="006E3964" w:rsidRPr="00BB6978" w:rsidRDefault="006E3964" w:rsidP="006E3964">
      <w:pPr>
        <w:spacing w:after="200" w:line="240" w:lineRule="auto"/>
        <w:rPr>
          <w:rFonts w:ascii="Times New Roman" w:eastAsia="Calibri" w:hAnsi="Times New Roman" w:cs="Times New Roman"/>
          <w:b/>
          <w:iCs/>
          <w:sz w:val="24"/>
          <w:szCs w:val="24"/>
        </w:rPr>
      </w:pPr>
    </w:p>
    <w:p w14:paraId="3D1849D1" w14:textId="77777777" w:rsidR="006E3964" w:rsidRPr="00BB6978" w:rsidRDefault="006E3964" w:rsidP="006E3964">
      <w:pPr>
        <w:spacing w:before="240" w:after="0" w:line="480" w:lineRule="auto"/>
        <w:ind w:firstLine="720"/>
        <w:jc w:val="both"/>
        <w:rPr>
          <w:rFonts w:ascii="Times New Roman" w:eastAsia="Calibri" w:hAnsi="Times New Roman" w:cs="Arial"/>
          <w:sz w:val="24"/>
          <w:szCs w:val="24"/>
        </w:rPr>
      </w:pPr>
      <w:r w:rsidRPr="00BB6978">
        <w:rPr>
          <w:rFonts w:ascii="Times New Roman" w:eastAsia="Calibri" w:hAnsi="Times New Roman" w:cs="Arial"/>
          <w:sz w:val="24"/>
          <w:szCs w:val="24"/>
        </w:rPr>
        <w:t>To inspect the theoretical interdependence between the three dimensions of the school quality (</w:t>
      </w:r>
      <w:r w:rsidRPr="00BB6978">
        <w:rPr>
          <w:rFonts w:ascii="Times New Roman" w:eastAsia="Times New Roman" w:hAnsi="Times New Roman" w:cs="Times New Roman"/>
          <w:sz w:val="24"/>
          <w:szCs w:val="24"/>
        </w:rPr>
        <w:t>Teachers Teaching, School Resources and School Culture</w:t>
      </w:r>
      <w:r w:rsidRPr="00BB6978">
        <w:rPr>
          <w:rFonts w:ascii="Times New Roman" w:eastAsia="Calibri" w:hAnsi="Times New Roman" w:cs="Arial"/>
          <w:sz w:val="24"/>
          <w:szCs w:val="24"/>
        </w:rPr>
        <w:t xml:space="preserve">) confirmatory of the factor analysis was deployed. The fit indices exposes that the model resulted is a good fit as all the factors are demonstrated to be significant at the p&lt;0.05 (Table 19). The model fit, which was evaluated by using global fit (seven indices of different fit) and ‘r’ to detect the extent to which the assumed model is in </w:t>
      </w:r>
      <w:r w:rsidR="00CA529C" w:rsidRPr="00BB6978">
        <w:rPr>
          <w:rFonts w:ascii="Times New Roman" w:eastAsia="Calibri" w:hAnsi="Times New Roman" w:cs="Arial"/>
          <w:sz w:val="24"/>
          <w:szCs w:val="24"/>
        </w:rPr>
        <w:t>alignment with</w:t>
      </w:r>
      <w:r w:rsidRPr="00BB6978">
        <w:rPr>
          <w:rFonts w:ascii="Times New Roman" w:eastAsia="Calibri" w:hAnsi="Times New Roman" w:cs="Arial"/>
          <w:sz w:val="24"/>
          <w:szCs w:val="24"/>
        </w:rPr>
        <w:t xml:space="preserve"> the data at the researcher hand. Accordingly, the point to which the implied matrix of co variances, (the assumed model), and the sample covariance matrix, (data) appears to fit </w:t>
      </w:r>
      <w:r w:rsidRPr="00BB6978">
        <w:rPr>
          <w:rFonts w:ascii="Times New Roman" w:eastAsia="Calibri" w:hAnsi="Times New Roman" w:cs="Arial"/>
          <w:sz w:val="24"/>
          <w:szCs w:val="24"/>
        </w:rPr>
        <w:fldChar w:fldCharType="begin" w:fldLock="1"/>
      </w:r>
      <w:r w:rsidRPr="00BB6978">
        <w:rPr>
          <w:rFonts w:ascii="Times New Roman" w:eastAsia="Calibri" w:hAnsi="Times New Roman" w:cs="Arial"/>
          <w:sz w:val="24"/>
          <w:szCs w:val="24"/>
        </w:rPr>
        <w:instrText>ADDIN CSL_CITATION { "citationItems" : [ { "id" : "ITEM-1", "itemData" : { "author" : [ { "dropping-particle" : "", "family" : "Bollen", "given" : "K. A.", "non-dropping-particle" : "", "parse-names" : false, "suffix" : "" } ], "id" : "ITEM-1", "issued" : { "date-parts" : [ [ "1989" ] ] }, "publisher" : "New York, NY: John Wiley &amp; Sons, Inc", "title" : "Structural equations with latent variables", "type" : "book" }, "uris" : [ "http://www.mendeley.com/documents/?uuid=6957e9f3-152c-4c2e-b4e1-c18d103bc14a" ] } ], "mendeley" : { "formattedCitation" : "(Bollen, 1989)", "plainTextFormattedCitation" : "(Bollen, 1989)", "previouslyFormattedCitation" : "(Bollen, 1989)" }, "properties" : { "noteIndex" : 0 }, "schema" : "https://github.com/citation-style-language/schema/raw/master/csl-citation.json" }</w:instrText>
      </w:r>
      <w:r w:rsidRPr="00BB6978">
        <w:rPr>
          <w:rFonts w:ascii="Times New Roman" w:eastAsia="Calibri" w:hAnsi="Times New Roman" w:cs="Arial"/>
          <w:sz w:val="24"/>
          <w:szCs w:val="24"/>
        </w:rPr>
        <w:fldChar w:fldCharType="separate"/>
      </w:r>
      <w:r w:rsidRPr="00BB6978">
        <w:rPr>
          <w:rFonts w:ascii="Times New Roman" w:eastAsia="Calibri" w:hAnsi="Times New Roman" w:cs="Arial"/>
          <w:sz w:val="24"/>
          <w:szCs w:val="24"/>
        </w:rPr>
        <w:t>(Bollen, 1989)</w:t>
      </w:r>
      <w:r w:rsidRPr="00BB6978">
        <w:rPr>
          <w:rFonts w:ascii="Times New Roman" w:eastAsia="Calibri" w:hAnsi="Times New Roman" w:cs="Arial"/>
          <w:sz w:val="24"/>
          <w:szCs w:val="24"/>
        </w:rPr>
        <w:fldChar w:fldCharType="end"/>
      </w:r>
      <w:r w:rsidRPr="00BB6978">
        <w:rPr>
          <w:rFonts w:ascii="Times New Roman" w:eastAsia="Calibri" w:hAnsi="Times New Roman" w:cs="Arial"/>
          <w:sz w:val="24"/>
          <w:szCs w:val="24"/>
        </w:rPr>
        <w:t>.</w:t>
      </w:r>
    </w:p>
    <w:p w14:paraId="67D4A24D" w14:textId="77777777" w:rsidR="006E3964" w:rsidRPr="00BB6978" w:rsidRDefault="00016620" w:rsidP="00016620">
      <w:pPr>
        <w:pStyle w:val="Caption"/>
        <w:rPr>
          <w:rFonts w:ascii="Times New Roman" w:eastAsia="Calibri" w:hAnsi="Times New Roman" w:cs="Arial"/>
          <w:bCs w:val="0"/>
        </w:rPr>
      </w:pPr>
      <w:bookmarkStart w:id="162" w:name="_Toc134452512"/>
      <w:r w:rsidRPr="00BB6978">
        <w:t xml:space="preserve">Figure </w:t>
      </w:r>
      <w:r w:rsidRPr="00BB6978">
        <w:fldChar w:fldCharType="begin"/>
      </w:r>
      <w:r w:rsidRPr="00BB6978">
        <w:instrText xml:space="preserve"> SEQ Figure \* ARABIC </w:instrText>
      </w:r>
      <w:r w:rsidRPr="00BB6978">
        <w:fldChar w:fldCharType="separate"/>
      </w:r>
      <w:r w:rsidRPr="00BB6978">
        <w:rPr>
          <w:noProof/>
        </w:rPr>
        <w:t>5</w:t>
      </w:r>
      <w:r w:rsidRPr="00BB6978">
        <w:rPr>
          <w:noProof/>
        </w:rPr>
        <w:fldChar w:fldCharType="end"/>
      </w:r>
      <w:r w:rsidR="006E3964" w:rsidRPr="00BB6978">
        <w:rPr>
          <w:rFonts w:ascii="Times New Roman" w:eastAsia="Calibri" w:hAnsi="Times New Roman" w:cs="Times New Roman"/>
          <w:bCs w:val="0"/>
          <w:iCs/>
        </w:rPr>
        <w:t>: First orders model for quality of school</w:t>
      </w:r>
      <w:bookmarkEnd w:id="162"/>
    </w:p>
    <w:p w14:paraId="636359D5" w14:textId="77777777" w:rsidR="006E3964" w:rsidRPr="00BB6978" w:rsidRDefault="006E3964" w:rsidP="006E3964">
      <w:pPr>
        <w:spacing w:after="200" w:line="240" w:lineRule="auto"/>
        <w:rPr>
          <w:rFonts w:ascii="Times New Roman" w:eastAsia="Calibri" w:hAnsi="Times New Roman" w:cs="Times New Roman"/>
          <w:sz w:val="24"/>
          <w:szCs w:val="24"/>
        </w:rPr>
      </w:pPr>
      <w:r w:rsidRPr="00BB6978">
        <w:rPr>
          <w:rFonts w:ascii="Times New Roman" w:eastAsia="Calibri" w:hAnsi="Times New Roman" w:cs="Times New Roman"/>
          <w:i/>
          <w:iCs/>
          <w:noProof/>
          <w:sz w:val="24"/>
          <w:szCs w:val="24"/>
          <w:lang w:val="en-US"/>
        </w:rPr>
        <w:drawing>
          <wp:inline distT="0" distB="0" distL="0" distR="0" wp14:anchorId="0A814F05" wp14:editId="1DC1332F">
            <wp:extent cx="4939665" cy="4603750"/>
            <wp:effectExtent l="19050" t="19050" r="13335" b="25400"/>
            <wp:docPr id="4" name="Picture 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10;&#10;Description automatically generated"/>
                    <pic:cNvPicPr>
                      <a:picLocks noChangeAspect="1" noChangeArrowheads="1"/>
                    </pic:cNvPicPr>
                  </pic:nvPicPr>
                  <pic:blipFill rotWithShape="1">
                    <a:blip r:embed="rId43">
                      <a:extLst>
                        <a:ext uri="{28A0092B-C50C-407E-A947-70E740481C1C}">
                          <a14:useLocalDpi xmlns:a14="http://schemas.microsoft.com/office/drawing/2010/main" val="0"/>
                        </a:ext>
                      </a:extLst>
                    </a:blip>
                    <a:srcRect l="15385" r="17945"/>
                    <a:stretch/>
                  </pic:blipFill>
                  <pic:spPr bwMode="auto">
                    <a:xfrm>
                      <a:off x="0" y="0"/>
                      <a:ext cx="4956681" cy="4619609"/>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57A35DD" w14:textId="77777777" w:rsidR="006E3964" w:rsidRPr="00BB6978" w:rsidRDefault="006E3964" w:rsidP="006E3964">
      <w:pPr>
        <w:spacing w:after="200" w:line="240" w:lineRule="auto"/>
        <w:rPr>
          <w:rFonts w:ascii="Times New Roman" w:eastAsia="Calibri" w:hAnsi="Times New Roman" w:cs="Times New Roman"/>
          <w:b/>
          <w:iCs/>
          <w:sz w:val="24"/>
          <w:szCs w:val="24"/>
        </w:rPr>
      </w:pPr>
    </w:p>
    <w:p w14:paraId="6C71584B" w14:textId="77777777" w:rsidR="00C628AC" w:rsidRPr="00BB6978" w:rsidRDefault="00C628AC" w:rsidP="006E3964">
      <w:pPr>
        <w:spacing w:after="200" w:line="240" w:lineRule="auto"/>
        <w:rPr>
          <w:rFonts w:ascii="Times New Roman" w:eastAsia="Calibri" w:hAnsi="Times New Roman" w:cs="Times New Roman"/>
          <w:b/>
          <w:iCs/>
          <w:sz w:val="24"/>
          <w:szCs w:val="24"/>
        </w:rPr>
      </w:pPr>
    </w:p>
    <w:p w14:paraId="53551C92" w14:textId="77777777" w:rsidR="006E3964" w:rsidRPr="00BB6978" w:rsidRDefault="00131282" w:rsidP="007F58DC">
      <w:pPr>
        <w:pStyle w:val="Caption"/>
      </w:pPr>
      <w:bookmarkStart w:id="163" w:name="_Toc134452503"/>
      <w:r w:rsidRPr="00BB6978">
        <w:t xml:space="preserve">Table </w:t>
      </w:r>
      <w:r w:rsidRPr="00BB6978">
        <w:fldChar w:fldCharType="begin"/>
      </w:r>
      <w:r w:rsidRPr="00BB6978">
        <w:instrText xml:space="preserve"> SEQ Table \* ARABIC </w:instrText>
      </w:r>
      <w:r w:rsidRPr="00BB6978">
        <w:fldChar w:fldCharType="separate"/>
      </w:r>
      <w:r w:rsidRPr="00BB6978">
        <w:rPr>
          <w:noProof/>
        </w:rPr>
        <w:t>19</w:t>
      </w:r>
      <w:r w:rsidRPr="00BB6978">
        <w:rPr>
          <w:noProof/>
        </w:rPr>
        <w:fldChar w:fldCharType="end"/>
      </w:r>
      <w:r w:rsidR="006E3964" w:rsidRPr="00BB6978">
        <w:t xml:space="preserve">: </w:t>
      </w:r>
      <w:r w:rsidR="006E3964" w:rsidRPr="00BB6978">
        <w:rPr>
          <w:lang w:eastAsia="zh-CN"/>
        </w:rPr>
        <w:t xml:space="preserve">First-order model for </w:t>
      </w:r>
      <w:r w:rsidR="006E3964" w:rsidRPr="00BB6978">
        <w:t>quality of school</w:t>
      </w:r>
      <w:bookmarkEnd w:id="163"/>
    </w:p>
    <w:tbl>
      <w:tblPr>
        <w:tblW w:w="4984" w:type="pct"/>
        <w:tblBorders>
          <w:top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28"/>
        <w:gridCol w:w="490"/>
        <w:gridCol w:w="1267"/>
        <w:gridCol w:w="1921"/>
        <w:gridCol w:w="875"/>
        <w:gridCol w:w="1654"/>
        <w:gridCol w:w="827"/>
      </w:tblGrid>
      <w:tr w:rsidR="00073A16" w:rsidRPr="00BB6978" w14:paraId="44C12DDC" w14:textId="77777777" w:rsidTr="00CE66D1">
        <w:trPr>
          <w:tblHeader/>
        </w:trPr>
        <w:tc>
          <w:tcPr>
            <w:tcW w:w="349" w:type="pct"/>
            <w:tcBorders>
              <w:bottom w:val="single" w:sz="4" w:space="0" w:color="auto"/>
              <w:right w:val="nil"/>
            </w:tcBorders>
            <w:shd w:val="clear" w:color="auto" w:fill="BDD6EE"/>
            <w:tcMar>
              <w:top w:w="15" w:type="dxa"/>
              <w:left w:w="140" w:type="dxa"/>
              <w:bottom w:w="15" w:type="dxa"/>
              <w:right w:w="140" w:type="dxa"/>
            </w:tcMar>
            <w:vAlign w:val="center"/>
            <w:hideMark/>
          </w:tcPr>
          <w:p w14:paraId="0335F977" w14:textId="77777777" w:rsidR="006E3964" w:rsidRPr="00BB6978" w:rsidRDefault="006E3964" w:rsidP="00CE66D1">
            <w:pPr>
              <w:spacing w:after="0" w:line="240" w:lineRule="auto"/>
              <w:jc w:val="right"/>
              <w:rPr>
                <w:rFonts w:ascii="Times New Roman" w:eastAsia="Times New Roman" w:hAnsi="Times New Roman" w:cs="Times New Roman"/>
                <w:sz w:val="24"/>
                <w:szCs w:val="24"/>
              </w:rPr>
            </w:pPr>
          </w:p>
        </w:tc>
        <w:tc>
          <w:tcPr>
            <w:tcW w:w="324" w:type="pct"/>
            <w:tcBorders>
              <w:left w:val="nil"/>
              <w:bottom w:val="single" w:sz="4" w:space="0" w:color="auto"/>
              <w:right w:val="nil"/>
            </w:tcBorders>
            <w:shd w:val="clear" w:color="auto" w:fill="BDD6EE"/>
            <w:tcMar>
              <w:top w:w="15" w:type="dxa"/>
              <w:left w:w="140" w:type="dxa"/>
              <w:bottom w:w="15" w:type="dxa"/>
              <w:right w:w="140" w:type="dxa"/>
            </w:tcMar>
            <w:vAlign w:val="center"/>
            <w:hideMark/>
          </w:tcPr>
          <w:p w14:paraId="48AFF756" w14:textId="77777777" w:rsidR="006E3964" w:rsidRPr="00BB6978" w:rsidRDefault="006E3964" w:rsidP="00CE66D1">
            <w:pPr>
              <w:spacing w:after="0" w:line="240" w:lineRule="auto"/>
              <w:jc w:val="right"/>
              <w:rPr>
                <w:rFonts w:ascii="Times New Roman" w:eastAsia="Times New Roman" w:hAnsi="Times New Roman" w:cs="Times New Roman"/>
                <w:sz w:val="24"/>
                <w:szCs w:val="24"/>
              </w:rPr>
            </w:pPr>
          </w:p>
        </w:tc>
        <w:tc>
          <w:tcPr>
            <w:tcW w:w="838" w:type="pct"/>
            <w:tcBorders>
              <w:left w:val="nil"/>
              <w:bottom w:val="single" w:sz="4" w:space="0" w:color="auto"/>
              <w:right w:val="nil"/>
            </w:tcBorders>
            <w:shd w:val="clear" w:color="auto" w:fill="BDD6EE"/>
            <w:tcMar>
              <w:top w:w="15" w:type="dxa"/>
              <w:left w:w="140" w:type="dxa"/>
              <w:bottom w:w="15" w:type="dxa"/>
              <w:right w:w="140" w:type="dxa"/>
            </w:tcMar>
            <w:vAlign w:val="center"/>
            <w:hideMark/>
          </w:tcPr>
          <w:p w14:paraId="21B0856C" w14:textId="77777777" w:rsidR="006E3964" w:rsidRPr="00BB6978" w:rsidRDefault="006E3964" w:rsidP="00CE66D1">
            <w:pPr>
              <w:spacing w:after="0" w:line="240" w:lineRule="auto"/>
              <w:jc w:val="right"/>
              <w:rPr>
                <w:rFonts w:ascii="Times New Roman" w:eastAsia="Times New Roman" w:hAnsi="Times New Roman" w:cs="Times New Roman"/>
                <w:sz w:val="24"/>
                <w:szCs w:val="24"/>
              </w:rPr>
            </w:pPr>
          </w:p>
        </w:tc>
        <w:tc>
          <w:tcPr>
            <w:tcW w:w="1048" w:type="pct"/>
            <w:tcBorders>
              <w:left w:val="nil"/>
              <w:bottom w:val="single" w:sz="4" w:space="0" w:color="auto"/>
              <w:right w:val="nil"/>
            </w:tcBorders>
            <w:shd w:val="clear" w:color="auto" w:fill="BDD6EE"/>
            <w:tcMar>
              <w:top w:w="15" w:type="dxa"/>
              <w:left w:w="140" w:type="dxa"/>
              <w:bottom w:w="15" w:type="dxa"/>
              <w:right w:w="140" w:type="dxa"/>
            </w:tcMar>
            <w:vAlign w:val="center"/>
            <w:hideMark/>
          </w:tcPr>
          <w:p w14:paraId="0BFB4F4A" w14:textId="77777777" w:rsidR="006E3964" w:rsidRPr="00BB6978" w:rsidRDefault="006E3964" w:rsidP="00CE66D1">
            <w:pPr>
              <w:spacing w:after="0" w:line="240" w:lineRule="auto"/>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Unstandardized</w:t>
            </w:r>
          </w:p>
          <w:p w14:paraId="431D6F32" w14:textId="77777777" w:rsidR="006E3964" w:rsidRPr="00BB6978" w:rsidRDefault="006E3964" w:rsidP="00CE66D1">
            <w:pPr>
              <w:spacing w:after="0" w:line="240" w:lineRule="auto"/>
              <w:ind w:firstLineChars="100" w:firstLine="240"/>
              <w:jc w:val="center"/>
              <w:rPr>
                <w:rFonts w:ascii="Times New Roman" w:eastAsia="Calibri" w:hAnsi="Times New Roman" w:cs="Times New Roman"/>
                <w:sz w:val="24"/>
                <w:szCs w:val="24"/>
              </w:rPr>
            </w:pPr>
            <w:r w:rsidRPr="00BB6978">
              <w:rPr>
                <w:rFonts w:ascii="Times New Roman" w:eastAsia="Calibri" w:hAnsi="Times New Roman" w:cs="Times New Roman"/>
                <w:b/>
                <w:sz w:val="24"/>
                <w:szCs w:val="24"/>
              </w:rPr>
              <w:t>coefficient</w:t>
            </w:r>
          </w:p>
        </w:tc>
        <w:tc>
          <w:tcPr>
            <w:tcW w:w="801" w:type="pct"/>
            <w:tcBorders>
              <w:left w:val="nil"/>
              <w:bottom w:val="single" w:sz="4" w:space="0" w:color="auto"/>
              <w:right w:val="nil"/>
            </w:tcBorders>
            <w:shd w:val="clear" w:color="auto" w:fill="BDD6EE"/>
            <w:tcMar>
              <w:top w:w="15" w:type="dxa"/>
              <w:left w:w="140" w:type="dxa"/>
              <w:bottom w:w="15" w:type="dxa"/>
              <w:right w:w="140" w:type="dxa"/>
            </w:tcMar>
            <w:vAlign w:val="center"/>
            <w:hideMark/>
          </w:tcPr>
          <w:p w14:paraId="5B3FBC89" w14:textId="77777777" w:rsidR="006E3964" w:rsidRPr="00BB6978" w:rsidRDefault="006E3964" w:rsidP="00CE66D1">
            <w:pPr>
              <w:spacing w:after="0" w:line="240" w:lineRule="auto"/>
              <w:ind w:firstLineChars="100" w:firstLine="240"/>
              <w:jc w:val="center"/>
              <w:rPr>
                <w:rFonts w:ascii="Times New Roman" w:eastAsia="Calibri" w:hAnsi="Times New Roman" w:cs="Times New Roman"/>
                <w:sz w:val="24"/>
                <w:szCs w:val="24"/>
              </w:rPr>
            </w:pPr>
            <w:r w:rsidRPr="00BB6978">
              <w:rPr>
                <w:rFonts w:ascii="Times New Roman" w:eastAsia="Calibri" w:hAnsi="Times New Roman" w:cs="Times New Roman"/>
                <w:b/>
                <w:sz w:val="24"/>
                <w:szCs w:val="24"/>
              </w:rPr>
              <w:t>S.E</w:t>
            </w:r>
          </w:p>
        </w:tc>
        <w:tc>
          <w:tcPr>
            <w:tcW w:w="1094" w:type="pct"/>
            <w:tcBorders>
              <w:left w:val="nil"/>
              <w:bottom w:val="single" w:sz="4" w:space="0" w:color="auto"/>
              <w:right w:val="nil"/>
            </w:tcBorders>
            <w:shd w:val="clear" w:color="auto" w:fill="BDD6EE"/>
            <w:tcMar>
              <w:top w:w="15" w:type="dxa"/>
              <w:left w:w="140" w:type="dxa"/>
              <w:bottom w:w="15" w:type="dxa"/>
              <w:right w:w="140" w:type="dxa"/>
            </w:tcMar>
            <w:vAlign w:val="center"/>
            <w:hideMark/>
          </w:tcPr>
          <w:p w14:paraId="3730B8C6" w14:textId="77777777" w:rsidR="006E3964" w:rsidRPr="00BB6978" w:rsidRDefault="006E3964" w:rsidP="00CE66D1">
            <w:pPr>
              <w:spacing w:after="0" w:line="240" w:lineRule="auto"/>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Standardized</w:t>
            </w:r>
          </w:p>
          <w:p w14:paraId="632D5813" w14:textId="77777777" w:rsidR="006E3964" w:rsidRPr="00BB6978" w:rsidRDefault="006E3964" w:rsidP="00CE66D1">
            <w:pPr>
              <w:spacing w:after="0" w:line="240" w:lineRule="auto"/>
              <w:ind w:firstLineChars="100" w:firstLine="240"/>
              <w:jc w:val="center"/>
              <w:rPr>
                <w:rFonts w:ascii="Times New Roman" w:eastAsia="Calibri" w:hAnsi="Times New Roman" w:cs="Times New Roman"/>
                <w:sz w:val="24"/>
                <w:szCs w:val="24"/>
              </w:rPr>
            </w:pPr>
            <w:r w:rsidRPr="00BB6978">
              <w:rPr>
                <w:rFonts w:ascii="Times New Roman" w:eastAsia="Calibri" w:hAnsi="Times New Roman" w:cs="Times New Roman"/>
                <w:b/>
                <w:sz w:val="24"/>
                <w:szCs w:val="24"/>
              </w:rPr>
              <w:t>coefficient</w:t>
            </w:r>
          </w:p>
        </w:tc>
        <w:tc>
          <w:tcPr>
            <w:tcW w:w="547" w:type="pct"/>
            <w:tcBorders>
              <w:left w:val="nil"/>
              <w:bottom w:val="single" w:sz="4" w:space="0" w:color="auto"/>
              <w:right w:val="nil"/>
            </w:tcBorders>
            <w:shd w:val="clear" w:color="auto" w:fill="BDD6EE"/>
            <w:tcMar>
              <w:top w:w="15" w:type="dxa"/>
              <w:left w:w="140" w:type="dxa"/>
              <w:bottom w:w="15" w:type="dxa"/>
              <w:right w:w="140" w:type="dxa"/>
            </w:tcMar>
            <w:vAlign w:val="center"/>
            <w:hideMark/>
          </w:tcPr>
          <w:p w14:paraId="5D98AA11" w14:textId="77777777" w:rsidR="006E3964" w:rsidRPr="00BB6978" w:rsidRDefault="006E3964" w:rsidP="00CE66D1">
            <w:pPr>
              <w:spacing w:after="0" w:line="240" w:lineRule="auto"/>
              <w:ind w:firstLineChars="100" w:firstLine="240"/>
              <w:jc w:val="center"/>
              <w:rPr>
                <w:rFonts w:ascii="Times New Roman" w:eastAsia="Calibri" w:hAnsi="Times New Roman" w:cs="Times New Roman"/>
                <w:sz w:val="24"/>
                <w:szCs w:val="24"/>
              </w:rPr>
            </w:pPr>
            <w:r w:rsidRPr="00BB6978">
              <w:rPr>
                <w:rFonts w:ascii="Times New Roman" w:eastAsia="Calibri" w:hAnsi="Times New Roman" w:cs="Times New Roman"/>
                <w:b/>
                <w:sz w:val="24"/>
                <w:szCs w:val="24"/>
              </w:rPr>
              <w:t>p-value</w:t>
            </w:r>
          </w:p>
        </w:tc>
      </w:tr>
      <w:tr w:rsidR="00073A16" w:rsidRPr="00BB6978" w14:paraId="043C01EA" w14:textId="77777777" w:rsidTr="00CE66D1">
        <w:tc>
          <w:tcPr>
            <w:tcW w:w="349" w:type="pct"/>
            <w:tcBorders>
              <w:bottom w:val="nil"/>
              <w:right w:val="nil"/>
            </w:tcBorders>
            <w:tcMar>
              <w:top w:w="15" w:type="dxa"/>
              <w:left w:w="57" w:type="dxa"/>
              <w:bottom w:w="15" w:type="dxa"/>
              <w:right w:w="57" w:type="dxa"/>
            </w:tcMar>
            <w:vAlign w:val="center"/>
            <w:hideMark/>
          </w:tcPr>
          <w:p w14:paraId="4209290A"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Q6</w:t>
            </w:r>
          </w:p>
        </w:tc>
        <w:tc>
          <w:tcPr>
            <w:tcW w:w="324" w:type="pct"/>
            <w:tcBorders>
              <w:left w:val="nil"/>
              <w:bottom w:val="nil"/>
              <w:right w:val="nil"/>
            </w:tcBorders>
            <w:noWrap/>
            <w:tcMar>
              <w:top w:w="15" w:type="dxa"/>
              <w:left w:w="57" w:type="dxa"/>
              <w:bottom w:w="15" w:type="dxa"/>
              <w:right w:w="57" w:type="dxa"/>
            </w:tcMar>
            <w:vAlign w:val="center"/>
            <w:hideMark/>
          </w:tcPr>
          <w:p w14:paraId="74782F7C"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838" w:type="pct"/>
            <w:tcBorders>
              <w:left w:val="nil"/>
              <w:bottom w:val="nil"/>
              <w:right w:val="nil"/>
            </w:tcBorders>
            <w:tcMar>
              <w:top w:w="15" w:type="dxa"/>
              <w:left w:w="140" w:type="dxa"/>
              <w:bottom w:w="15" w:type="dxa"/>
              <w:right w:w="140" w:type="dxa"/>
            </w:tcMar>
            <w:vAlign w:val="center"/>
            <w:hideMark/>
          </w:tcPr>
          <w:p w14:paraId="41C2937F"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Teaching of Teachers</w:t>
            </w:r>
          </w:p>
        </w:tc>
        <w:tc>
          <w:tcPr>
            <w:tcW w:w="1048" w:type="pct"/>
            <w:tcBorders>
              <w:left w:val="nil"/>
              <w:bottom w:val="nil"/>
              <w:right w:val="nil"/>
            </w:tcBorders>
            <w:tcMar>
              <w:top w:w="15" w:type="dxa"/>
              <w:left w:w="140" w:type="dxa"/>
              <w:bottom w:w="15" w:type="dxa"/>
              <w:right w:w="140" w:type="dxa"/>
            </w:tcMar>
            <w:vAlign w:val="center"/>
            <w:hideMark/>
          </w:tcPr>
          <w:p w14:paraId="60A134E5"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1.000</w:t>
            </w:r>
          </w:p>
        </w:tc>
        <w:tc>
          <w:tcPr>
            <w:tcW w:w="801" w:type="pct"/>
            <w:tcBorders>
              <w:left w:val="nil"/>
              <w:bottom w:val="nil"/>
              <w:right w:val="nil"/>
            </w:tcBorders>
            <w:tcMar>
              <w:top w:w="15" w:type="dxa"/>
              <w:left w:w="140" w:type="dxa"/>
              <w:bottom w:w="15" w:type="dxa"/>
              <w:right w:w="140" w:type="dxa"/>
            </w:tcMar>
            <w:vAlign w:val="center"/>
            <w:hideMark/>
          </w:tcPr>
          <w:p w14:paraId="23771327"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p>
        </w:tc>
        <w:tc>
          <w:tcPr>
            <w:tcW w:w="1094" w:type="pct"/>
            <w:tcBorders>
              <w:left w:val="nil"/>
              <w:bottom w:val="nil"/>
              <w:right w:val="nil"/>
            </w:tcBorders>
            <w:vAlign w:val="center"/>
            <w:hideMark/>
          </w:tcPr>
          <w:p w14:paraId="2A269078"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.927</w:t>
            </w:r>
          </w:p>
        </w:tc>
        <w:tc>
          <w:tcPr>
            <w:tcW w:w="547" w:type="pct"/>
            <w:tcBorders>
              <w:left w:val="nil"/>
              <w:bottom w:val="nil"/>
              <w:right w:val="nil"/>
            </w:tcBorders>
            <w:vAlign w:val="center"/>
            <w:hideMark/>
          </w:tcPr>
          <w:p w14:paraId="24810225"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p>
        </w:tc>
      </w:tr>
      <w:tr w:rsidR="00073A16" w:rsidRPr="00BB6978" w14:paraId="0D9A0A0E" w14:textId="77777777" w:rsidTr="00CE66D1">
        <w:tc>
          <w:tcPr>
            <w:tcW w:w="349" w:type="pct"/>
            <w:tcBorders>
              <w:top w:val="nil"/>
              <w:bottom w:val="nil"/>
              <w:right w:val="nil"/>
            </w:tcBorders>
            <w:tcMar>
              <w:top w:w="15" w:type="dxa"/>
              <w:left w:w="57" w:type="dxa"/>
              <w:bottom w:w="15" w:type="dxa"/>
              <w:right w:w="57" w:type="dxa"/>
            </w:tcMar>
            <w:vAlign w:val="center"/>
            <w:hideMark/>
          </w:tcPr>
          <w:p w14:paraId="0D221187"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Q5</w:t>
            </w:r>
          </w:p>
        </w:tc>
        <w:tc>
          <w:tcPr>
            <w:tcW w:w="324" w:type="pct"/>
            <w:tcBorders>
              <w:top w:val="nil"/>
              <w:left w:val="nil"/>
              <w:bottom w:val="nil"/>
              <w:right w:val="nil"/>
            </w:tcBorders>
            <w:noWrap/>
            <w:tcMar>
              <w:top w:w="15" w:type="dxa"/>
              <w:left w:w="57" w:type="dxa"/>
              <w:bottom w:w="15" w:type="dxa"/>
              <w:right w:w="57" w:type="dxa"/>
            </w:tcMar>
            <w:vAlign w:val="center"/>
            <w:hideMark/>
          </w:tcPr>
          <w:p w14:paraId="6F071F43"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838" w:type="pct"/>
            <w:tcBorders>
              <w:top w:val="nil"/>
              <w:left w:val="nil"/>
              <w:bottom w:val="nil"/>
              <w:right w:val="nil"/>
            </w:tcBorders>
            <w:tcMar>
              <w:top w:w="15" w:type="dxa"/>
              <w:left w:w="140" w:type="dxa"/>
              <w:bottom w:w="15" w:type="dxa"/>
              <w:right w:w="140" w:type="dxa"/>
            </w:tcMar>
            <w:vAlign w:val="center"/>
            <w:hideMark/>
          </w:tcPr>
          <w:p w14:paraId="7F474885"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Teaching of Teachers</w:t>
            </w:r>
          </w:p>
        </w:tc>
        <w:tc>
          <w:tcPr>
            <w:tcW w:w="1048" w:type="pct"/>
            <w:tcBorders>
              <w:top w:val="nil"/>
              <w:left w:val="nil"/>
              <w:bottom w:val="nil"/>
              <w:right w:val="nil"/>
            </w:tcBorders>
            <w:tcMar>
              <w:top w:w="15" w:type="dxa"/>
              <w:left w:w="140" w:type="dxa"/>
              <w:bottom w:w="15" w:type="dxa"/>
              <w:right w:w="140" w:type="dxa"/>
            </w:tcMar>
            <w:vAlign w:val="center"/>
            <w:hideMark/>
          </w:tcPr>
          <w:p w14:paraId="6CB607D5"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1.131</w:t>
            </w:r>
          </w:p>
        </w:tc>
        <w:tc>
          <w:tcPr>
            <w:tcW w:w="801" w:type="pct"/>
            <w:tcBorders>
              <w:top w:val="nil"/>
              <w:left w:val="nil"/>
              <w:bottom w:val="nil"/>
              <w:right w:val="nil"/>
            </w:tcBorders>
            <w:tcMar>
              <w:top w:w="15" w:type="dxa"/>
              <w:left w:w="140" w:type="dxa"/>
              <w:bottom w:w="15" w:type="dxa"/>
              <w:right w:w="140" w:type="dxa"/>
            </w:tcMar>
            <w:vAlign w:val="center"/>
            <w:hideMark/>
          </w:tcPr>
          <w:p w14:paraId="1E57576A"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.025</w:t>
            </w:r>
          </w:p>
        </w:tc>
        <w:tc>
          <w:tcPr>
            <w:tcW w:w="1094" w:type="pct"/>
            <w:tcBorders>
              <w:top w:val="nil"/>
              <w:left w:val="nil"/>
              <w:bottom w:val="nil"/>
              <w:right w:val="nil"/>
            </w:tcBorders>
            <w:tcMar>
              <w:top w:w="15" w:type="dxa"/>
              <w:left w:w="140" w:type="dxa"/>
              <w:bottom w:w="15" w:type="dxa"/>
              <w:right w:w="140" w:type="dxa"/>
            </w:tcMar>
            <w:vAlign w:val="center"/>
            <w:hideMark/>
          </w:tcPr>
          <w:p w14:paraId="17C139AE"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.985</w:t>
            </w:r>
          </w:p>
        </w:tc>
        <w:tc>
          <w:tcPr>
            <w:tcW w:w="547" w:type="pct"/>
            <w:tcBorders>
              <w:top w:val="nil"/>
              <w:left w:val="nil"/>
              <w:bottom w:val="nil"/>
              <w:right w:val="nil"/>
            </w:tcBorders>
            <w:tcMar>
              <w:top w:w="15" w:type="dxa"/>
              <w:left w:w="140" w:type="dxa"/>
              <w:bottom w:w="15" w:type="dxa"/>
              <w:right w:w="140" w:type="dxa"/>
            </w:tcMar>
            <w:hideMark/>
          </w:tcPr>
          <w:p w14:paraId="6ACE7637"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4CAC3B6A" w14:textId="77777777" w:rsidTr="00CE66D1">
        <w:tc>
          <w:tcPr>
            <w:tcW w:w="349" w:type="pct"/>
            <w:tcBorders>
              <w:top w:val="nil"/>
              <w:bottom w:val="nil"/>
              <w:right w:val="nil"/>
            </w:tcBorders>
            <w:tcMar>
              <w:top w:w="15" w:type="dxa"/>
              <w:left w:w="57" w:type="dxa"/>
              <w:bottom w:w="15" w:type="dxa"/>
              <w:right w:w="57" w:type="dxa"/>
            </w:tcMar>
            <w:vAlign w:val="center"/>
            <w:hideMark/>
          </w:tcPr>
          <w:p w14:paraId="6980681E"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Q4</w:t>
            </w:r>
          </w:p>
        </w:tc>
        <w:tc>
          <w:tcPr>
            <w:tcW w:w="324" w:type="pct"/>
            <w:tcBorders>
              <w:top w:val="nil"/>
              <w:left w:val="nil"/>
              <w:bottom w:val="nil"/>
              <w:right w:val="nil"/>
            </w:tcBorders>
            <w:noWrap/>
            <w:tcMar>
              <w:top w:w="15" w:type="dxa"/>
              <w:left w:w="57" w:type="dxa"/>
              <w:bottom w:w="15" w:type="dxa"/>
              <w:right w:w="57" w:type="dxa"/>
            </w:tcMar>
            <w:vAlign w:val="center"/>
            <w:hideMark/>
          </w:tcPr>
          <w:p w14:paraId="7E27271A"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838" w:type="pct"/>
            <w:tcBorders>
              <w:top w:val="nil"/>
              <w:left w:val="nil"/>
              <w:bottom w:val="nil"/>
              <w:right w:val="nil"/>
            </w:tcBorders>
            <w:tcMar>
              <w:top w:w="15" w:type="dxa"/>
              <w:left w:w="140" w:type="dxa"/>
              <w:bottom w:w="15" w:type="dxa"/>
              <w:right w:w="140" w:type="dxa"/>
            </w:tcMar>
            <w:vAlign w:val="center"/>
            <w:hideMark/>
          </w:tcPr>
          <w:p w14:paraId="3F141957"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Teaching of Teachers</w:t>
            </w:r>
          </w:p>
        </w:tc>
        <w:tc>
          <w:tcPr>
            <w:tcW w:w="1048" w:type="pct"/>
            <w:tcBorders>
              <w:top w:val="nil"/>
              <w:left w:val="nil"/>
              <w:bottom w:val="nil"/>
              <w:right w:val="nil"/>
            </w:tcBorders>
            <w:tcMar>
              <w:top w:w="15" w:type="dxa"/>
              <w:left w:w="140" w:type="dxa"/>
              <w:bottom w:w="15" w:type="dxa"/>
              <w:right w:w="140" w:type="dxa"/>
            </w:tcMar>
            <w:vAlign w:val="center"/>
            <w:hideMark/>
          </w:tcPr>
          <w:p w14:paraId="011CF30E"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1.038</w:t>
            </w:r>
          </w:p>
        </w:tc>
        <w:tc>
          <w:tcPr>
            <w:tcW w:w="801" w:type="pct"/>
            <w:tcBorders>
              <w:top w:val="nil"/>
              <w:left w:val="nil"/>
              <w:bottom w:val="nil"/>
              <w:right w:val="nil"/>
            </w:tcBorders>
            <w:tcMar>
              <w:top w:w="15" w:type="dxa"/>
              <w:left w:w="140" w:type="dxa"/>
              <w:bottom w:w="15" w:type="dxa"/>
              <w:right w:w="140" w:type="dxa"/>
            </w:tcMar>
            <w:vAlign w:val="center"/>
            <w:hideMark/>
          </w:tcPr>
          <w:p w14:paraId="4EA50866"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.029</w:t>
            </w:r>
          </w:p>
        </w:tc>
        <w:tc>
          <w:tcPr>
            <w:tcW w:w="1094" w:type="pct"/>
            <w:tcBorders>
              <w:top w:val="nil"/>
              <w:left w:val="nil"/>
              <w:bottom w:val="nil"/>
              <w:right w:val="nil"/>
            </w:tcBorders>
            <w:tcMar>
              <w:top w:w="15" w:type="dxa"/>
              <w:left w:w="140" w:type="dxa"/>
              <w:bottom w:w="15" w:type="dxa"/>
              <w:right w:w="140" w:type="dxa"/>
            </w:tcMar>
            <w:vAlign w:val="center"/>
            <w:hideMark/>
          </w:tcPr>
          <w:p w14:paraId="2C400042"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.940</w:t>
            </w:r>
          </w:p>
        </w:tc>
        <w:tc>
          <w:tcPr>
            <w:tcW w:w="547" w:type="pct"/>
            <w:tcBorders>
              <w:top w:val="nil"/>
              <w:left w:val="nil"/>
              <w:bottom w:val="nil"/>
              <w:right w:val="nil"/>
            </w:tcBorders>
            <w:tcMar>
              <w:top w:w="15" w:type="dxa"/>
              <w:left w:w="140" w:type="dxa"/>
              <w:bottom w:w="15" w:type="dxa"/>
              <w:right w:w="140" w:type="dxa"/>
            </w:tcMar>
            <w:hideMark/>
          </w:tcPr>
          <w:p w14:paraId="2E56A2B1"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2818F7A1" w14:textId="77777777" w:rsidTr="00CE66D1">
        <w:tc>
          <w:tcPr>
            <w:tcW w:w="349" w:type="pct"/>
            <w:tcBorders>
              <w:top w:val="nil"/>
              <w:bottom w:val="nil"/>
              <w:right w:val="nil"/>
            </w:tcBorders>
            <w:tcMar>
              <w:top w:w="15" w:type="dxa"/>
              <w:left w:w="57" w:type="dxa"/>
              <w:bottom w:w="15" w:type="dxa"/>
              <w:right w:w="57" w:type="dxa"/>
            </w:tcMar>
            <w:vAlign w:val="center"/>
            <w:hideMark/>
          </w:tcPr>
          <w:p w14:paraId="0670268E"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Q3</w:t>
            </w:r>
          </w:p>
        </w:tc>
        <w:tc>
          <w:tcPr>
            <w:tcW w:w="324" w:type="pct"/>
            <w:tcBorders>
              <w:top w:val="nil"/>
              <w:left w:val="nil"/>
              <w:bottom w:val="nil"/>
              <w:right w:val="nil"/>
            </w:tcBorders>
            <w:noWrap/>
            <w:tcMar>
              <w:top w:w="15" w:type="dxa"/>
              <w:left w:w="57" w:type="dxa"/>
              <w:bottom w:w="15" w:type="dxa"/>
              <w:right w:w="57" w:type="dxa"/>
            </w:tcMar>
            <w:vAlign w:val="center"/>
            <w:hideMark/>
          </w:tcPr>
          <w:p w14:paraId="1783CF49"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838" w:type="pct"/>
            <w:tcBorders>
              <w:top w:val="nil"/>
              <w:left w:val="nil"/>
              <w:bottom w:val="nil"/>
              <w:right w:val="nil"/>
            </w:tcBorders>
            <w:tcMar>
              <w:top w:w="15" w:type="dxa"/>
              <w:left w:w="140" w:type="dxa"/>
              <w:bottom w:w="15" w:type="dxa"/>
              <w:right w:w="140" w:type="dxa"/>
            </w:tcMar>
            <w:vAlign w:val="center"/>
            <w:hideMark/>
          </w:tcPr>
          <w:p w14:paraId="36B3D1C0"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Teaching of Teachers</w:t>
            </w:r>
          </w:p>
        </w:tc>
        <w:tc>
          <w:tcPr>
            <w:tcW w:w="1048" w:type="pct"/>
            <w:tcBorders>
              <w:top w:val="nil"/>
              <w:left w:val="nil"/>
              <w:bottom w:val="nil"/>
              <w:right w:val="nil"/>
            </w:tcBorders>
            <w:tcMar>
              <w:top w:w="15" w:type="dxa"/>
              <w:left w:w="140" w:type="dxa"/>
              <w:bottom w:w="15" w:type="dxa"/>
              <w:right w:w="140" w:type="dxa"/>
            </w:tcMar>
            <w:vAlign w:val="center"/>
            <w:hideMark/>
          </w:tcPr>
          <w:p w14:paraId="2B828F5D"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1.050</w:t>
            </w:r>
          </w:p>
        </w:tc>
        <w:tc>
          <w:tcPr>
            <w:tcW w:w="801" w:type="pct"/>
            <w:tcBorders>
              <w:top w:val="nil"/>
              <w:left w:val="nil"/>
              <w:bottom w:val="nil"/>
              <w:right w:val="nil"/>
            </w:tcBorders>
            <w:tcMar>
              <w:top w:w="15" w:type="dxa"/>
              <w:left w:w="140" w:type="dxa"/>
              <w:bottom w:w="15" w:type="dxa"/>
              <w:right w:w="140" w:type="dxa"/>
            </w:tcMar>
            <w:vAlign w:val="center"/>
            <w:hideMark/>
          </w:tcPr>
          <w:p w14:paraId="4AC2A9BE"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.029</w:t>
            </w:r>
          </w:p>
        </w:tc>
        <w:tc>
          <w:tcPr>
            <w:tcW w:w="1094" w:type="pct"/>
            <w:tcBorders>
              <w:top w:val="nil"/>
              <w:left w:val="nil"/>
              <w:bottom w:val="nil"/>
              <w:right w:val="nil"/>
            </w:tcBorders>
            <w:tcMar>
              <w:top w:w="15" w:type="dxa"/>
              <w:left w:w="140" w:type="dxa"/>
              <w:bottom w:w="15" w:type="dxa"/>
              <w:right w:w="140" w:type="dxa"/>
            </w:tcMar>
            <w:vAlign w:val="center"/>
            <w:hideMark/>
          </w:tcPr>
          <w:p w14:paraId="28F6B864"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.943</w:t>
            </w:r>
          </w:p>
        </w:tc>
        <w:tc>
          <w:tcPr>
            <w:tcW w:w="547" w:type="pct"/>
            <w:tcBorders>
              <w:top w:val="nil"/>
              <w:left w:val="nil"/>
              <w:bottom w:val="nil"/>
              <w:right w:val="nil"/>
            </w:tcBorders>
            <w:tcMar>
              <w:top w:w="15" w:type="dxa"/>
              <w:left w:w="140" w:type="dxa"/>
              <w:bottom w:w="15" w:type="dxa"/>
              <w:right w:w="140" w:type="dxa"/>
            </w:tcMar>
            <w:hideMark/>
          </w:tcPr>
          <w:p w14:paraId="1C0C8A0E"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12FAEA87" w14:textId="77777777" w:rsidTr="00CE66D1">
        <w:tc>
          <w:tcPr>
            <w:tcW w:w="349" w:type="pct"/>
            <w:tcBorders>
              <w:top w:val="nil"/>
              <w:bottom w:val="nil"/>
              <w:right w:val="nil"/>
            </w:tcBorders>
            <w:tcMar>
              <w:top w:w="15" w:type="dxa"/>
              <w:left w:w="57" w:type="dxa"/>
              <w:bottom w:w="15" w:type="dxa"/>
              <w:right w:w="57" w:type="dxa"/>
            </w:tcMar>
            <w:vAlign w:val="center"/>
            <w:hideMark/>
          </w:tcPr>
          <w:p w14:paraId="60E0AC56"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Q2</w:t>
            </w:r>
          </w:p>
        </w:tc>
        <w:tc>
          <w:tcPr>
            <w:tcW w:w="324" w:type="pct"/>
            <w:tcBorders>
              <w:top w:val="nil"/>
              <w:left w:val="nil"/>
              <w:bottom w:val="nil"/>
              <w:right w:val="nil"/>
            </w:tcBorders>
            <w:noWrap/>
            <w:tcMar>
              <w:top w:w="15" w:type="dxa"/>
              <w:left w:w="57" w:type="dxa"/>
              <w:bottom w:w="15" w:type="dxa"/>
              <w:right w:w="57" w:type="dxa"/>
            </w:tcMar>
            <w:vAlign w:val="center"/>
            <w:hideMark/>
          </w:tcPr>
          <w:p w14:paraId="264038B5"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838" w:type="pct"/>
            <w:tcBorders>
              <w:top w:val="nil"/>
              <w:left w:val="nil"/>
              <w:bottom w:val="nil"/>
              <w:right w:val="nil"/>
            </w:tcBorders>
            <w:tcMar>
              <w:top w:w="15" w:type="dxa"/>
              <w:left w:w="140" w:type="dxa"/>
              <w:bottom w:w="15" w:type="dxa"/>
              <w:right w:w="140" w:type="dxa"/>
            </w:tcMar>
            <w:vAlign w:val="center"/>
            <w:hideMark/>
          </w:tcPr>
          <w:p w14:paraId="08CC4CF3"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Teaching of Teachers</w:t>
            </w:r>
          </w:p>
        </w:tc>
        <w:tc>
          <w:tcPr>
            <w:tcW w:w="1048" w:type="pct"/>
            <w:tcBorders>
              <w:top w:val="nil"/>
              <w:left w:val="nil"/>
              <w:bottom w:val="nil"/>
              <w:right w:val="nil"/>
            </w:tcBorders>
            <w:tcMar>
              <w:top w:w="15" w:type="dxa"/>
              <w:left w:w="140" w:type="dxa"/>
              <w:bottom w:w="15" w:type="dxa"/>
              <w:right w:w="140" w:type="dxa"/>
            </w:tcMar>
            <w:vAlign w:val="center"/>
            <w:hideMark/>
          </w:tcPr>
          <w:p w14:paraId="20B0CDE9"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1.054</w:t>
            </w:r>
          </w:p>
        </w:tc>
        <w:tc>
          <w:tcPr>
            <w:tcW w:w="801" w:type="pct"/>
            <w:tcBorders>
              <w:top w:val="nil"/>
              <w:left w:val="nil"/>
              <w:bottom w:val="nil"/>
              <w:right w:val="nil"/>
            </w:tcBorders>
            <w:tcMar>
              <w:top w:w="15" w:type="dxa"/>
              <w:left w:w="140" w:type="dxa"/>
              <w:bottom w:w="15" w:type="dxa"/>
              <w:right w:w="140" w:type="dxa"/>
            </w:tcMar>
            <w:vAlign w:val="center"/>
            <w:hideMark/>
          </w:tcPr>
          <w:p w14:paraId="39D82FFF"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.028</w:t>
            </w:r>
          </w:p>
        </w:tc>
        <w:tc>
          <w:tcPr>
            <w:tcW w:w="1094" w:type="pct"/>
            <w:tcBorders>
              <w:top w:val="nil"/>
              <w:left w:val="nil"/>
              <w:bottom w:val="nil"/>
              <w:right w:val="nil"/>
            </w:tcBorders>
            <w:tcMar>
              <w:top w:w="15" w:type="dxa"/>
              <w:left w:w="140" w:type="dxa"/>
              <w:bottom w:w="15" w:type="dxa"/>
              <w:right w:w="140" w:type="dxa"/>
            </w:tcMar>
            <w:vAlign w:val="center"/>
            <w:hideMark/>
          </w:tcPr>
          <w:p w14:paraId="35B62700"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.949</w:t>
            </w:r>
          </w:p>
        </w:tc>
        <w:tc>
          <w:tcPr>
            <w:tcW w:w="547" w:type="pct"/>
            <w:tcBorders>
              <w:top w:val="nil"/>
              <w:left w:val="nil"/>
              <w:bottom w:val="nil"/>
              <w:right w:val="nil"/>
            </w:tcBorders>
            <w:tcMar>
              <w:top w:w="15" w:type="dxa"/>
              <w:left w:w="140" w:type="dxa"/>
              <w:bottom w:w="15" w:type="dxa"/>
              <w:right w:w="140" w:type="dxa"/>
            </w:tcMar>
            <w:hideMark/>
          </w:tcPr>
          <w:p w14:paraId="2802EAEA"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40E1FD3D" w14:textId="77777777" w:rsidTr="00CE66D1">
        <w:tc>
          <w:tcPr>
            <w:tcW w:w="349" w:type="pct"/>
            <w:tcBorders>
              <w:top w:val="nil"/>
              <w:bottom w:val="nil"/>
              <w:right w:val="nil"/>
            </w:tcBorders>
            <w:tcMar>
              <w:top w:w="15" w:type="dxa"/>
              <w:left w:w="57" w:type="dxa"/>
              <w:bottom w:w="15" w:type="dxa"/>
              <w:right w:w="57" w:type="dxa"/>
            </w:tcMar>
            <w:vAlign w:val="center"/>
            <w:hideMark/>
          </w:tcPr>
          <w:p w14:paraId="3F03F683"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Q1</w:t>
            </w:r>
          </w:p>
        </w:tc>
        <w:tc>
          <w:tcPr>
            <w:tcW w:w="324" w:type="pct"/>
            <w:tcBorders>
              <w:top w:val="nil"/>
              <w:left w:val="nil"/>
              <w:bottom w:val="nil"/>
              <w:right w:val="nil"/>
            </w:tcBorders>
            <w:noWrap/>
            <w:tcMar>
              <w:top w:w="15" w:type="dxa"/>
              <w:left w:w="57" w:type="dxa"/>
              <w:bottom w:w="15" w:type="dxa"/>
              <w:right w:w="57" w:type="dxa"/>
            </w:tcMar>
            <w:vAlign w:val="center"/>
            <w:hideMark/>
          </w:tcPr>
          <w:p w14:paraId="1614E5A5"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838" w:type="pct"/>
            <w:tcBorders>
              <w:top w:val="nil"/>
              <w:left w:val="nil"/>
              <w:bottom w:val="nil"/>
              <w:right w:val="nil"/>
            </w:tcBorders>
            <w:tcMar>
              <w:top w:w="15" w:type="dxa"/>
              <w:left w:w="140" w:type="dxa"/>
              <w:bottom w:w="15" w:type="dxa"/>
              <w:right w:w="140" w:type="dxa"/>
            </w:tcMar>
            <w:vAlign w:val="center"/>
            <w:hideMark/>
          </w:tcPr>
          <w:p w14:paraId="3ABAAD8E"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Teaching of Teachers</w:t>
            </w:r>
          </w:p>
        </w:tc>
        <w:tc>
          <w:tcPr>
            <w:tcW w:w="1048" w:type="pct"/>
            <w:tcBorders>
              <w:top w:val="nil"/>
              <w:left w:val="nil"/>
              <w:bottom w:val="nil"/>
              <w:right w:val="nil"/>
            </w:tcBorders>
            <w:tcMar>
              <w:top w:w="15" w:type="dxa"/>
              <w:left w:w="140" w:type="dxa"/>
              <w:bottom w:w="15" w:type="dxa"/>
              <w:right w:w="140" w:type="dxa"/>
            </w:tcMar>
            <w:vAlign w:val="center"/>
            <w:hideMark/>
          </w:tcPr>
          <w:p w14:paraId="26A0E66C"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1.019</w:t>
            </w:r>
          </w:p>
        </w:tc>
        <w:tc>
          <w:tcPr>
            <w:tcW w:w="801" w:type="pct"/>
            <w:tcBorders>
              <w:top w:val="nil"/>
              <w:left w:val="nil"/>
              <w:bottom w:val="nil"/>
              <w:right w:val="nil"/>
            </w:tcBorders>
            <w:tcMar>
              <w:top w:w="15" w:type="dxa"/>
              <w:left w:w="140" w:type="dxa"/>
              <w:bottom w:w="15" w:type="dxa"/>
              <w:right w:w="140" w:type="dxa"/>
            </w:tcMar>
            <w:vAlign w:val="center"/>
            <w:hideMark/>
          </w:tcPr>
          <w:p w14:paraId="05B47BCE"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.017</w:t>
            </w:r>
          </w:p>
        </w:tc>
        <w:tc>
          <w:tcPr>
            <w:tcW w:w="1094" w:type="pct"/>
            <w:tcBorders>
              <w:top w:val="nil"/>
              <w:left w:val="nil"/>
              <w:bottom w:val="nil"/>
              <w:right w:val="nil"/>
            </w:tcBorders>
            <w:tcMar>
              <w:top w:w="15" w:type="dxa"/>
              <w:left w:w="140" w:type="dxa"/>
              <w:bottom w:w="15" w:type="dxa"/>
              <w:right w:w="140" w:type="dxa"/>
            </w:tcMar>
            <w:vAlign w:val="center"/>
            <w:hideMark/>
          </w:tcPr>
          <w:p w14:paraId="77FE34A5"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.919</w:t>
            </w:r>
          </w:p>
        </w:tc>
        <w:tc>
          <w:tcPr>
            <w:tcW w:w="547" w:type="pct"/>
            <w:tcBorders>
              <w:top w:val="nil"/>
              <w:left w:val="nil"/>
              <w:bottom w:val="nil"/>
              <w:right w:val="nil"/>
            </w:tcBorders>
            <w:tcMar>
              <w:top w:w="15" w:type="dxa"/>
              <w:left w:w="140" w:type="dxa"/>
              <w:bottom w:w="15" w:type="dxa"/>
              <w:right w:w="140" w:type="dxa"/>
            </w:tcMar>
            <w:hideMark/>
          </w:tcPr>
          <w:p w14:paraId="6E36A197"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54383F39" w14:textId="77777777" w:rsidTr="00CE66D1">
        <w:tc>
          <w:tcPr>
            <w:tcW w:w="349" w:type="pct"/>
            <w:tcBorders>
              <w:top w:val="nil"/>
              <w:bottom w:val="nil"/>
              <w:right w:val="nil"/>
            </w:tcBorders>
            <w:tcMar>
              <w:top w:w="15" w:type="dxa"/>
              <w:left w:w="57" w:type="dxa"/>
              <w:bottom w:w="15" w:type="dxa"/>
              <w:right w:w="57" w:type="dxa"/>
            </w:tcMar>
            <w:vAlign w:val="center"/>
            <w:hideMark/>
          </w:tcPr>
          <w:p w14:paraId="38BCEFD7"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Q27</w:t>
            </w:r>
          </w:p>
        </w:tc>
        <w:tc>
          <w:tcPr>
            <w:tcW w:w="324" w:type="pct"/>
            <w:tcBorders>
              <w:top w:val="nil"/>
              <w:left w:val="nil"/>
              <w:bottom w:val="nil"/>
              <w:right w:val="nil"/>
            </w:tcBorders>
            <w:noWrap/>
            <w:tcMar>
              <w:top w:w="15" w:type="dxa"/>
              <w:left w:w="57" w:type="dxa"/>
              <w:bottom w:w="15" w:type="dxa"/>
              <w:right w:w="57" w:type="dxa"/>
            </w:tcMar>
            <w:vAlign w:val="center"/>
            <w:hideMark/>
          </w:tcPr>
          <w:p w14:paraId="4349ED69"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838" w:type="pct"/>
            <w:tcBorders>
              <w:top w:val="nil"/>
              <w:left w:val="nil"/>
              <w:bottom w:val="nil"/>
              <w:right w:val="nil"/>
            </w:tcBorders>
            <w:tcMar>
              <w:top w:w="15" w:type="dxa"/>
              <w:left w:w="140" w:type="dxa"/>
              <w:bottom w:w="15" w:type="dxa"/>
              <w:right w:w="140" w:type="dxa"/>
            </w:tcMar>
            <w:vAlign w:val="center"/>
            <w:hideMark/>
          </w:tcPr>
          <w:p w14:paraId="0625BAFA"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 xml:space="preserve">Resources of School </w:t>
            </w:r>
          </w:p>
        </w:tc>
        <w:tc>
          <w:tcPr>
            <w:tcW w:w="1048" w:type="pct"/>
            <w:tcBorders>
              <w:top w:val="nil"/>
              <w:left w:val="nil"/>
              <w:bottom w:val="nil"/>
              <w:right w:val="nil"/>
            </w:tcBorders>
            <w:tcMar>
              <w:top w:w="15" w:type="dxa"/>
              <w:left w:w="140" w:type="dxa"/>
              <w:bottom w:w="15" w:type="dxa"/>
              <w:right w:w="140" w:type="dxa"/>
            </w:tcMar>
            <w:vAlign w:val="center"/>
            <w:hideMark/>
          </w:tcPr>
          <w:p w14:paraId="7082B686"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1.000</w:t>
            </w:r>
          </w:p>
        </w:tc>
        <w:tc>
          <w:tcPr>
            <w:tcW w:w="801" w:type="pct"/>
            <w:tcBorders>
              <w:top w:val="nil"/>
              <w:left w:val="nil"/>
              <w:bottom w:val="nil"/>
              <w:right w:val="nil"/>
            </w:tcBorders>
            <w:tcMar>
              <w:top w:w="15" w:type="dxa"/>
              <w:left w:w="140" w:type="dxa"/>
              <w:bottom w:w="15" w:type="dxa"/>
              <w:right w:w="140" w:type="dxa"/>
            </w:tcMar>
            <w:vAlign w:val="center"/>
            <w:hideMark/>
          </w:tcPr>
          <w:p w14:paraId="61A12B3D"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p>
        </w:tc>
        <w:tc>
          <w:tcPr>
            <w:tcW w:w="1094" w:type="pct"/>
            <w:tcBorders>
              <w:top w:val="nil"/>
              <w:left w:val="nil"/>
              <w:bottom w:val="nil"/>
              <w:right w:val="nil"/>
            </w:tcBorders>
            <w:vAlign w:val="center"/>
            <w:hideMark/>
          </w:tcPr>
          <w:p w14:paraId="7F04A709"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.956</w:t>
            </w:r>
          </w:p>
        </w:tc>
        <w:tc>
          <w:tcPr>
            <w:tcW w:w="547" w:type="pct"/>
            <w:tcBorders>
              <w:top w:val="nil"/>
              <w:left w:val="nil"/>
              <w:bottom w:val="nil"/>
              <w:right w:val="nil"/>
            </w:tcBorders>
            <w:vAlign w:val="center"/>
            <w:hideMark/>
          </w:tcPr>
          <w:p w14:paraId="70890957"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p>
        </w:tc>
      </w:tr>
      <w:tr w:rsidR="00073A16" w:rsidRPr="00BB6978" w14:paraId="5E7F0A96" w14:textId="77777777" w:rsidTr="00CE66D1">
        <w:tc>
          <w:tcPr>
            <w:tcW w:w="349" w:type="pct"/>
            <w:tcBorders>
              <w:top w:val="nil"/>
              <w:bottom w:val="nil"/>
              <w:right w:val="nil"/>
            </w:tcBorders>
            <w:tcMar>
              <w:top w:w="15" w:type="dxa"/>
              <w:left w:w="57" w:type="dxa"/>
              <w:bottom w:w="15" w:type="dxa"/>
              <w:right w:w="57" w:type="dxa"/>
            </w:tcMar>
            <w:vAlign w:val="center"/>
            <w:hideMark/>
          </w:tcPr>
          <w:p w14:paraId="0CDE47D9"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Q26</w:t>
            </w:r>
          </w:p>
        </w:tc>
        <w:tc>
          <w:tcPr>
            <w:tcW w:w="324" w:type="pct"/>
            <w:tcBorders>
              <w:top w:val="nil"/>
              <w:left w:val="nil"/>
              <w:bottom w:val="nil"/>
              <w:right w:val="nil"/>
            </w:tcBorders>
            <w:noWrap/>
            <w:tcMar>
              <w:top w:w="15" w:type="dxa"/>
              <w:left w:w="57" w:type="dxa"/>
              <w:bottom w:w="15" w:type="dxa"/>
              <w:right w:w="57" w:type="dxa"/>
            </w:tcMar>
            <w:vAlign w:val="center"/>
            <w:hideMark/>
          </w:tcPr>
          <w:p w14:paraId="46771704"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838" w:type="pct"/>
            <w:tcBorders>
              <w:top w:val="nil"/>
              <w:left w:val="nil"/>
              <w:bottom w:val="nil"/>
              <w:right w:val="nil"/>
            </w:tcBorders>
            <w:tcMar>
              <w:top w:w="15" w:type="dxa"/>
              <w:left w:w="140" w:type="dxa"/>
              <w:bottom w:w="15" w:type="dxa"/>
              <w:right w:w="140" w:type="dxa"/>
            </w:tcMar>
            <w:vAlign w:val="center"/>
            <w:hideMark/>
          </w:tcPr>
          <w:p w14:paraId="61BABD5B"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Resources of School</w:t>
            </w:r>
          </w:p>
        </w:tc>
        <w:tc>
          <w:tcPr>
            <w:tcW w:w="1048" w:type="pct"/>
            <w:tcBorders>
              <w:top w:val="nil"/>
              <w:left w:val="nil"/>
              <w:bottom w:val="nil"/>
              <w:right w:val="nil"/>
            </w:tcBorders>
            <w:tcMar>
              <w:top w:w="15" w:type="dxa"/>
              <w:left w:w="140" w:type="dxa"/>
              <w:bottom w:w="15" w:type="dxa"/>
              <w:right w:w="140" w:type="dxa"/>
            </w:tcMar>
            <w:vAlign w:val="center"/>
            <w:hideMark/>
          </w:tcPr>
          <w:p w14:paraId="53FF4225"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1.023</w:t>
            </w:r>
          </w:p>
        </w:tc>
        <w:tc>
          <w:tcPr>
            <w:tcW w:w="801" w:type="pct"/>
            <w:tcBorders>
              <w:top w:val="nil"/>
              <w:left w:val="nil"/>
              <w:bottom w:val="nil"/>
              <w:right w:val="nil"/>
            </w:tcBorders>
            <w:tcMar>
              <w:top w:w="15" w:type="dxa"/>
              <w:left w:w="140" w:type="dxa"/>
              <w:bottom w:w="15" w:type="dxa"/>
              <w:right w:w="140" w:type="dxa"/>
            </w:tcMar>
            <w:vAlign w:val="center"/>
            <w:hideMark/>
          </w:tcPr>
          <w:p w14:paraId="0299697A"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.023</w:t>
            </w:r>
          </w:p>
        </w:tc>
        <w:tc>
          <w:tcPr>
            <w:tcW w:w="1094" w:type="pct"/>
            <w:tcBorders>
              <w:top w:val="nil"/>
              <w:left w:val="nil"/>
              <w:bottom w:val="nil"/>
              <w:right w:val="nil"/>
            </w:tcBorders>
            <w:tcMar>
              <w:top w:w="15" w:type="dxa"/>
              <w:left w:w="140" w:type="dxa"/>
              <w:bottom w:w="15" w:type="dxa"/>
              <w:right w:w="140" w:type="dxa"/>
            </w:tcMar>
            <w:vAlign w:val="center"/>
            <w:hideMark/>
          </w:tcPr>
          <w:p w14:paraId="52700D3D"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.950</w:t>
            </w:r>
          </w:p>
        </w:tc>
        <w:tc>
          <w:tcPr>
            <w:tcW w:w="547" w:type="pct"/>
            <w:tcBorders>
              <w:top w:val="nil"/>
              <w:left w:val="nil"/>
              <w:bottom w:val="nil"/>
              <w:right w:val="nil"/>
            </w:tcBorders>
            <w:tcMar>
              <w:top w:w="15" w:type="dxa"/>
              <w:left w:w="140" w:type="dxa"/>
              <w:bottom w:w="15" w:type="dxa"/>
              <w:right w:w="140" w:type="dxa"/>
            </w:tcMar>
            <w:hideMark/>
          </w:tcPr>
          <w:p w14:paraId="2FB8C58A"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28F037D7" w14:textId="77777777" w:rsidTr="00CE66D1">
        <w:tc>
          <w:tcPr>
            <w:tcW w:w="349" w:type="pct"/>
            <w:tcBorders>
              <w:top w:val="nil"/>
              <w:bottom w:val="nil"/>
              <w:right w:val="nil"/>
            </w:tcBorders>
            <w:tcMar>
              <w:top w:w="15" w:type="dxa"/>
              <w:left w:w="57" w:type="dxa"/>
              <w:bottom w:w="15" w:type="dxa"/>
              <w:right w:w="57" w:type="dxa"/>
            </w:tcMar>
            <w:vAlign w:val="center"/>
            <w:hideMark/>
          </w:tcPr>
          <w:p w14:paraId="4AC5F2F6"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Q25</w:t>
            </w:r>
          </w:p>
        </w:tc>
        <w:tc>
          <w:tcPr>
            <w:tcW w:w="324" w:type="pct"/>
            <w:tcBorders>
              <w:top w:val="nil"/>
              <w:left w:val="nil"/>
              <w:bottom w:val="nil"/>
              <w:right w:val="nil"/>
            </w:tcBorders>
            <w:noWrap/>
            <w:tcMar>
              <w:top w:w="15" w:type="dxa"/>
              <w:left w:w="57" w:type="dxa"/>
              <w:bottom w:w="15" w:type="dxa"/>
              <w:right w:w="57" w:type="dxa"/>
            </w:tcMar>
            <w:vAlign w:val="center"/>
            <w:hideMark/>
          </w:tcPr>
          <w:p w14:paraId="2706925F"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838" w:type="pct"/>
            <w:tcBorders>
              <w:top w:val="nil"/>
              <w:left w:val="nil"/>
              <w:bottom w:val="nil"/>
              <w:right w:val="nil"/>
            </w:tcBorders>
            <w:tcMar>
              <w:top w:w="15" w:type="dxa"/>
              <w:left w:w="140" w:type="dxa"/>
              <w:bottom w:w="15" w:type="dxa"/>
              <w:right w:w="140" w:type="dxa"/>
            </w:tcMar>
            <w:vAlign w:val="center"/>
            <w:hideMark/>
          </w:tcPr>
          <w:p w14:paraId="422A1988"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Resources of School</w:t>
            </w:r>
          </w:p>
        </w:tc>
        <w:tc>
          <w:tcPr>
            <w:tcW w:w="1048" w:type="pct"/>
            <w:tcBorders>
              <w:top w:val="nil"/>
              <w:left w:val="nil"/>
              <w:bottom w:val="nil"/>
              <w:right w:val="nil"/>
            </w:tcBorders>
            <w:tcMar>
              <w:top w:w="15" w:type="dxa"/>
              <w:left w:w="140" w:type="dxa"/>
              <w:bottom w:w="15" w:type="dxa"/>
              <w:right w:w="140" w:type="dxa"/>
            </w:tcMar>
            <w:vAlign w:val="center"/>
            <w:hideMark/>
          </w:tcPr>
          <w:p w14:paraId="64225A22"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1.103</w:t>
            </w:r>
          </w:p>
        </w:tc>
        <w:tc>
          <w:tcPr>
            <w:tcW w:w="801" w:type="pct"/>
            <w:tcBorders>
              <w:top w:val="nil"/>
              <w:left w:val="nil"/>
              <w:bottom w:val="nil"/>
              <w:right w:val="nil"/>
            </w:tcBorders>
            <w:tcMar>
              <w:top w:w="15" w:type="dxa"/>
              <w:left w:w="140" w:type="dxa"/>
              <w:bottom w:w="15" w:type="dxa"/>
              <w:right w:w="140" w:type="dxa"/>
            </w:tcMar>
            <w:vAlign w:val="center"/>
            <w:hideMark/>
          </w:tcPr>
          <w:p w14:paraId="14E8C17E"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.018</w:t>
            </w:r>
          </w:p>
        </w:tc>
        <w:tc>
          <w:tcPr>
            <w:tcW w:w="1094" w:type="pct"/>
            <w:tcBorders>
              <w:top w:val="nil"/>
              <w:left w:val="nil"/>
              <w:bottom w:val="nil"/>
              <w:right w:val="nil"/>
            </w:tcBorders>
            <w:tcMar>
              <w:top w:w="15" w:type="dxa"/>
              <w:left w:w="140" w:type="dxa"/>
              <w:bottom w:w="15" w:type="dxa"/>
              <w:right w:w="140" w:type="dxa"/>
            </w:tcMar>
            <w:vAlign w:val="center"/>
            <w:hideMark/>
          </w:tcPr>
          <w:p w14:paraId="4053AAE8"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.995</w:t>
            </w:r>
          </w:p>
        </w:tc>
        <w:tc>
          <w:tcPr>
            <w:tcW w:w="547" w:type="pct"/>
            <w:tcBorders>
              <w:top w:val="nil"/>
              <w:left w:val="nil"/>
              <w:bottom w:val="nil"/>
              <w:right w:val="nil"/>
            </w:tcBorders>
            <w:tcMar>
              <w:top w:w="15" w:type="dxa"/>
              <w:left w:w="140" w:type="dxa"/>
              <w:bottom w:w="15" w:type="dxa"/>
              <w:right w:w="140" w:type="dxa"/>
            </w:tcMar>
            <w:hideMark/>
          </w:tcPr>
          <w:p w14:paraId="64D05F98"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220EE845" w14:textId="77777777" w:rsidTr="00CE66D1">
        <w:tc>
          <w:tcPr>
            <w:tcW w:w="349" w:type="pct"/>
            <w:tcBorders>
              <w:top w:val="nil"/>
              <w:bottom w:val="nil"/>
              <w:right w:val="nil"/>
            </w:tcBorders>
            <w:tcMar>
              <w:top w:w="15" w:type="dxa"/>
              <w:left w:w="57" w:type="dxa"/>
              <w:bottom w:w="15" w:type="dxa"/>
              <w:right w:w="57" w:type="dxa"/>
            </w:tcMar>
            <w:vAlign w:val="center"/>
            <w:hideMark/>
          </w:tcPr>
          <w:p w14:paraId="229B02FB"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Q24</w:t>
            </w:r>
          </w:p>
        </w:tc>
        <w:tc>
          <w:tcPr>
            <w:tcW w:w="324" w:type="pct"/>
            <w:tcBorders>
              <w:top w:val="nil"/>
              <w:left w:val="nil"/>
              <w:bottom w:val="nil"/>
              <w:right w:val="nil"/>
            </w:tcBorders>
            <w:noWrap/>
            <w:tcMar>
              <w:top w:w="15" w:type="dxa"/>
              <w:left w:w="57" w:type="dxa"/>
              <w:bottom w:w="15" w:type="dxa"/>
              <w:right w:w="57" w:type="dxa"/>
            </w:tcMar>
            <w:vAlign w:val="center"/>
            <w:hideMark/>
          </w:tcPr>
          <w:p w14:paraId="2FCE22CA"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838" w:type="pct"/>
            <w:tcBorders>
              <w:top w:val="nil"/>
              <w:left w:val="nil"/>
              <w:bottom w:val="nil"/>
              <w:right w:val="nil"/>
            </w:tcBorders>
            <w:tcMar>
              <w:top w:w="15" w:type="dxa"/>
              <w:left w:w="140" w:type="dxa"/>
              <w:bottom w:w="15" w:type="dxa"/>
              <w:right w:w="140" w:type="dxa"/>
            </w:tcMar>
            <w:vAlign w:val="center"/>
            <w:hideMark/>
          </w:tcPr>
          <w:p w14:paraId="12195D6D"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Resources of School</w:t>
            </w:r>
          </w:p>
        </w:tc>
        <w:tc>
          <w:tcPr>
            <w:tcW w:w="1048" w:type="pct"/>
            <w:tcBorders>
              <w:top w:val="nil"/>
              <w:left w:val="nil"/>
              <w:bottom w:val="nil"/>
              <w:right w:val="nil"/>
            </w:tcBorders>
            <w:tcMar>
              <w:top w:w="15" w:type="dxa"/>
              <w:left w:w="140" w:type="dxa"/>
              <w:bottom w:w="15" w:type="dxa"/>
              <w:right w:w="140" w:type="dxa"/>
            </w:tcMar>
            <w:vAlign w:val="center"/>
            <w:hideMark/>
          </w:tcPr>
          <w:p w14:paraId="7221E15B"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1.088</w:t>
            </w:r>
          </w:p>
        </w:tc>
        <w:tc>
          <w:tcPr>
            <w:tcW w:w="801" w:type="pct"/>
            <w:tcBorders>
              <w:top w:val="nil"/>
              <w:left w:val="nil"/>
              <w:bottom w:val="nil"/>
              <w:right w:val="nil"/>
            </w:tcBorders>
            <w:tcMar>
              <w:top w:w="15" w:type="dxa"/>
              <w:left w:w="140" w:type="dxa"/>
              <w:bottom w:w="15" w:type="dxa"/>
              <w:right w:w="140" w:type="dxa"/>
            </w:tcMar>
            <w:vAlign w:val="center"/>
            <w:hideMark/>
          </w:tcPr>
          <w:p w14:paraId="18CF5A32"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.022</w:t>
            </w:r>
          </w:p>
        </w:tc>
        <w:tc>
          <w:tcPr>
            <w:tcW w:w="1094" w:type="pct"/>
            <w:tcBorders>
              <w:top w:val="nil"/>
              <w:left w:val="nil"/>
              <w:bottom w:val="nil"/>
              <w:right w:val="nil"/>
            </w:tcBorders>
            <w:tcMar>
              <w:top w:w="15" w:type="dxa"/>
              <w:left w:w="140" w:type="dxa"/>
              <w:bottom w:w="15" w:type="dxa"/>
              <w:right w:w="140" w:type="dxa"/>
            </w:tcMar>
            <w:vAlign w:val="center"/>
            <w:hideMark/>
          </w:tcPr>
          <w:p w14:paraId="65C3E6A3"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.970</w:t>
            </w:r>
          </w:p>
        </w:tc>
        <w:tc>
          <w:tcPr>
            <w:tcW w:w="547" w:type="pct"/>
            <w:tcBorders>
              <w:top w:val="nil"/>
              <w:left w:val="nil"/>
              <w:bottom w:val="nil"/>
              <w:right w:val="nil"/>
            </w:tcBorders>
            <w:tcMar>
              <w:top w:w="15" w:type="dxa"/>
              <w:left w:w="140" w:type="dxa"/>
              <w:bottom w:w="15" w:type="dxa"/>
              <w:right w:w="140" w:type="dxa"/>
            </w:tcMar>
            <w:hideMark/>
          </w:tcPr>
          <w:p w14:paraId="2773D714"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10791D39" w14:textId="77777777" w:rsidTr="00CE66D1">
        <w:tc>
          <w:tcPr>
            <w:tcW w:w="349" w:type="pct"/>
            <w:tcBorders>
              <w:top w:val="nil"/>
              <w:bottom w:val="nil"/>
              <w:right w:val="nil"/>
            </w:tcBorders>
            <w:tcMar>
              <w:top w:w="15" w:type="dxa"/>
              <w:left w:w="57" w:type="dxa"/>
              <w:bottom w:w="15" w:type="dxa"/>
              <w:right w:w="57" w:type="dxa"/>
            </w:tcMar>
            <w:vAlign w:val="center"/>
            <w:hideMark/>
          </w:tcPr>
          <w:p w14:paraId="30F155EA"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Q23</w:t>
            </w:r>
          </w:p>
        </w:tc>
        <w:tc>
          <w:tcPr>
            <w:tcW w:w="324" w:type="pct"/>
            <w:tcBorders>
              <w:top w:val="nil"/>
              <w:left w:val="nil"/>
              <w:bottom w:val="nil"/>
              <w:right w:val="nil"/>
            </w:tcBorders>
            <w:noWrap/>
            <w:tcMar>
              <w:top w:w="15" w:type="dxa"/>
              <w:left w:w="57" w:type="dxa"/>
              <w:bottom w:w="15" w:type="dxa"/>
              <w:right w:w="57" w:type="dxa"/>
            </w:tcMar>
            <w:vAlign w:val="center"/>
            <w:hideMark/>
          </w:tcPr>
          <w:p w14:paraId="3579CA59"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838" w:type="pct"/>
            <w:tcBorders>
              <w:top w:val="nil"/>
              <w:left w:val="nil"/>
              <w:bottom w:val="nil"/>
              <w:right w:val="nil"/>
            </w:tcBorders>
            <w:tcMar>
              <w:top w:w="15" w:type="dxa"/>
              <w:left w:w="140" w:type="dxa"/>
              <w:bottom w:w="15" w:type="dxa"/>
              <w:right w:w="140" w:type="dxa"/>
            </w:tcMar>
            <w:vAlign w:val="center"/>
            <w:hideMark/>
          </w:tcPr>
          <w:p w14:paraId="1C549818"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Resources of School</w:t>
            </w:r>
          </w:p>
        </w:tc>
        <w:tc>
          <w:tcPr>
            <w:tcW w:w="1048" w:type="pct"/>
            <w:tcBorders>
              <w:top w:val="nil"/>
              <w:left w:val="nil"/>
              <w:bottom w:val="nil"/>
              <w:right w:val="nil"/>
            </w:tcBorders>
            <w:tcMar>
              <w:top w:w="15" w:type="dxa"/>
              <w:left w:w="140" w:type="dxa"/>
              <w:bottom w:w="15" w:type="dxa"/>
              <w:right w:w="140" w:type="dxa"/>
            </w:tcMar>
            <w:vAlign w:val="center"/>
            <w:hideMark/>
          </w:tcPr>
          <w:p w14:paraId="745B8970"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1.011</w:t>
            </w:r>
          </w:p>
        </w:tc>
        <w:tc>
          <w:tcPr>
            <w:tcW w:w="801" w:type="pct"/>
            <w:tcBorders>
              <w:top w:val="nil"/>
              <w:left w:val="nil"/>
              <w:bottom w:val="nil"/>
              <w:right w:val="nil"/>
            </w:tcBorders>
            <w:tcMar>
              <w:top w:w="15" w:type="dxa"/>
              <w:left w:w="140" w:type="dxa"/>
              <w:bottom w:w="15" w:type="dxa"/>
              <w:right w:w="140" w:type="dxa"/>
            </w:tcMar>
            <w:vAlign w:val="center"/>
            <w:hideMark/>
          </w:tcPr>
          <w:p w14:paraId="76B47AC8"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.010</w:t>
            </w:r>
          </w:p>
        </w:tc>
        <w:tc>
          <w:tcPr>
            <w:tcW w:w="1094" w:type="pct"/>
            <w:tcBorders>
              <w:top w:val="nil"/>
              <w:left w:val="nil"/>
              <w:bottom w:val="nil"/>
              <w:right w:val="nil"/>
            </w:tcBorders>
            <w:tcMar>
              <w:top w:w="15" w:type="dxa"/>
              <w:left w:w="140" w:type="dxa"/>
              <w:bottom w:w="15" w:type="dxa"/>
              <w:right w:w="140" w:type="dxa"/>
            </w:tcMar>
            <w:vAlign w:val="center"/>
            <w:hideMark/>
          </w:tcPr>
          <w:p w14:paraId="04D7367B"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.962</w:t>
            </w:r>
          </w:p>
        </w:tc>
        <w:tc>
          <w:tcPr>
            <w:tcW w:w="547" w:type="pct"/>
            <w:tcBorders>
              <w:top w:val="nil"/>
              <w:left w:val="nil"/>
              <w:bottom w:val="nil"/>
              <w:right w:val="nil"/>
            </w:tcBorders>
            <w:tcMar>
              <w:top w:w="15" w:type="dxa"/>
              <w:left w:w="140" w:type="dxa"/>
              <w:bottom w:w="15" w:type="dxa"/>
              <w:right w:w="140" w:type="dxa"/>
            </w:tcMar>
            <w:hideMark/>
          </w:tcPr>
          <w:p w14:paraId="4F51CED8"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68ED0DE0" w14:textId="77777777" w:rsidTr="00CE66D1">
        <w:tc>
          <w:tcPr>
            <w:tcW w:w="349" w:type="pct"/>
            <w:tcBorders>
              <w:top w:val="nil"/>
              <w:bottom w:val="nil"/>
              <w:right w:val="nil"/>
            </w:tcBorders>
            <w:tcMar>
              <w:top w:w="15" w:type="dxa"/>
              <w:left w:w="57" w:type="dxa"/>
              <w:bottom w:w="15" w:type="dxa"/>
              <w:right w:w="57" w:type="dxa"/>
            </w:tcMar>
            <w:vAlign w:val="center"/>
            <w:hideMark/>
          </w:tcPr>
          <w:p w14:paraId="1162C4A3"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Q22</w:t>
            </w:r>
          </w:p>
        </w:tc>
        <w:tc>
          <w:tcPr>
            <w:tcW w:w="324" w:type="pct"/>
            <w:tcBorders>
              <w:top w:val="nil"/>
              <w:left w:val="nil"/>
              <w:bottom w:val="nil"/>
              <w:right w:val="nil"/>
            </w:tcBorders>
            <w:noWrap/>
            <w:tcMar>
              <w:top w:w="15" w:type="dxa"/>
              <w:left w:w="57" w:type="dxa"/>
              <w:bottom w:w="15" w:type="dxa"/>
              <w:right w:w="57" w:type="dxa"/>
            </w:tcMar>
            <w:vAlign w:val="center"/>
            <w:hideMark/>
          </w:tcPr>
          <w:p w14:paraId="151E6C25"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838" w:type="pct"/>
            <w:tcBorders>
              <w:top w:val="nil"/>
              <w:left w:val="nil"/>
              <w:bottom w:val="nil"/>
              <w:right w:val="nil"/>
            </w:tcBorders>
            <w:tcMar>
              <w:top w:w="15" w:type="dxa"/>
              <w:left w:w="140" w:type="dxa"/>
              <w:bottom w:w="15" w:type="dxa"/>
              <w:right w:w="140" w:type="dxa"/>
            </w:tcMar>
            <w:vAlign w:val="center"/>
            <w:hideMark/>
          </w:tcPr>
          <w:p w14:paraId="4B27937E"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Resources of School</w:t>
            </w:r>
          </w:p>
        </w:tc>
        <w:tc>
          <w:tcPr>
            <w:tcW w:w="1048" w:type="pct"/>
            <w:tcBorders>
              <w:top w:val="nil"/>
              <w:left w:val="nil"/>
              <w:bottom w:val="nil"/>
              <w:right w:val="nil"/>
            </w:tcBorders>
            <w:tcMar>
              <w:top w:w="15" w:type="dxa"/>
              <w:left w:w="140" w:type="dxa"/>
              <w:bottom w:w="15" w:type="dxa"/>
              <w:right w:w="140" w:type="dxa"/>
            </w:tcMar>
            <w:vAlign w:val="center"/>
            <w:hideMark/>
          </w:tcPr>
          <w:p w14:paraId="485230A0"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.996</w:t>
            </w:r>
          </w:p>
        </w:tc>
        <w:tc>
          <w:tcPr>
            <w:tcW w:w="801" w:type="pct"/>
            <w:tcBorders>
              <w:top w:val="nil"/>
              <w:left w:val="nil"/>
              <w:bottom w:val="nil"/>
              <w:right w:val="nil"/>
            </w:tcBorders>
            <w:tcMar>
              <w:top w:w="15" w:type="dxa"/>
              <w:left w:w="140" w:type="dxa"/>
              <w:bottom w:w="15" w:type="dxa"/>
              <w:right w:w="140" w:type="dxa"/>
            </w:tcMar>
            <w:vAlign w:val="center"/>
            <w:hideMark/>
          </w:tcPr>
          <w:p w14:paraId="14203A87"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.025</w:t>
            </w:r>
          </w:p>
        </w:tc>
        <w:tc>
          <w:tcPr>
            <w:tcW w:w="1094" w:type="pct"/>
            <w:tcBorders>
              <w:top w:val="nil"/>
              <w:left w:val="nil"/>
              <w:bottom w:val="nil"/>
              <w:right w:val="nil"/>
            </w:tcBorders>
            <w:tcMar>
              <w:top w:w="15" w:type="dxa"/>
              <w:left w:w="140" w:type="dxa"/>
              <w:bottom w:w="15" w:type="dxa"/>
              <w:right w:w="140" w:type="dxa"/>
            </w:tcMar>
            <w:vAlign w:val="center"/>
            <w:hideMark/>
          </w:tcPr>
          <w:p w14:paraId="3371FCB3"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.927</w:t>
            </w:r>
          </w:p>
        </w:tc>
        <w:tc>
          <w:tcPr>
            <w:tcW w:w="547" w:type="pct"/>
            <w:tcBorders>
              <w:top w:val="nil"/>
              <w:left w:val="nil"/>
              <w:bottom w:val="nil"/>
              <w:right w:val="nil"/>
            </w:tcBorders>
            <w:tcMar>
              <w:top w:w="15" w:type="dxa"/>
              <w:left w:w="140" w:type="dxa"/>
              <w:bottom w:w="15" w:type="dxa"/>
              <w:right w:w="140" w:type="dxa"/>
            </w:tcMar>
            <w:hideMark/>
          </w:tcPr>
          <w:p w14:paraId="36F82696"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4641DC71" w14:textId="77777777" w:rsidTr="00CE66D1">
        <w:tc>
          <w:tcPr>
            <w:tcW w:w="349" w:type="pct"/>
            <w:tcBorders>
              <w:top w:val="nil"/>
              <w:bottom w:val="nil"/>
              <w:right w:val="nil"/>
            </w:tcBorders>
            <w:tcMar>
              <w:top w:w="15" w:type="dxa"/>
              <w:left w:w="57" w:type="dxa"/>
              <w:bottom w:w="15" w:type="dxa"/>
              <w:right w:w="57" w:type="dxa"/>
            </w:tcMar>
            <w:vAlign w:val="center"/>
            <w:hideMark/>
          </w:tcPr>
          <w:p w14:paraId="693A2BDB"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Q21</w:t>
            </w:r>
          </w:p>
        </w:tc>
        <w:tc>
          <w:tcPr>
            <w:tcW w:w="324" w:type="pct"/>
            <w:tcBorders>
              <w:top w:val="nil"/>
              <w:left w:val="nil"/>
              <w:bottom w:val="nil"/>
              <w:right w:val="nil"/>
            </w:tcBorders>
            <w:noWrap/>
            <w:tcMar>
              <w:top w:w="15" w:type="dxa"/>
              <w:left w:w="57" w:type="dxa"/>
              <w:bottom w:w="15" w:type="dxa"/>
              <w:right w:w="57" w:type="dxa"/>
            </w:tcMar>
            <w:vAlign w:val="center"/>
            <w:hideMark/>
          </w:tcPr>
          <w:p w14:paraId="77B15675"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838" w:type="pct"/>
            <w:tcBorders>
              <w:top w:val="nil"/>
              <w:left w:val="nil"/>
              <w:bottom w:val="nil"/>
              <w:right w:val="nil"/>
            </w:tcBorders>
            <w:tcMar>
              <w:top w:w="15" w:type="dxa"/>
              <w:left w:w="140" w:type="dxa"/>
              <w:bottom w:w="15" w:type="dxa"/>
              <w:right w:w="140" w:type="dxa"/>
            </w:tcMar>
            <w:vAlign w:val="center"/>
            <w:hideMark/>
          </w:tcPr>
          <w:p w14:paraId="694EC7E7"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Resources of School</w:t>
            </w:r>
          </w:p>
        </w:tc>
        <w:tc>
          <w:tcPr>
            <w:tcW w:w="1048" w:type="pct"/>
            <w:tcBorders>
              <w:top w:val="nil"/>
              <w:left w:val="nil"/>
              <w:bottom w:val="nil"/>
              <w:right w:val="nil"/>
            </w:tcBorders>
            <w:tcMar>
              <w:top w:w="15" w:type="dxa"/>
              <w:left w:w="140" w:type="dxa"/>
              <w:bottom w:w="15" w:type="dxa"/>
              <w:right w:w="140" w:type="dxa"/>
            </w:tcMar>
            <w:vAlign w:val="center"/>
            <w:hideMark/>
          </w:tcPr>
          <w:p w14:paraId="0E57DD6F"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1.089</w:t>
            </w:r>
          </w:p>
        </w:tc>
        <w:tc>
          <w:tcPr>
            <w:tcW w:w="801" w:type="pct"/>
            <w:tcBorders>
              <w:top w:val="nil"/>
              <w:left w:val="nil"/>
              <w:bottom w:val="nil"/>
              <w:right w:val="nil"/>
            </w:tcBorders>
            <w:tcMar>
              <w:top w:w="15" w:type="dxa"/>
              <w:left w:w="140" w:type="dxa"/>
              <w:bottom w:w="15" w:type="dxa"/>
              <w:right w:w="140" w:type="dxa"/>
            </w:tcMar>
            <w:vAlign w:val="center"/>
            <w:hideMark/>
          </w:tcPr>
          <w:p w14:paraId="5BD6B01B"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.021</w:t>
            </w:r>
          </w:p>
        </w:tc>
        <w:tc>
          <w:tcPr>
            <w:tcW w:w="1094" w:type="pct"/>
            <w:tcBorders>
              <w:top w:val="nil"/>
              <w:left w:val="nil"/>
              <w:bottom w:val="nil"/>
              <w:right w:val="nil"/>
            </w:tcBorders>
            <w:tcMar>
              <w:top w:w="15" w:type="dxa"/>
              <w:left w:w="140" w:type="dxa"/>
              <w:bottom w:w="15" w:type="dxa"/>
              <w:right w:w="140" w:type="dxa"/>
            </w:tcMar>
            <w:vAlign w:val="center"/>
            <w:hideMark/>
          </w:tcPr>
          <w:p w14:paraId="562EF245"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.974</w:t>
            </w:r>
          </w:p>
        </w:tc>
        <w:tc>
          <w:tcPr>
            <w:tcW w:w="547" w:type="pct"/>
            <w:tcBorders>
              <w:top w:val="nil"/>
              <w:left w:val="nil"/>
              <w:bottom w:val="nil"/>
              <w:right w:val="nil"/>
            </w:tcBorders>
            <w:tcMar>
              <w:top w:w="15" w:type="dxa"/>
              <w:left w:w="140" w:type="dxa"/>
              <w:bottom w:w="15" w:type="dxa"/>
              <w:right w:w="140" w:type="dxa"/>
            </w:tcMar>
            <w:hideMark/>
          </w:tcPr>
          <w:p w14:paraId="62112193"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31209E79" w14:textId="77777777" w:rsidTr="00CE66D1">
        <w:tc>
          <w:tcPr>
            <w:tcW w:w="349" w:type="pct"/>
            <w:tcBorders>
              <w:top w:val="nil"/>
              <w:bottom w:val="nil"/>
              <w:right w:val="nil"/>
            </w:tcBorders>
            <w:tcMar>
              <w:top w:w="15" w:type="dxa"/>
              <w:left w:w="57" w:type="dxa"/>
              <w:bottom w:w="15" w:type="dxa"/>
              <w:right w:w="57" w:type="dxa"/>
            </w:tcMar>
            <w:vAlign w:val="center"/>
            <w:hideMark/>
          </w:tcPr>
          <w:p w14:paraId="67B2C54C"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Q7</w:t>
            </w:r>
          </w:p>
        </w:tc>
        <w:tc>
          <w:tcPr>
            <w:tcW w:w="324" w:type="pct"/>
            <w:tcBorders>
              <w:top w:val="nil"/>
              <w:left w:val="nil"/>
              <w:bottom w:val="nil"/>
              <w:right w:val="nil"/>
            </w:tcBorders>
            <w:noWrap/>
            <w:tcMar>
              <w:top w:w="15" w:type="dxa"/>
              <w:left w:w="57" w:type="dxa"/>
              <w:bottom w:w="15" w:type="dxa"/>
              <w:right w:w="57" w:type="dxa"/>
            </w:tcMar>
            <w:vAlign w:val="center"/>
            <w:hideMark/>
          </w:tcPr>
          <w:p w14:paraId="5047E42D"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838" w:type="pct"/>
            <w:tcBorders>
              <w:top w:val="nil"/>
              <w:left w:val="nil"/>
              <w:bottom w:val="nil"/>
              <w:right w:val="nil"/>
            </w:tcBorders>
            <w:tcMar>
              <w:top w:w="15" w:type="dxa"/>
              <w:left w:w="140" w:type="dxa"/>
              <w:bottom w:w="15" w:type="dxa"/>
              <w:right w:w="140" w:type="dxa"/>
            </w:tcMar>
            <w:vAlign w:val="center"/>
            <w:hideMark/>
          </w:tcPr>
          <w:p w14:paraId="71097DF1"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 xml:space="preserve">Culture of School </w:t>
            </w:r>
          </w:p>
        </w:tc>
        <w:tc>
          <w:tcPr>
            <w:tcW w:w="1048" w:type="pct"/>
            <w:tcBorders>
              <w:top w:val="nil"/>
              <w:left w:val="nil"/>
              <w:bottom w:val="nil"/>
              <w:right w:val="nil"/>
            </w:tcBorders>
            <w:tcMar>
              <w:top w:w="15" w:type="dxa"/>
              <w:left w:w="140" w:type="dxa"/>
              <w:bottom w:w="15" w:type="dxa"/>
              <w:right w:w="140" w:type="dxa"/>
            </w:tcMar>
            <w:vAlign w:val="center"/>
            <w:hideMark/>
          </w:tcPr>
          <w:p w14:paraId="14318076"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1.000</w:t>
            </w:r>
          </w:p>
        </w:tc>
        <w:tc>
          <w:tcPr>
            <w:tcW w:w="801" w:type="pct"/>
            <w:tcBorders>
              <w:top w:val="nil"/>
              <w:left w:val="nil"/>
              <w:bottom w:val="nil"/>
              <w:right w:val="nil"/>
            </w:tcBorders>
            <w:tcMar>
              <w:top w:w="15" w:type="dxa"/>
              <w:left w:w="140" w:type="dxa"/>
              <w:bottom w:w="15" w:type="dxa"/>
              <w:right w:w="140" w:type="dxa"/>
            </w:tcMar>
            <w:vAlign w:val="center"/>
            <w:hideMark/>
          </w:tcPr>
          <w:p w14:paraId="4A19F6B9"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p>
        </w:tc>
        <w:tc>
          <w:tcPr>
            <w:tcW w:w="1094" w:type="pct"/>
            <w:tcBorders>
              <w:top w:val="nil"/>
              <w:left w:val="nil"/>
              <w:bottom w:val="nil"/>
              <w:right w:val="nil"/>
            </w:tcBorders>
            <w:vAlign w:val="center"/>
            <w:hideMark/>
          </w:tcPr>
          <w:p w14:paraId="611AF876"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.935</w:t>
            </w:r>
          </w:p>
        </w:tc>
        <w:tc>
          <w:tcPr>
            <w:tcW w:w="547" w:type="pct"/>
            <w:tcBorders>
              <w:top w:val="nil"/>
              <w:left w:val="nil"/>
              <w:bottom w:val="nil"/>
              <w:right w:val="nil"/>
            </w:tcBorders>
            <w:vAlign w:val="center"/>
            <w:hideMark/>
          </w:tcPr>
          <w:p w14:paraId="62BABE3A"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p>
        </w:tc>
      </w:tr>
      <w:tr w:rsidR="00073A16" w:rsidRPr="00BB6978" w14:paraId="0DC06243" w14:textId="77777777" w:rsidTr="00CE66D1">
        <w:tc>
          <w:tcPr>
            <w:tcW w:w="349" w:type="pct"/>
            <w:tcBorders>
              <w:top w:val="nil"/>
              <w:bottom w:val="nil"/>
              <w:right w:val="nil"/>
            </w:tcBorders>
            <w:tcMar>
              <w:top w:w="15" w:type="dxa"/>
              <w:left w:w="57" w:type="dxa"/>
              <w:bottom w:w="15" w:type="dxa"/>
              <w:right w:w="57" w:type="dxa"/>
            </w:tcMar>
            <w:vAlign w:val="center"/>
            <w:hideMark/>
          </w:tcPr>
          <w:p w14:paraId="4B6C54E8"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Q20</w:t>
            </w:r>
          </w:p>
        </w:tc>
        <w:tc>
          <w:tcPr>
            <w:tcW w:w="324" w:type="pct"/>
            <w:tcBorders>
              <w:top w:val="nil"/>
              <w:left w:val="nil"/>
              <w:bottom w:val="nil"/>
              <w:right w:val="nil"/>
            </w:tcBorders>
            <w:noWrap/>
            <w:tcMar>
              <w:top w:w="15" w:type="dxa"/>
              <w:left w:w="57" w:type="dxa"/>
              <w:bottom w:w="15" w:type="dxa"/>
              <w:right w:w="57" w:type="dxa"/>
            </w:tcMar>
            <w:vAlign w:val="center"/>
            <w:hideMark/>
          </w:tcPr>
          <w:p w14:paraId="16023707"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838" w:type="pct"/>
            <w:tcBorders>
              <w:top w:val="nil"/>
              <w:left w:val="nil"/>
              <w:bottom w:val="nil"/>
              <w:right w:val="nil"/>
            </w:tcBorders>
            <w:tcMar>
              <w:top w:w="15" w:type="dxa"/>
              <w:left w:w="140" w:type="dxa"/>
              <w:bottom w:w="15" w:type="dxa"/>
              <w:right w:w="140" w:type="dxa"/>
            </w:tcMar>
            <w:vAlign w:val="center"/>
            <w:hideMark/>
          </w:tcPr>
          <w:p w14:paraId="6E05CCD9"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Culture of School</w:t>
            </w:r>
          </w:p>
        </w:tc>
        <w:tc>
          <w:tcPr>
            <w:tcW w:w="1048" w:type="pct"/>
            <w:tcBorders>
              <w:top w:val="nil"/>
              <w:left w:val="nil"/>
              <w:bottom w:val="nil"/>
              <w:right w:val="nil"/>
            </w:tcBorders>
            <w:tcMar>
              <w:top w:w="15" w:type="dxa"/>
              <w:left w:w="140" w:type="dxa"/>
              <w:bottom w:w="15" w:type="dxa"/>
              <w:right w:w="140" w:type="dxa"/>
            </w:tcMar>
            <w:vAlign w:val="center"/>
            <w:hideMark/>
          </w:tcPr>
          <w:p w14:paraId="6F90A1B5"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1.052</w:t>
            </w:r>
          </w:p>
        </w:tc>
        <w:tc>
          <w:tcPr>
            <w:tcW w:w="801" w:type="pct"/>
            <w:tcBorders>
              <w:top w:val="nil"/>
              <w:left w:val="nil"/>
              <w:bottom w:val="nil"/>
              <w:right w:val="nil"/>
            </w:tcBorders>
            <w:tcMar>
              <w:top w:w="15" w:type="dxa"/>
              <w:left w:w="140" w:type="dxa"/>
              <w:bottom w:w="15" w:type="dxa"/>
              <w:right w:w="140" w:type="dxa"/>
            </w:tcMar>
            <w:vAlign w:val="center"/>
            <w:hideMark/>
          </w:tcPr>
          <w:p w14:paraId="1A9886C8"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.023</w:t>
            </w:r>
          </w:p>
        </w:tc>
        <w:tc>
          <w:tcPr>
            <w:tcW w:w="1094" w:type="pct"/>
            <w:tcBorders>
              <w:top w:val="nil"/>
              <w:left w:val="nil"/>
              <w:bottom w:val="nil"/>
              <w:right w:val="nil"/>
            </w:tcBorders>
            <w:tcMar>
              <w:top w:w="15" w:type="dxa"/>
              <w:left w:w="140" w:type="dxa"/>
              <w:bottom w:w="15" w:type="dxa"/>
              <w:right w:w="140" w:type="dxa"/>
            </w:tcMar>
            <w:vAlign w:val="center"/>
            <w:hideMark/>
          </w:tcPr>
          <w:p w14:paraId="68775B07"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.978</w:t>
            </w:r>
          </w:p>
        </w:tc>
        <w:tc>
          <w:tcPr>
            <w:tcW w:w="547" w:type="pct"/>
            <w:tcBorders>
              <w:top w:val="nil"/>
              <w:left w:val="nil"/>
              <w:bottom w:val="nil"/>
              <w:right w:val="nil"/>
            </w:tcBorders>
            <w:tcMar>
              <w:top w:w="15" w:type="dxa"/>
              <w:left w:w="140" w:type="dxa"/>
              <w:bottom w:w="15" w:type="dxa"/>
              <w:right w:w="140" w:type="dxa"/>
            </w:tcMar>
            <w:hideMark/>
          </w:tcPr>
          <w:p w14:paraId="45EC1A79"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28BDB502" w14:textId="77777777" w:rsidTr="00CE66D1">
        <w:tc>
          <w:tcPr>
            <w:tcW w:w="349" w:type="pct"/>
            <w:tcBorders>
              <w:top w:val="nil"/>
              <w:bottom w:val="nil"/>
              <w:right w:val="nil"/>
            </w:tcBorders>
            <w:tcMar>
              <w:top w:w="15" w:type="dxa"/>
              <w:left w:w="57" w:type="dxa"/>
              <w:bottom w:w="15" w:type="dxa"/>
              <w:right w:w="57" w:type="dxa"/>
            </w:tcMar>
            <w:vAlign w:val="center"/>
            <w:hideMark/>
          </w:tcPr>
          <w:p w14:paraId="288650B3"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Q19</w:t>
            </w:r>
          </w:p>
        </w:tc>
        <w:tc>
          <w:tcPr>
            <w:tcW w:w="324" w:type="pct"/>
            <w:tcBorders>
              <w:top w:val="nil"/>
              <w:left w:val="nil"/>
              <w:bottom w:val="nil"/>
              <w:right w:val="nil"/>
            </w:tcBorders>
            <w:noWrap/>
            <w:tcMar>
              <w:top w:w="15" w:type="dxa"/>
              <w:left w:w="57" w:type="dxa"/>
              <w:bottom w:w="15" w:type="dxa"/>
              <w:right w:w="57" w:type="dxa"/>
            </w:tcMar>
            <w:vAlign w:val="center"/>
            <w:hideMark/>
          </w:tcPr>
          <w:p w14:paraId="43D2AAE2"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838" w:type="pct"/>
            <w:tcBorders>
              <w:top w:val="nil"/>
              <w:left w:val="nil"/>
              <w:bottom w:val="nil"/>
              <w:right w:val="nil"/>
            </w:tcBorders>
            <w:tcMar>
              <w:top w:w="15" w:type="dxa"/>
              <w:left w:w="140" w:type="dxa"/>
              <w:bottom w:w="15" w:type="dxa"/>
              <w:right w:w="140" w:type="dxa"/>
            </w:tcMar>
            <w:vAlign w:val="center"/>
            <w:hideMark/>
          </w:tcPr>
          <w:p w14:paraId="03F2815D"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Culture of School</w:t>
            </w:r>
          </w:p>
        </w:tc>
        <w:tc>
          <w:tcPr>
            <w:tcW w:w="1048" w:type="pct"/>
            <w:tcBorders>
              <w:top w:val="nil"/>
              <w:left w:val="nil"/>
              <w:bottom w:val="nil"/>
              <w:right w:val="nil"/>
            </w:tcBorders>
            <w:tcMar>
              <w:top w:w="15" w:type="dxa"/>
              <w:left w:w="140" w:type="dxa"/>
              <w:bottom w:w="15" w:type="dxa"/>
              <w:right w:w="140" w:type="dxa"/>
            </w:tcMar>
            <w:vAlign w:val="center"/>
            <w:hideMark/>
          </w:tcPr>
          <w:p w14:paraId="0959776C"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1.045</w:t>
            </w:r>
          </w:p>
        </w:tc>
        <w:tc>
          <w:tcPr>
            <w:tcW w:w="801" w:type="pct"/>
            <w:tcBorders>
              <w:top w:val="nil"/>
              <w:left w:val="nil"/>
              <w:bottom w:val="nil"/>
              <w:right w:val="nil"/>
            </w:tcBorders>
            <w:tcMar>
              <w:top w:w="15" w:type="dxa"/>
              <w:left w:w="140" w:type="dxa"/>
              <w:bottom w:w="15" w:type="dxa"/>
              <w:right w:w="140" w:type="dxa"/>
            </w:tcMar>
            <w:vAlign w:val="center"/>
            <w:hideMark/>
          </w:tcPr>
          <w:p w14:paraId="48472B46"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.024</w:t>
            </w:r>
          </w:p>
        </w:tc>
        <w:tc>
          <w:tcPr>
            <w:tcW w:w="1094" w:type="pct"/>
            <w:tcBorders>
              <w:top w:val="nil"/>
              <w:left w:val="nil"/>
              <w:bottom w:val="nil"/>
              <w:right w:val="nil"/>
            </w:tcBorders>
            <w:tcMar>
              <w:top w:w="15" w:type="dxa"/>
              <w:left w:w="140" w:type="dxa"/>
              <w:bottom w:w="15" w:type="dxa"/>
              <w:right w:w="140" w:type="dxa"/>
            </w:tcMar>
            <w:vAlign w:val="center"/>
            <w:hideMark/>
          </w:tcPr>
          <w:p w14:paraId="6D53E961"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.972</w:t>
            </w:r>
          </w:p>
        </w:tc>
        <w:tc>
          <w:tcPr>
            <w:tcW w:w="547" w:type="pct"/>
            <w:tcBorders>
              <w:top w:val="nil"/>
              <w:left w:val="nil"/>
              <w:bottom w:val="nil"/>
              <w:right w:val="nil"/>
            </w:tcBorders>
            <w:tcMar>
              <w:top w:w="15" w:type="dxa"/>
              <w:left w:w="140" w:type="dxa"/>
              <w:bottom w:w="15" w:type="dxa"/>
              <w:right w:w="140" w:type="dxa"/>
            </w:tcMar>
            <w:hideMark/>
          </w:tcPr>
          <w:p w14:paraId="472D1CFB"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4D08CAAD" w14:textId="77777777" w:rsidTr="00CE66D1">
        <w:tc>
          <w:tcPr>
            <w:tcW w:w="349" w:type="pct"/>
            <w:tcBorders>
              <w:top w:val="nil"/>
              <w:bottom w:val="nil"/>
              <w:right w:val="nil"/>
            </w:tcBorders>
            <w:tcMar>
              <w:top w:w="15" w:type="dxa"/>
              <w:left w:w="57" w:type="dxa"/>
              <w:bottom w:w="15" w:type="dxa"/>
              <w:right w:w="57" w:type="dxa"/>
            </w:tcMar>
            <w:vAlign w:val="center"/>
            <w:hideMark/>
          </w:tcPr>
          <w:p w14:paraId="10D5CFD1"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Q18</w:t>
            </w:r>
          </w:p>
        </w:tc>
        <w:tc>
          <w:tcPr>
            <w:tcW w:w="324" w:type="pct"/>
            <w:tcBorders>
              <w:top w:val="nil"/>
              <w:left w:val="nil"/>
              <w:bottom w:val="nil"/>
              <w:right w:val="nil"/>
            </w:tcBorders>
            <w:noWrap/>
            <w:tcMar>
              <w:top w:w="15" w:type="dxa"/>
              <w:left w:w="57" w:type="dxa"/>
              <w:bottom w:w="15" w:type="dxa"/>
              <w:right w:w="57" w:type="dxa"/>
            </w:tcMar>
            <w:vAlign w:val="center"/>
            <w:hideMark/>
          </w:tcPr>
          <w:p w14:paraId="75924057"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838" w:type="pct"/>
            <w:tcBorders>
              <w:top w:val="nil"/>
              <w:left w:val="nil"/>
              <w:bottom w:val="nil"/>
              <w:right w:val="nil"/>
            </w:tcBorders>
            <w:tcMar>
              <w:top w:w="15" w:type="dxa"/>
              <w:left w:w="140" w:type="dxa"/>
              <w:bottom w:w="15" w:type="dxa"/>
              <w:right w:w="140" w:type="dxa"/>
            </w:tcMar>
            <w:vAlign w:val="center"/>
            <w:hideMark/>
          </w:tcPr>
          <w:p w14:paraId="06BB4B63"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Culture of School</w:t>
            </w:r>
          </w:p>
        </w:tc>
        <w:tc>
          <w:tcPr>
            <w:tcW w:w="1048" w:type="pct"/>
            <w:tcBorders>
              <w:top w:val="nil"/>
              <w:left w:val="nil"/>
              <w:bottom w:val="nil"/>
              <w:right w:val="nil"/>
            </w:tcBorders>
            <w:tcMar>
              <w:top w:w="15" w:type="dxa"/>
              <w:left w:w="140" w:type="dxa"/>
              <w:bottom w:w="15" w:type="dxa"/>
              <w:right w:w="140" w:type="dxa"/>
            </w:tcMar>
            <w:vAlign w:val="center"/>
            <w:hideMark/>
          </w:tcPr>
          <w:p w14:paraId="5A47B927"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1.022</w:t>
            </w:r>
          </w:p>
        </w:tc>
        <w:tc>
          <w:tcPr>
            <w:tcW w:w="801" w:type="pct"/>
            <w:tcBorders>
              <w:top w:val="nil"/>
              <w:left w:val="nil"/>
              <w:bottom w:val="nil"/>
              <w:right w:val="nil"/>
            </w:tcBorders>
            <w:tcMar>
              <w:top w:w="15" w:type="dxa"/>
              <w:left w:w="140" w:type="dxa"/>
              <w:bottom w:w="15" w:type="dxa"/>
              <w:right w:w="140" w:type="dxa"/>
            </w:tcMar>
            <w:vAlign w:val="center"/>
            <w:hideMark/>
          </w:tcPr>
          <w:p w14:paraId="0C97031C"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.023</w:t>
            </w:r>
          </w:p>
        </w:tc>
        <w:tc>
          <w:tcPr>
            <w:tcW w:w="1094" w:type="pct"/>
            <w:tcBorders>
              <w:top w:val="nil"/>
              <w:left w:val="nil"/>
              <w:bottom w:val="nil"/>
              <w:right w:val="nil"/>
            </w:tcBorders>
            <w:tcMar>
              <w:top w:w="15" w:type="dxa"/>
              <w:left w:w="140" w:type="dxa"/>
              <w:bottom w:w="15" w:type="dxa"/>
              <w:right w:w="140" w:type="dxa"/>
            </w:tcMar>
            <w:vAlign w:val="center"/>
            <w:hideMark/>
          </w:tcPr>
          <w:p w14:paraId="185EF8E7"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.969</w:t>
            </w:r>
          </w:p>
        </w:tc>
        <w:tc>
          <w:tcPr>
            <w:tcW w:w="547" w:type="pct"/>
            <w:tcBorders>
              <w:top w:val="nil"/>
              <w:left w:val="nil"/>
              <w:bottom w:val="nil"/>
              <w:right w:val="nil"/>
            </w:tcBorders>
            <w:tcMar>
              <w:top w:w="15" w:type="dxa"/>
              <w:left w:w="140" w:type="dxa"/>
              <w:bottom w:w="15" w:type="dxa"/>
              <w:right w:w="140" w:type="dxa"/>
            </w:tcMar>
            <w:hideMark/>
          </w:tcPr>
          <w:p w14:paraId="0E7F8472"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09F31A9E" w14:textId="77777777" w:rsidTr="00CE66D1">
        <w:tc>
          <w:tcPr>
            <w:tcW w:w="349" w:type="pct"/>
            <w:tcBorders>
              <w:top w:val="nil"/>
              <w:bottom w:val="nil"/>
              <w:right w:val="nil"/>
            </w:tcBorders>
            <w:tcMar>
              <w:top w:w="15" w:type="dxa"/>
              <w:left w:w="57" w:type="dxa"/>
              <w:bottom w:w="15" w:type="dxa"/>
              <w:right w:w="57" w:type="dxa"/>
            </w:tcMar>
            <w:vAlign w:val="center"/>
            <w:hideMark/>
          </w:tcPr>
          <w:p w14:paraId="655430B4"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Q17</w:t>
            </w:r>
          </w:p>
        </w:tc>
        <w:tc>
          <w:tcPr>
            <w:tcW w:w="324" w:type="pct"/>
            <w:tcBorders>
              <w:top w:val="nil"/>
              <w:left w:val="nil"/>
              <w:bottom w:val="nil"/>
              <w:right w:val="nil"/>
            </w:tcBorders>
            <w:noWrap/>
            <w:tcMar>
              <w:top w:w="15" w:type="dxa"/>
              <w:left w:w="57" w:type="dxa"/>
              <w:bottom w:w="15" w:type="dxa"/>
              <w:right w:w="57" w:type="dxa"/>
            </w:tcMar>
            <w:vAlign w:val="center"/>
            <w:hideMark/>
          </w:tcPr>
          <w:p w14:paraId="69DD4BC5"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838" w:type="pct"/>
            <w:tcBorders>
              <w:top w:val="nil"/>
              <w:left w:val="nil"/>
              <w:bottom w:val="nil"/>
              <w:right w:val="nil"/>
            </w:tcBorders>
            <w:tcMar>
              <w:top w:w="15" w:type="dxa"/>
              <w:left w:w="140" w:type="dxa"/>
              <w:bottom w:w="15" w:type="dxa"/>
              <w:right w:w="140" w:type="dxa"/>
            </w:tcMar>
            <w:vAlign w:val="center"/>
            <w:hideMark/>
          </w:tcPr>
          <w:p w14:paraId="69B0B15C"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Culture of School</w:t>
            </w:r>
          </w:p>
        </w:tc>
        <w:tc>
          <w:tcPr>
            <w:tcW w:w="1048" w:type="pct"/>
            <w:tcBorders>
              <w:top w:val="nil"/>
              <w:left w:val="nil"/>
              <w:bottom w:val="nil"/>
              <w:right w:val="nil"/>
            </w:tcBorders>
            <w:tcMar>
              <w:top w:w="15" w:type="dxa"/>
              <w:left w:w="140" w:type="dxa"/>
              <w:bottom w:w="15" w:type="dxa"/>
              <w:right w:w="140" w:type="dxa"/>
            </w:tcMar>
            <w:vAlign w:val="center"/>
            <w:hideMark/>
          </w:tcPr>
          <w:p w14:paraId="3A910CBC"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1.012</w:t>
            </w:r>
          </w:p>
        </w:tc>
        <w:tc>
          <w:tcPr>
            <w:tcW w:w="801" w:type="pct"/>
            <w:tcBorders>
              <w:top w:val="nil"/>
              <w:left w:val="nil"/>
              <w:bottom w:val="nil"/>
              <w:right w:val="nil"/>
            </w:tcBorders>
            <w:tcMar>
              <w:top w:w="15" w:type="dxa"/>
              <w:left w:w="140" w:type="dxa"/>
              <w:bottom w:w="15" w:type="dxa"/>
              <w:right w:w="140" w:type="dxa"/>
            </w:tcMar>
            <w:vAlign w:val="center"/>
            <w:hideMark/>
          </w:tcPr>
          <w:p w14:paraId="69A25ADE"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.024</w:t>
            </w:r>
          </w:p>
        </w:tc>
        <w:tc>
          <w:tcPr>
            <w:tcW w:w="1094" w:type="pct"/>
            <w:tcBorders>
              <w:top w:val="nil"/>
              <w:left w:val="nil"/>
              <w:bottom w:val="nil"/>
              <w:right w:val="nil"/>
            </w:tcBorders>
            <w:tcMar>
              <w:top w:w="15" w:type="dxa"/>
              <w:left w:w="140" w:type="dxa"/>
              <w:bottom w:w="15" w:type="dxa"/>
              <w:right w:w="140" w:type="dxa"/>
            </w:tcMar>
            <w:vAlign w:val="center"/>
            <w:hideMark/>
          </w:tcPr>
          <w:p w14:paraId="1484D6EF"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.960</w:t>
            </w:r>
          </w:p>
        </w:tc>
        <w:tc>
          <w:tcPr>
            <w:tcW w:w="547" w:type="pct"/>
            <w:tcBorders>
              <w:top w:val="nil"/>
              <w:left w:val="nil"/>
              <w:bottom w:val="nil"/>
              <w:right w:val="nil"/>
            </w:tcBorders>
            <w:tcMar>
              <w:top w:w="15" w:type="dxa"/>
              <w:left w:w="140" w:type="dxa"/>
              <w:bottom w:w="15" w:type="dxa"/>
              <w:right w:w="140" w:type="dxa"/>
            </w:tcMar>
            <w:hideMark/>
          </w:tcPr>
          <w:p w14:paraId="473651F6"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297E3B82" w14:textId="77777777" w:rsidTr="00CE66D1">
        <w:tc>
          <w:tcPr>
            <w:tcW w:w="349" w:type="pct"/>
            <w:tcBorders>
              <w:top w:val="nil"/>
              <w:bottom w:val="nil"/>
              <w:right w:val="nil"/>
            </w:tcBorders>
            <w:tcMar>
              <w:top w:w="15" w:type="dxa"/>
              <w:left w:w="57" w:type="dxa"/>
              <w:bottom w:w="15" w:type="dxa"/>
              <w:right w:w="57" w:type="dxa"/>
            </w:tcMar>
            <w:vAlign w:val="center"/>
            <w:hideMark/>
          </w:tcPr>
          <w:p w14:paraId="4E50E77B"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Q16</w:t>
            </w:r>
          </w:p>
        </w:tc>
        <w:tc>
          <w:tcPr>
            <w:tcW w:w="324" w:type="pct"/>
            <w:tcBorders>
              <w:top w:val="nil"/>
              <w:left w:val="nil"/>
              <w:bottom w:val="nil"/>
              <w:right w:val="nil"/>
            </w:tcBorders>
            <w:noWrap/>
            <w:tcMar>
              <w:top w:w="15" w:type="dxa"/>
              <w:left w:w="57" w:type="dxa"/>
              <w:bottom w:w="15" w:type="dxa"/>
              <w:right w:w="57" w:type="dxa"/>
            </w:tcMar>
            <w:vAlign w:val="center"/>
            <w:hideMark/>
          </w:tcPr>
          <w:p w14:paraId="10CD297C"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838" w:type="pct"/>
            <w:tcBorders>
              <w:top w:val="nil"/>
              <w:left w:val="nil"/>
              <w:bottom w:val="nil"/>
              <w:right w:val="nil"/>
            </w:tcBorders>
            <w:tcMar>
              <w:top w:w="15" w:type="dxa"/>
              <w:left w:w="140" w:type="dxa"/>
              <w:bottom w:w="15" w:type="dxa"/>
              <w:right w:w="140" w:type="dxa"/>
            </w:tcMar>
            <w:vAlign w:val="center"/>
            <w:hideMark/>
          </w:tcPr>
          <w:p w14:paraId="29BD3EAF"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Culture of School</w:t>
            </w:r>
          </w:p>
        </w:tc>
        <w:tc>
          <w:tcPr>
            <w:tcW w:w="1048" w:type="pct"/>
            <w:tcBorders>
              <w:top w:val="nil"/>
              <w:left w:val="nil"/>
              <w:bottom w:val="nil"/>
              <w:right w:val="nil"/>
            </w:tcBorders>
            <w:tcMar>
              <w:top w:w="15" w:type="dxa"/>
              <w:left w:w="140" w:type="dxa"/>
              <w:bottom w:w="15" w:type="dxa"/>
              <w:right w:w="140" w:type="dxa"/>
            </w:tcMar>
            <w:vAlign w:val="center"/>
            <w:hideMark/>
          </w:tcPr>
          <w:p w14:paraId="5C1A81BC"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1.045</w:t>
            </w:r>
          </w:p>
        </w:tc>
        <w:tc>
          <w:tcPr>
            <w:tcW w:w="801" w:type="pct"/>
            <w:tcBorders>
              <w:top w:val="nil"/>
              <w:left w:val="nil"/>
              <w:bottom w:val="nil"/>
              <w:right w:val="nil"/>
            </w:tcBorders>
            <w:tcMar>
              <w:top w:w="15" w:type="dxa"/>
              <w:left w:w="140" w:type="dxa"/>
              <w:bottom w:w="15" w:type="dxa"/>
              <w:right w:w="140" w:type="dxa"/>
            </w:tcMar>
            <w:vAlign w:val="center"/>
            <w:hideMark/>
          </w:tcPr>
          <w:p w14:paraId="7FEFF20B"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.024</w:t>
            </w:r>
          </w:p>
        </w:tc>
        <w:tc>
          <w:tcPr>
            <w:tcW w:w="1094" w:type="pct"/>
            <w:tcBorders>
              <w:top w:val="nil"/>
              <w:left w:val="nil"/>
              <w:bottom w:val="nil"/>
              <w:right w:val="nil"/>
            </w:tcBorders>
            <w:tcMar>
              <w:top w:w="15" w:type="dxa"/>
              <w:left w:w="140" w:type="dxa"/>
              <w:bottom w:w="15" w:type="dxa"/>
              <w:right w:w="140" w:type="dxa"/>
            </w:tcMar>
            <w:vAlign w:val="center"/>
            <w:hideMark/>
          </w:tcPr>
          <w:p w14:paraId="33258DA7"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.972</w:t>
            </w:r>
          </w:p>
        </w:tc>
        <w:tc>
          <w:tcPr>
            <w:tcW w:w="547" w:type="pct"/>
            <w:tcBorders>
              <w:top w:val="nil"/>
              <w:left w:val="nil"/>
              <w:bottom w:val="nil"/>
              <w:right w:val="nil"/>
            </w:tcBorders>
            <w:tcMar>
              <w:top w:w="15" w:type="dxa"/>
              <w:left w:w="140" w:type="dxa"/>
              <w:bottom w:w="15" w:type="dxa"/>
              <w:right w:w="140" w:type="dxa"/>
            </w:tcMar>
            <w:hideMark/>
          </w:tcPr>
          <w:p w14:paraId="42B80AAC"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014392C4" w14:textId="77777777" w:rsidTr="00CE66D1">
        <w:tc>
          <w:tcPr>
            <w:tcW w:w="349" w:type="pct"/>
            <w:tcBorders>
              <w:top w:val="nil"/>
              <w:bottom w:val="nil"/>
              <w:right w:val="nil"/>
            </w:tcBorders>
            <w:tcMar>
              <w:top w:w="15" w:type="dxa"/>
              <w:left w:w="57" w:type="dxa"/>
              <w:bottom w:w="15" w:type="dxa"/>
              <w:right w:w="57" w:type="dxa"/>
            </w:tcMar>
            <w:vAlign w:val="center"/>
            <w:hideMark/>
          </w:tcPr>
          <w:p w14:paraId="6ABDA797"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Q15</w:t>
            </w:r>
          </w:p>
        </w:tc>
        <w:tc>
          <w:tcPr>
            <w:tcW w:w="324" w:type="pct"/>
            <w:tcBorders>
              <w:top w:val="nil"/>
              <w:left w:val="nil"/>
              <w:bottom w:val="nil"/>
              <w:right w:val="nil"/>
            </w:tcBorders>
            <w:noWrap/>
            <w:tcMar>
              <w:top w:w="15" w:type="dxa"/>
              <w:left w:w="57" w:type="dxa"/>
              <w:bottom w:w="15" w:type="dxa"/>
              <w:right w:w="57" w:type="dxa"/>
            </w:tcMar>
            <w:vAlign w:val="center"/>
            <w:hideMark/>
          </w:tcPr>
          <w:p w14:paraId="08D342FF"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838" w:type="pct"/>
            <w:tcBorders>
              <w:top w:val="nil"/>
              <w:left w:val="nil"/>
              <w:bottom w:val="nil"/>
              <w:right w:val="nil"/>
            </w:tcBorders>
            <w:tcMar>
              <w:top w:w="15" w:type="dxa"/>
              <w:left w:w="140" w:type="dxa"/>
              <w:bottom w:w="15" w:type="dxa"/>
              <w:right w:w="140" w:type="dxa"/>
            </w:tcMar>
            <w:vAlign w:val="center"/>
            <w:hideMark/>
          </w:tcPr>
          <w:p w14:paraId="2BBDDCC5"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Culture of School</w:t>
            </w:r>
          </w:p>
        </w:tc>
        <w:tc>
          <w:tcPr>
            <w:tcW w:w="1048" w:type="pct"/>
            <w:tcBorders>
              <w:top w:val="nil"/>
              <w:left w:val="nil"/>
              <w:bottom w:val="nil"/>
              <w:right w:val="nil"/>
            </w:tcBorders>
            <w:tcMar>
              <w:top w:w="15" w:type="dxa"/>
              <w:left w:w="140" w:type="dxa"/>
              <w:bottom w:w="15" w:type="dxa"/>
              <w:right w:w="140" w:type="dxa"/>
            </w:tcMar>
            <w:vAlign w:val="center"/>
            <w:hideMark/>
          </w:tcPr>
          <w:p w14:paraId="2DCB4AE2"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1.042</w:t>
            </w:r>
          </w:p>
        </w:tc>
        <w:tc>
          <w:tcPr>
            <w:tcW w:w="801" w:type="pct"/>
            <w:tcBorders>
              <w:top w:val="nil"/>
              <w:left w:val="nil"/>
              <w:bottom w:val="nil"/>
              <w:right w:val="nil"/>
            </w:tcBorders>
            <w:tcMar>
              <w:top w:w="15" w:type="dxa"/>
              <w:left w:w="140" w:type="dxa"/>
              <w:bottom w:w="15" w:type="dxa"/>
              <w:right w:w="140" w:type="dxa"/>
            </w:tcMar>
            <w:vAlign w:val="center"/>
            <w:hideMark/>
          </w:tcPr>
          <w:p w14:paraId="6B04875B"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.024</w:t>
            </w:r>
          </w:p>
        </w:tc>
        <w:tc>
          <w:tcPr>
            <w:tcW w:w="1094" w:type="pct"/>
            <w:tcBorders>
              <w:top w:val="nil"/>
              <w:left w:val="nil"/>
              <w:bottom w:val="nil"/>
              <w:right w:val="nil"/>
            </w:tcBorders>
            <w:tcMar>
              <w:top w:w="15" w:type="dxa"/>
              <w:left w:w="140" w:type="dxa"/>
              <w:bottom w:w="15" w:type="dxa"/>
              <w:right w:w="140" w:type="dxa"/>
            </w:tcMar>
            <w:vAlign w:val="center"/>
            <w:hideMark/>
          </w:tcPr>
          <w:p w14:paraId="27C9A44C"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.968</w:t>
            </w:r>
          </w:p>
        </w:tc>
        <w:tc>
          <w:tcPr>
            <w:tcW w:w="547" w:type="pct"/>
            <w:tcBorders>
              <w:top w:val="nil"/>
              <w:left w:val="nil"/>
              <w:bottom w:val="nil"/>
              <w:right w:val="nil"/>
            </w:tcBorders>
            <w:tcMar>
              <w:top w:w="15" w:type="dxa"/>
              <w:left w:w="140" w:type="dxa"/>
              <w:bottom w:w="15" w:type="dxa"/>
              <w:right w:w="140" w:type="dxa"/>
            </w:tcMar>
            <w:hideMark/>
          </w:tcPr>
          <w:p w14:paraId="7DB0C35C"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672EA7AB" w14:textId="77777777" w:rsidTr="00CE66D1">
        <w:tc>
          <w:tcPr>
            <w:tcW w:w="349" w:type="pct"/>
            <w:tcBorders>
              <w:top w:val="nil"/>
              <w:bottom w:val="nil"/>
              <w:right w:val="nil"/>
            </w:tcBorders>
            <w:tcMar>
              <w:top w:w="15" w:type="dxa"/>
              <w:left w:w="57" w:type="dxa"/>
              <w:bottom w:w="15" w:type="dxa"/>
              <w:right w:w="57" w:type="dxa"/>
            </w:tcMar>
            <w:vAlign w:val="center"/>
            <w:hideMark/>
          </w:tcPr>
          <w:p w14:paraId="186223E0"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Q14</w:t>
            </w:r>
          </w:p>
        </w:tc>
        <w:tc>
          <w:tcPr>
            <w:tcW w:w="324" w:type="pct"/>
            <w:tcBorders>
              <w:top w:val="nil"/>
              <w:left w:val="nil"/>
              <w:bottom w:val="nil"/>
              <w:right w:val="nil"/>
            </w:tcBorders>
            <w:noWrap/>
            <w:tcMar>
              <w:top w:w="15" w:type="dxa"/>
              <w:left w:w="57" w:type="dxa"/>
              <w:bottom w:w="15" w:type="dxa"/>
              <w:right w:w="57" w:type="dxa"/>
            </w:tcMar>
            <w:vAlign w:val="center"/>
            <w:hideMark/>
          </w:tcPr>
          <w:p w14:paraId="08070479"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838" w:type="pct"/>
            <w:tcBorders>
              <w:top w:val="nil"/>
              <w:left w:val="nil"/>
              <w:bottom w:val="nil"/>
              <w:right w:val="nil"/>
            </w:tcBorders>
            <w:tcMar>
              <w:top w:w="15" w:type="dxa"/>
              <w:left w:w="140" w:type="dxa"/>
              <w:bottom w:w="15" w:type="dxa"/>
              <w:right w:w="140" w:type="dxa"/>
            </w:tcMar>
            <w:vAlign w:val="center"/>
            <w:hideMark/>
          </w:tcPr>
          <w:p w14:paraId="10434880"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Culture of School</w:t>
            </w:r>
          </w:p>
        </w:tc>
        <w:tc>
          <w:tcPr>
            <w:tcW w:w="1048" w:type="pct"/>
            <w:tcBorders>
              <w:top w:val="nil"/>
              <w:left w:val="nil"/>
              <w:bottom w:val="nil"/>
              <w:right w:val="nil"/>
            </w:tcBorders>
            <w:tcMar>
              <w:top w:w="15" w:type="dxa"/>
              <w:left w:w="140" w:type="dxa"/>
              <w:bottom w:w="15" w:type="dxa"/>
              <w:right w:w="140" w:type="dxa"/>
            </w:tcMar>
            <w:vAlign w:val="center"/>
            <w:hideMark/>
          </w:tcPr>
          <w:p w14:paraId="00410A9E"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1.022</w:t>
            </w:r>
          </w:p>
        </w:tc>
        <w:tc>
          <w:tcPr>
            <w:tcW w:w="801" w:type="pct"/>
            <w:tcBorders>
              <w:top w:val="nil"/>
              <w:left w:val="nil"/>
              <w:bottom w:val="nil"/>
              <w:right w:val="nil"/>
            </w:tcBorders>
            <w:tcMar>
              <w:top w:w="15" w:type="dxa"/>
              <w:left w:w="140" w:type="dxa"/>
              <w:bottom w:w="15" w:type="dxa"/>
              <w:right w:w="140" w:type="dxa"/>
            </w:tcMar>
            <w:vAlign w:val="center"/>
            <w:hideMark/>
          </w:tcPr>
          <w:p w14:paraId="5A40FC64"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.023</w:t>
            </w:r>
          </w:p>
        </w:tc>
        <w:tc>
          <w:tcPr>
            <w:tcW w:w="1094" w:type="pct"/>
            <w:tcBorders>
              <w:top w:val="nil"/>
              <w:left w:val="nil"/>
              <w:bottom w:val="nil"/>
              <w:right w:val="nil"/>
            </w:tcBorders>
            <w:tcMar>
              <w:top w:w="15" w:type="dxa"/>
              <w:left w:w="140" w:type="dxa"/>
              <w:bottom w:w="15" w:type="dxa"/>
              <w:right w:w="140" w:type="dxa"/>
            </w:tcMar>
            <w:vAlign w:val="center"/>
            <w:hideMark/>
          </w:tcPr>
          <w:p w14:paraId="0A1F783D"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.969</w:t>
            </w:r>
          </w:p>
        </w:tc>
        <w:tc>
          <w:tcPr>
            <w:tcW w:w="547" w:type="pct"/>
            <w:tcBorders>
              <w:top w:val="nil"/>
              <w:left w:val="nil"/>
              <w:bottom w:val="nil"/>
              <w:right w:val="nil"/>
            </w:tcBorders>
            <w:tcMar>
              <w:top w:w="15" w:type="dxa"/>
              <w:left w:w="140" w:type="dxa"/>
              <w:bottom w:w="15" w:type="dxa"/>
              <w:right w:w="140" w:type="dxa"/>
            </w:tcMar>
            <w:hideMark/>
          </w:tcPr>
          <w:p w14:paraId="7454758D"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4AC665BF" w14:textId="77777777" w:rsidTr="00CE66D1">
        <w:tc>
          <w:tcPr>
            <w:tcW w:w="349" w:type="pct"/>
            <w:tcBorders>
              <w:top w:val="nil"/>
              <w:bottom w:val="nil"/>
              <w:right w:val="nil"/>
            </w:tcBorders>
            <w:tcMar>
              <w:top w:w="15" w:type="dxa"/>
              <w:left w:w="57" w:type="dxa"/>
              <w:bottom w:w="15" w:type="dxa"/>
              <w:right w:w="57" w:type="dxa"/>
            </w:tcMar>
            <w:vAlign w:val="center"/>
            <w:hideMark/>
          </w:tcPr>
          <w:p w14:paraId="03E3384C"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Q13</w:t>
            </w:r>
          </w:p>
        </w:tc>
        <w:tc>
          <w:tcPr>
            <w:tcW w:w="324" w:type="pct"/>
            <w:tcBorders>
              <w:top w:val="nil"/>
              <w:left w:val="nil"/>
              <w:bottom w:val="nil"/>
              <w:right w:val="nil"/>
            </w:tcBorders>
            <w:noWrap/>
            <w:tcMar>
              <w:top w:w="15" w:type="dxa"/>
              <w:left w:w="57" w:type="dxa"/>
              <w:bottom w:w="15" w:type="dxa"/>
              <w:right w:w="57" w:type="dxa"/>
            </w:tcMar>
            <w:vAlign w:val="center"/>
            <w:hideMark/>
          </w:tcPr>
          <w:p w14:paraId="3EF361AC"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838" w:type="pct"/>
            <w:tcBorders>
              <w:top w:val="nil"/>
              <w:left w:val="nil"/>
              <w:bottom w:val="nil"/>
              <w:right w:val="nil"/>
            </w:tcBorders>
            <w:tcMar>
              <w:top w:w="15" w:type="dxa"/>
              <w:left w:w="140" w:type="dxa"/>
              <w:bottom w:w="15" w:type="dxa"/>
              <w:right w:w="140" w:type="dxa"/>
            </w:tcMar>
            <w:vAlign w:val="center"/>
            <w:hideMark/>
          </w:tcPr>
          <w:p w14:paraId="19F6E7D1"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Culture of School</w:t>
            </w:r>
          </w:p>
        </w:tc>
        <w:tc>
          <w:tcPr>
            <w:tcW w:w="1048" w:type="pct"/>
            <w:tcBorders>
              <w:top w:val="nil"/>
              <w:left w:val="nil"/>
              <w:bottom w:val="nil"/>
              <w:right w:val="nil"/>
            </w:tcBorders>
            <w:tcMar>
              <w:top w:w="15" w:type="dxa"/>
              <w:left w:w="140" w:type="dxa"/>
              <w:bottom w:w="15" w:type="dxa"/>
              <w:right w:w="140" w:type="dxa"/>
            </w:tcMar>
            <w:vAlign w:val="center"/>
            <w:hideMark/>
          </w:tcPr>
          <w:p w14:paraId="3027F8B8"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1.013</w:t>
            </w:r>
          </w:p>
        </w:tc>
        <w:tc>
          <w:tcPr>
            <w:tcW w:w="801" w:type="pct"/>
            <w:tcBorders>
              <w:top w:val="nil"/>
              <w:left w:val="nil"/>
              <w:bottom w:val="nil"/>
              <w:right w:val="nil"/>
            </w:tcBorders>
            <w:tcMar>
              <w:top w:w="15" w:type="dxa"/>
              <w:left w:w="140" w:type="dxa"/>
              <w:bottom w:w="15" w:type="dxa"/>
              <w:right w:w="140" w:type="dxa"/>
            </w:tcMar>
            <w:vAlign w:val="center"/>
            <w:hideMark/>
          </w:tcPr>
          <w:p w14:paraId="087D82BD"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.024</w:t>
            </w:r>
          </w:p>
        </w:tc>
        <w:tc>
          <w:tcPr>
            <w:tcW w:w="1094" w:type="pct"/>
            <w:tcBorders>
              <w:top w:val="nil"/>
              <w:left w:val="nil"/>
              <w:bottom w:val="nil"/>
              <w:right w:val="nil"/>
            </w:tcBorders>
            <w:tcMar>
              <w:top w:w="15" w:type="dxa"/>
              <w:left w:w="140" w:type="dxa"/>
              <w:bottom w:w="15" w:type="dxa"/>
              <w:right w:w="140" w:type="dxa"/>
            </w:tcMar>
            <w:vAlign w:val="center"/>
            <w:hideMark/>
          </w:tcPr>
          <w:p w14:paraId="520D429C"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.961</w:t>
            </w:r>
          </w:p>
        </w:tc>
        <w:tc>
          <w:tcPr>
            <w:tcW w:w="547" w:type="pct"/>
            <w:tcBorders>
              <w:top w:val="nil"/>
              <w:left w:val="nil"/>
              <w:bottom w:val="nil"/>
              <w:right w:val="nil"/>
            </w:tcBorders>
            <w:tcMar>
              <w:top w:w="15" w:type="dxa"/>
              <w:left w:w="140" w:type="dxa"/>
              <w:bottom w:w="15" w:type="dxa"/>
              <w:right w:w="140" w:type="dxa"/>
            </w:tcMar>
            <w:hideMark/>
          </w:tcPr>
          <w:p w14:paraId="61C12C1E"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3F5A4B65" w14:textId="77777777" w:rsidTr="00CE66D1">
        <w:tc>
          <w:tcPr>
            <w:tcW w:w="349" w:type="pct"/>
            <w:tcBorders>
              <w:top w:val="nil"/>
              <w:bottom w:val="nil"/>
              <w:right w:val="nil"/>
            </w:tcBorders>
            <w:tcMar>
              <w:top w:w="15" w:type="dxa"/>
              <w:left w:w="57" w:type="dxa"/>
              <w:bottom w:w="15" w:type="dxa"/>
              <w:right w:w="57" w:type="dxa"/>
            </w:tcMar>
            <w:vAlign w:val="center"/>
            <w:hideMark/>
          </w:tcPr>
          <w:p w14:paraId="383A2AFA"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Q12</w:t>
            </w:r>
          </w:p>
        </w:tc>
        <w:tc>
          <w:tcPr>
            <w:tcW w:w="324" w:type="pct"/>
            <w:tcBorders>
              <w:top w:val="nil"/>
              <w:left w:val="nil"/>
              <w:bottom w:val="nil"/>
              <w:right w:val="nil"/>
            </w:tcBorders>
            <w:noWrap/>
            <w:tcMar>
              <w:top w:w="15" w:type="dxa"/>
              <w:left w:w="57" w:type="dxa"/>
              <w:bottom w:w="15" w:type="dxa"/>
              <w:right w:w="57" w:type="dxa"/>
            </w:tcMar>
            <w:vAlign w:val="center"/>
            <w:hideMark/>
          </w:tcPr>
          <w:p w14:paraId="2A8F8373"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838" w:type="pct"/>
            <w:tcBorders>
              <w:top w:val="nil"/>
              <w:left w:val="nil"/>
              <w:bottom w:val="nil"/>
              <w:right w:val="nil"/>
            </w:tcBorders>
            <w:tcMar>
              <w:top w:w="15" w:type="dxa"/>
              <w:left w:w="140" w:type="dxa"/>
              <w:bottom w:w="15" w:type="dxa"/>
              <w:right w:w="140" w:type="dxa"/>
            </w:tcMar>
            <w:vAlign w:val="center"/>
            <w:hideMark/>
          </w:tcPr>
          <w:p w14:paraId="5EB2A951"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Culture of School</w:t>
            </w:r>
          </w:p>
        </w:tc>
        <w:tc>
          <w:tcPr>
            <w:tcW w:w="1048" w:type="pct"/>
            <w:tcBorders>
              <w:top w:val="nil"/>
              <w:left w:val="nil"/>
              <w:bottom w:val="nil"/>
              <w:right w:val="nil"/>
            </w:tcBorders>
            <w:tcMar>
              <w:top w:w="15" w:type="dxa"/>
              <w:left w:w="140" w:type="dxa"/>
              <w:bottom w:w="15" w:type="dxa"/>
              <w:right w:w="140" w:type="dxa"/>
            </w:tcMar>
            <w:vAlign w:val="center"/>
            <w:hideMark/>
          </w:tcPr>
          <w:p w14:paraId="071680C4"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.911</w:t>
            </w:r>
          </w:p>
        </w:tc>
        <w:tc>
          <w:tcPr>
            <w:tcW w:w="801" w:type="pct"/>
            <w:tcBorders>
              <w:top w:val="nil"/>
              <w:left w:val="nil"/>
              <w:bottom w:val="nil"/>
              <w:right w:val="nil"/>
            </w:tcBorders>
            <w:tcMar>
              <w:top w:w="15" w:type="dxa"/>
              <w:left w:w="140" w:type="dxa"/>
              <w:bottom w:w="15" w:type="dxa"/>
              <w:right w:w="140" w:type="dxa"/>
            </w:tcMar>
            <w:vAlign w:val="center"/>
            <w:hideMark/>
          </w:tcPr>
          <w:p w14:paraId="055687BE"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.031</w:t>
            </w:r>
          </w:p>
        </w:tc>
        <w:tc>
          <w:tcPr>
            <w:tcW w:w="1094" w:type="pct"/>
            <w:tcBorders>
              <w:top w:val="nil"/>
              <w:left w:val="nil"/>
              <w:bottom w:val="nil"/>
              <w:right w:val="nil"/>
            </w:tcBorders>
            <w:tcMar>
              <w:top w:w="15" w:type="dxa"/>
              <w:left w:w="140" w:type="dxa"/>
              <w:bottom w:w="15" w:type="dxa"/>
              <w:right w:w="140" w:type="dxa"/>
            </w:tcMar>
            <w:vAlign w:val="center"/>
            <w:hideMark/>
          </w:tcPr>
          <w:p w14:paraId="63A241C3"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.877</w:t>
            </w:r>
          </w:p>
        </w:tc>
        <w:tc>
          <w:tcPr>
            <w:tcW w:w="547" w:type="pct"/>
            <w:tcBorders>
              <w:top w:val="nil"/>
              <w:left w:val="nil"/>
              <w:bottom w:val="nil"/>
              <w:right w:val="nil"/>
            </w:tcBorders>
            <w:tcMar>
              <w:top w:w="15" w:type="dxa"/>
              <w:left w:w="140" w:type="dxa"/>
              <w:bottom w:w="15" w:type="dxa"/>
              <w:right w:w="140" w:type="dxa"/>
            </w:tcMar>
            <w:hideMark/>
          </w:tcPr>
          <w:p w14:paraId="62C1C974"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29F61303" w14:textId="77777777" w:rsidTr="00CE66D1">
        <w:tc>
          <w:tcPr>
            <w:tcW w:w="349" w:type="pct"/>
            <w:tcBorders>
              <w:top w:val="nil"/>
              <w:bottom w:val="nil"/>
              <w:right w:val="nil"/>
            </w:tcBorders>
            <w:tcMar>
              <w:top w:w="15" w:type="dxa"/>
              <w:left w:w="57" w:type="dxa"/>
              <w:bottom w:w="15" w:type="dxa"/>
              <w:right w:w="57" w:type="dxa"/>
            </w:tcMar>
            <w:vAlign w:val="center"/>
            <w:hideMark/>
          </w:tcPr>
          <w:p w14:paraId="060B3CE2"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Q11</w:t>
            </w:r>
          </w:p>
        </w:tc>
        <w:tc>
          <w:tcPr>
            <w:tcW w:w="324" w:type="pct"/>
            <w:tcBorders>
              <w:top w:val="nil"/>
              <w:left w:val="nil"/>
              <w:bottom w:val="nil"/>
              <w:right w:val="nil"/>
            </w:tcBorders>
            <w:noWrap/>
            <w:tcMar>
              <w:top w:w="15" w:type="dxa"/>
              <w:left w:w="57" w:type="dxa"/>
              <w:bottom w:w="15" w:type="dxa"/>
              <w:right w:w="57" w:type="dxa"/>
            </w:tcMar>
            <w:vAlign w:val="center"/>
            <w:hideMark/>
          </w:tcPr>
          <w:p w14:paraId="782B5FBF"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838" w:type="pct"/>
            <w:tcBorders>
              <w:top w:val="nil"/>
              <w:left w:val="nil"/>
              <w:bottom w:val="nil"/>
              <w:right w:val="nil"/>
            </w:tcBorders>
            <w:tcMar>
              <w:top w:w="15" w:type="dxa"/>
              <w:left w:w="140" w:type="dxa"/>
              <w:bottom w:w="15" w:type="dxa"/>
              <w:right w:w="140" w:type="dxa"/>
            </w:tcMar>
            <w:vAlign w:val="center"/>
            <w:hideMark/>
          </w:tcPr>
          <w:p w14:paraId="330524B0"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Culture of School</w:t>
            </w:r>
          </w:p>
        </w:tc>
        <w:tc>
          <w:tcPr>
            <w:tcW w:w="1048" w:type="pct"/>
            <w:tcBorders>
              <w:top w:val="nil"/>
              <w:left w:val="nil"/>
              <w:bottom w:val="nil"/>
              <w:right w:val="nil"/>
            </w:tcBorders>
            <w:tcMar>
              <w:top w:w="15" w:type="dxa"/>
              <w:left w:w="140" w:type="dxa"/>
              <w:bottom w:w="15" w:type="dxa"/>
              <w:right w:w="140" w:type="dxa"/>
            </w:tcMar>
            <w:vAlign w:val="center"/>
            <w:hideMark/>
          </w:tcPr>
          <w:p w14:paraId="675D48FB"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1.033</w:t>
            </w:r>
          </w:p>
        </w:tc>
        <w:tc>
          <w:tcPr>
            <w:tcW w:w="801" w:type="pct"/>
            <w:tcBorders>
              <w:top w:val="nil"/>
              <w:left w:val="nil"/>
              <w:bottom w:val="nil"/>
              <w:right w:val="nil"/>
            </w:tcBorders>
            <w:tcMar>
              <w:top w:w="15" w:type="dxa"/>
              <w:left w:w="140" w:type="dxa"/>
              <w:bottom w:w="15" w:type="dxa"/>
              <w:right w:w="140" w:type="dxa"/>
            </w:tcMar>
            <w:vAlign w:val="center"/>
            <w:hideMark/>
          </w:tcPr>
          <w:p w14:paraId="00C5A53F"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.022</w:t>
            </w:r>
          </w:p>
        </w:tc>
        <w:tc>
          <w:tcPr>
            <w:tcW w:w="1094" w:type="pct"/>
            <w:tcBorders>
              <w:top w:val="nil"/>
              <w:left w:val="nil"/>
              <w:bottom w:val="nil"/>
              <w:right w:val="nil"/>
            </w:tcBorders>
            <w:tcMar>
              <w:top w:w="15" w:type="dxa"/>
              <w:left w:w="140" w:type="dxa"/>
              <w:bottom w:w="15" w:type="dxa"/>
              <w:right w:w="140" w:type="dxa"/>
            </w:tcMar>
            <w:vAlign w:val="center"/>
            <w:hideMark/>
          </w:tcPr>
          <w:p w14:paraId="3961101E"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.980</w:t>
            </w:r>
          </w:p>
        </w:tc>
        <w:tc>
          <w:tcPr>
            <w:tcW w:w="547" w:type="pct"/>
            <w:tcBorders>
              <w:top w:val="nil"/>
              <w:left w:val="nil"/>
              <w:bottom w:val="nil"/>
              <w:right w:val="nil"/>
            </w:tcBorders>
            <w:tcMar>
              <w:top w:w="15" w:type="dxa"/>
              <w:left w:w="140" w:type="dxa"/>
              <w:bottom w:w="15" w:type="dxa"/>
              <w:right w:w="140" w:type="dxa"/>
            </w:tcMar>
            <w:hideMark/>
          </w:tcPr>
          <w:p w14:paraId="5BB42B82"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0E6F559F" w14:textId="77777777" w:rsidTr="00CE66D1">
        <w:tc>
          <w:tcPr>
            <w:tcW w:w="349" w:type="pct"/>
            <w:tcBorders>
              <w:top w:val="nil"/>
              <w:bottom w:val="nil"/>
              <w:right w:val="nil"/>
            </w:tcBorders>
            <w:tcMar>
              <w:top w:w="15" w:type="dxa"/>
              <w:left w:w="57" w:type="dxa"/>
              <w:bottom w:w="15" w:type="dxa"/>
              <w:right w:w="57" w:type="dxa"/>
            </w:tcMar>
            <w:vAlign w:val="center"/>
            <w:hideMark/>
          </w:tcPr>
          <w:p w14:paraId="60442C6F"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Q10</w:t>
            </w:r>
          </w:p>
        </w:tc>
        <w:tc>
          <w:tcPr>
            <w:tcW w:w="324" w:type="pct"/>
            <w:tcBorders>
              <w:top w:val="nil"/>
              <w:left w:val="nil"/>
              <w:bottom w:val="nil"/>
              <w:right w:val="nil"/>
            </w:tcBorders>
            <w:noWrap/>
            <w:tcMar>
              <w:top w:w="15" w:type="dxa"/>
              <w:left w:w="57" w:type="dxa"/>
              <w:bottom w:w="15" w:type="dxa"/>
              <w:right w:w="57" w:type="dxa"/>
            </w:tcMar>
            <w:vAlign w:val="center"/>
            <w:hideMark/>
          </w:tcPr>
          <w:p w14:paraId="32699011"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838" w:type="pct"/>
            <w:tcBorders>
              <w:top w:val="nil"/>
              <w:left w:val="nil"/>
              <w:bottom w:val="nil"/>
              <w:right w:val="nil"/>
            </w:tcBorders>
            <w:tcMar>
              <w:top w:w="15" w:type="dxa"/>
              <w:left w:w="140" w:type="dxa"/>
              <w:bottom w:w="15" w:type="dxa"/>
              <w:right w:w="140" w:type="dxa"/>
            </w:tcMar>
            <w:vAlign w:val="center"/>
            <w:hideMark/>
          </w:tcPr>
          <w:p w14:paraId="16C8ABAD"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Culture of School</w:t>
            </w:r>
          </w:p>
        </w:tc>
        <w:tc>
          <w:tcPr>
            <w:tcW w:w="1048" w:type="pct"/>
            <w:tcBorders>
              <w:top w:val="nil"/>
              <w:left w:val="nil"/>
              <w:bottom w:val="nil"/>
              <w:right w:val="nil"/>
            </w:tcBorders>
            <w:tcMar>
              <w:top w:w="15" w:type="dxa"/>
              <w:left w:w="140" w:type="dxa"/>
              <w:bottom w:w="15" w:type="dxa"/>
              <w:right w:w="140" w:type="dxa"/>
            </w:tcMar>
            <w:vAlign w:val="center"/>
            <w:hideMark/>
          </w:tcPr>
          <w:p w14:paraId="2B6EDAF9"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1.043</w:t>
            </w:r>
          </w:p>
        </w:tc>
        <w:tc>
          <w:tcPr>
            <w:tcW w:w="801" w:type="pct"/>
            <w:tcBorders>
              <w:top w:val="nil"/>
              <w:left w:val="nil"/>
              <w:bottom w:val="nil"/>
              <w:right w:val="nil"/>
            </w:tcBorders>
            <w:tcMar>
              <w:top w:w="15" w:type="dxa"/>
              <w:left w:w="140" w:type="dxa"/>
              <w:bottom w:w="15" w:type="dxa"/>
              <w:right w:w="140" w:type="dxa"/>
            </w:tcMar>
            <w:vAlign w:val="center"/>
            <w:hideMark/>
          </w:tcPr>
          <w:p w14:paraId="56D3551A"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.026</w:t>
            </w:r>
          </w:p>
        </w:tc>
        <w:tc>
          <w:tcPr>
            <w:tcW w:w="1094" w:type="pct"/>
            <w:tcBorders>
              <w:top w:val="nil"/>
              <w:left w:val="nil"/>
              <w:bottom w:val="nil"/>
              <w:right w:val="nil"/>
            </w:tcBorders>
            <w:tcMar>
              <w:top w:w="15" w:type="dxa"/>
              <w:left w:w="140" w:type="dxa"/>
              <w:bottom w:w="15" w:type="dxa"/>
              <w:right w:w="140" w:type="dxa"/>
            </w:tcMar>
            <w:vAlign w:val="center"/>
            <w:hideMark/>
          </w:tcPr>
          <w:p w14:paraId="0474ADB3"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.952</w:t>
            </w:r>
          </w:p>
        </w:tc>
        <w:tc>
          <w:tcPr>
            <w:tcW w:w="547" w:type="pct"/>
            <w:tcBorders>
              <w:top w:val="nil"/>
              <w:left w:val="nil"/>
              <w:bottom w:val="nil"/>
              <w:right w:val="nil"/>
            </w:tcBorders>
            <w:tcMar>
              <w:top w:w="15" w:type="dxa"/>
              <w:left w:w="140" w:type="dxa"/>
              <w:bottom w:w="15" w:type="dxa"/>
              <w:right w:w="140" w:type="dxa"/>
            </w:tcMar>
            <w:hideMark/>
          </w:tcPr>
          <w:p w14:paraId="0B386B0C"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27DD8FE1" w14:textId="77777777" w:rsidTr="00CE66D1">
        <w:tc>
          <w:tcPr>
            <w:tcW w:w="349" w:type="pct"/>
            <w:tcBorders>
              <w:top w:val="nil"/>
              <w:bottom w:val="nil"/>
              <w:right w:val="nil"/>
            </w:tcBorders>
            <w:tcMar>
              <w:top w:w="15" w:type="dxa"/>
              <w:left w:w="57" w:type="dxa"/>
              <w:bottom w:w="15" w:type="dxa"/>
              <w:right w:w="57" w:type="dxa"/>
            </w:tcMar>
            <w:vAlign w:val="center"/>
            <w:hideMark/>
          </w:tcPr>
          <w:p w14:paraId="60347952"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Q9</w:t>
            </w:r>
          </w:p>
        </w:tc>
        <w:tc>
          <w:tcPr>
            <w:tcW w:w="324" w:type="pct"/>
            <w:tcBorders>
              <w:top w:val="nil"/>
              <w:left w:val="nil"/>
              <w:bottom w:val="nil"/>
              <w:right w:val="nil"/>
            </w:tcBorders>
            <w:noWrap/>
            <w:tcMar>
              <w:top w:w="15" w:type="dxa"/>
              <w:left w:w="57" w:type="dxa"/>
              <w:bottom w:w="15" w:type="dxa"/>
              <w:right w:w="57" w:type="dxa"/>
            </w:tcMar>
            <w:vAlign w:val="center"/>
            <w:hideMark/>
          </w:tcPr>
          <w:p w14:paraId="581F2058"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838" w:type="pct"/>
            <w:tcBorders>
              <w:top w:val="nil"/>
              <w:left w:val="nil"/>
              <w:bottom w:val="nil"/>
              <w:right w:val="nil"/>
            </w:tcBorders>
            <w:tcMar>
              <w:top w:w="15" w:type="dxa"/>
              <w:left w:w="140" w:type="dxa"/>
              <w:bottom w:w="15" w:type="dxa"/>
              <w:right w:w="140" w:type="dxa"/>
            </w:tcMar>
            <w:vAlign w:val="center"/>
            <w:hideMark/>
          </w:tcPr>
          <w:p w14:paraId="3D28BCD7"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Culture of School</w:t>
            </w:r>
          </w:p>
        </w:tc>
        <w:tc>
          <w:tcPr>
            <w:tcW w:w="1048" w:type="pct"/>
            <w:tcBorders>
              <w:top w:val="nil"/>
              <w:left w:val="nil"/>
              <w:bottom w:val="nil"/>
              <w:right w:val="nil"/>
            </w:tcBorders>
            <w:tcMar>
              <w:top w:w="15" w:type="dxa"/>
              <w:left w:w="140" w:type="dxa"/>
              <w:bottom w:w="15" w:type="dxa"/>
              <w:right w:w="140" w:type="dxa"/>
            </w:tcMar>
            <w:vAlign w:val="center"/>
            <w:hideMark/>
          </w:tcPr>
          <w:p w14:paraId="5EE15B05"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1.029</w:t>
            </w:r>
          </w:p>
        </w:tc>
        <w:tc>
          <w:tcPr>
            <w:tcW w:w="801" w:type="pct"/>
            <w:tcBorders>
              <w:top w:val="nil"/>
              <w:left w:val="nil"/>
              <w:bottom w:val="nil"/>
              <w:right w:val="nil"/>
            </w:tcBorders>
            <w:tcMar>
              <w:top w:w="15" w:type="dxa"/>
              <w:left w:w="140" w:type="dxa"/>
              <w:bottom w:w="15" w:type="dxa"/>
              <w:right w:w="140" w:type="dxa"/>
            </w:tcMar>
            <w:vAlign w:val="center"/>
            <w:hideMark/>
          </w:tcPr>
          <w:p w14:paraId="066DC3A2"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.023</w:t>
            </w:r>
          </w:p>
        </w:tc>
        <w:tc>
          <w:tcPr>
            <w:tcW w:w="1094" w:type="pct"/>
            <w:tcBorders>
              <w:top w:val="nil"/>
              <w:left w:val="nil"/>
              <w:bottom w:val="nil"/>
              <w:right w:val="nil"/>
            </w:tcBorders>
            <w:tcMar>
              <w:top w:w="15" w:type="dxa"/>
              <w:left w:w="140" w:type="dxa"/>
              <w:bottom w:w="15" w:type="dxa"/>
              <w:right w:w="140" w:type="dxa"/>
            </w:tcMar>
            <w:vAlign w:val="center"/>
            <w:hideMark/>
          </w:tcPr>
          <w:p w14:paraId="3BF6D825"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.976</w:t>
            </w:r>
          </w:p>
        </w:tc>
        <w:tc>
          <w:tcPr>
            <w:tcW w:w="547" w:type="pct"/>
            <w:tcBorders>
              <w:top w:val="nil"/>
              <w:left w:val="nil"/>
              <w:bottom w:val="nil"/>
              <w:right w:val="nil"/>
            </w:tcBorders>
            <w:tcMar>
              <w:top w:w="15" w:type="dxa"/>
              <w:left w:w="140" w:type="dxa"/>
              <w:bottom w:w="15" w:type="dxa"/>
              <w:right w:w="140" w:type="dxa"/>
            </w:tcMar>
            <w:hideMark/>
          </w:tcPr>
          <w:p w14:paraId="07CEE96C"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20DEAB88" w14:textId="77777777" w:rsidTr="00CE66D1">
        <w:tc>
          <w:tcPr>
            <w:tcW w:w="349" w:type="pct"/>
            <w:tcBorders>
              <w:top w:val="nil"/>
              <w:right w:val="nil"/>
            </w:tcBorders>
            <w:tcMar>
              <w:top w:w="15" w:type="dxa"/>
              <w:left w:w="57" w:type="dxa"/>
              <w:bottom w:w="15" w:type="dxa"/>
              <w:right w:w="57" w:type="dxa"/>
            </w:tcMar>
            <w:vAlign w:val="center"/>
            <w:hideMark/>
          </w:tcPr>
          <w:p w14:paraId="79E574B0"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Q8</w:t>
            </w:r>
          </w:p>
        </w:tc>
        <w:tc>
          <w:tcPr>
            <w:tcW w:w="324" w:type="pct"/>
            <w:tcBorders>
              <w:top w:val="nil"/>
              <w:left w:val="nil"/>
              <w:right w:val="nil"/>
            </w:tcBorders>
            <w:noWrap/>
            <w:tcMar>
              <w:top w:w="15" w:type="dxa"/>
              <w:left w:w="57" w:type="dxa"/>
              <w:bottom w:w="15" w:type="dxa"/>
              <w:right w:w="57" w:type="dxa"/>
            </w:tcMar>
            <w:vAlign w:val="center"/>
            <w:hideMark/>
          </w:tcPr>
          <w:p w14:paraId="72BA8EDA"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838" w:type="pct"/>
            <w:tcBorders>
              <w:top w:val="nil"/>
              <w:left w:val="nil"/>
              <w:right w:val="nil"/>
            </w:tcBorders>
            <w:tcMar>
              <w:top w:w="15" w:type="dxa"/>
              <w:left w:w="140" w:type="dxa"/>
              <w:bottom w:w="15" w:type="dxa"/>
              <w:right w:w="140" w:type="dxa"/>
            </w:tcMar>
            <w:vAlign w:val="center"/>
            <w:hideMark/>
          </w:tcPr>
          <w:p w14:paraId="7A073867"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Culture of School</w:t>
            </w:r>
          </w:p>
        </w:tc>
        <w:tc>
          <w:tcPr>
            <w:tcW w:w="1048" w:type="pct"/>
            <w:tcBorders>
              <w:top w:val="nil"/>
              <w:left w:val="nil"/>
              <w:right w:val="nil"/>
            </w:tcBorders>
            <w:tcMar>
              <w:top w:w="15" w:type="dxa"/>
              <w:left w:w="140" w:type="dxa"/>
              <w:bottom w:w="15" w:type="dxa"/>
              <w:right w:w="140" w:type="dxa"/>
            </w:tcMar>
            <w:vAlign w:val="center"/>
            <w:hideMark/>
          </w:tcPr>
          <w:p w14:paraId="020BC753"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.999</w:t>
            </w:r>
          </w:p>
        </w:tc>
        <w:tc>
          <w:tcPr>
            <w:tcW w:w="801" w:type="pct"/>
            <w:tcBorders>
              <w:top w:val="nil"/>
              <w:left w:val="nil"/>
              <w:right w:val="nil"/>
            </w:tcBorders>
            <w:tcMar>
              <w:top w:w="15" w:type="dxa"/>
              <w:left w:w="140" w:type="dxa"/>
              <w:bottom w:w="15" w:type="dxa"/>
              <w:right w:w="140" w:type="dxa"/>
            </w:tcMar>
            <w:vAlign w:val="center"/>
            <w:hideMark/>
          </w:tcPr>
          <w:p w14:paraId="18EA7107"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.025</w:t>
            </w:r>
          </w:p>
        </w:tc>
        <w:tc>
          <w:tcPr>
            <w:tcW w:w="1094" w:type="pct"/>
            <w:tcBorders>
              <w:top w:val="nil"/>
              <w:left w:val="nil"/>
              <w:right w:val="nil"/>
            </w:tcBorders>
            <w:tcMar>
              <w:top w:w="15" w:type="dxa"/>
              <w:left w:w="140" w:type="dxa"/>
              <w:bottom w:w="15" w:type="dxa"/>
              <w:right w:w="140" w:type="dxa"/>
            </w:tcMar>
            <w:vAlign w:val="center"/>
            <w:hideMark/>
          </w:tcPr>
          <w:p w14:paraId="74FEE405"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.948</w:t>
            </w:r>
          </w:p>
        </w:tc>
        <w:tc>
          <w:tcPr>
            <w:tcW w:w="547" w:type="pct"/>
            <w:tcBorders>
              <w:top w:val="nil"/>
              <w:left w:val="nil"/>
              <w:right w:val="nil"/>
            </w:tcBorders>
            <w:tcMar>
              <w:top w:w="15" w:type="dxa"/>
              <w:left w:w="140" w:type="dxa"/>
              <w:bottom w:w="15" w:type="dxa"/>
              <w:right w:w="140" w:type="dxa"/>
            </w:tcMar>
            <w:hideMark/>
          </w:tcPr>
          <w:p w14:paraId="717E99C9"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bl>
    <w:p w14:paraId="19674F75" w14:textId="77777777" w:rsidR="006E3964" w:rsidRPr="00BB6978" w:rsidRDefault="006E3964" w:rsidP="006E3964">
      <w:pPr>
        <w:spacing w:before="240" w:after="0" w:line="480" w:lineRule="auto"/>
        <w:ind w:firstLine="720"/>
        <w:jc w:val="both"/>
        <w:rPr>
          <w:rFonts w:ascii="Times New Roman" w:eastAsia="Calibri" w:hAnsi="Times New Roman" w:cs="Times New Roman"/>
          <w:bCs/>
          <w:sz w:val="24"/>
          <w:szCs w:val="24"/>
        </w:rPr>
      </w:pPr>
      <w:r w:rsidRPr="00BB6978">
        <w:rPr>
          <w:rFonts w:ascii="Times New Roman" w:eastAsia="Calibri" w:hAnsi="Times New Roman" w:cs="Times New Roman"/>
          <w:bCs/>
          <w:sz w:val="24"/>
          <w:szCs w:val="24"/>
        </w:rPr>
        <w:t>The following structural model in Table 20demonstrates that the quality of fit representation for the sample data (χ</w:t>
      </w:r>
      <w:r w:rsidRPr="00BB6978">
        <w:rPr>
          <w:rFonts w:ascii="Times New Roman" w:eastAsia="Calibri" w:hAnsi="Times New Roman" w:cs="Times New Roman"/>
          <w:bCs/>
          <w:i/>
          <w:sz w:val="24"/>
          <w:szCs w:val="24"/>
          <w:vertAlign w:val="superscript"/>
        </w:rPr>
        <w:t>2</w:t>
      </w:r>
      <w:r w:rsidRPr="00BB6978">
        <w:rPr>
          <w:rFonts w:ascii="Times New Roman" w:eastAsia="Calibri" w:hAnsi="Times New Roman" w:cs="Times New Roman"/>
          <w:bCs/>
          <w:sz w:val="24"/>
          <w:szCs w:val="24"/>
          <w:vertAlign w:val="superscript"/>
        </w:rPr>
        <w:t xml:space="preserve"> </w:t>
      </w:r>
      <w:r w:rsidRPr="00BB6978">
        <w:rPr>
          <w:rFonts w:ascii="Times New Roman" w:eastAsia="Calibri" w:hAnsi="Times New Roman" w:cs="Times New Roman"/>
          <w:bCs/>
          <w:sz w:val="24"/>
          <w:szCs w:val="24"/>
        </w:rPr>
        <w:t xml:space="preserve">(310)= 913.553, GFI =0.959; CFI =0.977 RFI = 0.962 and NFI = 0.966 at which all are larger than the 0.90 which is the standard criterion that was commended by </w:t>
      </w:r>
      <w:r w:rsidRPr="00BB6978">
        <w:rPr>
          <w:rFonts w:ascii="Times New Roman" w:eastAsia="Calibri" w:hAnsi="Times New Roman" w:cs="Times New Roman"/>
          <w:bCs/>
          <w:sz w:val="24"/>
          <w:szCs w:val="24"/>
        </w:rPr>
        <w:fldChar w:fldCharType="begin" w:fldLock="1"/>
      </w:r>
      <w:r w:rsidRPr="00BB6978">
        <w:rPr>
          <w:rFonts w:ascii="Times New Roman" w:eastAsia="Calibri" w:hAnsi="Times New Roman" w:cs="Times New Roman"/>
          <w:bCs/>
          <w:sz w:val="24"/>
          <w:szCs w:val="24"/>
        </w:rPr>
        <w:instrText>ADDIN CSL_CITATION { "citationItems" : [ { "id" : "ITEM-1", "itemData" : { "author" : [ { "dropping-particle" : "", "family" : "Joreskog", "given" : "K.", "non-dropping-particle" : "", "parse-names" : false, "suffix" : "" }, { "dropping-particle" : "", "family" : "Sorbom", "given" : "D.", "non-dropping-particle" : "", "parse-names" : false, "suffix" : "" } ], "id" : "ITEM-1", "issued" : { "date-parts" : [ [ "1981" ] ] }, "publisher" : "Chicago: National Educational Resources.", "title" : "LISREL V: analysis of linear structural relationships by the method of maximum likelihood", "type" : "book" }, "uris" : [ "http://www.mendeley.com/documents/?uuid=3c3aca7c-4cdb-4b46-9069-9cba0cbf6cf1" ] } ], "mendeley" : { "formattedCitation" : "(Joreskog &amp; Sorbom, 1981)", "manualFormatting" : "Joreskog and Sorbom (1981)", "plainTextFormattedCitation" : "(Joreskog &amp; Sorbom, 1981)", "previouslyFormattedCitation" : "(Joreskog &amp; Sorbom, 1981)" }, "properties" : { "noteIndex" : 0 }, "schema" : "https://github.com/citation-style-language/schema/raw/master/csl-citation.json" }</w:instrText>
      </w:r>
      <w:r w:rsidRPr="00BB6978">
        <w:rPr>
          <w:rFonts w:ascii="Times New Roman" w:eastAsia="Calibri" w:hAnsi="Times New Roman" w:cs="Times New Roman"/>
          <w:bCs/>
          <w:sz w:val="24"/>
          <w:szCs w:val="24"/>
        </w:rPr>
        <w:fldChar w:fldCharType="separate"/>
      </w:r>
      <w:r w:rsidRPr="00BB6978">
        <w:rPr>
          <w:rFonts w:ascii="Times New Roman" w:eastAsia="Calibri" w:hAnsi="Times New Roman" w:cs="Times New Roman"/>
          <w:bCs/>
          <w:sz w:val="24"/>
          <w:szCs w:val="24"/>
        </w:rPr>
        <w:t>Joreskog and Sorbom (1981)</w:t>
      </w:r>
      <w:r w:rsidRPr="00BB6978">
        <w:rPr>
          <w:rFonts w:ascii="Times New Roman" w:eastAsia="Calibri" w:hAnsi="Times New Roman" w:cs="Times New Roman"/>
          <w:bCs/>
          <w:sz w:val="24"/>
          <w:szCs w:val="24"/>
        </w:rPr>
        <w:fldChar w:fldCharType="end"/>
      </w:r>
      <w:r w:rsidRPr="00BB6978">
        <w:rPr>
          <w:rFonts w:ascii="Times New Roman" w:eastAsia="Calibri" w:hAnsi="Times New Roman" w:cs="Times New Roman"/>
          <w:bCs/>
          <w:sz w:val="24"/>
          <w:szCs w:val="24"/>
        </w:rPr>
        <w:t xml:space="preserve"> and </w:t>
      </w:r>
      <w:r w:rsidRPr="00BB6978">
        <w:rPr>
          <w:rFonts w:ascii="Times New Roman" w:eastAsia="Calibri" w:hAnsi="Times New Roman" w:cs="Times New Roman"/>
          <w:bCs/>
          <w:sz w:val="24"/>
          <w:szCs w:val="24"/>
        </w:rPr>
        <w:fldChar w:fldCharType="begin" w:fldLock="1"/>
      </w:r>
      <w:r w:rsidRPr="00BB6978">
        <w:rPr>
          <w:rFonts w:ascii="Times New Roman" w:eastAsia="Calibri" w:hAnsi="Times New Roman" w:cs="Times New Roman"/>
          <w:bCs/>
          <w:sz w:val="24"/>
          <w:szCs w:val="24"/>
        </w:rPr>
        <w:instrText>ADDIN CSL_CITATION { "citationItems" : [ { "id" : "ITEM-1", "itemData" : { "author" : [ { "dropping-particle" : "", "family" : "Hu", "given" : "L.T.", "non-dropping-particle" : "", "parse-names" : false, "suffix" : "" }, { "dropping-particle" : "", "family" : "Bentler", "given" : "P.M.", "non-dropping-particle" : "", "parse-names" : false, "suffix" : "" } ], "container-title" : "Structural Equation Modeling", "id" : "ITEM-1", "issue" : "1", "issued" : { "date-parts" : [ [ "1999" ] ] }, "page" : "1-55", "title" : "Cutoff Criteria for Fit Indexes in Covariance Structure Analysis: Conventional Criteria Versus New Alternatives", "type" : "article-journal", "volume" : "6" }, "uris" : [ "http://www.mendeley.com/documents/?uuid=5d6749ac-7ec7-44f5-af24-a55ca25e0302" ] } ], "mendeley" : { "formattedCitation" : "(Hu &amp; Bentler, 1999)", "manualFormatting" : "Hu and Bentler (1999)", "plainTextFormattedCitation" : "(Hu &amp; Bentler, 1999)", "previouslyFormattedCitation" : "(Hu &amp; Bentler, 1999)" }, "properties" : { "noteIndex" : 0 }, "schema" : "https://github.com/citation-style-language/schema/raw/master/csl-citation.json" }</w:instrText>
      </w:r>
      <w:r w:rsidRPr="00BB6978">
        <w:rPr>
          <w:rFonts w:ascii="Times New Roman" w:eastAsia="Calibri" w:hAnsi="Times New Roman" w:cs="Times New Roman"/>
          <w:bCs/>
          <w:sz w:val="24"/>
          <w:szCs w:val="24"/>
        </w:rPr>
        <w:fldChar w:fldCharType="separate"/>
      </w:r>
      <w:r w:rsidRPr="00BB6978">
        <w:rPr>
          <w:rFonts w:ascii="Times New Roman" w:eastAsia="Calibri" w:hAnsi="Times New Roman" w:cs="Times New Roman"/>
          <w:bCs/>
          <w:sz w:val="24"/>
          <w:szCs w:val="24"/>
        </w:rPr>
        <w:t>Hu and Bentler (1999)</w:t>
      </w:r>
      <w:r w:rsidRPr="00BB6978">
        <w:rPr>
          <w:rFonts w:ascii="Times New Roman" w:eastAsia="Calibri" w:hAnsi="Times New Roman" w:cs="Times New Roman"/>
          <w:bCs/>
          <w:sz w:val="24"/>
          <w:szCs w:val="24"/>
        </w:rPr>
        <w:fldChar w:fldCharType="end"/>
      </w:r>
      <w:r w:rsidRPr="00BB6978">
        <w:rPr>
          <w:rFonts w:ascii="Times New Roman" w:eastAsia="Calibri" w:hAnsi="Times New Roman" w:cs="Times New Roman"/>
          <w:bCs/>
          <w:sz w:val="24"/>
          <w:szCs w:val="24"/>
        </w:rPr>
        <w:t>.</w:t>
      </w:r>
      <w:r w:rsidRPr="00BB6978">
        <w:rPr>
          <w:rFonts w:ascii="Times New Roman" w:eastAsia="Calibri" w:hAnsi="Times New Roman" w:cs="Times New Roman"/>
          <w:bCs/>
          <w:sz w:val="24"/>
          <w:szCs w:val="24"/>
          <w:vertAlign w:val="superscript"/>
        </w:rPr>
        <w:t xml:space="preserve"> </w:t>
      </w:r>
      <w:r w:rsidRPr="00BB6978">
        <w:rPr>
          <w:rFonts w:ascii="Times New Roman" w:eastAsia="Calibri" w:hAnsi="Times New Roman" w:cs="Times New Roman"/>
          <w:bCs/>
          <w:sz w:val="24"/>
          <w:szCs w:val="24"/>
        </w:rPr>
        <w:t xml:space="preserve">In a similar way, RMR =0.032 and RMSEA  =0.070 are the values that came to be less than 0.08 which is the critical value commended by </w:t>
      </w:r>
      <w:r w:rsidRPr="00BB6978">
        <w:rPr>
          <w:rFonts w:ascii="Times New Roman" w:eastAsia="Calibri" w:hAnsi="Times New Roman" w:cs="Times New Roman"/>
          <w:bCs/>
          <w:sz w:val="24"/>
          <w:szCs w:val="24"/>
        </w:rPr>
        <w:fldChar w:fldCharType="begin" w:fldLock="1"/>
      </w:r>
      <w:r w:rsidRPr="00BB6978">
        <w:rPr>
          <w:rFonts w:ascii="Times New Roman" w:eastAsia="Calibri" w:hAnsi="Times New Roman" w:cs="Times New Roman"/>
          <w:bCs/>
          <w:sz w:val="24"/>
          <w:szCs w:val="24"/>
        </w:rPr>
        <w:instrText>ADDIN CSL_CITATION { "citationItems" : [ { "id" : "ITEM-1", "itemData" : { "author" : [ { "dropping-particle" : "", "family" : "Steiger", "given" : "J. H.", "non-dropping-particle" : "", "parse-names" : false, "suffix" : "" } ], "id" : "ITEM-1", "issued" : { "date-parts" : [ [ "1989" ] ] }, "publisher" : "Evanston, IL: SYSTAT", "title" : "EzPATH: Causal modeling", "type" : "book" }, "uris" : [ "http://www.mendeley.com/documents/?uuid=5a036b9c-50b6-4a95-a10a-1b3058d408c8" ] } ], "mendeley" : { "formattedCitation" : "(Steiger, 1989)", "plainTextFormattedCitation" : "(Steiger, 1989)", "previouslyFormattedCitation" : "(Steiger, 1989)" }, "properties" : { "noteIndex" : 0 }, "schema" : "https://github.com/citation-style-language/schema/raw/master/csl-citation.json" }</w:instrText>
      </w:r>
      <w:r w:rsidRPr="00BB6978">
        <w:rPr>
          <w:rFonts w:ascii="Times New Roman" w:eastAsia="Calibri" w:hAnsi="Times New Roman" w:cs="Times New Roman"/>
          <w:bCs/>
          <w:sz w:val="24"/>
          <w:szCs w:val="24"/>
        </w:rPr>
        <w:fldChar w:fldCharType="separate"/>
      </w:r>
      <w:r w:rsidRPr="00BB6978">
        <w:rPr>
          <w:rFonts w:ascii="Times New Roman" w:eastAsia="Calibri" w:hAnsi="Times New Roman" w:cs="Times New Roman"/>
          <w:bCs/>
          <w:sz w:val="24"/>
          <w:szCs w:val="24"/>
        </w:rPr>
        <w:t>Steiger, (1989)</w:t>
      </w:r>
      <w:r w:rsidRPr="00BB6978">
        <w:rPr>
          <w:rFonts w:ascii="Times New Roman" w:eastAsia="Calibri" w:hAnsi="Times New Roman" w:cs="Times New Roman"/>
          <w:bCs/>
          <w:sz w:val="24"/>
          <w:szCs w:val="24"/>
        </w:rPr>
        <w:fldChar w:fldCharType="end"/>
      </w:r>
      <w:r w:rsidRPr="00BB6978">
        <w:rPr>
          <w:rFonts w:ascii="Times New Roman" w:eastAsia="Calibri" w:hAnsi="Times New Roman" w:cs="Times New Roman"/>
          <w:bCs/>
          <w:sz w:val="24"/>
          <w:szCs w:val="24"/>
        </w:rPr>
        <w:t>.</w:t>
      </w:r>
    </w:p>
    <w:p w14:paraId="2B60072F" w14:textId="77777777" w:rsidR="00C628AC" w:rsidRPr="00BB6978" w:rsidRDefault="00C628AC" w:rsidP="006E3964">
      <w:pPr>
        <w:spacing w:before="240" w:after="0" w:line="480" w:lineRule="auto"/>
        <w:ind w:firstLine="720"/>
        <w:jc w:val="both"/>
        <w:rPr>
          <w:rFonts w:ascii="Times New Roman" w:eastAsia="Calibri" w:hAnsi="Times New Roman" w:cs="Times New Roman"/>
          <w:bCs/>
          <w:sz w:val="24"/>
          <w:szCs w:val="24"/>
        </w:rPr>
      </w:pPr>
    </w:p>
    <w:p w14:paraId="1E005B16" w14:textId="77777777" w:rsidR="00C628AC" w:rsidRPr="00BB6978" w:rsidRDefault="00C628AC" w:rsidP="006E3964">
      <w:pPr>
        <w:spacing w:before="240" w:after="0" w:line="480" w:lineRule="auto"/>
        <w:ind w:firstLine="720"/>
        <w:jc w:val="both"/>
        <w:rPr>
          <w:rFonts w:ascii="Times New Roman" w:eastAsia="Calibri" w:hAnsi="Times New Roman" w:cs="Times New Roman"/>
          <w:bCs/>
          <w:sz w:val="24"/>
          <w:szCs w:val="24"/>
        </w:rPr>
      </w:pPr>
    </w:p>
    <w:p w14:paraId="0EB319A3" w14:textId="77777777" w:rsidR="00C628AC" w:rsidRPr="00BB6978" w:rsidRDefault="00C628AC" w:rsidP="006E3964">
      <w:pPr>
        <w:spacing w:before="240" w:after="0" w:line="480" w:lineRule="auto"/>
        <w:ind w:firstLine="720"/>
        <w:jc w:val="both"/>
        <w:rPr>
          <w:rFonts w:ascii="Times New Roman" w:eastAsia="Calibri" w:hAnsi="Times New Roman" w:cs="Times New Roman"/>
          <w:bCs/>
          <w:sz w:val="24"/>
          <w:szCs w:val="24"/>
        </w:rPr>
      </w:pPr>
    </w:p>
    <w:p w14:paraId="07EB3000" w14:textId="77777777" w:rsidR="00601718" w:rsidRPr="00BB6978" w:rsidRDefault="00601718" w:rsidP="006E3964">
      <w:pPr>
        <w:spacing w:before="240" w:after="0" w:line="480" w:lineRule="auto"/>
        <w:ind w:firstLine="720"/>
        <w:jc w:val="both"/>
        <w:rPr>
          <w:rFonts w:ascii="Times New Roman" w:eastAsia="Calibri" w:hAnsi="Times New Roman" w:cs="Times New Roman"/>
          <w:bCs/>
          <w:sz w:val="24"/>
          <w:szCs w:val="24"/>
        </w:rPr>
      </w:pPr>
    </w:p>
    <w:p w14:paraId="649D22CD" w14:textId="77777777" w:rsidR="00C628AC" w:rsidRPr="00BB6978" w:rsidRDefault="00C628AC" w:rsidP="006E3964">
      <w:pPr>
        <w:spacing w:before="240" w:after="0" w:line="480" w:lineRule="auto"/>
        <w:ind w:firstLine="720"/>
        <w:jc w:val="both"/>
        <w:rPr>
          <w:rFonts w:ascii="Times New Roman" w:eastAsia="Calibri" w:hAnsi="Times New Roman" w:cs="Times New Roman"/>
          <w:bCs/>
          <w:sz w:val="24"/>
          <w:szCs w:val="24"/>
        </w:rPr>
      </w:pPr>
    </w:p>
    <w:p w14:paraId="7B4CF227" w14:textId="77777777" w:rsidR="006E3964" w:rsidRPr="00BB6978" w:rsidRDefault="00131282" w:rsidP="007F58DC">
      <w:pPr>
        <w:pStyle w:val="Caption"/>
        <w:rPr>
          <w:rFonts w:ascii="Times New Roman" w:eastAsia="SimSun" w:hAnsi="Times New Roman" w:cs="Times New Roman"/>
          <w:lang w:eastAsia="zh-CN"/>
        </w:rPr>
      </w:pPr>
      <w:bookmarkStart w:id="164" w:name="_Toc134452504"/>
      <w:r w:rsidRPr="00BB6978">
        <w:t xml:space="preserve">Table </w:t>
      </w:r>
      <w:r w:rsidRPr="00BB6978">
        <w:fldChar w:fldCharType="begin"/>
      </w:r>
      <w:r w:rsidRPr="00BB6978">
        <w:instrText xml:space="preserve"> SEQ Table \* ARABIC </w:instrText>
      </w:r>
      <w:r w:rsidRPr="00BB6978">
        <w:fldChar w:fldCharType="separate"/>
      </w:r>
      <w:r w:rsidRPr="00BB6978">
        <w:rPr>
          <w:noProof/>
        </w:rPr>
        <w:t>20</w:t>
      </w:r>
      <w:r w:rsidRPr="00BB6978">
        <w:rPr>
          <w:noProof/>
        </w:rPr>
        <w:fldChar w:fldCharType="end"/>
      </w:r>
      <w:r w:rsidR="006E3964" w:rsidRPr="00BB6978">
        <w:rPr>
          <w:rFonts w:ascii="Times New Roman" w:eastAsia="Calibri" w:hAnsi="Times New Roman" w:cs="Times New Roman"/>
        </w:rPr>
        <w:t xml:space="preserve">: </w:t>
      </w:r>
      <w:r w:rsidR="006E3964" w:rsidRPr="00BB6978">
        <w:rPr>
          <w:rFonts w:ascii="Times New Roman" w:eastAsia="SimSun" w:hAnsi="Times New Roman" w:cs="Times New Roman"/>
          <w:lang w:eastAsia="zh-CN"/>
        </w:rPr>
        <w:t>Model fit summary</w:t>
      </w:r>
      <w:bookmarkEnd w:id="164"/>
    </w:p>
    <w:tbl>
      <w:tblPr>
        <w:tblW w:w="5000" w:type="pct"/>
        <w:tblLook w:val="04A0" w:firstRow="1" w:lastRow="0" w:firstColumn="1" w:lastColumn="0" w:noHBand="0" w:noVBand="1"/>
      </w:tblPr>
      <w:tblGrid>
        <w:gridCol w:w="2597"/>
        <w:gridCol w:w="1616"/>
        <w:gridCol w:w="3373"/>
      </w:tblGrid>
      <w:tr w:rsidR="00073A16" w:rsidRPr="00BB6978" w14:paraId="74370ACA" w14:textId="77777777" w:rsidTr="00CE66D1">
        <w:trPr>
          <w:trHeight w:val="63"/>
        </w:trPr>
        <w:tc>
          <w:tcPr>
            <w:tcW w:w="1712" w:type="pct"/>
            <w:tcBorders>
              <w:top w:val="single" w:sz="4" w:space="0" w:color="auto"/>
              <w:bottom w:val="single" w:sz="4" w:space="0" w:color="auto"/>
            </w:tcBorders>
            <w:shd w:val="clear" w:color="auto" w:fill="BDD6EE"/>
          </w:tcPr>
          <w:p w14:paraId="51F2C0A5" w14:textId="77777777" w:rsidR="006E3964" w:rsidRPr="00BB6978" w:rsidRDefault="006E3964" w:rsidP="00CE66D1">
            <w:pPr>
              <w:spacing w:line="240" w:lineRule="auto"/>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Variable</w:t>
            </w:r>
          </w:p>
        </w:tc>
        <w:tc>
          <w:tcPr>
            <w:tcW w:w="1065" w:type="pct"/>
            <w:tcBorders>
              <w:top w:val="single" w:sz="4" w:space="0" w:color="auto"/>
              <w:bottom w:val="single" w:sz="4" w:space="0" w:color="auto"/>
            </w:tcBorders>
            <w:shd w:val="clear" w:color="auto" w:fill="BDD6EE"/>
          </w:tcPr>
          <w:p w14:paraId="68D56B28" w14:textId="77777777" w:rsidR="006E3964" w:rsidRPr="00BB6978" w:rsidRDefault="006E3964" w:rsidP="00CE66D1">
            <w:pPr>
              <w:spacing w:line="240" w:lineRule="auto"/>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Value</w:t>
            </w:r>
          </w:p>
        </w:tc>
        <w:tc>
          <w:tcPr>
            <w:tcW w:w="2223" w:type="pct"/>
            <w:tcBorders>
              <w:top w:val="single" w:sz="4" w:space="0" w:color="auto"/>
              <w:bottom w:val="single" w:sz="4" w:space="0" w:color="auto"/>
            </w:tcBorders>
            <w:shd w:val="clear" w:color="auto" w:fill="BDD6EE"/>
          </w:tcPr>
          <w:p w14:paraId="5E7CC8FA" w14:textId="77777777" w:rsidR="006E3964" w:rsidRPr="00BB6978" w:rsidRDefault="006E3964" w:rsidP="00CE66D1">
            <w:pPr>
              <w:spacing w:line="240" w:lineRule="auto"/>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Suggested value</w:t>
            </w:r>
          </w:p>
        </w:tc>
      </w:tr>
      <w:tr w:rsidR="00073A16" w:rsidRPr="00BB6978" w14:paraId="24EFC6D7" w14:textId="77777777" w:rsidTr="00CE66D1">
        <w:tc>
          <w:tcPr>
            <w:tcW w:w="1712" w:type="pct"/>
            <w:tcBorders>
              <w:top w:val="single" w:sz="4" w:space="0" w:color="auto"/>
            </w:tcBorders>
          </w:tcPr>
          <w:p w14:paraId="7EA5DDC4" w14:textId="77777777" w:rsidR="006E3964" w:rsidRPr="00BB6978" w:rsidRDefault="006E3964" w:rsidP="00CE66D1">
            <w:pPr>
              <w:spacing w:line="240" w:lineRule="auto"/>
              <w:rPr>
                <w:rFonts w:ascii="Times New Roman" w:eastAsia="Calibri" w:hAnsi="Times New Roman" w:cs="Times New Roman"/>
                <w:sz w:val="24"/>
                <w:szCs w:val="24"/>
              </w:rPr>
            </w:pPr>
            <w:r w:rsidRPr="00BB6978">
              <w:rPr>
                <w:rFonts w:ascii="Times New Roman" w:eastAsia="Calibri" w:hAnsi="Times New Roman" w:cs="Times New Roman"/>
                <w:sz w:val="24"/>
                <w:szCs w:val="24"/>
              </w:rPr>
              <w:t>Chi-square value(χ</w:t>
            </w:r>
            <w:r w:rsidRPr="00BB6978">
              <w:rPr>
                <w:rFonts w:ascii="Times New Roman" w:eastAsia="Calibri" w:hAnsi="Times New Roman" w:cs="Times New Roman"/>
                <w:sz w:val="24"/>
                <w:szCs w:val="24"/>
                <w:vertAlign w:val="superscript"/>
              </w:rPr>
              <w:t>2</w:t>
            </w:r>
            <w:r w:rsidRPr="00BB6978">
              <w:rPr>
                <w:rFonts w:ascii="Times New Roman" w:eastAsia="Calibri" w:hAnsi="Times New Roman" w:cs="Times New Roman"/>
                <w:sz w:val="24"/>
                <w:szCs w:val="24"/>
              </w:rPr>
              <w:t>)</w:t>
            </w:r>
          </w:p>
        </w:tc>
        <w:tc>
          <w:tcPr>
            <w:tcW w:w="1065" w:type="pct"/>
            <w:tcBorders>
              <w:top w:val="single" w:sz="4" w:space="0" w:color="auto"/>
            </w:tcBorders>
          </w:tcPr>
          <w:p w14:paraId="3C39A81B" w14:textId="77777777" w:rsidR="006E3964" w:rsidRPr="00BB6978" w:rsidRDefault="006E3964" w:rsidP="00CE66D1">
            <w:pPr>
              <w:spacing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913.553</w:t>
            </w:r>
          </w:p>
        </w:tc>
        <w:tc>
          <w:tcPr>
            <w:tcW w:w="2223" w:type="pct"/>
            <w:tcBorders>
              <w:top w:val="single" w:sz="4" w:space="0" w:color="auto"/>
            </w:tcBorders>
            <w:vAlign w:val="center"/>
          </w:tcPr>
          <w:p w14:paraId="0AF2F00D" w14:textId="77777777" w:rsidR="006E3964" w:rsidRPr="00BB6978" w:rsidRDefault="006E3964" w:rsidP="00CE66D1">
            <w:pPr>
              <w:spacing w:line="240" w:lineRule="auto"/>
              <w:jc w:val="both"/>
              <w:rPr>
                <w:rFonts w:ascii="Times New Roman" w:eastAsia="Calibri" w:hAnsi="Times New Roman" w:cs="Times New Roman"/>
                <w:sz w:val="24"/>
                <w:szCs w:val="24"/>
              </w:rPr>
            </w:pPr>
          </w:p>
        </w:tc>
      </w:tr>
      <w:tr w:rsidR="00073A16" w:rsidRPr="00BB6978" w14:paraId="20643CB1" w14:textId="77777777" w:rsidTr="00CE66D1">
        <w:tc>
          <w:tcPr>
            <w:tcW w:w="1712" w:type="pct"/>
          </w:tcPr>
          <w:p w14:paraId="1DABEEB7" w14:textId="77777777" w:rsidR="006E3964" w:rsidRPr="00BB6978" w:rsidRDefault="006E3964" w:rsidP="00CE66D1">
            <w:pPr>
              <w:spacing w:line="240" w:lineRule="auto"/>
              <w:rPr>
                <w:rFonts w:ascii="Times New Roman" w:eastAsia="Calibri" w:hAnsi="Times New Roman" w:cs="Times New Roman"/>
                <w:sz w:val="24"/>
                <w:szCs w:val="24"/>
              </w:rPr>
            </w:pPr>
            <w:r w:rsidRPr="00BB6978">
              <w:rPr>
                <w:rFonts w:ascii="Times New Roman" w:eastAsia="Calibri" w:hAnsi="Times New Roman" w:cs="Times New Roman"/>
                <w:sz w:val="24"/>
                <w:szCs w:val="24"/>
              </w:rPr>
              <w:t>Degrees of freedom (df)</w:t>
            </w:r>
          </w:p>
        </w:tc>
        <w:tc>
          <w:tcPr>
            <w:tcW w:w="1065" w:type="pct"/>
          </w:tcPr>
          <w:p w14:paraId="67F19654" w14:textId="77777777" w:rsidR="006E3964" w:rsidRPr="00BB6978" w:rsidRDefault="006E3964" w:rsidP="00CE66D1">
            <w:pPr>
              <w:spacing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310</w:t>
            </w:r>
          </w:p>
        </w:tc>
        <w:tc>
          <w:tcPr>
            <w:tcW w:w="2223" w:type="pct"/>
            <w:vAlign w:val="center"/>
          </w:tcPr>
          <w:p w14:paraId="3A210908" w14:textId="77777777" w:rsidR="006E3964" w:rsidRPr="00BB6978" w:rsidRDefault="006E3964" w:rsidP="00CE66D1">
            <w:pPr>
              <w:spacing w:line="240" w:lineRule="auto"/>
              <w:jc w:val="both"/>
              <w:rPr>
                <w:rFonts w:ascii="Times New Roman" w:eastAsia="Calibri" w:hAnsi="Times New Roman" w:cs="Times New Roman"/>
                <w:sz w:val="24"/>
                <w:szCs w:val="24"/>
              </w:rPr>
            </w:pPr>
          </w:p>
        </w:tc>
      </w:tr>
      <w:tr w:rsidR="00073A16" w:rsidRPr="00BB6978" w14:paraId="27F27DF3" w14:textId="77777777" w:rsidTr="00CE66D1">
        <w:tc>
          <w:tcPr>
            <w:tcW w:w="1712" w:type="pct"/>
          </w:tcPr>
          <w:p w14:paraId="40792266" w14:textId="77777777" w:rsidR="006E3964" w:rsidRPr="00BB6978" w:rsidRDefault="006E3964" w:rsidP="00CE66D1">
            <w:pPr>
              <w:spacing w:line="240" w:lineRule="auto"/>
              <w:rPr>
                <w:rFonts w:ascii="Times New Roman" w:eastAsia="Calibri" w:hAnsi="Times New Roman" w:cs="Times New Roman"/>
                <w:sz w:val="24"/>
                <w:szCs w:val="24"/>
              </w:rPr>
            </w:pPr>
            <w:r w:rsidRPr="00BB6978">
              <w:rPr>
                <w:rFonts w:ascii="Times New Roman" w:eastAsia="Calibri" w:hAnsi="Times New Roman" w:cs="Times New Roman"/>
                <w:sz w:val="24"/>
                <w:szCs w:val="24"/>
              </w:rPr>
              <w:t>CMIN/DF</w:t>
            </w:r>
          </w:p>
        </w:tc>
        <w:tc>
          <w:tcPr>
            <w:tcW w:w="1065" w:type="pct"/>
          </w:tcPr>
          <w:p w14:paraId="02298391" w14:textId="77777777" w:rsidR="006E3964" w:rsidRPr="00BB6978" w:rsidRDefault="006E3964" w:rsidP="00CE66D1">
            <w:pPr>
              <w:spacing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2.947</w:t>
            </w:r>
          </w:p>
        </w:tc>
        <w:tc>
          <w:tcPr>
            <w:tcW w:w="2223" w:type="pct"/>
            <w:vAlign w:val="center"/>
          </w:tcPr>
          <w:p w14:paraId="0DA9035B" w14:textId="77777777" w:rsidR="006E3964" w:rsidRPr="00BB6978" w:rsidRDefault="006E3964" w:rsidP="00CE66D1">
            <w:pPr>
              <w:spacing w:line="240" w:lineRule="auto"/>
              <w:jc w:val="both"/>
              <w:rPr>
                <w:rFonts w:ascii="Times New Roman" w:eastAsia="Calibri" w:hAnsi="Times New Roman" w:cs="Times New Roman"/>
                <w:sz w:val="24"/>
                <w:szCs w:val="24"/>
              </w:rPr>
            </w:pPr>
          </w:p>
        </w:tc>
      </w:tr>
      <w:tr w:rsidR="00073A16" w:rsidRPr="00BB6978" w14:paraId="350E46C1" w14:textId="77777777" w:rsidTr="00CE66D1">
        <w:tc>
          <w:tcPr>
            <w:tcW w:w="1712" w:type="pct"/>
          </w:tcPr>
          <w:p w14:paraId="1CD68D20" w14:textId="77777777" w:rsidR="006E3964" w:rsidRPr="00BB6978" w:rsidRDefault="006E3964" w:rsidP="00CE66D1">
            <w:pPr>
              <w:spacing w:line="240" w:lineRule="auto"/>
              <w:rPr>
                <w:rFonts w:ascii="Times New Roman" w:eastAsia="Calibri" w:hAnsi="Times New Roman" w:cs="Times New Roman"/>
                <w:sz w:val="24"/>
                <w:szCs w:val="24"/>
              </w:rPr>
            </w:pPr>
            <w:r w:rsidRPr="00BB6978">
              <w:rPr>
                <w:rFonts w:ascii="Times New Roman" w:eastAsia="Calibri" w:hAnsi="Times New Roman" w:cs="Times New Roman"/>
                <w:sz w:val="24"/>
                <w:szCs w:val="24"/>
              </w:rPr>
              <w:t>P value</w:t>
            </w:r>
          </w:p>
        </w:tc>
        <w:tc>
          <w:tcPr>
            <w:tcW w:w="1065" w:type="pct"/>
          </w:tcPr>
          <w:p w14:paraId="6DF0C0CA" w14:textId="77777777" w:rsidR="006E3964" w:rsidRPr="00BB6978" w:rsidRDefault="006E3964" w:rsidP="00CE66D1">
            <w:pPr>
              <w:spacing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0.000</w:t>
            </w:r>
          </w:p>
        </w:tc>
        <w:tc>
          <w:tcPr>
            <w:tcW w:w="2223" w:type="pct"/>
            <w:vAlign w:val="center"/>
          </w:tcPr>
          <w:p w14:paraId="4821001D" w14:textId="77777777" w:rsidR="006E3964" w:rsidRPr="00BB6978" w:rsidRDefault="006E3964" w:rsidP="00CE66D1">
            <w:pPr>
              <w:spacing w:line="240" w:lineRule="auto"/>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 xml:space="preserve">P-value &gt;0.05 </w:t>
            </w:r>
          </w:p>
        </w:tc>
      </w:tr>
      <w:tr w:rsidR="00073A16" w:rsidRPr="00BB6978" w14:paraId="2E17C350" w14:textId="77777777" w:rsidTr="00CE66D1">
        <w:tc>
          <w:tcPr>
            <w:tcW w:w="1712" w:type="pct"/>
          </w:tcPr>
          <w:p w14:paraId="7FBD3B5E" w14:textId="77777777" w:rsidR="006E3964" w:rsidRPr="00BB6978" w:rsidRDefault="006E3964" w:rsidP="00CE66D1">
            <w:pPr>
              <w:spacing w:line="240" w:lineRule="auto"/>
              <w:rPr>
                <w:rFonts w:ascii="Times New Roman" w:eastAsia="Calibri" w:hAnsi="Times New Roman" w:cs="Times New Roman"/>
                <w:sz w:val="24"/>
                <w:szCs w:val="24"/>
              </w:rPr>
            </w:pPr>
            <w:r w:rsidRPr="00BB6978">
              <w:rPr>
                <w:rFonts w:ascii="Times New Roman" w:eastAsia="Calibri" w:hAnsi="Times New Roman" w:cs="Times New Roman"/>
                <w:bCs/>
                <w:sz w:val="24"/>
                <w:szCs w:val="24"/>
              </w:rPr>
              <w:t>(Goodness of Fit Index)</w:t>
            </w:r>
          </w:p>
        </w:tc>
        <w:tc>
          <w:tcPr>
            <w:tcW w:w="1065" w:type="pct"/>
          </w:tcPr>
          <w:p w14:paraId="199B7C83" w14:textId="77777777" w:rsidR="006E3964" w:rsidRPr="00BB6978" w:rsidRDefault="006E3964" w:rsidP="00CE66D1">
            <w:pPr>
              <w:spacing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0.959</w:t>
            </w:r>
          </w:p>
        </w:tc>
        <w:tc>
          <w:tcPr>
            <w:tcW w:w="2223" w:type="pct"/>
            <w:vAlign w:val="center"/>
          </w:tcPr>
          <w:p w14:paraId="7D046EB3" w14:textId="77777777" w:rsidR="006E3964" w:rsidRPr="00BB6978" w:rsidRDefault="006E3964" w:rsidP="00CE66D1">
            <w:pPr>
              <w:spacing w:line="240" w:lineRule="auto"/>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 xml:space="preserve">&gt; 0.90 </w:t>
            </w:r>
          </w:p>
        </w:tc>
      </w:tr>
      <w:tr w:rsidR="00073A16" w:rsidRPr="00BB6978" w14:paraId="14F3DEB8" w14:textId="77777777" w:rsidTr="00CE66D1">
        <w:tc>
          <w:tcPr>
            <w:tcW w:w="1712" w:type="pct"/>
          </w:tcPr>
          <w:p w14:paraId="60AC9852" w14:textId="77777777" w:rsidR="006E3964" w:rsidRPr="00BB6978" w:rsidRDefault="006E3964" w:rsidP="00CE66D1">
            <w:pPr>
              <w:spacing w:line="240" w:lineRule="auto"/>
              <w:rPr>
                <w:rFonts w:ascii="Times New Roman" w:eastAsia="Calibri" w:hAnsi="Times New Roman" w:cs="Times New Roman"/>
                <w:sz w:val="24"/>
                <w:szCs w:val="24"/>
              </w:rPr>
            </w:pPr>
            <w:r w:rsidRPr="00BB6978">
              <w:rPr>
                <w:rFonts w:ascii="Times New Roman" w:eastAsia="Calibri" w:hAnsi="Times New Roman" w:cs="Times New Roman"/>
                <w:bCs/>
                <w:sz w:val="24"/>
                <w:szCs w:val="24"/>
              </w:rPr>
              <w:t>(Relative fit index)</w:t>
            </w:r>
          </w:p>
        </w:tc>
        <w:tc>
          <w:tcPr>
            <w:tcW w:w="1065" w:type="pct"/>
          </w:tcPr>
          <w:p w14:paraId="585C6DD6" w14:textId="77777777" w:rsidR="006E3964" w:rsidRPr="00BB6978" w:rsidRDefault="006E3964" w:rsidP="00CE66D1">
            <w:pPr>
              <w:spacing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0.962</w:t>
            </w:r>
          </w:p>
        </w:tc>
        <w:tc>
          <w:tcPr>
            <w:tcW w:w="2223" w:type="pct"/>
            <w:vAlign w:val="center"/>
          </w:tcPr>
          <w:p w14:paraId="6CEE81BB" w14:textId="77777777" w:rsidR="006E3964" w:rsidRPr="00BB6978" w:rsidRDefault="006E3964" w:rsidP="00CE66D1">
            <w:pPr>
              <w:spacing w:line="240" w:lineRule="auto"/>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 xml:space="preserve">&gt;0.90 </w:t>
            </w:r>
          </w:p>
        </w:tc>
      </w:tr>
      <w:tr w:rsidR="00073A16" w:rsidRPr="00BB6978" w14:paraId="12A23081" w14:textId="77777777" w:rsidTr="00CE66D1">
        <w:tc>
          <w:tcPr>
            <w:tcW w:w="1712" w:type="pct"/>
          </w:tcPr>
          <w:p w14:paraId="6AB3EF04" w14:textId="77777777" w:rsidR="006E3964" w:rsidRPr="00BB6978" w:rsidRDefault="006E3964" w:rsidP="00CE66D1">
            <w:pPr>
              <w:spacing w:line="240" w:lineRule="auto"/>
              <w:rPr>
                <w:rFonts w:ascii="Times New Roman" w:eastAsia="Calibri" w:hAnsi="Times New Roman" w:cs="Times New Roman"/>
                <w:sz w:val="24"/>
                <w:szCs w:val="24"/>
              </w:rPr>
            </w:pPr>
            <w:r w:rsidRPr="00BB6978">
              <w:rPr>
                <w:rFonts w:ascii="Times New Roman" w:eastAsia="Calibri" w:hAnsi="Times New Roman" w:cs="Times New Roman"/>
                <w:bCs/>
                <w:sz w:val="24"/>
                <w:szCs w:val="24"/>
              </w:rPr>
              <w:t>(Normed Fit Index)</w:t>
            </w:r>
          </w:p>
        </w:tc>
        <w:tc>
          <w:tcPr>
            <w:tcW w:w="1065" w:type="pct"/>
          </w:tcPr>
          <w:p w14:paraId="13E552CF" w14:textId="77777777" w:rsidR="006E3964" w:rsidRPr="00BB6978" w:rsidRDefault="006E3964" w:rsidP="00CE66D1">
            <w:pPr>
              <w:spacing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0.966</w:t>
            </w:r>
          </w:p>
        </w:tc>
        <w:tc>
          <w:tcPr>
            <w:tcW w:w="2223" w:type="pct"/>
            <w:vAlign w:val="center"/>
          </w:tcPr>
          <w:p w14:paraId="5FA68752" w14:textId="77777777" w:rsidR="006E3964" w:rsidRPr="00BB6978" w:rsidRDefault="006E3964" w:rsidP="00CE66D1">
            <w:pPr>
              <w:spacing w:line="240" w:lineRule="auto"/>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 xml:space="preserve">&gt;0.90 </w:t>
            </w:r>
          </w:p>
        </w:tc>
      </w:tr>
      <w:tr w:rsidR="00073A16" w:rsidRPr="00BB6978" w14:paraId="79D9EF1A" w14:textId="77777777" w:rsidTr="00CE66D1">
        <w:tc>
          <w:tcPr>
            <w:tcW w:w="1712" w:type="pct"/>
          </w:tcPr>
          <w:p w14:paraId="732B84ED" w14:textId="77777777" w:rsidR="006E3964" w:rsidRPr="00BB6978" w:rsidRDefault="006E3964" w:rsidP="00CE66D1">
            <w:pPr>
              <w:spacing w:line="240" w:lineRule="auto"/>
              <w:rPr>
                <w:rFonts w:ascii="Times New Roman" w:eastAsia="Calibri" w:hAnsi="Times New Roman" w:cs="Times New Roman"/>
                <w:sz w:val="24"/>
                <w:szCs w:val="24"/>
              </w:rPr>
            </w:pPr>
            <w:r w:rsidRPr="00BB6978">
              <w:rPr>
                <w:rFonts w:ascii="Times New Roman" w:eastAsia="Calibri" w:hAnsi="Times New Roman" w:cs="Times New Roman"/>
                <w:sz w:val="24"/>
                <w:szCs w:val="24"/>
              </w:rPr>
              <w:t>IFI</w:t>
            </w:r>
          </w:p>
        </w:tc>
        <w:tc>
          <w:tcPr>
            <w:tcW w:w="1065" w:type="pct"/>
          </w:tcPr>
          <w:p w14:paraId="67975D8C" w14:textId="77777777" w:rsidR="006E3964" w:rsidRPr="00BB6978" w:rsidRDefault="006E3964" w:rsidP="00CE66D1">
            <w:pPr>
              <w:spacing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0.977</w:t>
            </w:r>
          </w:p>
        </w:tc>
        <w:tc>
          <w:tcPr>
            <w:tcW w:w="2223" w:type="pct"/>
            <w:vAlign w:val="center"/>
          </w:tcPr>
          <w:p w14:paraId="34ECC1F7" w14:textId="77777777" w:rsidR="006E3964" w:rsidRPr="00BB6978" w:rsidRDefault="006E3964" w:rsidP="00CE66D1">
            <w:pPr>
              <w:spacing w:line="240" w:lineRule="auto"/>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 xml:space="preserve">&gt; 0.90 </w:t>
            </w:r>
          </w:p>
        </w:tc>
      </w:tr>
      <w:tr w:rsidR="00073A16" w:rsidRPr="00BB6978" w14:paraId="12805055" w14:textId="77777777" w:rsidTr="00CE66D1">
        <w:tc>
          <w:tcPr>
            <w:tcW w:w="1712" w:type="pct"/>
          </w:tcPr>
          <w:p w14:paraId="38B6B880" w14:textId="77777777" w:rsidR="006E3964" w:rsidRPr="00BB6978" w:rsidRDefault="006E3964" w:rsidP="00CE66D1">
            <w:pPr>
              <w:spacing w:line="240" w:lineRule="auto"/>
              <w:rPr>
                <w:rFonts w:ascii="Times New Roman" w:eastAsia="Calibri" w:hAnsi="Times New Roman" w:cs="Times New Roman"/>
                <w:sz w:val="24"/>
                <w:szCs w:val="24"/>
              </w:rPr>
            </w:pPr>
            <w:r w:rsidRPr="00BB6978">
              <w:rPr>
                <w:rFonts w:ascii="Times New Roman" w:eastAsia="Calibri" w:hAnsi="Times New Roman" w:cs="Times New Roman"/>
                <w:bCs/>
                <w:sz w:val="24"/>
                <w:szCs w:val="24"/>
              </w:rPr>
              <w:t>(Comparative Fit Index )</w:t>
            </w:r>
          </w:p>
        </w:tc>
        <w:tc>
          <w:tcPr>
            <w:tcW w:w="1065" w:type="pct"/>
          </w:tcPr>
          <w:p w14:paraId="54D0CA4F" w14:textId="77777777" w:rsidR="006E3964" w:rsidRPr="00BB6978" w:rsidRDefault="006E3964" w:rsidP="00CE66D1">
            <w:pPr>
              <w:spacing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0.977</w:t>
            </w:r>
          </w:p>
        </w:tc>
        <w:tc>
          <w:tcPr>
            <w:tcW w:w="2223" w:type="pct"/>
            <w:vAlign w:val="center"/>
          </w:tcPr>
          <w:p w14:paraId="68EE214C" w14:textId="77777777" w:rsidR="006E3964" w:rsidRPr="00BB6978" w:rsidRDefault="006E3964" w:rsidP="00CE66D1">
            <w:pPr>
              <w:spacing w:line="240" w:lineRule="auto"/>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 xml:space="preserve">&gt;0.90 </w:t>
            </w:r>
          </w:p>
        </w:tc>
      </w:tr>
      <w:tr w:rsidR="00073A16" w:rsidRPr="00BB6978" w14:paraId="31DDF355" w14:textId="77777777" w:rsidTr="00CE66D1">
        <w:tc>
          <w:tcPr>
            <w:tcW w:w="1712" w:type="pct"/>
          </w:tcPr>
          <w:p w14:paraId="5F9679AF" w14:textId="77777777" w:rsidR="006E3964" w:rsidRPr="00BB6978" w:rsidRDefault="006E3964" w:rsidP="00CE66D1">
            <w:pPr>
              <w:spacing w:line="240" w:lineRule="auto"/>
              <w:rPr>
                <w:rFonts w:ascii="Times New Roman" w:eastAsia="Calibri" w:hAnsi="Times New Roman" w:cs="Times New Roman"/>
                <w:sz w:val="24"/>
                <w:szCs w:val="24"/>
              </w:rPr>
            </w:pPr>
            <w:r w:rsidRPr="00BB6978">
              <w:rPr>
                <w:rFonts w:ascii="Times New Roman" w:eastAsia="Calibri" w:hAnsi="Times New Roman" w:cs="Times New Roman"/>
                <w:bCs/>
                <w:sz w:val="24"/>
                <w:szCs w:val="24"/>
              </w:rPr>
              <w:t>(Root Mean Square Residuals)</w:t>
            </w:r>
          </w:p>
        </w:tc>
        <w:tc>
          <w:tcPr>
            <w:tcW w:w="1065" w:type="pct"/>
          </w:tcPr>
          <w:p w14:paraId="2AC7203E" w14:textId="77777777" w:rsidR="006E3964" w:rsidRPr="00BB6978" w:rsidRDefault="006E3964" w:rsidP="00CE66D1">
            <w:pPr>
              <w:spacing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0.032</w:t>
            </w:r>
          </w:p>
        </w:tc>
        <w:tc>
          <w:tcPr>
            <w:tcW w:w="2223" w:type="pct"/>
            <w:vAlign w:val="center"/>
          </w:tcPr>
          <w:p w14:paraId="342CB30E" w14:textId="77777777" w:rsidR="006E3964" w:rsidRPr="00BB6978" w:rsidRDefault="006E3964" w:rsidP="00CE66D1">
            <w:pPr>
              <w:spacing w:line="240" w:lineRule="auto"/>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 xml:space="preserve">&lt; 0.08 </w:t>
            </w:r>
          </w:p>
        </w:tc>
      </w:tr>
      <w:tr w:rsidR="00073A16" w:rsidRPr="00BB6978" w14:paraId="4AF1ABB7" w14:textId="77777777" w:rsidTr="00CE66D1">
        <w:tc>
          <w:tcPr>
            <w:tcW w:w="1712" w:type="pct"/>
            <w:tcBorders>
              <w:bottom w:val="single" w:sz="4" w:space="0" w:color="auto"/>
            </w:tcBorders>
          </w:tcPr>
          <w:p w14:paraId="2ACCD627" w14:textId="77777777" w:rsidR="006E3964" w:rsidRPr="00BB6978" w:rsidRDefault="006E3964" w:rsidP="00CE66D1">
            <w:pPr>
              <w:spacing w:line="240" w:lineRule="auto"/>
              <w:rPr>
                <w:rFonts w:ascii="Times New Roman" w:eastAsia="Calibri" w:hAnsi="Times New Roman" w:cs="Times New Roman"/>
                <w:sz w:val="24"/>
                <w:szCs w:val="24"/>
              </w:rPr>
            </w:pPr>
            <w:r w:rsidRPr="00BB6978">
              <w:rPr>
                <w:rFonts w:ascii="Times New Roman" w:eastAsia="Calibri" w:hAnsi="Times New Roman" w:cs="Times New Roman"/>
                <w:bCs/>
                <w:sz w:val="24"/>
                <w:szCs w:val="24"/>
              </w:rPr>
              <w:t>(Root Mean Square Error of Approximation)</w:t>
            </w:r>
          </w:p>
        </w:tc>
        <w:tc>
          <w:tcPr>
            <w:tcW w:w="1065" w:type="pct"/>
            <w:tcBorders>
              <w:bottom w:val="single" w:sz="4" w:space="0" w:color="auto"/>
            </w:tcBorders>
          </w:tcPr>
          <w:p w14:paraId="0F405A95" w14:textId="77777777" w:rsidR="006E3964" w:rsidRPr="00BB6978" w:rsidRDefault="006E3964" w:rsidP="00CE66D1">
            <w:pPr>
              <w:spacing w:line="240" w:lineRule="auto"/>
              <w:jc w:val="center"/>
              <w:rPr>
                <w:rFonts w:ascii="Times New Roman" w:eastAsia="Calibri" w:hAnsi="Times New Roman" w:cs="Times New Roman"/>
                <w:sz w:val="24"/>
                <w:szCs w:val="24"/>
              </w:rPr>
            </w:pPr>
            <w:r w:rsidRPr="00BB6978">
              <w:rPr>
                <w:rFonts w:ascii="Times New Roman" w:eastAsia="Calibri" w:hAnsi="Times New Roman" w:cs="Times New Roman"/>
                <w:sz w:val="24"/>
                <w:szCs w:val="24"/>
              </w:rPr>
              <w:t>0.070</w:t>
            </w:r>
          </w:p>
        </w:tc>
        <w:tc>
          <w:tcPr>
            <w:tcW w:w="2223" w:type="pct"/>
            <w:tcBorders>
              <w:bottom w:val="single" w:sz="4" w:space="0" w:color="auto"/>
            </w:tcBorders>
            <w:vAlign w:val="center"/>
          </w:tcPr>
          <w:p w14:paraId="32DFB363" w14:textId="77777777" w:rsidR="006E3964" w:rsidRPr="00BB6978" w:rsidRDefault="006E3964" w:rsidP="00CE66D1">
            <w:pPr>
              <w:spacing w:line="240" w:lineRule="auto"/>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 xml:space="preserve">&lt; 0.08 </w:t>
            </w:r>
          </w:p>
        </w:tc>
      </w:tr>
    </w:tbl>
    <w:p w14:paraId="345561A6" w14:textId="77777777" w:rsidR="006E3964" w:rsidRPr="00BB6978" w:rsidRDefault="006E3964" w:rsidP="006E3964">
      <w:pPr>
        <w:pStyle w:val="Heading1"/>
        <w:rPr>
          <w:rFonts w:asciiTheme="majorBidi" w:eastAsia="Times New Roman" w:hAnsiTheme="majorBidi"/>
          <w:b w:val="0"/>
          <w:bCs w:val="0"/>
          <w:color w:val="auto"/>
          <w:sz w:val="24"/>
          <w:szCs w:val="24"/>
        </w:rPr>
      </w:pPr>
      <w:bookmarkStart w:id="165" w:name="_Toc66784566"/>
      <w:bookmarkStart w:id="166" w:name="_Toc96103768"/>
      <w:bookmarkStart w:id="167" w:name="_Toc138239819"/>
      <w:r w:rsidRPr="00BB6978">
        <w:rPr>
          <w:rFonts w:asciiTheme="majorBidi" w:eastAsia="Times New Roman" w:hAnsiTheme="majorBidi"/>
          <w:color w:val="auto"/>
          <w:sz w:val="24"/>
          <w:szCs w:val="24"/>
        </w:rPr>
        <w:t>4.6 Structural Equation Modelling</w:t>
      </w:r>
      <w:bookmarkEnd w:id="165"/>
      <w:bookmarkEnd w:id="166"/>
      <w:r w:rsidRPr="00BB6978">
        <w:rPr>
          <w:rFonts w:asciiTheme="majorBidi" w:eastAsia="Times New Roman" w:hAnsiTheme="majorBidi"/>
          <w:color w:val="auto"/>
          <w:sz w:val="24"/>
          <w:szCs w:val="24"/>
        </w:rPr>
        <w:t xml:space="preserve"> (SEM)</w:t>
      </w:r>
      <w:bookmarkEnd w:id="167"/>
    </w:p>
    <w:p w14:paraId="4A8FF2CC" w14:textId="77777777" w:rsidR="006E3964" w:rsidRPr="00BB6978" w:rsidRDefault="006E3964" w:rsidP="006E3964">
      <w:pPr>
        <w:spacing w:after="68" w:line="480" w:lineRule="auto"/>
        <w:ind w:firstLine="357"/>
        <w:jc w:val="both"/>
        <w:rPr>
          <w:rFonts w:ascii="Times New Roman" w:eastAsia="Calibri" w:hAnsi="Times New Roman" w:cs="Arial"/>
          <w:sz w:val="24"/>
          <w:szCs w:val="24"/>
        </w:rPr>
      </w:pPr>
    </w:p>
    <w:p w14:paraId="0F625F9E" w14:textId="77777777" w:rsidR="006E3964" w:rsidRPr="00BB6978" w:rsidRDefault="006E3964" w:rsidP="00B76F7C">
      <w:pPr>
        <w:spacing w:after="68" w:line="480" w:lineRule="auto"/>
        <w:ind w:firstLine="357"/>
        <w:jc w:val="both"/>
        <w:rPr>
          <w:rFonts w:ascii="Times New Roman" w:eastAsia="Calibri" w:hAnsi="Times New Roman" w:cs="Arial"/>
          <w:sz w:val="24"/>
          <w:szCs w:val="24"/>
        </w:rPr>
      </w:pPr>
      <w:r w:rsidRPr="00BB6978">
        <w:rPr>
          <w:rFonts w:ascii="Times New Roman" w:eastAsia="Calibri" w:hAnsi="Times New Roman" w:cs="Arial"/>
          <w:sz w:val="24"/>
          <w:szCs w:val="24"/>
        </w:rPr>
        <w:t xml:space="preserve">To inspect the theoretical interdependence between the dimensions of interest, SEM was employed. The fit indices show in Figure </w:t>
      </w:r>
      <w:r w:rsidR="00016620" w:rsidRPr="00BB6978">
        <w:rPr>
          <w:rFonts w:ascii="Times New Roman" w:eastAsia="Calibri" w:hAnsi="Times New Roman" w:cs="Arial"/>
          <w:sz w:val="24"/>
          <w:szCs w:val="24"/>
        </w:rPr>
        <w:t>6</w:t>
      </w:r>
      <w:r w:rsidRPr="00BB6978">
        <w:rPr>
          <w:rFonts w:ascii="Times New Roman" w:eastAsia="Calibri" w:hAnsi="Times New Roman" w:cs="Arial"/>
          <w:sz w:val="24"/>
          <w:szCs w:val="24"/>
        </w:rPr>
        <w:t xml:space="preserve"> and Table 21 that the model has an acceptable fit because the dimensions were significant at the p &lt; 0.05 (Table </w:t>
      </w:r>
      <w:r w:rsidRPr="00BB6978">
        <w:rPr>
          <w:rFonts w:ascii="Times New Roman" w:eastAsia="Calibri" w:hAnsi="Times New Roman" w:cs="Arial"/>
          <w:bCs/>
          <w:iCs/>
          <w:sz w:val="24"/>
          <w:szCs w:val="24"/>
        </w:rPr>
        <w:t>XIII</w:t>
      </w:r>
      <w:r w:rsidRPr="00BB6978">
        <w:rPr>
          <w:rFonts w:ascii="Times New Roman" w:eastAsia="Calibri" w:hAnsi="Times New Roman" w:cs="Arial"/>
          <w:bCs/>
          <w:sz w:val="24"/>
          <w:szCs w:val="24"/>
        </w:rPr>
        <w:t>).</w:t>
      </w:r>
      <w:r w:rsidRPr="00BB6978">
        <w:rPr>
          <w:rFonts w:ascii="Times New Roman" w:eastAsia="Calibri" w:hAnsi="Times New Roman" w:cs="Arial"/>
          <w:sz w:val="24"/>
          <w:szCs w:val="24"/>
        </w:rPr>
        <w:t xml:space="preserve"> The model fit was tested by using a comprehensive fit that includes seven different indices. Furthermore, the "r" here detects the degree to which the hypothesized model aligns with the sample data. The matrix of the sample covariance had acceptably fit </w:t>
      </w:r>
      <w:r w:rsidRPr="00BB6978">
        <w:rPr>
          <w:rFonts w:ascii="Times New Roman" w:eastAsia="Calibri" w:hAnsi="Times New Roman" w:cs="Arial"/>
          <w:sz w:val="24"/>
          <w:szCs w:val="24"/>
        </w:rPr>
        <w:fldChar w:fldCharType="begin" w:fldLock="1"/>
      </w:r>
      <w:r w:rsidRPr="00BB6978">
        <w:rPr>
          <w:rFonts w:ascii="Times New Roman" w:eastAsia="Calibri" w:hAnsi="Times New Roman" w:cs="Arial"/>
          <w:sz w:val="24"/>
          <w:szCs w:val="24"/>
        </w:rPr>
        <w:instrText>ADDIN CSL_CITATION { "citationItems" : [ { "id" : "ITEM-1", "itemData" : { "author" : [ { "dropping-particle" : "", "family" : "Bollen", "given" : "K. A.", "non-dropping-particle" : "", "parse-names" : false, "suffix" : "" } ], "id" : "ITEM-1", "issued" : { "date-parts" : [ [ "1989" ] ] }, "publisher" : "New York, NY: John Wiley &amp; Sons, Inc", "title" : "Structural equations with latent variables", "type" : "book" }, "uris" : [ "http://www.mendeley.com/documents/?uuid=6957e9f3-152c-4c2e-b4e1-c18d103bc14a" ] } ], "mendeley" : { "formattedCitation" : "(Bollen, 1989)", "plainTextFormattedCitation" : "(Bollen, 1989)", "previouslyFormattedCitation" : "(Bollen, 1989)" }, "properties" : { "noteIndex" : 0 }, "schema" : "https://github.com/citation-style-language/schema/raw/master/csl-citation.json" }</w:instrText>
      </w:r>
      <w:r w:rsidRPr="00BB6978">
        <w:rPr>
          <w:rFonts w:ascii="Times New Roman" w:eastAsia="Calibri" w:hAnsi="Times New Roman" w:cs="Arial"/>
          <w:sz w:val="24"/>
          <w:szCs w:val="24"/>
        </w:rPr>
        <w:fldChar w:fldCharType="separate"/>
      </w:r>
      <w:r w:rsidRPr="00BB6978">
        <w:rPr>
          <w:rFonts w:ascii="Times New Roman" w:eastAsia="Calibri" w:hAnsi="Times New Roman" w:cs="Arial"/>
          <w:sz w:val="24"/>
          <w:szCs w:val="24"/>
        </w:rPr>
        <w:t>(Bollen, 1989)</w:t>
      </w:r>
      <w:r w:rsidRPr="00BB6978">
        <w:rPr>
          <w:rFonts w:ascii="Times New Roman" w:eastAsia="Calibri" w:hAnsi="Times New Roman" w:cs="Arial"/>
          <w:sz w:val="24"/>
          <w:szCs w:val="24"/>
        </w:rPr>
        <w:fldChar w:fldCharType="end"/>
      </w:r>
      <w:r w:rsidRPr="00BB6978">
        <w:rPr>
          <w:rFonts w:ascii="Times New Roman" w:eastAsia="Calibri" w:hAnsi="Times New Roman" w:cs="Arial"/>
          <w:sz w:val="24"/>
          <w:szCs w:val="24"/>
        </w:rPr>
        <w:t>.</w:t>
      </w:r>
    </w:p>
    <w:p w14:paraId="4BFAEC44" w14:textId="77777777" w:rsidR="00C628AC" w:rsidRPr="00BB6978" w:rsidRDefault="00C628AC" w:rsidP="00B76F7C">
      <w:pPr>
        <w:spacing w:after="68" w:line="480" w:lineRule="auto"/>
        <w:ind w:firstLine="357"/>
        <w:jc w:val="both"/>
        <w:rPr>
          <w:rFonts w:ascii="Times New Roman" w:eastAsia="Calibri" w:hAnsi="Times New Roman" w:cs="Arial"/>
          <w:sz w:val="24"/>
          <w:szCs w:val="24"/>
        </w:rPr>
      </w:pPr>
    </w:p>
    <w:p w14:paraId="7446CB8F" w14:textId="77777777" w:rsidR="00C628AC" w:rsidRPr="00BB6978" w:rsidRDefault="00C628AC" w:rsidP="00B76F7C">
      <w:pPr>
        <w:spacing w:after="68" w:line="480" w:lineRule="auto"/>
        <w:ind w:firstLine="357"/>
        <w:jc w:val="both"/>
        <w:rPr>
          <w:rFonts w:ascii="Times New Roman" w:eastAsia="Calibri" w:hAnsi="Times New Roman" w:cs="Arial"/>
          <w:sz w:val="24"/>
          <w:szCs w:val="24"/>
        </w:rPr>
      </w:pPr>
    </w:p>
    <w:p w14:paraId="5AFC2B80" w14:textId="77777777" w:rsidR="006E3964" w:rsidRPr="00BB6978" w:rsidRDefault="00016620" w:rsidP="00016620">
      <w:pPr>
        <w:pStyle w:val="Caption"/>
        <w:rPr>
          <w:rFonts w:ascii="Times New Roman" w:eastAsia="Calibri" w:hAnsi="Times New Roman" w:cs="Times New Roman"/>
          <w:b w:val="0"/>
          <w:iCs/>
        </w:rPr>
      </w:pPr>
      <w:bookmarkStart w:id="168" w:name="_Toc134452513"/>
      <w:r w:rsidRPr="00BB6978">
        <w:t xml:space="preserve">Figure </w:t>
      </w:r>
      <w:r w:rsidRPr="00BB6978">
        <w:fldChar w:fldCharType="begin"/>
      </w:r>
      <w:r w:rsidRPr="00BB6978">
        <w:instrText xml:space="preserve"> SEQ Figure \* ARABIC </w:instrText>
      </w:r>
      <w:r w:rsidRPr="00BB6978">
        <w:fldChar w:fldCharType="separate"/>
      </w:r>
      <w:r w:rsidRPr="00BB6978">
        <w:rPr>
          <w:noProof/>
        </w:rPr>
        <w:t>6</w:t>
      </w:r>
      <w:r w:rsidRPr="00BB6978">
        <w:rPr>
          <w:noProof/>
        </w:rPr>
        <w:fldChar w:fldCharType="end"/>
      </w:r>
      <w:r w:rsidR="006E3964" w:rsidRPr="00BB6978">
        <w:rPr>
          <w:rFonts w:ascii="Times New Roman" w:eastAsia="Calibri" w:hAnsi="Times New Roman" w:cs="Times New Roman"/>
          <w:bCs w:val="0"/>
          <w:iCs/>
        </w:rPr>
        <w:t>: SEM model</w:t>
      </w:r>
      <w:bookmarkEnd w:id="168"/>
      <w:r w:rsidR="006E3964" w:rsidRPr="00BB6978">
        <w:rPr>
          <w:rFonts w:ascii="Times New Roman" w:eastAsia="Calibri" w:hAnsi="Times New Roman" w:cs="Times New Roman"/>
          <w:b w:val="0"/>
          <w:iCs/>
        </w:rPr>
        <w:t xml:space="preserve"> </w:t>
      </w:r>
    </w:p>
    <w:p w14:paraId="171DC5C3" w14:textId="77777777" w:rsidR="006E3964" w:rsidRPr="00BB6978" w:rsidRDefault="006E3964" w:rsidP="006E3964">
      <w:pPr>
        <w:rPr>
          <w:rFonts w:ascii="Times New Roman" w:eastAsia="Calibri" w:hAnsi="Times New Roman" w:cs="Times New Roman"/>
          <w:b/>
          <w:sz w:val="28"/>
          <w:szCs w:val="28"/>
        </w:rPr>
      </w:pPr>
      <w:r w:rsidRPr="00BB6978">
        <w:rPr>
          <w:rFonts w:ascii="Times New Roman" w:eastAsia="Calibri" w:hAnsi="Times New Roman" w:cs="Times New Roman"/>
          <w:b/>
          <w:noProof/>
          <w:sz w:val="28"/>
          <w:szCs w:val="28"/>
          <w:lang w:val="en-US"/>
        </w:rPr>
        <w:drawing>
          <wp:inline distT="0" distB="0" distL="0" distR="0" wp14:anchorId="17D546AD" wp14:editId="6C0521F4">
            <wp:extent cx="4555067" cy="2994025"/>
            <wp:effectExtent l="19050" t="19050" r="17145" b="15875"/>
            <wp:docPr id="15" name="Picture 1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Diagram&#10;&#10;Description automatically generated"/>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568423" cy="3002804"/>
                    </a:xfrm>
                    <a:prstGeom prst="rect">
                      <a:avLst/>
                    </a:prstGeom>
                    <a:noFill/>
                    <a:ln>
                      <a:solidFill>
                        <a:schemeClr val="tx1"/>
                      </a:solidFill>
                    </a:ln>
                  </pic:spPr>
                </pic:pic>
              </a:graphicData>
            </a:graphic>
          </wp:inline>
        </w:drawing>
      </w:r>
    </w:p>
    <w:p w14:paraId="6C3891C5" w14:textId="77777777" w:rsidR="006E3964" w:rsidRPr="00BB6978" w:rsidRDefault="00131282" w:rsidP="007F58DC">
      <w:pPr>
        <w:pStyle w:val="Caption"/>
        <w:rPr>
          <w:rFonts w:ascii="Times New Roman" w:eastAsia="Calibri" w:hAnsi="Times New Roman" w:cs="Times New Roman"/>
          <w:iCs/>
        </w:rPr>
      </w:pPr>
      <w:bookmarkStart w:id="169" w:name="_Toc134452505"/>
      <w:r w:rsidRPr="00BB6978">
        <w:t xml:space="preserve">Table </w:t>
      </w:r>
      <w:r w:rsidRPr="00BB6978">
        <w:fldChar w:fldCharType="begin"/>
      </w:r>
      <w:r w:rsidRPr="00BB6978">
        <w:instrText xml:space="preserve"> SEQ Table \* ARABIC </w:instrText>
      </w:r>
      <w:r w:rsidRPr="00BB6978">
        <w:fldChar w:fldCharType="separate"/>
      </w:r>
      <w:r w:rsidRPr="00BB6978">
        <w:rPr>
          <w:noProof/>
        </w:rPr>
        <w:t>21</w:t>
      </w:r>
      <w:r w:rsidRPr="00BB6978">
        <w:rPr>
          <w:noProof/>
        </w:rPr>
        <w:fldChar w:fldCharType="end"/>
      </w:r>
      <w:r w:rsidRPr="00BB6978">
        <w:t>:</w:t>
      </w:r>
      <w:r w:rsidR="006E3964" w:rsidRPr="00BB6978">
        <w:rPr>
          <w:rFonts w:ascii="Times New Roman" w:eastAsia="Calibri" w:hAnsi="Times New Roman" w:cs="Times New Roman"/>
          <w:iCs/>
        </w:rPr>
        <w:t xml:space="preserve"> SEM Model</w:t>
      </w:r>
      <w:bookmarkEnd w:id="169"/>
    </w:p>
    <w:tbl>
      <w:tblPr>
        <w:tblW w:w="4768" w:type="pct"/>
        <w:tblBorders>
          <w:top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929"/>
        <w:gridCol w:w="471"/>
        <w:gridCol w:w="193"/>
        <w:gridCol w:w="768"/>
        <w:gridCol w:w="1774"/>
        <w:gridCol w:w="821"/>
        <w:gridCol w:w="1531"/>
        <w:gridCol w:w="1099"/>
      </w:tblGrid>
      <w:tr w:rsidR="00073A16" w:rsidRPr="00BB6978" w14:paraId="15998F38" w14:textId="77777777" w:rsidTr="00CE66D1">
        <w:trPr>
          <w:tblHeader/>
        </w:trPr>
        <w:tc>
          <w:tcPr>
            <w:tcW w:w="687" w:type="pct"/>
            <w:tcBorders>
              <w:bottom w:val="single" w:sz="4" w:space="0" w:color="auto"/>
              <w:right w:val="nil"/>
            </w:tcBorders>
            <w:shd w:val="clear" w:color="auto" w:fill="BDD6EE"/>
            <w:tcMar>
              <w:top w:w="15" w:type="dxa"/>
              <w:left w:w="140" w:type="dxa"/>
              <w:bottom w:w="15" w:type="dxa"/>
              <w:right w:w="140" w:type="dxa"/>
            </w:tcMar>
            <w:vAlign w:val="center"/>
            <w:hideMark/>
          </w:tcPr>
          <w:p w14:paraId="513D1ACA" w14:textId="77777777" w:rsidR="006E3964" w:rsidRPr="00BB6978" w:rsidRDefault="006E3964" w:rsidP="00CE66D1">
            <w:pPr>
              <w:spacing w:after="0" w:line="240" w:lineRule="auto"/>
              <w:jc w:val="right"/>
              <w:rPr>
                <w:rFonts w:ascii="Times New Roman" w:eastAsia="Times New Roman" w:hAnsi="Times New Roman" w:cs="Times New Roman"/>
                <w:sz w:val="24"/>
                <w:szCs w:val="24"/>
              </w:rPr>
            </w:pPr>
          </w:p>
        </w:tc>
        <w:tc>
          <w:tcPr>
            <w:tcW w:w="466" w:type="pct"/>
            <w:gridSpan w:val="2"/>
            <w:tcBorders>
              <w:left w:val="nil"/>
              <w:bottom w:val="single" w:sz="4" w:space="0" w:color="auto"/>
              <w:right w:val="nil"/>
            </w:tcBorders>
            <w:shd w:val="clear" w:color="auto" w:fill="BDD6EE"/>
            <w:tcMar>
              <w:top w:w="15" w:type="dxa"/>
              <w:left w:w="140" w:type="dxa"/>
              <w:bottom w:w="15" w:type="dxa"/>
              <w:right w:w="140" w:type="dxa"/>
            </w:tcMar>
            <w:vAlign w:val="center"/>
            <w:hideMark/>
          </w:tcPr>
          <w:p w14:paraId="3039AAB3" w14:textId="77777777" w:rsidR="006E3964" w:rsidRPr="00BB6978" w:rsidRDefault="006E3964" w:rsidP="00CE66D1">
            <w:pPr>
              <w:spacing w:after="0" w:line="240" w:lineRule="auto"/>
              <w:jc w:val="right"/>
              <w:rPr>
                <w:rFonts w:ascii="Times New Roman" w:eastAsia="Times New Roman" w:hAnsi="Times New Roman" w:cs="Times New Roman"/>
                <w:sz w:val="24"/>
                <w:szCs w:val="24"/>
              </w:rPr>
            </w:pPr>
          </w:p>
        </w:tc>
        <w:tc>
          <w:tcPr>
            <w:tcW w:w="564" w:type="pct"/>
            <w:tcBorders>
              <w:left w:val="nil"/>
              <w:bottom w:val="single" w:sz="4" w:space="0" w:color="auto"/>
              <w:right w:val="nil"/>
            </w:tcBorders>
            <w:shd w:val="clear" w:color="auto" w:fill="BDD6EE"/>
            <w:tcMar>
              <w:top w:w="15" w:type="dxa"/>
              <w:left w:w="140" w:type="dxa"/>
              <w:bottom w:w="15" w:type="dxa"/>
              <w:right w:w="140" w:type="dxa"/>
            </w:tcMar>
            <w:vAlign w:val="center"/>
            <w:hideMark/>
          </w:tcPr>
          <w:p w14:paraId="2F565D69" w14:textId="77777777" w:rsidR="006E3964" w:rsidRPr="00BB6978" w:rsidRDefault="006E3964" w:rsidP="00CE66D1">
            <w:pPr>
              <w:spacing w:after="0" w:line="240" w:lineRule="auto"/>
              <w:jc w:val="right"/>
              <w:rPr>
                <w:rFonts w:ascii="Times New Roman" w:eastAsia="Times New Roman" w:hAnsi="Times New Roman" w:cs="Times New Roman"/>
                <w:sz w:val="24"/>
                <w:szCs w:val="24"/>
              </w:rPr>
            </w:pPr>
          </w:p>
        </w:tc>
        <w:tc>
          <w:tcPr>
            <w:tcW w:w="1328" w:type="pct"/>
            <w:tcBorders>
              <w:left w:val="nil"/>
              <w:bottom w:val="single" w:sz="4" w:space="0" w:color="auto"/>
              <w:right w:val="nil"/>
            </w:tcBorders>
            <w:shd w:val="clear" w:color="auto" w:fill="BDD6EE"/>
            <w:tcMar>
              <w:top w:w="15" w:type="dxa"/>
              <w:left w:w="140" w:type="dxa"/>
              <w:bottom w:w="15" w:type="dxa"/>
              <w:right w:w="140" w:type="dxa"/>
            </w:tcMar>
            <w:vAlign w:val="center"/>
            <w:hideMark/>
          </w:tcPr>
          <w:p w14:paraId="1F4A4A75" w14:textId="77777777" w:rsidR="006E3964" w:rsidRPr="00BB6978" w:rsidRDefault="006E3964" w:rsidP="00CE66D1">
            <w:pPr>
              <w:spacing w:after="0" w:line="240" w:lineRule="auto"/>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Unstandardized</w:t>
            </w:r>
          </w:p>
          <w:p w14:paraId="00171EA9" w14:textId="77777777" w:rsidR="006E3964" w:rsidRPr="00BB6978" w:rsidRDefault="006E3964" w:rsidP="00CE66D1">
            <w:pPr>
              <w:spacing w:after="0" w:line="240" w:lineRule="auto"/>
              <w:ind w:firstLineChars="100" w:firstLine="240"/>
              <w:jc w:val="center"/>
              <w:rPr>
                <w:rFonts w:ascii="Times New Roman" w:eastAsia="Calibri" w:hAnsi="Times New Roman" w:cs="Times New Roman"/>
                <w:sz w:val="24"/>
                <w:szCs w:val="24"/>
              </w:rPr>
            </w:pPr>
            <w:r w:rsidRPr="00BB6978">
              <w:rPr>
                <w:rFonts w:ascii="Times New Roman" w:eastAsia="Calibri" w:hAnsi="Times New Roman" w:cs="Times New Roman"/>
                <w:b/>
                <w:sz w:val="24"/>
                <w:szCs w:val="24"/>
              </w:rPr>
              <w:t>coefficient</w:t>
            </w:r>
          </w:p>
        </w:tc>
        <w:tc>
          <w:tcPr>
            <w:tcW w:w="605" w:type="pct"/>
            <w:tcBorders>
              <w:left w:val="nil"/>
              <w:bottom w:val="single" w:sz="4" w:space="0" w:color="auto"/>
              <w:right w:val="nil"/>
            </w:tcBorders>
            <w:shd w:val="clear" w:color="auto" w:fill="BDD6EE"/>
            <w:tcMar>
              <w:top w:w="15" w:type="dxa"/>
              <w:left w:w="140" w:type="dxa"/>
              <w:bottom w:w="15" w:type="dxa"/>
              <w:right w:w="140" w:type="dxa"/>
            </w:tcMar>
            <w:vAlign w:val="center"/>
            <w:hideMark/>
          </w:tcPr>
          <w:p w14:paraId="11FFD6B2" w14:textId="77777777" w:rsidR="006E3964" w:rsidRPr="00BB6978" w:rsidRDefault="006E3964" w:rsidP="00CE66D1">
            <w:pPr>
              <w:spacing w:after="0" w:line="240" w:lineRule="auto"/>
              <w:ind w:firstLineChars="100" w:firstLine="240"/>
              <w:jc w:val="center"/>
              <w:rPr>
                <w:rFonts w:ascii="Times New Roman" w:eastAsia="Calibri" w:hAnsi="Times New Roman" w:cs="Times New Roman"/>
                <w:sz w:val="24"/>
                <w:szCs w:val="24"/>
              </w:rPr>
            </w:pPr>
            <w:r w:rsidRPr="00BB6978">
              <w:rPr>
                <w:rFonts w:ascii="Times New Roman" w:eastAsia="Calibri" w:hAnsi="Times New Roman" w:cs="Times New Roman"/>
                <w:b/>
                <w:sz w:val="24"/>
                <w:szCs w:val="24"/>
              </w:rPr>
              <w:t>S.E</w:t>
            </w:r>
          </w:p>
        </w:tc>
        <w:tc>
          <w:tcPr>
            <w:tcW w:w="1143" w:type="pct"/>
            <w:tcBorders>
              <w:left w:val="nil"/>
              <w:bottom w:val="single" w:sz="4" w:space="0" w:color="auto"/>
              <w:right w:val="nil"/>
            </w:tcBorders>
            <w:shd w:val="clear" w:color="auto" w:fill="BDD6EE"/>
            <w:tcMar>
              <w:top w:w="15" w:type="dxa"/>
              <w:left w:w="140" w:type="dxa"/>
              <w:bottom w:w="15" w:type="dxa"/>
              <w:right w:w="140" w:type="dxa"/>
            </w:tcMar>
            <w:vAlign w:val="center"/>
            <w:hideMark/>
          </w:tcPr>
          <w:p w14:paraId="1EDC1EF8" w14:textId="77777777" w:rsidR="006E3964" w:rsidRPr="00BB6978" w:rsidRDefault="006E3964" w:rsidP="00CE66D1">
            <w:pPr>
              <w:spacing w:after="0" w:line="240" w:lineRule="auto"/>
              <w:jc w:val="center"/>
              <w:rPr>
                <w:rFonts w:ascii="Times New Roman" w:eastAsia="Calibri" w:hAnsi="Times New Roman" w:cs="Times New Roman"/>
                <w:b/>
                <w:sz w:val="24"/>
                <w:szCs w:val="24"/>
              </w:rPr>
            </w:pPr>
            <w:r w:rsidRPr="00BB6978">
              <w:rPr>
                <w:rFonts w:ascii="Times New Roman" w:eastAsia="Calibri" w:hAnsi="Times New Roman" w:cs="Times New Roman"/>
                <w:b/>
                <w:sz w:val="24"/>
                <w:szCs w:val="24"/>
              </w:rPr>
              <w:t>Standardized</w:t>
            </w:r>
          </w:p>
          <w:p w14:paraId="7D9CC8FB" w14:textId="77777777" w:rsidR="006E3964" w:rsidRPr="00BB6978" w:rsidRDefault="006E3964" w:rsidP="00CE66D1">
            <w:pPr>
              <w:spacing w:after="0" w:line="240" w:lineRule="auto"/>
              <w:ind w:firstLineChars="100" w:firstLine="240"/>
              <w:jc w:val="center"/>
              <w:rPr>
                <w:rFonts w:ascii="Times New Roman" w:eastAsia="Calibri" w:hAnsi="Times New Roman" w:cs="Times New Roman"/>
                <w:sz w:val="24"/>
                <w:szCs w:val="24"/>
              </w:rPr>
            </w:pPr>
            <w:r w:rsidRPr="00BB6978">
              <w:rPr>
                <w:rFonts w:ascii="Times New Roman" w:eastAsia="Calibri" w:hAnsi="Times New Roman" w:cs="Times New Roman"/>
                <w:b/>
                <w:sz w:val="24"/>
                <w:szCs w:val="24"/>
              </w:rPr>
              <w:t>coefficient</w:t>
            </w:r>
          </w:p>
        </w:tc>
        <w:tc>
          <w:tcPr>
            <w:tcW w:w="207" w:type="pct"/>
            <w:tcBorders>
              <w:left w:val="nil"/>
              <w:bottom w:val="single" w:sz="4" w:space="0" w:color="auto"/>
              <w:right w:val="nil"/>
            </w:tcBorders>
            <w:shd w:val="clear" w:color="auto" w:fill="BDD6EE"/>
            <w:tcMar>
              <w:top w:w="15" w:type="dxa"/>
              <w:left w:w="140" w:type="dxa"/>
              <w:bottom w:w="15" w:type="dxa"/>
              <w:right w:w="140" w:type="dxa"/>
            </w:tcMar>
            <w:vAlign w:val="center"/>
            <w:hideMark/>
          </w:tcPr>
          <w:p w14:paraId="02D7385A" w14:textId="77777777" w:rsidR="006E3964" w:rsidRPr="00BB6978" w:rsidRDefault="006E3964" w:rsidP="00CE66D1">
            <w:pPr>
              <w:spacing w:after="0" w:line="240" w:lineRule="auto"/>
              <w:ind w:firstLineChars="100" w:firstLine="240"/>
              <w:jc w:val="center"/>
              <w:rPr>
                <w:rFonts w:ascii="Times New Roman" w:eastAsia="Calibri" w:hAnsi="Times New Roman" w:cs="Times New Roman"/>
                <w:sz w:val="24"/>
                <w:szCs w:val="24"/>
              </w:rPr>
            </w:pPr>
            <w:r w:rsidRPr="00BB6978">
              <w:rPr>
                <w:rFonts w:ascii="Times New Roman" w:eastAsia="Calibri" w:hAnsi="Times New Roman" w:cs="Times New Roman"/>
                <w:b/>
                <w:sz w:val="24"/>
                <w:szCs w:val="24"/>
              </w:rPr>
              <w:t>p-value</w:t>
            </w:r>
          </w:p>
        </w:tc>
      </w:tr>
      <w:tr w:rsidR="00073A16" w:rsidRPr="00BB6978" w14:paraId="340FC28D" w14:textId="77777777" w:rsidTr="00CE66D1">
        <w:tc>
          <w:tcPr>
            <w:tcW w:w="687" w:type="pct"/>
            <w:tcBorders>
              <w:bottom w:val="nil"/>
              <w:right w:val="nil"/>
            </w:tcBorders>
            <w:tcMar>
              <w:top w:w="15" w:type="dxa"/>
              <w:left w:w="57" w:type="dxa"/>
              <w:bottom w:w="15" w:type="dxa"/>
              <w:right w:w="57" w:type="dxa"/>
            </w:tcMar>
            <w:vAlign w:val="center"/>
            <w:hideMark/>
          </w:tcPr>
          <w:p w14:paraId="3F180581"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Quality</w:t>
            </w:r>
          </w:p>
        </w:tc>
        <w:tc>
          <w:tcPr>
            <w:tcW w:w="339" w:type="pct"/>
            <w:tcBorders>
              <w:left w:val="nil"/>
              <w:bottom w:val="nil"/>
              <w:right w:val="nil"/>
            </w:tcBorders>
            <w:noWrap/>
            <w:tcMar>
              <w:top w:w="15" w:type="dxa"/>
              <w:left w:w="57" w:type="dxa"/>
              <w:bottom w:w="15" w:type="dxa"/>
              <w:right w:w="57" w:type="dxa"/>
            </w:tcMar>
            <w:vAlign w:val="center"/>
            <w:hideMark/>
          </w:tcPr>
          <w:p w14:paraId="1797EC26"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691" w:type="pct"/>
            <w:gridSpan w:val="2"/>
            <w:tcBorders>
              <w:left w:val="nil"/>
              <w:bottom w:val="nil"/>
              <w:right w:val="nil"/>
            </w:tcBorders>
            <w:tcMar>
              <w:top w:w="15" w:type="dxa"/>
              <w:left w:w="140" w:type="dxa"/>
              <w:bottom w:w="15" w:type="dxa"/>
              <w:right w:w="140" w:type="dxa"/>
            </w:tcMar>
            <w:vAlign w:val="center"/>
            <w:hideMark/>
          </w:tcPr>
          <w:p w14:paraId="3A4B2FD1"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TT</w:t>
            </w:r>
          </w:p>
        </w:tc>
        <w:tc>
          <w:tcPr>
            <w:tcW w:w="1328" w:type="pct"/>
            <w:tcBorders>
              <w:left w:val="nil"/>
              <w:bottom w:val="nil"/>
              <w:right w:val="nil"/>
            </w:tcBorders>
            <w:tcMar>
              <w:top w:w="15" w:type="dxa"/>
              <w:left w:w="140" w:type="dxa"/>
              <w:bottom w:w="15" w:type="dxa"/>
              <w:right w:w="140" w:type="dxa"/>
            </w:tcMar>
            <w:vAlign w:val="center"/>
            <w:hideMark/>
          </w:tcPr>
          <w:p w14:paraId="71763FBC"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.222</w:t>
            </w:r>
          </w:p>
        </w:tc>
        <w:tc>
          <w:tcPr>
            <w:tcW w:w="605" w:type="pct"/>
            <w:tcBorders>
              <w:left w:val="nil"/>
              <w:bottom w:val="nil"/>
              <w:right w:val="nil"/>
            </w:tcBorders>
            <w:tcMar>
              <w:top w:w="15" w:type="dxa"/>
              <w:left w:w="140" w:type="dxa"/>
              <w:bottom w:w="15" w:type="dxa"/>
              <w:right w:w="140" w:type="dxa"/>
            </w:tcMar>
            <w:vAlign w:val="center"/>
            <w:hideMark/>
          </w:tcPr>
          <w:p w14:paraId="60781531"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.000</w:t>
            </w:r>
          </w:p>
        </w:tc>
        <w:tc>
          <w:tcPr>
            <w:tcW w:w="1143" w:type="pct"/>
            <w:tcBorders>
              <w:left w:val="nil"/>
              <w:bottom w:val="nil"/>
              <w:right w:val="nil"/>
            </w:tcBorders>
            <w:tcMar>
              <w:top w:w="15" w:type="dxa"/>
              <w:left w:w="140" w:type="dxa"/>
              <w:bottom w:w="15" w:type="dxa"/>
              <w:right w:w="140" w:type="dxa"/>
            </w:tcMar>
            <w:vAlign w:val="center"/>
          </w:tcPr>
          <w:p w14:paraId="79D1E96A"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.445</w:t>
            </w:r>
          </w:p>
        </w:tc>
        <w:tc>
          <w:tcPr>
            <w:tcW w:w="207" w:type="pct"/>
            <w:tcBorders>
              <w:left w:val="nil"/>
              <w:bottom w:val="nil"/>
              <w:right w:val="nil"/>
            </w:tcBorders>
            <w:tcMar>
              <w:top w:w="15" w:type="dxa"/>
              <w:left w:w="140" w:type="dxa"/>
              <w:bottom w:w="15" w:type="dxa"/>
              <w:right w:w="140" w:type="dxa"/>
            </w:tcMar>
            <w:hideMark/>
          </w:tcPr>
          <w:p w14:paraId="04F487F0"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09B7D992" w14:textId="77777777" w:rsidTr="00CE66D1">
        <w:tc>
          <w:tcPr>
            <w:tcW w:w="687" w:type="pct"/>
            <w:tcBorders>
              <w:top w:val="nil"/>
              <w:bottom w:val="nil"/>
              <w:right w:val="nil"/>
            </w:tcBorders>
            <w:tcMar>
              <w:top w:w="15" w:type="dxa"/>
              <w:left w:w="57" w:type="dxa"/>
              <w:bottom w:w="15" w:type="dxa"/>
              <w:right w:w="57" w:type="dxa"/>
            </w:tcMar>
            <w:vAlign w:val="center"/>
            <w:hideMark/>
          </w:tcPr>
          <w:p w14:paraId="5BA7762F"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Quality</w:t>
            </w:r>
          </w:p>
        </w:tc>
        <w:tc>
          <w:tcPr>
            <w:tcW w:w="339" w:type="pct"/>
            <w:tcBorders>
              <w:top w:val="nil"/>
              <w:left w:val="nil"/>
              <w:bottom w:val="nil"/>
              <w:right w:val="nil"/>
            </w:tcBorders>
            <w:noWrap/>
            <w:tcMar>
              <w:top w:w="15" w:type="dxa"/>
              <w:left w:w="57" w:type="dxa"/>
              <w:bottom w:w="15" w:type="dxa"/>
              <w:right w:w="57" w:type="dxa"/>
            </w:tcMar>
            <w:vAlign w:val="center"/>
            <w:hideMark/>
          </w:tcPr>
          <w:p w14:paraId="426DD68B"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691" w:type="pct"/>
            <w:gridSpan w:val="2"/>
            <w:tcBorders>
              <w:top w:val="nil"/>
              <w:left w:val="nil"/>
              <w:bottom w:val="nil"/>
              <w:right w:val="nil"/>
            </w:tcBorders>
            <w:tcMar>
              <w:top w:w="15" w:type="dxa"/>
              <w:left w:w="140" w:type="dxa"/>
              <w:bottom w:w="15" w:type="dxa"/>
              <w:right w:w="140" w:type="dxa"/>
            </w:tcMar>
            <w:vAlign w:val="center"/>
            <w:hideMark/>
          </w:tcPr>
          <w:p w14:paraId="0ACC7ACD"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SC</w:t>
            </w:r>
          </w:p>
        </w:tc>
        <w:tc>
          <w:tcPr>
            <w:tcW w:w="1328" w:type="pct"/>
            <w:tcBorders>
              <w:top w:val="nil"/>
              <w:left w:val="nil"/>
              <w:bottom w:val="nil"/>
              <w:right w:val="nil"/>
            </w:tcBorders>
            <w:tcMar>
              <w:top w:w="15" w:type="dxa"/>
              <w:left w:w="140" w:type="dxa"/>
              <w:bottom w:w="15" w:type="dxa"/>
              <w:right w:w="140" w:type="dxa"/>
            </w:tcMar>
            <w:vAlign w:val="center"/>
            <w:hideMark/>
          </w:tcPr>
          <w:p w14:paraId="618FB7F4"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.520</w:t>
            </w:r>
          </w:p>
        </w:tc>
        <w:tc>
          <w:tcPr>
            <w:tcW w:w="605" w:type="pct"/>
            <w:tcBorders>
              <w:top w:val="nil"/>
              <w:left w:val="nil"/>
              <w:bottom w:val="nil"/>
              <w:right w:val="nil"/>
            </w:tcBorders>
            <w:tcMar>
              <w:top w:w="15" w:type="dxa"/>
              <w:left w:w="140" w:type="dxa"/>
              <w:bottom w:w="15" w:type="dxa"/>
              <w:right w:w="140" w:type="dxa"/>
            </w:tcMar>
            <w:vAlign w:val="center"/>
            <w:hideMark/>
          </w:tcPr>
          <w:p w14:paraId="6190EF4B"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.001</w:t>
            </w:r>
          </w:p>
        </w:tc>
        <w:tc>
          <w:tcPr>
            <w:tcW w:w="1143" w:type="pct"/>
            <w:tcBorders>
              <w:top w:val="nil"/>
              <w:left w:val="nil"/>
              <w:bottom w:val="nil"/>
              <w:right w:val="nil"/>
            </w:tcBorders>
            <w:tcMar>
              <w:top w:w="15" w:type="dxa"/>
              <w:left w:w="140" w:type="dxa"/>
              <w:bottom w:w="15" w:type="dxa"/>
              <w:right w:w="140" w:type="dxa"/>
            </w:tcMar>
            <w:vAlign w:val="center"/>
          </w:tcPr>
          <w:p w14:paraId="1039006B"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.636</w:t>
            </w:r>
          </w:p>
        </w:tc>
        <w:tc>
          <w:tcPr>
            <w:tcW w:w="207" w:type="pct"/>
            <w:tcBorders>
              <w:top w:val="nil"/>
              <w:left w:val="nil"/>
              <w:bottom w:val="nil"/>
              <w:right w:val="nil"/>
            </w:tcBorders>
            <w:tcMar>
              <w:top w:w="15" w:type="dxa"/>
              <w:left w:w="140" w:type="dxa"/>
              <w:bottom w:w="15" w:type="dxa"/>
              <w:right w:w="140" w:type="dxa"/>
            </w:tcMar>
            <w:hideMark/>
          </w:tcPr>
          <w:p w14:paraId="75D1B91F"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2D266851" w14:textId="77777777" w:rsidTr="00CE66D1">
        <w:tc>
          <w:tcPr>
            <w:tcW w:w="687" w:type="pct"/>
            <w:tcBorders>
              <w:top w:val="nil"/>
              <w:bottom w:val="nil"/>
              <w:right w:val="nil"/>
            </w:tcBorders>
            <w:tcMar>
              <w:top w:w="15" w:type="dxa"/>
              <w:left w:w="57" w:type="dxa"/>
              <w:bottom w:w="15" w:type="dxa"/>
              <w:right w:w="57" w:type="dxa"/>
            </w:tcMar>
            <w:vAlign w:val="center"/>
            <w:hideMark/>
          </w:tcPr>
          <w:p w14:paraId="6D225A87"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Quality</w:t>
            </w:r>
          </w:p>
        </w:tc>
        <w:tc>
          <w:tcPr>
            <w:tcW w:w="339" w:type="pct"/>
            <w:tcBorders>
              <w:top w:val="nil"/>
              <w:left w:val="nil"/>
              <w:bottom w:val="nil"/>
              <w:right w:val="nil"/>
            </w:tcBorders>
            <w:noWrap/>
            <w:tcMar>
              <w:top w:w="15" w:type="dxa"/>
              <w:left w:w="57" w:type="dxa"/>
              <w:bottom w:w="15" w:type="dxa"/>
              <w:right w:w="57" w:type="dxa"/>
            </w:tcMar>
            <w:vAlign w:val="center"/>
            <w:hideMark/>
          </w:tcPr>
          <w:p w14:paraId="59F7D87D"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691" w:type="pct"/>
            <w:gridSpan w:val="2"/>
            <w:tcBorders>
              <w:top w:val="nil"/>
              <w:left w:val="nil"/>
              <w:bottom w:val="nil"/>
              <w:right w:val="nil"/>
            </w:tcBorders>
            <w:tcMar>
              <w:top w:w="15" w:type="dxa"/>
              <w:left w:w="140" w:type="dxa"/>
              <w:bottom w:w="15" w:type="dxa"/>
              <w:right w:w="140" w:type="dxa"/>
            </w:tcMar>
            <w:vAlign w:val="center"/>
            <w:hideMark/>
          </w:tcPr>
          <w:p w14:paraId="14391F89"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SR</w:t>
            </w:r>
          </w:p>
        </w:tc>
        <w:tc>
          <w:tcPr>
            <w:tcW w:w="1328" w:type="pct"/>
            <w:tcBorders>
              <w:top w:val="nil"/>
              <w:left w:val="nil"/>
              <w:bottom w:val="nil"/>
              <w:right w:val="nil"/>
            </w:tcBorders>
            <w:tcMar>
              <w:top w:w="15" w:type="dxa"/>
              <w:left w:w="140" w:type="dxa"/>
              <w:bottom w:w="15" w:type="dxa"/>
              <w:right w:w="140" w:type="dxa"/>
            </w:tcMar>
            <w:vAlign w:val="center"/>
            <w:hideMark/>
          </w:tcPr>
          <w:p w14:paraId="6E7B825D"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.260</w:t>
            </w:r>
          </w:p>
        </w:tc>
        <w:tc>
          <w:tcPr>
            <w:tcW w:w="605" w:type="pct"/>
            <w:tcBorders>
              <w:top w:val="nil"/>
              <w:left w:val="nil"/>
              <w:bottom w:val="nil"/>
              <w:right w:val="nil"/>
            </w:tcBorders>
            <w:tcMar>
              <w:top w:w="15" w:type="dxa"/>
              <w:left w:w="140" w:type="dxa"/>
              <w:bottom w:w="15" w:type="dxa"/>
              <w:right w:w="140" w:type="dxa"/>
            </w:tcMar>
            <w:vAlign w:val="center"/>
            <w:hideMark/>
          </w:tcPr>
          <w:p w14:paraId="13452173"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.000</w:t>
            </w:r>
          </w:p>
        </w:tc>
        <w:tc>
          <w:tcPr>
            <w:tcW w:w="1143" w:type="pct"/>
            <w:tcBorders>
              <w:top w:val="nil"/>
              <w:left w:val="nil"/>
              <w:bottom w:val="nil"/>
              <w:right w:val="nil"/>
            </w:tcBorders>
            <w:tcMar>
              <w:top w:w="15" w:type="dxa"/>
              <w:left w:w="140" w:type="dxa"/>
              <w:bottom w:w="15" w:type="dxa"/>
              <w:right w:w="140" w:type="dxa"/>
            </w:tcMar>
            <w:vAlign w:val="center"/>
          </w:tcPr>
          <w:p w14:paraId="5E20EF66"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.444</w:t>
            </w:r>
          </w:p>
        </w:tc>
        <w:tc>
          <w:tcPr>
            <w:tcW w:w="207" w:type="pct"/>
            <w:tcBorders>
              <w:top w:val="nil"/>
              <w:left w:val="nil"/>
              <w:bottom w:val="nil"/>
              <w:right w:val="nil"/>
            </w:tcBorders>
            <w:tcMar>
              <w:top w:w="15" w:type="dxa"/>
              <w:left w:w="140" w:type="dxa"/>
              <w:bottom w:w="15" w:type="dxa"/>
              <w:right w:w="140" w:type="dxa"/>
            </w:tcMar>
            <w:hideMark/>
          </w:tcPr>
          <w:p w14:paraId="308D05DB"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646A7EC1" w14:textId="77777777" w:rsidTr="00CE66D1">
        <w:tc>
          <w:tcPr>
            <w:tcW w:w="687" w:type="pct"/>
            <w:tcBorders>
              <w:top w:val="nil"/>
              <w:bottom w:val="nil"/>
              <w:right w:val="nil"/>
            </w:tcBorders>
            <w:tcMar>
              <w:top w:w="15" w:type="dxa"/>
              <w:left w:w="57" w:type="dxa"/>
              <w:bottom w:w="15" w:type="dxa"/>
              <w:right w:w="57" w:type="dxa"/>
            </w:tcMar>
            <w:vAlign w:val="center"/>
            <w:hideMark/>
          </w:tcPr>
          <w:p w14:paraId="357CC963"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Outcome</w:t>
            </w:r>
          </w:p>
        </w:tc>
        <w:tc>
          <w:tcPr>
            <w:tcW w:w="339" w:type="pct"/>
            <w:tcBorders>
              <w:top w:val="nil"/>
              <w:left w:val="nil"/>
              <w:bottom w:val="nil"/>
              <w:right w:val="nil"/>
            </w:tcBorders>
            <w:noWrap/>
            <w:tcMar>
              <w:top w:w="15" w:type="dxa"/>
              <w:left w:w="57" w:type="dxa"/>
              <w:bottom w:w="15" w:type="dxa"/>
              <w:right w:w="57" w:type="dxa"/>
            </w:tcMar>
            <w:vAlign w:val="center"/>
            <w:hideMark/>
          </w:tcPr>
          <w:p w14:paraId="0F46AC44"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691" w:type="pct"/>
            <w:gridSpan w:val="2"/>
            <w:tcBorders>
              <w:top w:val="nil"/>
              <w:left w:val="nil"/>
              <w:bottom w:val="nil"/>
              <w:right w:val="nil"/>
            </w:tcBorders>
            <w:tcMar>
              <w:top w:w="15" w:type="dxa"/>
              <w:left w:w="140" w:type="dxa"/>
              <w:bottom w:w="15" w:type="dxa"/>
              <w:right w:w="140" w:type="dxa"/>
            </w:tcMar>
            <w:vAlign w:val="center"/>
            <w:hideMark/>
          </w:tcPr>
          <w:p w14:paraId="254B6341"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Cost</w:t>
            </w:r>
          </w:p>
        </w:tc>
        <w:tc>
          <w:tcPr>
            <w:tcW w:w="1328" w:type="pct"/>
            <w:tcBorders>
              <w:top w:val="nil"/>
              <w:left w:val="nil"/>
              <w:bottom w:val="nil"/>
              <w:right w:val="nil"/>
            </w:tcBorders>
            <w:tcMar>
              <w:top w:w="15" w:type="dxa"/>
              <w:left w:w="140" w:type="dxa"/>
              <w:bottom w:w="15" w:type="dxa"/>
              <w:right w:w="140" w:type="dxa"/>
            </w:tcMar>
            <w:vAlign w:val="center"/>
            <w:hideMark/>
          </w:tcPr>
          <w:p w14:paraId="582B7114"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.166</w:t>
            </w:r>
          </w:p>
        </w:tc>
        <w:tc>
          <w:tcPr>
            <w:tcW w:w="605" w:type="pct"/>
            <w:tcBorders>
              <w:top w:val="nil"/>
              <w:left w:val="nil"/>
              <w:bottom w:val="nil"/>
              <w:right w:val="nil"/>
            </w:tcBorders>
            <w:tcMar>
              <w:top w:w="15" w:type="dxa"/>
              <w:left w:w="140" w:type="dxa"/>
              <w:bottom w:w="15" w:type="dxa"/>
              <w:right w:w="140" w:type="dxa"/>
            </w:tcMar>
            <w:vAlign w:val="center"/>
            <w:hideMark/>
          </w:tcPr>
          <w:p w14:paraId="159DFC83"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.031</w:t>
            </w:r>
          </w:p>
        </w:tc>
        <w:tc>
          <w:tcPr>
            <w:tcW w:w="1143" w:type="pct"/>
            <w:tcBorders>
              <w:top w:val="nil"/>
              <w:left w:val="nil"/>
              <w:bottom w:val="nil"/>
              <w:right w:val="nil"/>
            </w:tcBorders>
            <w:tcMar>
              <w:top w:w="15" w:type="dxa"/>
              <w:left w:w="140" w:type="dxa"/>
              <w:bottom w:w="15" w:type="dxa"/>
              <w:right w:w="140" w:type="dxa"/>
            </w:tcMar>
            <w:vAlign w:val="center"/>
          </w:tcPr>
          <w:p w14:paraId="68ECE4CF"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.257</w:t>
            </w:r>
          </w:p>
        </w:tc>
        <w:tc>
          <w:tcPr>
            <w:tcW w:w="207" w:type="pct"/>
            <w:tcBorders>
              <w:top w:val="nil"/>
              <w:left w:val="nil"/>
              <w:bottom w:val="nil"/>
              <w:right w:val="nil"/>
            </w:tcBorders>
            <w:tcMar>
              <w:top w:w="15" w:type="dxa"/>
              <w:left w:w="140" w:type="dxa"/>
              <w:bottom w:w="15" w:type="dxa"/>
              <w:right w:w="140" w:type="dxa"/>
            </w:tcMar>
            <w:hideMark/>
          </w:tcPr>
          <w:p w14:paraId="6312D461"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r w:rsidR="00073A16" w:rsidRPr="00BB6978" w14:paraId="3090FFFD" w14:textId="77777777" w:rsidTr="00CE66D1">
        <w:tc>
          <w:tcPr>
            <w:tcW w:w="687" w:type="pct"/>
            <w:tcBorders>
              <w:top w:val="nil"/>
              <w:right w:val="nil"/>
            </w:tcBorders>
            <w:tcMar>
              <w:top w:w="15" w:type="dxa"/>
              <w:left w:w="57" w:type="dxa"/>
              <w:bottom w:w="15" w:type="dxa"/>
              <w:right w:w="57" w:type="dxa"/>
            </w:tcMar>
            <w:vAlign w:val="center"/>
            <w:hideMark/>
          </w:tcPr>
          <w:p w14:paraId="648D9312"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Outcome</w:t>
            </w:r>
          </w:p>
        </w:tc>
        <w:tc>
          <w:tcPr>
            <w:tcW w:w="339" w:type="pct"/>
            <w:tcBorders>
              <w:top w:val="nil"/>
              <w:left w:val="nil"/>
              <w:right w:val="nil"/>
            </w:tcBorders>
            <w:noWrap/>
            <w:tcMar>
              <w:top w:w="15" w:type="dxa"/>
              <w:left w:w="57" w:type="dxa"/>
              <w:bottom w:w="15" w:type="dxa"/>
              <w:right w:w="57" w:type="dxa"/>
            </w:tcMar>
            <w:vAlign w:val="center"/>
            <w:hideMark/>
          </w:tcPr>
          <w:p w14:paraId="264FF507"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&lt;---</w:t>
            </w:r>
          </w:p>
        </w:tc>
        <w:tc>
          <w:tcPr>
            <w:tcW w:w="691" w:type="pct"/>
            <w:gridSpan w:val="2"/>
            <w:tcBorders>
              <w:top w:val="nil"/>
              <w:left w:val="nil"/>
              <w:right w:val="nil"/>
            </w:tcBorders>
            <w:tcMar>
              <w:top w:w="15" w:type="dxa"/>
              <w:left w:w="140" w:type="dxa"/>
              <w:bottom w:w="15" w:type="dxa"/>
              <w:right w:w="140" w:type="dxa"/>
            </w:tcMar>
            <w:vAlign w:val="center"/>
            <w:hideMark/>
          </w:tcPr>
          <w:p w14:paraId="6477DF10" w14:textId="77777777" w:rsidR="006E3964" w:rsidRPr="00BB6978" w:rsidRDefault="006E3964" w:rsidP="00CE66D1">
            <w:pPr>
              <w:spacing w:after="0" w:line="240" w:lineRule="auto"/>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Quality</w:t>
            </w:r>
          </w:p>
        </w:tc>
        <w:tc>
          <w:tcPr>
            <w:tcW w:w="1328" w:type="pct"/>
            <w:tcBorders>
              <w:top w:val="nil"/>
              <w:left w:val="nil"/>
              <w:right w:val="nil"/>
            </w:tcBorders>
            <w:tcMar>
              <w:top w:w="15" w:type="dxa"/>
              <w:left w:w="140" w:type="dxa"/>
              <w:bottom w:w="15" w:type="dxa"/>
              <w:right w:w="140" w:type="dxa"/>
            </w:tcMar>
            <w:vAlign w:val="center"/>
            <w:hideMark/>
          </w:tcPr>
          <w:p w14:paraId="65B55AA0"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.461</w:t>
            </w:r>
          </w:p>
        </w:tc>
        <w:tc>
          <w:tcPr>
            <w:tcW w:w="605" w:type="pct"/>
            <w:tcBorders>
              <w:top w:val="nil"/>
              <w:left w:val="nil"/>
              <w:right w:val="nil"/>
            </w:tcBorders>
            <w:tcMar>
              <w:top w:w="15" w:type="dxa"/>
              <w:left w:w="140" w:type="dxa"/>
              <w:bottom w:w="15" w:type="dxa"/>
              <w:right w:w="140" w:type="dxa"/>
            </w:tcMar>
            <w:vAlign w:val="center"/>
            <w:hideMark/>
          </w:tcPr>
          <w:p w14:paraId="7962A8F4"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.048</w:t>
            </w:r>
          </w:p>
        </w:tc>
        <w:tc>
          <w:tcPr>
            <w:tcW w:w="1143" w:type="pct"/>
            <w:tcBorders>
              <w:top w:val="nil"/>
              <w:left w:val="nil"/>
              <w:right w:val="nil"/>
            </w:tcBorders>
            <w:tcMar>
              <w:top w:w="15" w:type="dxa"/>
              <w:left w:w="140" w:type="dxa"/>
              <w:bottom w:w="15" w:type="dxa"/>
              <w:right w:w="140" w:type="dxa"/>
            </w:tcMar>
            <w:vAlign w:val="center"/>
          </w:tcPr>
          <w:p w14:paraId="58F88A02" w14:textId="77777777" w:rsidR="006E3964" w:rsidRPr="00BB6978" w:rsidRDefault="006E3964" w:rsidP="00CE66D1">
            <w:pPr>
              <w:spacing w:after="0" w:line="240" w:lineRule="auto"/>
              <w:jc w:val="center"/>
              <w:rPr>
                <w:rFonts w:ascii="Times New Roman" w:eastAsia="Times New Roman" w:hAnsi="Times New Roman" w:cs="Times New Roman"/>
                <w:sz w:val="24"/>
                <w:szCs w:val="24"/>
              </w:rPr>
            </w:pPr>
            <w:r w:rsidRPr="00BB6978">
              <w:rPr>
                <w:rFonts w:ascii="Times New Roman" w:eastAsia="Times New Roman" w:hAnsi="Times New Roman" w:cs="Times New Roman"/>
                <w:sz w:val="24"/>
                <w:szCs w:val="24"/>
              </w:rPr>
              <w:t>.462</w:t>
            </w:r>
          </w:p>
        </w:tc>
        <w:tc>
          <w:tcPr>
            <w:tcW w:w="207" w:type="pct"/>
            <w:tcBorders>
              <w:top w:val="nil"/>
              <w:left w:val="nil"/>
              <w:right w:val="nil"/>
            </w:tcBorders>
            <w:tcMar>
              <w:top w:w="15" w:type="dxa"/>
              <w:left w:w="140" w:type="dxa"/>
              <w:bottom w:w="15" w:type="dxa"/>
              <w:right w:w="140" w:type="dxa"/>
            </w:tcMar>
            <w:hideMark/>
          </w:tcPr>
          <w:p w14:paraId="51D341D2" w14:textId="77777777" w:rsidR="006E3964" w:rsidRPr="00BB6978" w:rsidRDefault="006E3964" w:rsidP="00CE66D1">
            <w:pPr>
              <w:spacing w:after="0" w:line="240" w:lineRule="auto"/>
              <w:jc w:val="center"/>
              <w:rPr>
                <w:rFonts w:ascii="Times New Roman" w:eastAsia="Calibri" w:hAnsi="Times New Roman" w:cs="Times New Roman"/>
                <w:b/>
              </w:rPr>
            </w:pPr>
            <w:r w:rsidRPr="00BB6978">
              <w:rPr>
                <w:rFonts w:ascii="Times New Roman" w:eastAsia="Times New Roman" w:hAnsi="Times New Roman" w:cs="Times New Roman"/>
                <w:b/>
                <w:sz w:val="24"/>
                <w:szCs w:val="24"/>
              </w:rPr>
              <w:t>0.000***</w:t>
            </w:r>
          </w:p>
        </w:tc>
      </w:tr>
    </w:tbl>
    <w:p w14:paraId="45B95990" w14:textId="77777777" w:rsidR="006E3964" w:rsidRPr="00BB6978" w:rsidRDefault="006E3964" w:rsidP="006E3964">
      <w:pPr>
        <w:tabs>
          <w:tab w:val="left" w:pos="1725"/>
        </w:tabs>
        <w:autoSpaceDE w:val="0"/>
        <w:autoSpaceDN w:val="0"/>
        <w:adjustRightInd w:val="0"/>
        <w:rPr>
          <w:rFonts w:ascii="Times New Roman" w:eastAsia="Calibri" w:hAnsi="Times New Roman" w:cs="Times New Roman"/>
          <w:i/>
          <w:sz w:val="24"/>
          <w:szCs w:val="24"/>
        </w:rPr>
      </w:pPr>
      <w:r w:rsidRPr="00BB6978">
        <w:rPr>
          <w:rFonts w:ascii="Times New Roman" w:eastAsia="Calibri" w:hAnsi="Times New Roman" w:cs="Times New Roman"/>
          <w:i/>
          <w:sz w:val="24"/>
          <w:szCs w:val="24"/>
        </w:rPr>
        <w:t xml:space="preserve">TT- Teachers training, SC- School Culture, SR- School Resource </w:t>
      </w:r>
    </w:p>
    <w:p w14:paraId="72ADBC2E" w14:textId="77777777" w:rsidR="006E3964" w:rsidRPr="00BB6978" w:rsidRDefault="006E3964" w:rsidP="006E3964">
      <w:pPr>
        <w:tabs>
          <w:tab w:val="left" w:pos="1725"/>
        </w:tabs>
        <w:autoSpaceDE w:val="0"/>
        <w:autoSpaceDN w:val="0"/>
        <w:adjustRightInd w:val="0"/>
        <w:rPr>
          <w:rFonts w:ascii="Times New Roman" w:eastAsia="Calibri" w:hAnsi="Times New Roman" w:cs="Times New Roman"/>
          <w:b/>
          <w:sz w:val="24"/>
          <w:szCs w:val="24"/>
        </w:rPr>
      </w:pPr>
    </w:p>
    <w:p w14:paraId="0E192CDF" w14:textId="77777777" w:rsidR="00B76F7C" w:rsidRPr="00BB6978" w:rsidRDefault="006E3964" w:rsidP="00C628AC">
      <w:pPr>
        <w:tabs>
          <w:tab w:val="left" w:pos="1725"/>
        </w:tabs>
        <w:autoSpaceDE w:val="0"/>
        <w:autoSpaceDN w:val="0"/>
        <w:adjustRightInd w:val="0"/>
        <w:spacing w:line="480" w:lineRule="auto"/>
        <w:ind w:firstLine="851"/>
        <w:jc w:val="both"/>
        <w:rPr>
          <w:rFonts w:ascii="Times New Roman" w:eastAsia="Calibri" w:hAnsi="Times New Roman" w:cs="Arial"/>
          <w:sz w:val="24"/>
          <w:szCs w:val="24"/>
        </w:rPr>
      </w:pPr>
      <w:r w:rsidRPr="00BB6978">
        <w:rPr>
          <w:rFonts w:ascii="Times New Roman" w:eastAsia="Calibri" w:hAnsi="Times New Roman" w:cs="Arial"/>
          <w:sz w:val="24"/>
          <w:szCs w:val="24"/>
        </w:rPr>
        <w:t>As revealed by the structural model in Table 22, the quality of fit representation for the sample data was accepted (χ</w:t>
      </w:r>
      <w:r w:rsidRPr="00BB6978">
        <w:rPr>
          <w:rFonts w:ascii="Times New Roman" w:eastAsia="Calibri" w:hAnsi="Times New Roman" w:cs="Arial"/>
          <w:i/>
          <w:sz w:val="24"/>
          <w:szCs w:val="24"/>
          <w:vertAlign w:val="superscript"/>
        </w:rPr>
        <w:t>2</w:t>
      </w:r>
      <w:r w:rsidRPr="00BB6978">
        <w:rPr>
          <w:rFonts w:ascii="Times New Roman" w:eastAsia="Calibri" w:hAnsi="Times New Roman" w:cs="Arial"/>
          <w:sz w:val="24"/>
          <w:szCs w:val="24"/>
          <w:vertAlign w:val="superscript"/>
        </w:rPr>
        <w:t xml:space="preserve"> </w:t>
      </w:r>
      <w:r w:rsidRPr="00BB6978">
        <w:rPr>
          <w:rFonts w:ascii="Times New Roman" w:eastAsia="Calibri" w:hAnsi="Times New Roman" w:cs="Arial"/>
          <w:sz w:val="24"/>
          <w:szCs w:val="24"/>
        </w:rPr>
        <w:t xml:space="preserve">(4)= 120.610, GFI =0.920; CFI =0.970 RFI = 0.883 and NFI = 0.969 which means that the values are greater than the 0.90 according to the criteria that was recommended by </w:t>
      </w:r>
      <w:r w:rsidRPr="00BB6978">
        <w:rPr>
          <w:rFonts w:ascii="Times New Roman" w:eastAsia="Calibri" w:hAnsi="Times New Roman" w:cs="Arial"/>
          <w:sz w:val="24"/>
          <w:szCs w:val="24"/>
        </w:rPr>
        <w:fldChar w:fldCharType="begin" w:fldLock="1"/>
      </w:r>
      <w:r w:rsidRPr="00BB6978">
        <w:rPr>
          <w:rFonts w:ascii="Times New Roman" w:eastAsia="Calibri" w:hAnsi="Times New Roman" w:cs="Arial"/>
          <w:sz w:val="24"/>
          <w:szCs w:val="24"/>
        </w:rPr>
        <w:instrText>ADDIN CSL_CITATION { "citationItems" : [ { "id" : "ITEM-1", "itemData" : { "author" : [ { "dropping-particle" : "", "family" : "Joreskog", "given" : "K.", "non-dropping-particle" : "", "parse-names" : false, "suffix" : "" }, { "dropping-particle" : "", "family" : "Sorbom", "given" : "D.", "non-dropping-particle" : "", "parse-names" : false, "suffix" : "" } ], "id" : "ITEM-1", "issued" : { "date-parts" : [ [ "1981" ] ] }, "publisher" : "Chicago: National Educational Resources.", "title" : "LISREL V: analysis of linear structural relationships by the method of maximum likelihood", "type" : "book" }, "uris" : [ "http://www.mendeley.com/documents/?uuid=3c3aca7c-4cdb-4b46-9069-9cba0cbf6cf1" ] } ], "mendeley" : { "formattedCitation" : "(Joreskog &amp; Sorbom, 1981)", "manualFormatting" : "Joreskog and Sorbom (1981)", "plainTextFormattedCitation" : "(Joreskog &amp; Sorbom, 1981)", "previouslyFormattedCitation" : "(Joreskog &amp; Sorbom, 1981)" }, "properties" : { "noteIndex" : 0 }, "schema" : "https://github.com/citation-style-language/schema/raw/master/csl-citation.json" }</w:instrText>
      </w:r>
      <w:r w:rsidRPr="00BB6978">
        <w:rPr>
          <w:rFonts w:ascii="Times New Roman" w:eastAsia="Calibri" w:hAnsi="Times New Roman" w:cs="Arial"/>
          <w:sz w:val="24"/>
          <w:szCs w:val="24"/>
        </w:rPr>
        <w:fldChar w:fldCharType="separate"/>
      </w:r>
      <w:r w:rsidRPr="00BB6978">
        <w:rPr>
          <w:rFonts w:ascii="Times New Roman" w:eastAsia="Calibri" w:hAnsi="Times New Roman" w:cs="Arial"/>
          <w:sz w:val="24"/>
          <w:szCs w:val="24"/>
        </w:rPr>
        <w:t>Joreskog and Sorbom (1981)</w:t>
      </w:r>
      <w:r w:rsidRPr="00BB6978">
        <w:rPr>
          <w:rFonts w:ascii="Times New Roman" w:eastAsia="Calibri" w:hAnsi="Times New Roman" w:cs="Arial"/>
          <w:sz w:val="24"/>
          <w:szCs w:val="24"/>
        </w:rPr>
        <w:fldChar w:fldCharType="end"/>
      </w:r>
      <w:r w:rsidRPr="00BB6978">
        <w:rPr>
          <w:rFonts w:ascii="Times New Roman" w:eastAsia="Calibri" w:hAnsi="Times New Roman" w:cs="Arial"/>
          <w:sz w:val="24"/>
          <w:szCs w:val="24"/>
        </w:rPr>
        <w:t xml:space="preserve">, and </w:t>
      </w:r>
      <w:r w:rsidRPr="00BB6978">
        <w:rPr>
          <w:rFonts w:ascii="Times New Roman" w:eastAsia="Calibri" w:hAnsi="Times New Roman" w:cs="Arial"/>
          <w:sz w:val="24"/>
          <w:szCs w:val="24"/>
        </w:rPr>
        <w:fldChar w:fldCharType="begin" w:fldLock="1"/>
      </w:r>
      <w:r w:rsidRPr="00BB6978">
        <w:rPr>
          <w:rFonts w:ascii="Times New Roman" w:eastAsia="Calibri" w:hAnsi="Times New Roman" w:cs="Arial"/>
          <w:sz w:val="24"/>
          <w:szCs w:val="24"/>
        </w:rPr>
        <w:instrText>ADDIN CSL_CITATION { "citationItems" : [ { "id" : "ITEM-1", "itemData" : { "author" : [ { "dropping-particle" : "", "family" : "Hu", "given" : "L.T.", "non-dropping-particle" : "", "parse-names" : false, "suffix" : "" }, { "dropping-particle" : "", "family" : "Bentler", "given" : "P.M.", "non-dropping-particle" : "", "parse-names" : false, "suffix" : "" } ], "container-title" : "Structural Equation Modeling", "id" : "ITEM-1", "issue" : "1", "issued" : { "date-parts" : [ [ "1999" ] ] }, "page" : "1-55", "title" : "Cutoff Criteria for Fit Indexes in Covariance Structure Analysis: Conventional Criteria Versus New Alternatives", "type" : "article-journal", "volume" : "6" }, "uris" : [ "http://www.mendeley.com/documents/?uuid=5d6749ac-7ec7-44f5-af24-a55ca25e0302" ] } ], "mendeley" : { "formattedCitation" : "(Hu &amp; Bentler, 1999)", "manualFormatting" : "Hu and Bentler (1999)", "plainTextFormattedCitation" : "(Hu &amp; Bentler, 1999)", "previouslyFormattedCitation" : "(Hu &amp; Bentler, 1999)" }, "properties" : { "noteIndex" : 0 }, "schema" : "https://github.com/citation-style-language/schema/raw/master/csl-citation.json" }</w:instrText>
      </w:r>
      <w:r w:rsidRPr="00BB6978">
        <w:rPr>
          <w:rFonts w:ascii="Times New Roman" w:eastAsia="Calibri" w:hAnsi="Times New Roman" w:cs="Arial"/>
          <w:sz w:val="24"/>
          <w:szCs w:val="24"/>
        </w:rPr>
        <w:fldChar w:fldCharType="separate"/>
      </w:r>
      <w:r w:rsidRPr="00BB6978">
        <w:rPr>
          <w:rFonts w:ascii="Times New Roman" w:eastAsia="Calibri" w:hAnsi="Times New Roman" w:cs="Arial"/>
          <w:sz w:val="24"/>
          <w:szCs w:val="24"/>
        </w:rPr>
        <w:t>Hu and Bentler (1999)</w:t>
      </w:r>
      <w:r w:rsidRPr="00BB6978">
        <w:rPr>
          <w:rFonts w:ascii="Times New Roman" w:eastAsia="Calibri" w:hAnsi="Times New Roman" w:cs="Arial"/>
          <w:sz w:val="24"/>
          <w:szCs w:val="24"/>
        </w:rPr>
        <w:fldChar w:fldCharType="end"/>
      </w:r>
      <w:r w:rsidRPr="00BB6978">
        <w:rPr>
          <w:rFonts w:ascii="Times New Roman" w:eastAsia="Calibri" w:hAnsi="Times New Roman" w:cs="Arial"/>
          <w:sz w:val="24"/>
          <w:szCs w:val="24"/>
        </w:rPr>
        <w:t>.</w:t>
      </w:r>
      <w:r w:rsidRPr="00BB6978">
        <w:rPr>
          <w:rFonts w:ascii="Times New Roman" w:eastAsia="Calibri" w:hAnsi="Times New Roman" w:cs="Arial"/>
          <w:sz w:val="24"/>
          <w:szCs w:val="24"/>
          <w:vertAlign w:val="superscript"/>
        </w:rPr>
        <w:t xml:space="preserve"> </w:t>
      </w:r>
      <w:r w:rsidRPr="00BB6978">
        <w:rPr>
          <w:rFonts w:ascii="Times New Roman" w:eastAsia="Calibri" w:hAnsi="Times New Roman" w:cs="Arial"/>
          <w:sz w:val="24"/>
          <w:szCs w:val="24"/>
        </w:rPr>
        <w:t xml:space="preserve">Also, RMR =0.059 and RMSEA =0.070 values are lower than 0.08 which represents the critical value recommended by  </w:t>
      </w:r>
      <w:r w:rsidRPr="00BB6978">
        <w:rPr>
          <w:rFonts w:ascii="Times New Roman" w:eastAsia="Calibri" w:hAnsi="Times New Roman" w:cs="Arial"/>
          <w:sz w:val="24"/>
          <w:szCs w:val="24"/>
        </w:rPr>
        <w:fldChar w:fldCharType="begin" w:fldLock="1"/>
      </w:r>
      <w:r w:rsidRPr="00BB6978">
        <w:rPr>
          <w:rFonts w:ascii="Times New Roman" w:eastAsia="Calibri" w:hAnsi="Times New Roman" w:cs="Arial"/>
          <w:sz w:val="24"/>
          <w:szCs w:val="24"/>
        </w:rPr>
        <w:instrText>ADDIN CSL_CITATION { "citationItems" : [ { "id" : "ITEM-1", "itemData" : { "author" : [ { "dropping-particle" : "", "family" : "Steiger", "given" : "J. H.", "non-dropping-particle" : "", "parse-names" : false, "suffix" : "" } ], "id" : "ITEM-1", "issued" : { "date-parts" : [ [ "1989" ] ] }, "publisher" : "Evanston, IL: SYSTAT", "title" : "EzPATH: Causal modeling", "type" : "book" }, "uris" : [ "http://www.mendeley.com/documents/?uuid=5a036b9c-50b6-4a95-a10a-1b3058d408c8" ] } ], "mendeley" : { "formattedCitation" : "(Steiger, 1989)", "plainTextFormattedCitation" : "(Steiger, 1989)", "previouslyFormattedCitation" : "(Steiger, 1989)" }, "properties" : { "noteIndex" : 0 }, "schema" : "https://github.com/citation-style-language/schema/raw/master/csl-citation.json" }</w:instrText>
      </w:r>
      <w:r w:rsidRPr="00BB6978">
        <w:rPr>
          <w:rFonts w:ascii="Times New Roman" w:eastAsia="Calibri" w:hAnsi="Times New Roman" w:cs="Arial"/>
          <w:sz w:val="24"/>
          <w:szCs w:val="24"/>
        </w:rPr>
        <w:fldChar w:fldCharType="separate"/>
      </w:r>
      <w:r w:rsidRPr="00BB6978">
        <w:rPr>
          <w:rFonts w:ascii="Times New Roman" w:eastAsia="Calibri" w:hAnsi="Times New Roman" w:cs="Arial"/>
          <w:sz w:val="24"/>
          <w:szCs w:val="24"/>
        </w:rPr>
        <w:t>(Steiger, 1989)</w:t>
      </w:r>
      <w:r w:rsidRPr="00BB6978">
        <w:rPr>
          <w:rFonts w:ascii="Times New Roman" w:eastAsia="Calibri" w:hAnsi="Times New Roman" w:cs="Arial"/>
          <w:sz w:val="24"/>
          <w:szCs w:val="24"/>
        </w:rPr>
        <w:fldChar w:fldCharType="end"/>
      </w:r>
      <w:r w:rsidRPr="00BB6978">
        <w:rPr>
          <w:rFonts w:ascii="Times New Roman" w:eastAsia="Calibri" w:hAnsi="Times New Roman" w:cs="Arial"/>
          <w:sz w:val="24"/>
          <w:szCs w:val="24"/>
        </w:rPr>
        <w:t>.</w:t>
      </w:r>
    </w:p>
    <w:p w14:paraId="76DB19BC" w14:textId="77777777" w:rsidR="006E3964" w:rsidRPr="00BB6978" w:rsidRDefault="00131282" w:rsidP="007F58DC">
      <w:pPr>
        <w:pStyle w:val="Caption"/>
        <w:rPr>
          <w:rFonts w:ascii="Times New Roman" w:eastAsia="SimSun" w:hAnsi="Times New Roman" w:cs="Times New Roman"/>
          <w:lang w:eastAsia="zh-CN"/>
        </w:rPr>
      </w:pPr>
      <w:bookmarkStart w:id="170" w:name="_Toc134452506"/>
      <w:r w:rsidRPr="00BB6978">
        <w:t xml:space="preserve">Table </w:t>
      </w:r>
      <w:r w:rsidRPr="00BB6978">
        <w:fldChar w:fldCharType="begin"/>
      </w:r>
      <w:r w:rsidRPr="00BB6978">
        <w:instrText xml:space="preserve"> SEQ Table \* ARABIC </w:instrText>
      </w:r>
      <w:r w:rsidRPr="00BB6978">
        <w:fldChar w:fldCharType="separate"/>
      </w:r>
      <w:r w:rsidRPr="00BB6978">
        <w:rPr>
          <w:noProof/>
        </w:rPr>
        <w:t>22</w:t>
      </w:r>
      <w:r w:rsidRPr="00BB6978">
        <w:rPr>
          <w:noProof/>
        </w:rPr>
        <w:fldChar w:fldCharType="end"/>
      </w:r>
      <w:r w:rsidR="006E3964" w:rsidRPr="00BB6978">
        <w:rPr>
          <w:rFonts w:ascii="Times New Roman" w:eastAsia="Calibri" w:hAnsi="Times New Roman" w:cs="Times New Roman"/>
        </w:rPr>
        <w:t xml:space="preserve">: </w:t>
      </w:r>
      <w:r w:rsidR="006E3964" w:rsidRPr="00BB6978">
        <w:rPr>
          <w:rFonts w:ascii="Times New Roman" w:eastAsia="SimSun" w:hAnsi="Times New Roman" w:cs="Times New Roman"/>
          <w:lang w:eastAsia="zh-CN"/>
        </w:rPr>
        <w:t>Model fit summary</w:t>
      </w:r>
      <w:bookmarkEnd w:id="170"/>
    </w:p>
    <w:p w14:paraId="4E774060" w14:textId="77777777" w:rsidR="006E3964" w:rsidRPr="00BB6978" w:rsidRDefault="006E3964" w:rsidP="006E3964">
      <w:pPr>
        <w:tabs>
          <w:tab w:val="left" w:pos="1725"/>
        </w:tabs>
        <w:autoSpaceDE w:val="0"/>
        <w:autoSpaceDN w:val="0"/>
        <w:adjustRightInd w:val="0"/>
        <w:rPr>
          <w:rFonts w:ascii="Times New Roman" w:eastAsia="SimSun" w:hAnsi="Times New Roman" w:cs="Times New Roman"/>
          <w:b/>
          <w:sz w:val="24"/>
          <w:szCs w:val="24"/>
          <w:lang w:eastAsia="zh-CN"/>
        </w:rPr>
      </w:pPr>
    </w:p>
    <w:tbl>
      <w:tblPr>
        <w:tblW w:w="4856" w:type="pct"/>
        <w:tblLook w:val="04A0" w:firstRow="1" w:lastRow="0" w:firstColumn="1" w:lastColumn="0" w:noHBand="0" w:noVBand="1"/>
      </w:tblPr>
      <w:tblGrid>
        <w:gridCol w:w="2523"/>
        <w:gridCol w:w="1569"/>
        <w:gridCol w:w="3276"/>
      </w:tblGrid>
      <w:tr w:rsidR="00073A16" w:rsidRPr="00BB6978" w14:paraId="379EA9AA" w14:textId="77777777" w:rsidTr="00CE66D1">
        <w:trPr>
          <w:trHeight w:val="70"/>
        </w:trPr>
        <w:tc>
          <w:tcPr>
            <w:tcW w:w="1712" w:type="pct"/>
            <w:tcBorders>
              <w:top w:val="single" w:sz="4" w:space="0" w:color="auto"/>
              <w:bottom w:val="single" w:sz="4" w:space="0" w:color="auto"/>
            </w:tcBorders>
            <w:shd w:val="clear" w:color="auto" w:fill="BDD6EE"/>
          </w:tcPr>
          <w:p w14:paraId="4FED7F1C"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
                <w:sz w:val="24"/>
                <w:szCs w:val="24"/>
                <w:lang w:eastAsia="zh-CN"/>
              </w:rPr>
            </w:pPr>
            <w:r w:rsidRPr="00BB6978">
              <w:rPr>
                <w:rFonts w:ascii="Times New Roman" w:eastAsia="SimSun" w:hAnsi="Times New Roman" w:cs="Times New Roman"/>
                <w:b/>
                <w:sz w:val="24"/>
                <w:szCs w:val="24"/>
                <w:lang w:eastAsia="zh-CN"/>
              </w:rPr>
              <w:t>Variable</w:t>
            </w:r>
          </w:p>
        </w:tc>
        <w:tc>
          <w:tcPr>
            <w:tcW w:w="1065" w:type="pct"/>
            <w:tcBorders>
              <w:top w:val="single" w:sz="4" w:space="0" w:color="auto"/>
              <w:bottom w:val="single" w:sz="4" w:space="0" w:color="auto"/>
            </w:tcBorders>
            <w:shd w:val="clear" w:color="auto" w:fill="BDD6EE"/>
          </w:tcPr>
          <w:p w14:paraId="65324603"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
                <w:sz w:val="24"/>
                <w:szCs w:val="24"/>
                <w:lang w:eastAsia="zh-CN"/>
              </w:rPr>
            </w:pPr>
            <w:r w:rsidRPr="00BB6978">
              <w:rPr>
                <w:rFonts w:ascii="Times New Roman" w:eastAsia="SimSun" w:hAnsi="Times New Roman" w:cs="Times New Roman"/>
                <w:b/>
                <w:sz w:val="24"/>
                <w:szCs w:val="24"/>
                <w:lang w:eastAsia="zh-CN"/>
              </w:rPr>
              <w:t>Value</w:t>
            </w:r>
          </w:p>
        </w:tc>
        <w:tc>
          <w:tcPr>
            <w:tcW w:w="2223" w:type="pct"/>
            <w:tcBorders>
              <w:top w:val="single" w:sz="4" w:space="0" w:color="auto"/>
              <w:bottom w:val="single" w:sz="4" w:space="0" w:color="auto"/>
            </w:tcBorders>
            <w:shd w:val="clear" w:color="auto" w:fill="BDD6EE"/>
          </w:tcPr>
          <w:p w14:paraId="54B4D00F"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
                <w:sz w:val="24"/>
                <w:szCs w:val="24"/>
                <w:lang w:eastAsia="zh-CN"/>
              </w:rPr>
            </w:pPr>
            <w:r w:rsidRPr="00BB6978">
              <w:rPr>
                <w:rFonts w:ascii="Times New Roman" w:eastAsia="SimSun" w:hAnsi="Times New Roman" w:cs="Times New Roman"/>
                <w:b/>
                <w:sz w:val="24"/>
                <w:szCs w:val="24"/>
                <w:lang w:eastAsia="zh-CN"/>
              </w:rPr>
              <w:t>Suggested value</w:t>
            </w:r>
          </w:p>
        </w:tc>
      </w:tr>
      <w:tr w:rsidR="00073A16" w:rsidRPr="00BB6978" w14:paraId="3E5D7EF5" w14:textId="77777777" w:rsidTr="00CE66D1">
        <w:trPr>
          <w:trHeight w:val="506"/>
        </w:trPr>
        <w:tc>
          <w:tcPr>
            <w:tcW w:w="1712" w:type="pct"/>
            <w:tcBorders>
              <w:top w:val="single" w:sz="4" w:space="0" w:color="auto"/>
            </w:tcBorders>
          </w:tcPr>
          <w:p w14:paraId="5CDFACE8"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Chi-square value(χ</w:t>
            </w:r>
            <w:r w:rsidRPr="00BB6978">
              <w:rPr>
                <w:rFonts w:ascii="Times New Roman" w:eastAsia="SimSun" w:hAnsi="Times New Roman" w:cs="Times New Roman"/>
                <w:bCs/>
                <w:sz w:val="24"/>
                <w:szCs w:val="24"/>
                <w:vertAlign w:val="superscript"/>
                <w:lang w:eastAsia="zh-CN"/>
              </w:rPr>
              <w:t>2</w:t>
            </w:r>
            <w:r w:rsidRPr="00BB6978">
              <w:rPr>
                <w:rFonts w:ascii="Times New Roman" w:eastAsia="SimSun" w:hAnsi="Times New Roman" w:cs="Times New Roman"/>
                <w:bCs/>
                <w:sz w:val="24"/>
                <w:szCs w:val="24"/>
                <w:lang w:eastAsia="zh-CN"/>
              </w:rPr>
              <w:t>)</w:t>
            </w:r>
          </w:p>
        </w:tc>
        <w:tc>
          <w:tcPr>
            <w:tcW w:w="1065" w:type="pct"/>
            <w:tcBorders>
              <w:top w:val="single" w:sz="4" w:space="0" w:color="auto"/>
            </w:tcBorders>
          </w:tcPr>
          <w:p w14:paraId="0BF92B6F"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120.610</w:t>
            </w:r>
          </w:p>
        </w:tc>
        <w:tc>
          <w:tcPr>
            <w:tcW w:w="2223" w:type="pct"/>
            <w:tcBorders>
              <w:top w:val="single" w:sz="4" w:space="0" w:color="auto"/>
            </w:tcBorders>
            <w:vAlign w:val="center"/>
          </w:tcPr>
          <w:p w14:paraId="7103EB0E"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p>
        </w:tc>
      </w:tr>
      <w:tr w:rsidR="00073A16" w:rsidRPr="00BB6978" w14:paraId="123428F5" w14:textId="77777777" w:rsidTr="00CE66D1">
        <w:trPr>
          <w:trHeight w:val="506"/>
        </w:trPr>
        <w:tc>
          <w:tcPr>
            <w:tcW w:w="1712" w:type="pct"/>
          </w:tcPr>
          <w:p w14:paraId="23DC550C"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Degrees of freedom (df)</w:t>
            </w:r>
          </w:p>
        </w:tc>
        <w:tc>
          <w:tcPr>
            <w:tcW w:w="1065" w:type="pct"/>
          </w:tcPr>
          <w:p w14:paraId="56B7713E"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4</w:t>
            </w:r>
          </w:p>
        </w:tc>
        <w:tc>
          <w:tcPr>
            <w:tcW w:w="2223" w:type="pct"/>
            <w:vAlign w:val="center"/>
          </w:tcPr>
          <w:p w14:paraId="56804717"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p>
        </w:tc>
      </w:tr>
      <w:tr w:rsidR="00073A16" w:rsidRPr="00BB6978" w14:paraId="445D7EC9" w14:textId="77777777" w:rsidTr="00CE66D1">
        <w:trPr>
          <w:trHeight w:val="506"/>
        </w:trPr>
        <w:tc>
          <w:tcPr>
            <w:tcW w:w="1712" w:type="pct"/>
          </w:tcPr>
          <w:p w14:paraId="7613EC2F"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P value</w:t>
            </w:r>
          </w:p>
        </w:tc>
        <w:tc>
          <w:tcPr>
            <w:tcW w:w="1065" w:type="pct"/>
          </w:tcPr>
          <w:p w14:paraId="7558B537"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0.000</w:t>
            </w:r>
          </w:p>
        </w:tc>
        <w:tc>
          <w:tcPr>
            <w:tcW w:w="2223" w:type="pct"/>
            <w:vAlign w:val="center"/>
          </w:tcPr>
          <w:p w14:paraId="672CFFC8"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 xml:space="preserve">P-value &gt;0.05 </w:t>
            </w:r>
          </w:p>
        </w:tc>
      </w:tr>
      <w:tr w:rsidR="00073A16" w:rsidRPr="00BB6978" w14:paraId="182FA624" w14:textId="77777777" w:rsidTr="00CE66D1">
        <w:trPr>
          <w:trHeight w:val="536"/>
        </w:trPr>
        <w:tc>
          <w:tcPr>
            <w:tcW w:w="1712" w:type="pct"/>
          </w:tcPr>
          <w:p w14:paraId="51D5CAC5"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(Goodness of Fit Index)</w:t>
            </w:r>
          </w:p>
        </w:tc>
        <w:tc>
          <w:tcPr>
            <w:tcW w:w="1065" w:type="pct"/>
          </w:tcPr>
          <w:p w14:paraId="11D0DB09"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0.920</w:t>
            </w:r>
          </w:p>
        </w:tc>
        <w:tc>
          <w:tcPr>
            <w:tcW w:w="2223" w:type="pct"/>
            <w:vAlign w:val="center"/>
          </w:tcPr>
          <w:p w14:paraId="146F983A"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 xml:space="preserve">&gt; 0.90 </w:t>
            </w:r>
          </w:p>
        </w:tc>
      </w:tr>
      <w:tr w:rsidR="00073A16" w:rsidRPr="00BB6978" w14:paraId="4F1E0019" w14:textId="77777777" w:rsidTr="00CE66D1">
        <w:trPr>
          <w:trHeight w:val="506"/>
        </w:trPr>
        <w:tc>
          <w:tcPr>
            <w:tcW w:w="1712" w:type="pct"/>
          </w:tcPr>
          <w:p w14:paraId="770567F9"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(Relative fit index)</w:t>
            </w:r>
          </w:p>
        </w:tc>
        <w:tc>
          <w:tcPr>
            <w:tcW w:w="1065" w:type="pct"/>
          </w:tcPr>
          <w:p w14:paraId="2572C4CD"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0.883</w:t>
            </w:r>
          </w:p>
        </w:tc>
        <w:tc>
          <w:tcPr>
            <w:tcW w:w="2223" w:type="pct"/>
            <w:vAlign w:val="center"/>
          </w:tcPr>
          <w:p w14:paraId="3EF4C45D"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 xml:space="preserve">&gt;0.90 </w:t>
            </w:r>
          </w:p>
        </w:tc>
      </w:tr>
      <w:tr w:rsidR="00073A16" w:rsidRPr="00BB6978" w14:paraId="27978180" w14:textId="77777777" w:rsidTr="00CE66D1">
        <w:trPr>
          <w:trHeight w:val="506"/>
        </w:trPr>
        <w:tc>
          <w:tcPr>
            <w:tcW w:w="1712" w:type="pct"/>
          </w:tcPr>
          <w:p w14:paraId="4CF69087"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(Normed Fit Index)</w:t>
            </w:r>
          </w:p>
        </w:tc>
        <w:tc>
          <w:tcPr>
            <w:tcW w:w="1065" w:type="pct"/>
          </w:tcPr>
          <w:p w14:paraId="2A1375E4"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0.969</w:t>
            </w:r>
          </w:p>
        </w:tc>
        <w:tc>
          <w:tcPr>
            <w:tcW w:w="2223" w:type="pct"/>
            <w:vAlign w:val="center"/>
          </w:tcPr>
          <w:p w14:paraId="479E866B"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 xml:space="preserve">&gt;0.90 </w:t>
            </w:r>
          </w:p>
        </w:tc>
      </w:tr>
      <w:tr w:rsidR="00073A16" w:rsidRPr="00BB6978" w14:paraId="2E85A51F" w14:textId="77777777" w:rsidTr="00CE66D1">
        <w:trPr>
          <w:trHeight w:val="506"/>
        </w:trPr>
        <w:tc>
          <w:tcPr>
            <w:tcW w:w="1712" w:type="pct"/>
          </w:tcPr>
          <w:p w14:paraId="7A4FE20A"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IFI</w:t>
            </w:r>
          </w:p>
        </w:tc>
        <w:tc>
          <w:tcPr>
            <w:tcW w:w="1065" w:type="pct"/>
          </w:tcPr>
          <w:p w14:paraId="659F91F7"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0.970</w:t>
            </w:r>
          </w:p>
        </w:tc>
        <w:tc>
          <w:tcPr>
            <w:tcW w:w="2223" w:type="pct"/>
            <w:vAlign w:val="center"/>
          </w:tcPr>
          <w:p w14:paraId="35AFA625"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 xml:space="preserve">&gt; 0.90 </w:t>
            </w:r>
          </w:p>
        </w:tc>
      </w:tr>
      <w:tr w:rsidR="00073A16" w:rsidRPr="00BB6978" w14:paraId="4EDEA3BD" w14:textId="77777777" w:rsidTr="00CE66D1">
        <w:trPr>
          <w:trHeight w:val="835"/>
        </w:trPr>
        <w:tc>
          <w:tcPr>
            <w:tcW w:w="1712" w:type="pct"/>
          </w:tcPr>
          <w:p w14:paraId="581C5B45"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 xml:space="preserve">(Comparative Fit </w:t>
            </w:r>
            <w:r w:rsidR="00CA529C" w:rsidRPr="00BB6978">
              <w:rPr>
                <w:rFonts w:ascii="Times New Roman" w:eastAsia="SimSun" w:hAnsi="Times New Roman" w:cs="Times New Roman"/>
                <w:bCs/>
                <w:sz w:val="24"/>
                <w:szCs w:val="24"/>
                <w:lang w:eastAsia="zh-CN"/>
              </w:rPr>
              <w:t>Index)</w:t>
            </w:r>
          </w:p>
        </w:tc>
        <w:tc>
          <w:tcPr>
            <w:tcW w:w="1065" w:type="pct"/>
          </w:tcPr>
          <w:p w14:paraId="52E64B12"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0.970</w:t>
            </w:r>
          </w:p>
        </w:tc>
        <w:tc>
          <w:tcPr>
            <w:tcW w:w="2223" w:type="pct"/>
            <w:vAlign w:val="center"/>
          </w:tcPr>
          <w:p w14:paraId="67DAC5AE"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 xml:space="preserve">&gt;0.90 </w:t>
            </w:r>
          </w:p>
        </w:tc>
      </w:tr>
      <w:tr w:rsidR="00073A16" w:rsidRPr="00BB6978" w14:paraId="0ED79CFF" w14:textId="77777777" w:rsidTr="00CE66D1">
        <w:trPr>
          <w:trHeight w:val="864"/>
        </w:trPr>
        <w:tc>
          <w:tcPr>
            <w:tcW w:w="1712" w:type="pct"/>
          </w:tcPr>
          <w:p w14:paraId="4E3C6958"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(Root Mean Square Residuals)</w:t>
            </w:r>
          </w:p>
        </w:tc>
        <w:tc>
          <w:tcPr>
            <w:tcW w:w="1065" w:type="pct"/>
          </w:tcPr>
          <w:p w14:paraId="7EA22D15"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0.059</w:t>
            </w:r>
          </w:p>
        </w:tc>
        <w:tc>
          <w:tcPr>
            <w:tcW w:w="2223" w:type="pct"/>
            <w:vAlign w:val="center"/>
          </w:tcPr>
          <w:p w14:paraId="2EA86FD9"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 xml:space="preserve">&lt; 0.08 </w:t>
            </w:r>
          </w:p>
        </w:tc>
      </w:tr>
      <w:tr w:rsidR="006E3964" w:rsidRPr="00BB6978" w14:paraId="0D0069BF" w14:textId="77777777" w:rsidTr="00CE66D1">
        <w:trPr>
          <w:trHeight w:val="835"/>
        </w:trPr>
        <w:tc>
          <w:tcPr>
            <w:tcW w:w="1712" w:type="pct"/>
            <w:tcBorders>
              <w:bottom w:val="single" w:sz="4" w:space="0" w:color="auto"/>
            </w:tcBorders>
          </w:tcPr>
          <w:p w14:paraId="00AE88DB"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(Root Mean Square Error of Approximation)</w:t>
            </w:r>
          </w:p>
        </w:tc>
        <w:tc>
          <w:tcPr>
            <w:tcW w:w="1065" w:type="pct"/>
            <w:tcBorders>
              <w:bottom w:val="single" w:sz="4" w:space="0" w:color="auto"/>
            </w:tcBorders>
          </w:tcPr>
          <w:p w14:paraId="42C4DF19"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0.070</w:t>
            </w:r>
          </w:p>
        </w:tc>
        <w:tc>
          <w:tcPr>
            <w:tcW w:w="2223" w:type="pct"/>
            <w:tcBorders>
              <w:bottom w:val="single" w:sz="4" w:space="0" w:color="auto"/>
            </w:tcBorders>
            <w:vAlign w:val="center"/>
          </w:tcPr>
          <w:p w14:paraId="15AF9C00" w14:textId="77777777" w:rsidR="006E3964" w:rsidRPr="00BB6978" w:rsidRDefault="006E3964" w:rsidP="00CE66D1">
            <w:pPr>
              <w:tabs>
                <w:tab w:val="left" w:pos="1725"/>
              </w:tabs>
              <w:autoSpaceDE w:val="0"/>
              <w:autoSpaceDN w:val="0"/>
              <w:adjustRightInd w:val="0"/>
              <w:rPr>
                <w:rFonts w:ascii="Times New Roman" w:eastAsia="SimSun" w:hAnsi="Times New Roman" w:cs="Times New Roman"/>
                <w:bCs/>
                <w:sz w:val="24"/>
                <w:szCs w:val="24"/>
                <w:lang w:eastAsia="zh-CN"/>
              </w:rPr>
            </w:pPr>
            <w:r w:rsidRPr="00BB6978">
              <w:rPr>
                <w:rFonts w:ascii="Times New Roman" w:eastAsia="SimSun" w:hAnsi="Times New Roman" w:cs="Times New Roman"/>
                <w:bCs/>
                <w:sz w:val="24"/>
                <w:szCs w:val="24"/>
                <w:lang w:eastAsia="zh-CN"/>
              </w:rPr>
              <w:t xml:space="preserve">&lt; 0.08 </w:t>
            </w:r>
          </w:p>
        </w:tc>
      </w:tr>
    </w:tbl>
    <w:p w14:paraId="63E56B46" w14:textId="77777777" w:rsidR="006E3964" w:rsidRPr="00BB6978" w:rsidRDefault="006E3964" w:rsidP="006E3964">
      <w:pPr>
        <w:tabs>
          <w:tab w:val="left" w:pos="7089"/>
        </w:tabs>
        <w:rPr>
          <w:rFonts w:ascii="Times New Roman" w:eastAsia="Calibri" w:hAnsi="Times New Roman" w:cs="Times New Roman"/>
          <w:bCs/>
          <w:sz w:val="24"/>
          <w:szCs w:val="24"/>
        </w:rPr>
      </w:pPr>
    </w:p>
    <w:p w14:paraId="735140AE" w14:textId="77777777" w:rsidR="006E3964" w:rsidRPr="00BB6978" w:rsidRDefault="006E3964" w:rsidP="006E3964">
      <w:pPr>
        <w:tabs>
          <w:tab w:val="left" w:pos="7089"/>
        </w:tabs>
        <w:rPr>
          <w:rFonts w:ascii="Times New Roman" w:eastAsia="Times New Roman" w:hAnsi="Times New Roman" w:cs="Times New Roman"/>
          <w:b/>
          <w:sz w:val="24"/>
          <w:szCs w:val="26"/>
        </w:rPr>
      </w:pPr>
      <w:bookmarkStart w:id="171" w:name="_Toc66784567"/>
      <w:r w:rsidRPr="00BB6978">
        <w:rPr>
          <w:rFonts w:ascii="Times New Roman" w:eastAsia="Times New Roman" w:hAnsi="Times New Roman" w:cs="Times New Roman"/>
          <w:b/>
          <w:sz w:val="24"/>
          <w:szCs w:val="26"/>
        </w:rPr>
        <w:t xml:space="preserve">4.7 Summary </w:t>
      </w:r>
      <w:bookmarkEnd w:id="171"/>
      <w:r w:rsidRPr="00BB6978">
        <w:rPr>
          <w:rFonts w:ascii="Times New Roman" w:eastAsia="Times New Roman" w:hAnsi="Times New Roman" w:cs="Times New Roman"/>
          <w:b/>
          <w:sz w:val="24"/>
          <w:szCs w:val="26"/>
        </w:rPr>
        <w:t xml:space="preserve">of the Findings </w:t>
      </w:r>
    </w:p>
    <w:p w14:paraId="0F2B54C4" w14:textId="77777777" w:rsidR="006E3964" w:rsidRPr="00BB6978" w:rsidRDefault="006E3964" w:rsidP="00CA529C">
      <w:pPr>
        <w:spacing w:line="480" w:lineRule="auto"/>
        <w:ind w:firstLine="720"/>
        <w:jc w:val="both"/>
        <w:rPr>
          <w:rFonts w:asciiTheme="majorBidi" w:hAnsiTheme="majorBidi" w:cstheme="majorBidi"/>
          <w:sz w:val="24"/>
          <w:szCs w:val="24"/>
          <w:rtl/>
        </w:rPr>
      </w:pPr>
      <w:r w:rsidRPr="00BB6978">
        <w:rPr>
          <w:rFonts w:asciiTheme="majorBidi" w:hAnsiTheme="majorBidi" w:cstheme="majorBidi"/>
          <w:sz w:val="24"/>
          <w:szCs w:val="24"/>
        </w:rPr>
        <w:t xml:space="preserve">According to the following Table 23. School cost and school quality are significantly related. Also, the school cost positively affects the students’ achievement which means whenever the school cost is high the students gained good outcomes. Additionally, the school quality positively affects the students’ achievement, which means whenever the school quality is high the students gained high achievement. Moreover, the results show that the school quality positively mediates the relationship between the school cost and the students’ achievement. Finally, the relationship between the school cost and students’ achievement is increasingly strengthened by the nominal classification of parents’ income as a moderator. Also, the relation between the school quality and students’ achievement is increased by the nominal classification of parents’ education as a moderator too. </w:t>
      </w:r>
    </w:p>
    <w:p w14:paraId="0C5F98EE" w14:textId="77777777" w:rsidR="006E3964" w:rsidRPr="00BB6978" w:rsidRDefault="00131282" w:rsidP="007F58DC">
      <w:pPr>
        <w:pStyle w:val="Caption"/>
      </w:pPr>
      <w:bookmarkStart w:id="172" w:name="_Toc134452507"/>
      <w:r w:rsidRPr="00BB6978">
        <w:t xml:space="preserve">Table </w:t>
      </w:r>
      <w:r w:rsidRPr="00BB6978">
        <w:fldChar w:fldCharType="begin"/>
      </w:r>
      <w:r w:rsidRPr="00BB6978">
        <w:instrText xml:space="preserve"> SEQ Table \* ARABIC </w:instrText>
      </w:r>
      <w:r w:rsidRPr="00BB6978">
        <w:fldChar w:fldCharType="separate"/>
      </w:r>
      <w:r w:rsidRPr="00BB6978">
        <w:rPr>
          <w:noProof/>
        </w:rPr>
        <w:t>23</w:t>
      </w:r>
      <w:r w:rsidRPr="00BB6978">
        <w:rPr>
          <w:noProof/>
        </w:rPr>
        <w:fldChar w:fldCharType="end"/>
      </w:r>
      <w:r w:rsidR="006E3964" w:rsidRPr="00BB6978">
        <w:t xml:space="preserve">: Summary </w:t>
      </w:r>
      <w:r w:rsidR="00C628AC" w:rsidRPr="00BB6978">
        <w:t>of findings</w:t>
      </w:r>
      <w:bookmarkEnd w:id="172"/>
    </w:p>
    <w:tbl>
      <w:tblPr>
        <w:tblW w:w="7568" w:type="dxa"/>
        <w:tblLook w:val="04A0" w:firstRow="1" w:lastRow="0" w:firstColumn="1" w:lastColumn="0" w:noHBand="0" w:noVBand="1"/>
      </w:tblPr>
      <w:tblGrid>
        <w:gridCol w:w="4770"/>
        <w:gridCol w:w="1751"/>
        <w:gridCol w:w="1047"/>
      </w:tblGrid>
      <w:tr w:rsidR="00073A16" w:rsidRPr="00BB6978" w14:paraId="686D83D1" w14:textId="77777777" w:rsidTr="00094D76">
        <w:trPr>
          <w:trHeight w:val="617"/>
        </w:trPr>
        <w:tc>
          <w:tcPr>
            <w:tcW w:w="4770" w:type="dxa"/>
            <w:tcBorders>
              <w:top w:val="single" w:sz="4" w:space="0" w:color="auto"/>
              <w:bottom w:val="single" w:sz="4" w:space="0" w:color="auto"/>
            </w:tcBorders>
            <w:shd w:val="clear" w:color="auto" w:fill="BDD6EE"/>
            <w:vAlign w:val="center"/>
          </w:tcPr>
          <w:p w14:paraId="4A7A9F01" w14:textId="77777777" w:rsidR="006E3964" w:rsidRPr="00BB6978" w:rsidRDefault="006E3964" w:rsidP="00094D76">
            <w:pPr>
              <w:spacing w:line="240" w:lineRule="auto"/>
              <w:jc w:val="center"/>
              <w:rPr>
                <w:rFonts w:ascii="Times New Roman" w:eastAsia="Calibri" w:hAnsi="Times New Roman" w:cs="Times New Roman"/>
                <w:b/>
              </w:rPr>
            </w:pPr>
            <w:r w:rsidRPr="00BB6978">
              <w:rPr>
                <w:rFonts w:ascii="Times New Roman" w:eastAsia="Calibri" w:hAnsi="Times New Roman" w:cs="Times New Roman"/>
                <w:b/>
              </w:rPr>
              <w:t>Hypotheses</w:t>
            </w:r>
          </w:p>
        </w:tc>
        <w:tc>
          <w:tcPr>
            <w:tcW w:w="1751" w:type="dxa"/>
            <w:tcBorders>
              <w:top w:val="single" w:sz="4" w:space="0" w:color="auto"/>
              <w:bottom w:val="single" w:sz="4" w:space="0" w:color="auto"/>
            </w:tcBorders>
            <w:shd w:val="clear" w:color="auto" w:fill="BDD6EE"/>
          </w:tcPr>
          <w:p w14:paraId="5D32BA36" w14:textId="77777777" w:rsidR="006E3964" w:rsidRPr="00BB6978" w:rsidRDefault="006E3964" w:rsidP="00094D76">
            <w:pPr>
              <w:spacing w:line="240" w:lineRule="auto"/>
              <w:rPr>
                <w:rFonts w:ascii="Times New Roman" w:eastAsia="Calibri" w:hAnsi="Times New Roman" w:cs="Times New Roman"/>
                <w:b/>
              </w:rPr>
            </w:pPr>
            <w:r w:rsidRPr="00BB6978">
              <w:rPr>
                <w:rFonts w:ascii="Times New Roman" w:eastAsia="Calibri" w:hAnsi="Times New Roman" w:cs="Times New Roman"/>
                <w:b/>
              </w:rPr>
              <w:t xml:space="preserve">Type </w:t>
            </w:r>
            <w:r w:rsidR="00094D76" w:rsidRPr="00BB6978">
              <w:rPr>
                <w:rFonts w:ascii="Times New Roman" w:eastAsia="Calibri" w:hAnsi="Times New Roman" w:cs="Times New Roman"/>
                <w:b/>
              </w:rPr>
              <w:t>of the</w:t>
            </w:r>
          </w:p>
          <w:p w14:paraId="7E1E8314" w14:textId="77777777" w:rsidR="006E3964" w:rsidRPr="00BB6978" w:rsidRDefault="006E3964" w:rsidP="00094D76">
            <w:pPr>
              <w:spacing w:line="240" w:lineRule="auto"/>
              <w:rPr>
                <w:rFonts w:ascii="Times New Roman" w:eastAsia="Calibri" w:hAnsi="Times New Roman" w:cs="Times New Roman"/>
                <w:b/>
              </w:rPr>
            </w:pPr>
            <w:r w:rsidRPr="00BB6978">
              <w:rPr>
                <w:rFonts w:ascii="Times New Roman" w:eastAsia="Calibri" w:hAnsi="Times New Roman" w:cs="Times New Roman"/>
                <w:b/>
              </w:rPr>
              <w:t xml:space="preserve"> test used</w:t>
            </w:r>
          </w:p>
        </w:tc>
        <w:tc>
          <w:tcPr>
            <w:tcW w:w="1047" w:type="dxa"/>
            <w:tcBorders>
              <w:top w:val="single" w:sz="4" w:space="0" w:color="auto"/>
              <w:bottom w:val="single" w:sz="4" w:space="0" w:color="auto"/>
            </w:tcBorders>
            <w:shd w:val="clear" w:color="auto" w:fill="BDD6EE"/>
          </w:tcPr>
          <w:p w14:paraId="739791D2" w14:textId="77777777" w:rsidR="006E3964" w:rsidRPr="00BB6978" w:rsidRDefault="006E3964" w:rsidP="00094D76">
            <w:pPr>
              <w:spacing w:line="240" w:lineRule="auto"/>
              <w:rPr>
                <w:rFonts w:ascii="Times New Roman" w:eastAsia="Calibri" w:hAnsi="Times New Roman" w:cs="Times New Roman"/>
                <w:b/>
              </w:rPr>
            </w:pPr>
            <w:r w:rsidRPr="00BB6978">
              <w:rPr>
                <w:rFonts w:ascii="Times New Roman" w:eastAsia="Calibri" w:hAnsi="Times New Roman" w:cs="Times New Roman"/>
                <w:b/>
              </w:rPr>
              <w:t xml:space="preserve">Accept/ </w:t>
            </w:r>
          </w:p>
          <w:p w14:paraId="18C2135D" w14:textId="77777777" w:rsidR="006E3964" w:rsidRPr="00BB6978" w:rsidRDefault="006E3964" w:rsidP="00094D76">
            <w:pPr>
              <w:spacing w:line="240" w:lineRule="auto"/>
              <w:rPr>
                <w:rFonts w:ascii="Times New Roman" w:eastAsia="Calibri" w:hAnsi="Times New Roman" w:cs="Times New Roman"/>
                <w:b/>
              </w:rPr>
            </w:pPr>
            <w:r w:rsidRPr="00BB6978">
              <w:rPr>
                <w:rFonts w:ascii="Times New Roman" w:eastAsia="Calibri" w:hAnsi="Times New Roman" w:cs="Times New Roman"/>
                <w:b/>
              </w:rPr>
              <w:t>Reject</w:t>
            </w:r>
          </w:p>
        </w:tc>
      </w:tr>
      <w:tr w:rsidR="00073A16" w:rsidRPr="00BB6978" w14:paraId="6C3ACAA9" w14:textId="77777777" w:rsidTr="00CE66D1">
        <w:trPr>
          <w:trHeight w:val="1140"/>
        </w:trPr>
        <w:tc>
          <w:tcPr>
            <w:tcW w:w="4770" w:type="dxa"/>
            <w:tcBorders>
              <w:top w:val="single" w:sz="4" w:space="0" w:color="auto"/>
            </w:tcBorders>
          </w:tcPr>
          <w:p w14:paraId="4C66C922" w14:textId="77777777" w:rsidR="006E3964" w:rsidRPr="00BB6978" w:rsidRDefault="006E3964" w:rsidP="00CE66D1">
            <w:pPr>
              <w:spacing w:line="276" w:lineRule="auto"/>
              <w:jc w:val="both"/>
              <w:rPr>
                <w:rFonts w:ascii="Times New Roman" w:eastAsia="Calibri" w:hAnsi="Times New Roman" w:cs="Times New Roman"/>
              </w:rPr>
            </w:pPr>
            <w:r w:rsidRPr="00BB6978">
              <w:rPr>
                <w:rFonts w:ascii="Times New Roman" w:eastAsia="Calibri" w:hAnsi="Times New Roman" w:cs="Times New Roman"/>
                <w:sz w:val="24"/>
                <w:szCs w:val="24"/>
              </w:rPr>
              <w:t>H</w:t>
            </w:r>
            <w:r w:rsidRPr="00BB6978">
              <w:rPr>
                <w:rFonts w:ascii="Times New Roman" w:eastAsia="Calibri" w:hAnsi="Times New Roman" w:cs="Times New Roman"/>
                <w:sz w:val="24"/>
                <w:szCs w:val="24"/>
                <w:vertAlign w:val="subscript"/>
              </w:rPr>
              <w:t>1</w:t>
            </w:r>
            <w:r w:rsidRPr="00BB6978">
              <w:rPr>
                <w:rFonts w:ascii="Times New Roman" w:eastAsia="Calibri" w:hAnsi="Times New Roman" w:cs="Times New Roman"/>
                <w:sz w:val="24"/>
                <w:szCs w:val="24"/>
              </w:rPr>
              <w:t>: There is a positive relationship between school cost and school quality in private schools in Abu Dhabi.</w:t>
            </w:r>
          </w:p>
        </w:tc>
        <w:tc>
          <w:tcPr>
            <w:tcW w:w="1751" w:type="dxa"/>
            <w:tcBorders>
              <w:top w:val="single" w:sz="4" w:space="0" w:color="auto"/>
            </w:tcBorders>
            <w:vAlign w:val="center"/>
          </w:tcPr>
          <w:p w14:paraId="1E3EFFE2" w14:textId="77777777" w:rsidR="006E3964" w:rsidRPr="00BB6978" w:rsidRDefault="006E3964" w:rsidP="00CE66D1">
            <w:pPr>
              <w:spacing w:line="276" w:lineRule="auto"/>
              <w:jc w:val="center"/>
              <w:rPr>
                <w:rFonts w:ascii="Times New Roman" w:eastAsia="Calibri" w:hAnsi="Times New Roman" w:cs="Times New Roman"/>
              </w:rPr>
            </w:pPr>
            <w:r w:rsidRPr="00BB6978">
              <w:rPr>
                <w:rFonts w:ascii="Times New Roman" w:eastAsia="Calibri" w:hAnsi="Times New Roman" w:cs="Times New Roman"/>
              </w:rPr>
              <w:t>Correlation &amp; Linear Regression</w:t>
            </w:r>
          </w:p>
        </w:tc>
        <w:tc>
          <w:tcPr>
            <w:tcW w:w="1047" w:type="dxa"/>
            <w:tcBorders>
              <w:top w:val="single" w:sz="4" w:space="0" w:color="auto"/>
            </w:tcBorders>
            <w:vAlign w:val="center"/>
          </w:tcPr>
          <w:p w14:paraId="71EB5578" w14:textId="77777777" w:rsidR="006E3964" w:rsidRPr="00BB6978" w:rsidRDefault="006E3964" w:rsidP="00CE66D1">
            <w:pPr>
              <w:spacing w:line="276" w:lineRule="auto"/>
              <w:jc w:val="center"/>
              <w:rPr>
                <w:rFonts w:ascii="Times New Roman" w:eastAsia="Calibri" w:hAnsi="Times New Roman" w:cs="Times New Roman"/>
              </w:rPr>
            </w:pPr>
            <w:r w:rsidRPr="00BB6978">
              <w:rPr>
                <w:rFonts w:ascii="Times New Roman" w:eastAsia="Calibri" w:hAnsi="Times New Roman" w:cs="Times New Roman"/>
              </w:rPr>
              <w:t>Accepted</w:t>
            </w:r>
          </w:p>
        </w:tc>
      </w:tr>
      <w:tr w:rsidR="00073A16" w:rsidRPr="00BB6978" w14:paraId="783FC80A" w14:textId="77777777" w:rsidTr="00CE66D1">
        <w:trPr>
          <w:trHeight w:val="1161"/>
        </w:trPr>
        <w:tc>
          <w:tcPr>
            <w:tcW w:w="4770" w:type="dxa"/>
          </w:tcPr>
          <w:p w14:paraId="267DAF28" w14:textId="77777777" w:rsidR="006E3964" w:rsidRPr="00BB6978" w:rsidRDefault="006E3964" w:rsidP="00CE66D1">
            <w:pPr>
              <w:spacing w:line="276" w:lineRule="auto"/>
              <w:jc w:val="both"/>
              <w:rPr>
                <w:rFonts w:ascii="Times New Roman" w:eastAsia="Calibri" w:hAnsi="Times New Roman" w:cs="Times New Roman"/>
              </w:rPr>
            </w:pPr>
            <w:r w:rsidRPr="00BB6978">
              <w:rPr>
                <w:rFonts w:ascii="Times New Roman" w:eastAsia="Calibri" w:hAnsi="Times New Roman" w:cs="Times New Roman"/>
                <w:sz w:val="24"/>
                <w:szCs w:val="24"/>
              </w:rPr>
              <w:t>H</w:t>
            </w:r>
            <w:r w:rsidRPr="00BB6978">
              <w:rPr>
                <w:rFonts w:ascii="Times New Roman" w:eastAsia="Calibri" w:hAnsi="Times New Roman" w:cs="Times New Roman"/>
                <w:sz w:val="24"/>
                <w:szCs w:val="24"/>
                <w:vertAlign w:val="subscript"/>
              </w:rPr>
              <w:t>2</w:t>
            </w:r>
            <w:r w:rsidRPr="00BB6978">
              <w:rPr>
                <w:rFonts w:ascii="Times New Roman" w:eastAsia="Calibri" w:hAnsi="Times New Roman" w:cs="Times New Roman"/>
                <w:sz w:val="24"/>
                <w:szCs w:val="24"/>
              </w:rPr>
              <w:t>: There is a positive relationship between school cost and students’ achievements in private schools in Abu Dhabi.</w:t>
            </w:r>
          </w:p>
        </w:tc>
        <w:tc>
          <w:tcPr>
            <w:tcW w:w="1751" w:type="dxa"/>
            <w:vAlign w:val="center"/>
          </w:tcPr>
          <w:p w14:paraId="3EB54B74" w14:textId="77777777" w:rsidR="006E3964" w:rsidRPr="00BB6978" w:rsidRDefault="006E3964" w:rsidP="00CE66D1">
            <w:pPr>
              <w:spacing w:line="276" w:lineRule="auto"/>
              <w:jc w:val="center"/>
              <w:rPr>
                <w:rFonts w:ascii="Times New Roman" w:eastAsia="Calibri" w:hAnsi="Times New Roman" w:cs="Times New Roman"/>
              </w:rPr>
            </w:pPr>
            <w:r w:rsidRPr="00BB6978">
              <w:rPr>
                <w:rFonts w:ascii="Times New Roman" w:eastAsia="Calibri" w:hAnsi="Times New Roman" w:cs="Times New Roman"/>
              </w:rPr>
              <w:t>Linear Regression</w:t>
            </w:r>
          </w:p>
        </w:tc>
        <w:tc>
          <w:tcPr>
            <w:tcW w:w="1047" w:type="dxa"/>
            <w:vAlign w:val="center"/>
          </w:tcPr>
          <w:p w14:paraId="4C1C6447" w14:textId="77777777" w:rsidR="006E3964" w:rsidRPr="00BB6978" w:rsidRDefault="006E3964" w:rsidP="00CE66D1">
            <w:pPr>
              <w:spacing w:line="276" w:lineRule="auto"/>
              <w:jc w:val="center"/>
              <w:rPr>
                <w:rFonts w:ascii="Times New Roman" w:eastAsia="Calibri" w:hAnsi="Times New Roman" w:cs="Times New Roman"/>
              </w:rPr>
            </w:pPr>
            <w:r w:rsidRPr="00BB6978">
              <w:rPr>
                <w:rFonts w:ascii="Times New Roman" w:eastAsia="Calibri" w:hAnsi="Times New Roman" w:cs="Times New Roman"/>
              </w:rPr>
              <w:t>Accepted</w:t>
            </w:r>
          </w:p>
        </w:tc>
      </w:tr>
      <w:tr w:rsidR="00073A16" w:rsidRPr="00BB6978" w14:paraId="3B27C682" w14:textId="77777777" w:rsidTr="00CE66D1">
        <w:trPr>
          <w:trHeight w:val="1140"/>
        </w:trPr>
        <w:tc>
          <w:tcPr>
            <w:tcW w:w="4770" w:type="dxa"/>
          </w:tcPr>
          <w:p w14:paraId="41EA1614" w14:textId="77777777" w:rsidR="006E3964" w:rsidRPr="00BB6978" w:rsidRDefault="006E3964" w:rsidP="00CE66D1">
            <w:pPr>
              <w:spacing w:line="276" w:lineRule="auto"/>
              <w:jc w:val="both"/>
              <w:rPr>
                <w:rFonts w:ascii="Times New Roman" w:eastAsia="Calibri" w:hAnsi="Times New Roman" w:cs="Times New Roman"/>
              </w:rPr>
            </w:pPr>
            <w:r w:rsidRPr="00BB6978">
              <w:rPr>
                <w:rFonts w:ascii="Times New Roman" w:eastAsia="Calibri" w:hAnsi="Times New Roman" w:cs="Times New Roman"/>
                <w:sz w:val="24"/>
                <w:szCs w:val="24"/>
              </w:rPr>
              <w:t>H</w:t>
            </w:r>
            <w:r w:rsidRPr="00BB6978">
              <w:rPr>
                <w:rFonts w:ascii="Times New Roman" w:eastAsia="Calibri" w:hAnsi="Times New Roman" w:cs="Times New Roman"/>
                <w:sz w:val="24"/>
                <w:szCs w:val="24"/>
                <w:vertAlign w:val="subscript"/>
              </w:rPr>
              <w:t>3</w:t>
            </w:r>
            <w:r w:rsidRPr="00BB6978">
              <w:rPr>
                <w:rFonts w:ascii="Times New Roman" w:eastAsia="Calibri" w:hAnsi="Times New Roman" w:cs="Times New Roman"/>
                <w:sz w:val="24"/>
                <w:szCs w:val="24"/>
              </w:rPr>
              <w:t>: There is a positive relationship between school quality and students’ achievement in private schools in Abu Dhabi.</w:t>
            </w:r>
          </w:p>
        </w:tc>
        <w:tc>
          <w:tcPr>
            <w:tcW w:w="1751" w:type="dxa"/>
            <w:vAlign w:val="center"/>
          </w:tcPr>
          <w:p w14:paraId="4C5DCD37" w14:textId="77777777" w:rsidR="006E3964" w:rsidRPr="00BB6978" w:rsidRDefault="006E3964" w:rsidP="00CE66D1">
            <w:pPr>
              <w:spacing w:line="276" w:lineRule="auto"/>
              <w:jc w:val="center"/>
              <w:rPr>
                <w:rFonts w:ascii="Times New Roman" w:eastAsia="Calibri" w:hAnsi="Times New Roman" w:cs="Times New Roman"/>
              </w:rPr>
            </w:pPr>
            <w:r w:rsidRPr="00BB6978">
              <w:rPr>
                <w:rFonts w:ascii="Times New Roman" w:eastAsia="Calibri" w:hAnsi="Times New Roman" w:cs="Times New Roman"/>
              </w:rPr>
              <w:t>Linear Regression</w:t>
            </w:r>
          </w:p>
        </w:tc>
        <w:tc>
          <w:tcPr>
            <w:tcW w:w="1047" w:type="dxa"/>
            <w:vAlign w:val="center"/>
          </w:tcPr>
          <w:p w14:paraId="4596898D" w14:textId="77777777" w:rsidR="006E3964" w:rsidRPr="00BB6978" w:rsidRDefault="006E3964" w:rsidP="00CE66D1">
            <w:pPr>
              <w:spacing w:line="276" w:lineRule="auto"/>
              <w:jc w:val="center"/>
              <w:rPr>
                <w:rFonts w:ascii="Times New Roman" w:eastAsia="Calibri" w:hAnsi="Times New Roman" w:cs="Times New Roman"/>
              </w:rPr>
            </w:pPr>
            <w:r w:rsidRPr="00BB6978">
              <w:rPr>
                <w:rFonts w:ascii="Times New Roman" w:eastAsia="Calibri" w:hAnsi="Times New Roman" w:cs="Times New Roman"/>
              </w:rPr>
              <w:t>Accepted</w:t>
            </w:r>
          </w:p>
        </w:tc>
      </w:tr>
      <w:tr w:rsidR="00073A16" w:rsidRPr="00BB6978" w14:paraId="2E19C55E" w14:textId="77777777" w:rsidTr="00CE66D1">
        <w:trPr>
          <w:trHeight w:val="1161"/>
        </w:trPr>
        <w:tc>
          <w:tcPr>
            <w:tcW w:w="4770" w:type="dxa"/>
          </w:tcPr>
          <w:p w14:paraId="7FF72C5C" w14:textId="77777777" w:rsidR="006E3964" w:rsidRPr="00BB6978" w:rsidRDefault="006E3964" w:rsidP="00CE66D1">
            <w:pPr>
              <w:spacing w:line="276" w:lineRule="auto"/>
              <w:jc w:val="both"/>
              <w:rPr>
                <w:rFonts w:ascii="Times New Roman" w:eastAsia="Calibri" w:hAnsi="Times New Roman" w:cs="Times New Roman"/>
              </w:rPr>
            </w:pPr>
            <w:r w:rsidRPr="00BB6978">
              <w:rPr>
                <w:rFonts w:ascii="Times New Roman" w:eastAsia="Calibri" w:hAnsi="Times New Roman" w:cs="Times New Roman"/>
                <w:sz w:val="24"/>
                <w:szCs w:val="24"/>
              </w:rPr>
              <w:t>H</w:t>
            </w:r>
            <w:r w:rsidRPr="00BB6978">
              <w:rPr>
                <w:rFonts w:ascii="Times New Roman" w:eastAsia="Calibri" w:hAnsi="Times New Roman" w:cs="Times New Roman"/>
                <w:sz w:val="24"/>
                <w:szCs w:val="24"/>
                <w:vertAlign w:val="subscript"/>
              </w:rPr>
              <w:t xml:space="preserve">4: </w:t>
            </w:r>
            <w:r w:rsidRPr="00BB6978">
              <w:rPr>
                <w:rFonts w:ascii="Times New Roman" w:eastAsia="Calibri" w:hAnsi="Times New Roman" w:cs="Times New Roman"/>
                <w:sz w:val="24"/>
                <w:szCs w:val="24"/>
              </w:rPr>
              <w:t>School quality mediates the relationship between school cost and students’ achievement in private schools in Abu Dhabi.</w:t>
            </w:r>
          </w:p>
        </w:tc>
        <w:tc>
          <w:tcPr>
            <w:tcW w:w="1751" w:type="dxa"/>
            <w:vAlign w:val="center"/>
          </w:tcPr>
          <w:p w14:paraId="486DBC08" w14:textId="77777777" w:rsidR="006E3964" w:rsidRPr="00BB6978" w:rsidRDefault="006E3964" w:rsidP="00CE66D1">
            <w:pPr>
              <w:spacing w:line="276" w:lineRule="auto"/>
              <w:jc w:val="center"/>
              <w:rPr>
                <w:rFonts w:ascii="Times New Roman" w:eastAsia="Calibri" w:hAnsi="Times New Roman" w:cs="Times New Roman"/>
              </w:rPr>
            </w:pPr>
            <w:r w:rsidRPr="00BB6978">
              <w:rPr>
                <w:rFonts w:ascii="Times New Roman" w:eastAsia="Calibri" w:hAnsi="Times New Roman" w:cs="Times New Roman"/>
              </w:rPr>
              <w:t>Hierarchical Regression</w:t>
            </w:r>
          </w:p>
        </w:tc>
        <w:tc>
          <w:tcPr>
            <w:tcW w:w="1047" w:type="dxa"/>
            <w:vAlign w:val="center"/>
          </w:tcPr>
          <w:p w14:paraId="34D36D6D" w14:textId="77777777" w:rsidR="006E3964" w:rsidRPr="00BB6978" w:rsidRDefault="006E3964" w:rsidP="00CE66D1">
            <w:pPr>
              <w:spacing w:line="276" w:lineRule="auto"/>
              <w:jc w:val="center"/>
              <w:rPr>
                <w:rFonts w:ascii="Times New Roman" w:eastAsia="Calibri" w:hAnsi="Times New Roman" w:cs="Times New Roman"/>
              </w:rPr>
            </w:pPr>
            <w:r w:rsidRPr="00BB6978">
              <w:rPr>
                <w:rFonts w:ascii="Times New Roman" w:eastAsia="Calibri" w:hAnsi="Times New Roman" w:cs="Times New Roman"/>
              </w:rPr>
              <w:t>Accepted</w:t>
            </w:r>
          </w:p>
        </w:tc>
      </w:tr>
      <w:tr w:rsidR="00073A16" w:rsidRPr="00BB6978" w14:paraId="59438401" w14:textId="77777777" w:rsidTr="00CE66D1">
        <w:trPr>
          <w:trHeight w:val="1161"/>
        </w:trPr>
        <w:tc>
          <w:tcPr>
            <w:tcW w:w="4770" w:type="dxa"/>
          </w:tcPr>
          <w:p w14:paraId="2DB567AA" w14:textId="77777777" w:rsidR="006E3964" w:rsidRPr="00BB6978" w:rsidRDefault="006E3964" w:rsidP="00CE66D1">
            <w:pPr>
              <w:spacing w:line="276" w:lineRule="auto"/>
              <w:jc w:val="both"/>
              <w:rPr>
                <w:rFonts w:ascii="Times New Roman" w:eastAsia="Calibri" w:hAnsi="Times New Roman" w:cs="Times New Roman"/>
              </w:rPr>
            </w:pPr>
            <w:r w:rsidRPr="00BB6978">
              <w:rPr>
                <w:rFonts w:ascii="Times New Roman" w:eastAsia="Calibri" w:hAnsi="Times New Roman" w:cs="Times New Roman"/>
                <w:sz w:val="24"/>
                <w:szCs w:val="24"/>
              </w:rPr>
              <w:t>H</w:t>
            </w:r>
            <w:r w:rsidRPr="00BB6978">
              <w:rPr>
                <w:rFonts w:ascii="Times New Roman" w:eastAsia="Calibri" w:hAnsi="Times New Roman" w:cs="Times New Roman"/>
                <w:sz w:val="24"/>
                <w:szCs w:val="24"/>
                <w:vertAlign w:val="subscript"/>
              </w:rPr>
              <w:t xml:space="preserve">5: </w:t>
            </w:r>
            <w:r w:rsidRPr="00BB6978">
              <w:rPr>
                <w:rFonts w:ascii="Times New Roman" w:eastAsia="Calibri" w:hAnsi="Times New Roman" w:cs="Times New Roman"/>
                <w:sz w:val="24"/>
                <w:szCs w:val="24"/>
              </w:rPr>
              <w:t xml:space="preserve">Parents’ income moderates the relationship between school cost and students’ achievements in private schools in Abu Dhabi. </w:t>
            </w:r>
          </w:p>
        </w:tc>
        <w:tc>
          <w:tcPr>
            <w:tcW w:w="1751" w:type="dxa"/>
            <w:vAlign w:val="center"/>
          </w:tcPr>
          <w:p w14:paraId="2356A74C" w14:textId="77777777" w:rsidR="006E3964" w:rsidRPr="00BB6978" w:rsidRDefault="006E3964" w:rsidP="00CE66D1">
            <w:pPr>
              <w:spacing w:line="276" w:lineRule="auto"/>
              <w:jc w:val="center"/>
              <w:rPr>
                <w:rFonts w:ascii="Times New Roman" w:eastAsia="Calibri" w:hAnsi="Times New Roman" w:cs="Times New Roman"/>
              </w:rPr>
            </w:pPr>
            <w:r w:rsidRPr="00BB6978">
              <w:rPr>
                <w:rFonts w:ascii="Times New Roman" w:eastAsia="Calibri" w:hAnsi="Times New Roman" w:cs="Times New Roman"/>
              </w:rPr>
              <w:t>Splitting Data &amp; Multiple Regression</w:t>
            </w:r>
          </w:p>
        </w:tc>
        <w:tc>
          <w:tcPr>
            <w:tcW w:w="1047" w:type="dxa"/>
            <w:vAlign w:val="center"/>
          </w:tcPr>
          <w:p w14:paraId="4E5CCD79" w14:textId="77777777" w:rsidR="006E3964" w:rsidRPr="00BB6978" w:rsidRDefault="006E3964" w:rsidP="00CE66D1">
            <w:pPr>
              <w:spacing w:line="276" w:lineRule="auto"/>
              <w:jc w:val="center"/>
              <w:rPr>
                <w:rFonts w:ascii="Times New Roman" w:eastAsia="Calibri" w:hAnsi="Times New Roman" w:cs="Times New Roman"/>
              </w:rPr>
            </w:pPr>
            <w:r w:rsidRPr="00BB6978">
              <w:rPr>
                <w:rFonts w:ascii="Times New Roman" w:eastAsia="Calibri" w:hAnsi="Times New Roman" w:cs="Times New Roman"/>
              </w:rPr>
              <w:t>Accepted</w:t>
            </w:r>
          </w:p>
        </w:tc>
      </w:tr>
      <w:tr w:rsidR="00073A16" w:rsidRPr="00BB6978" w14:paraId="056F8528" w14:textId="77777777" w:rsidTr="00CE66D1">
        <w:trPr>
          <w:trHeight w:val="388"/>
        </w:trPr>
        <w:tc>
          <w:tcPr>
            <w:tcW w:w="4770" w:type="dxa"/>
            <w:tcBorders>
              <w:bottom w:val="single" w:sz="4" w:space="0" w:color="auto"/>
            </w:tcBorders>
          </w:tcPr>
          <w:p w14:paraId="0E2C0D88" w14:textId="77777777" w:rsidR="006E3964" w:rsidRPr="00BB6978" w:rsidRDefault="006E3964" w:rsidP="00CE66D1">
            <w:pPr>
              <w:spacing w:line="276" w:lineRule="auto"/>
              <w:jc w:val="both"/>
              <w:rPr>
                <w:rFonts w:ascii="Times New Roman" w:eastAsia="Calibri" w:hAnsi="Times New Roman" w:cs="Times New Roman"/>
              </w:rPr>
            </w:pPr>
            <w:r w:rsidRPr="00BB6978">
              <w:rPr>
                <w:rFonts w:ascii="Times New Roman" w:eastAsia="Calibri" w:hAnsi="Times New Roman" w:cs="Times New Roman"/>
                <w:sz w:val="24"/>
                <w:szCs w:val="24"/>
              </w:rPr>
              <w:t>H</w:t>
            </w:r>
            <w:r w:rsidRPr="00BB6978">
              <w:rPr>
                <w:rFonts w:ascii="Times New Roman" w:eastAsia="Calibri" w:hAnsi="Times New Roman" w:cs="Times New Roman"/>
                <w:sz w:val="24"/>
                <w:szCs w:val="24"/>
                <w:vertAlign w:val="subscript"/>
              </w:rPr>
              <w:t xml:space="preserve">6: </w:t>
            </w:r>
            <w:r w:rsidRPr="00BB6978">
              <w:rPr>
                <w:rFonts w:ascii="Times New Roman" w:eastAsia="Calibri" w:hAnsi="Times New Roman" w:cs="Times New Roman"/>
                <w:sz w:val="24"/>
                <w:szCs w:val="24"/>
              </w:rPr>
              <w:t>Parents’ education moderates the relationship between school quality and students’ achievements in private schools in Abu Dhabi.</w:t>
            </w:r>
          </w:p>
        </w:tc>
        <w:tc>
          <w:tcPr>
            <w:tcW w:w="1751" w:type="dxa"/>
            <w:tcBorders>
              <w:bottom w:val="single" w:sz="4" w:space="0" w:color="auto"/>
            </w:tcBorders>
            <w:vAlign w:val="center"/>
          </w:tcPr>
          <w:p w14:paraId="4B0FD4DA" w14:textId="77777777" w:rsidR="006E3964" w:rsidRPr="00BB6978" w:rsidRDefault="006E3964" w:rsidP="00CE66D1">
            <w:pPr>
              <w:spacing w:line="276" w:lineRule="auto"/>
              <w:jc w:val="center"/>
              <w:rPr>
                <w:rFonts w:ascii="Times New Roman" w:eastAsia="Calibri" w:hAnsi="Times New Roman" w:cs="Times New Roman"/>
              </w:rPr>
            </w:pPr>
            <w:r w:rsidRPr="00BB6978">
              <w:rPr>
                <w:rFonts w:ascii="Times New Roman" w:eastAsia="Calibri" w:hAnsi="Times New Roman" w:cs="Times New Roman"/>
              </w:rPr>
              <w:t>Splitting Data &amp; Multiple Regression</w:t>
            </w:r>
          </w:p>
        </w:tc>
        <w:tc>
          <w:tcPr>
            <w:tcW w:w="1047" w:type="dxa"/>
            <w:tcBorders>
              <w:bottom w:val="single" w:sz="4" w:space="0" w:color="auto"/>
            </w:tcBorders>
            <w:vAlign w:val="center"/>
          </w:tcPr>
          <w:p w14:paraId="39657CBF" w14:textId="77777777" w:rsidR="006E3964" w:rsidRPr="00BB6978" w:rsidRDefault="006E3964" w:rsidP="00CE66D1">
            <w:pPr>
              <w:spacing w:line="276" w:lineRule="auto"/>
              <w:jc w:val="center"/>
              <w:rPr>
                <w:rFonts w:ascii="Times New Roman" w:eastAsia="Calibri" w:hAnsi="Times New Roman" w:cs="Times New Roman"/>
              </w:rPr>
            </w:pPr>
            <w:r w:rsidRPr="00BB6978">
              <w:rPr>
                <w:rFonts w:ascii="Times New Roman" w:eastAsia="Calibri" w:hAnsi="Times New Roman" w:cs="Times New Roman"/>
              </w:rPr>
              <w:t>Accepted</w:t>
            </w:r>
          </w:p>
        </w:tc>
      </w:tr>
    </w:tbl>
    <w:p w14:paraId="2253F3E0" w14:textId="77777777" w:rsidR="00161F8B" w:rsidRPr="00BB6978" w:rsidRDefault="00161F8B" w:rsidP="00094D76">
      <w:pPr>
        <w:pStyle w:val="Heading1"/>
        <w:jc w:val="center"/>
        <w:rPr>
          <w:rFonts w:asciiTheme="majorBidi" w:hAnsiTheme="majorBidi"/>
          <w:color w:val="auto"/>
          <w:lang w:eastAsia="en-GB" w:bidi="en-GB"/>
        </w:rPr>
      </w:pPr>
      <w:bookmarkStart w:id="173" w:name="_Toc60235824"/>
      <w:bookmarkStart w:id="174" w:name="_Toc60321158"/>
      <w:bookmarkStart w:id="175" w:name="_Toc64369140"/>
      <w:bookmarkStart w:id="176" w:name="_Toc96103770"/>
      <w:bookmarkStart w:id="177" w:name="_Toc138239820"/>
      <w:r w:rsidRPr="00BB6978">
        <w:rPr>
          <w:rFonts w:asciiTheme="majorBidi" w:hAnsiTheme="majorBidi"/>
          <w:color w:val="auto"/>
          <w:lang w:eastAsia="en-GB" w:bidi="en-GB"/>
        </w:rPr>
        <w:t xml:space="preserve">CHAPTER </w:t>
      </w:r>
      <w:bookmarkEnd w:id="173"/>
      <w:r w:rsidRPr="00BB6978">
        <w:rPr>
          <w:rFonts w:asciiTheme="majorBidi" w:hAnsiTheme="majorBidi"/>
          <w:color w:val="auto"/>
          <w:lang w:eastAsia="en-GB" w:bidi="en-GB"/>
        </w:rPr>
        <w:t xml:space="preserve">– V: </w:t>
      </w:r>
      <w:r w:rsidR="00F643C7" w:rsidRPr="00BB6978">
        <w:rPr>
          <w:rFonts w:asciiTheme="majorBidi" w:hAnsiTheme="majorBidi"/>
          <w:color w:val="auto"/>
          <w:lang w:eastAsia="en-GB" w:bidi="en-GB"/>
        </w:rPr>
        <w:t>Observation, conclusion</w:t>
      </w:r>
      <w:bookmarkEnd w:id="174"/>
      <w:r w:rsidR="00F643C7" w:rsidRPr="00BB6978">
        <w:rPr>
          <w:rFonts w:asciiTheme="majorBidi" w:hAnsiTheme="majorBidi"/>
          <w:color w:val="auto"/>
          <w:lang w:eastAsia="en-GB" w:bidi="en-GB"/>
        </w:rPr>
        <w:t xml:space="preserve"> and recommendations</w:t>
      </w:r>
      <w:bookmarkEnd w:id="175"/>
      <w:bookmarkEnd w:id="176"/>
      <w:bookmarkEnd w:id="177"/>
    </w:p>
    <w:p w14:paraId="09BF8F87" w14:textId="77777777" w:rsidR="00161F8B" w:rsidRPr="00BB6978" w:rsidRDefault="00161F8B" w:rsidP="00161F8B">
      <w:pPr>
        <w:pStyle w:val="Heading1"/>
        <w:rPr>
          <w:rFonts w:asciiTheme="majorBidi" w:eastAsia="Times New Roman" w:hAnsiTheme="majorBidi"/>
          <w:b w:val="0"/>
          <w:bCs w:val="0"/>
          <w:color w:val="auto"/>
          <w:sz w:val="24"/>
          <w:szCs w:val="24"/>
        </w:rPr>
      </w:pPr>
      <w:bookmarkStart w:id="178" w:name="_Toc96103771"/>
      <w:bookmarkStart w:id="179" w:name="_Toc138239821"/>
      <w:r w:rsidRPr="00BB6978">
        <w:rPr>
          <w:rFonts w:asciiTheme="majorBidi" w:eastAsia="Times New Roman" w:hAnsiTheme="majorBidi"/>
          <w:color w:val="auto"/>
          <w:sz w:val="24"/>
          <w:szCs w:val="24"/>
        </w:rPr>
        <w:t>5.1 Introduction</w:t>
      </w:r>
      <w:bookmarkEnd w:id="178"/>
      <w:bookmarkEnd w:id="179"/>
      <w:r w:rsidRPr="00BB6978">
        <w:rPr>
          <w:rFonts w:asciiTheme="majorBidi" w:eastAsia="Times New Roman" w:hAnsiTheme="majorBidi"/>
          <w:color w:val="auto"/>
          <w:sz w:val="24"/>
          <w:szCs w:val="24"/>
        </w:rPr>
        <w:t xml:space="preserve"> </w:t>
      </w:r>
    </w:p>
    <w:p w14:paraId="14F1D588" w14:textId="77777777" w:rsidR="00161F8B" w:rsidRPr="00BB6978" w:rsidRDefault="00161F8B" w:rsidP="00161F8B"/>
    <w:p w14:paraId="1C9991AF" w14:textId="77777777" w:rsidR="00ED6237" w:rsidRPr="00BB6978" w:rsidRDefault="00C628AC" w:rsidP="00ED6237">
      <w:pPr>
        <w:spacing w:after="68" w:line="480" w:lineRule="auto"/>
        <w:ind w:firstLine="357"/>
        <w:jc w:val="both"/>
        <w:rPr>
          <w:rFonts w:asciiTheme="majorBidi" w:hAnsiTheme="majorBidi" w:cstheme="majorBidi"/>
          <w:sz w:val="24"/>
          <w:szCs w:val="24"/>
        </w:rPr>
      </w:pPr>
      <w:bookmarkStart w:id="180" w:name="_Toc60081690"/>
      <w:bookmarkStart w:id="181" w:name="_Toc60235825"/>
      <w:bookmarkStart w:id="182" w:name="_Toc60321159"/>
      <w:bookmarkStart w:id="183" w:name="_Toc64369141"/>
      <w:bookmarkStart w:id="184" w:name="_Toc96103772"/>
      <w:r w:rsidRPr="00BB6978">
        <w:rPr>
          <w:rFonts w:asciiTheme="majorBidi" w:hAnsiTheme="majorBidi" w:cstheme="majorBidi"/>
          <w:sz w:val="24"/>
          <w:szCs w:val="24"/>
        </w:rPr>
        <w:t>T</w:t>
      </w:r>
      <w:r w:rsidR="00ED6237" w:rsidRPr="00BB6978">
        <w:rPr>
          <w:rFonts w:asciiTheme="majorBidi" w:hAnsiTheme="majorBidi" w:cstheme="majorBidi"/>
          <w:sz w:val="24"/>
          <w:szCs w:val="24"/>
        </w:rPr>
        <w:t xml:space="preserve">his study's results provide insights on the relationship between school quality, school cost, and student achievement. Importantly, all proposed hypotheses were </w:t>
      </w:r>
      <w:r w:rsidR="00094D76" w:rsidRPr="00BB6978">
        <w:rPr>
          <w:rFonts w:asciiTheme="majorBidi" w:hAnsiTheme="majorBidi" w:cstheme="majorBidi"/>
          <w:sz w:val="24"/>
          <w:szCs w:val="24"/>
        </w:rPr>
        <w:t>supported,</w:t>
      </w:r>
      <w:r w:rsidR="00ED6237" w:rsidRPr="00BB6978">
        <w:rPr>
          <w:rFonts w:asciiTheme="majorBidi" w:hAnsiTheme="majorBidi" w:cstheme="majorBidi"/>
          <w:sz w:val="24"/>
          <w:szCs w:val="24"/>
        </w:rPr>
        <w:t xml:space="preserve"> and many statistically significant relationships were found. This chapter discusses the results in detail in the context of the theoretical literature, prior research on the same topic, and the implications in the UAE context.</w:t>
      </w:r>
    </w:p>
    <w:p w14:paraId="4A76A0CB" w14:textId="77777777" w:rsidR="00161F8B" w:rsidRPr="00BB6978" w:rsidRDefault="00161F8B" w:rsidP="00161F8B">
      <w:pPr>
        <w:pStyle w:val="Heading1"/>
        <w:rPr>
          <w:rFonts w:asciiTheme="majorBidi" w:eastAsia="Times New Roman" w:hAnsiTheme="majorBidi"/>
          <w:b w:val="0"/>
          <w:bCs w:val="0"/>
          <w:color w:val="auto"/>
          <w:sz w:val="24"/>
          <w:szCs w:val="24"/>
        </w:rPr>
      </w:pPr>
      <w:bookmarkStart w:id="185" w:name="_Toc138239822"/>
      <w:r w:rsidRPr="00BB6978">
        <w:rPr>
          <w:rFonts w:asciiTheme="majorBidi" w:eastAsia="Times New Roman" w:hAnsiTheme="majorBidi"/>
          <w:color w:val="auto"/>
          <w:sz w:val="24"/>
          <w:szCs w:val="24"/>
        </w:rPr>
        <w:t xml:space="preserve">5.2 </w:t>
      </w:r>
      <w:bookmarkEnd w:id="180"/>
      <w:bookmarkEnd w:id="181"/>
      <w:bookmarkEnd w:id="182"/>
      <w:bookmarkEnd w:id="183"/>
      <w:bookmarkEnd w:id="184"/>
      <w:r w:rsidR="004900A1" w:rsidRPr="00BB6978">
        <w:rPr>
          <w:rFonts w:asciiTheme="majorBidi" w:eastAsia="Times New Roman" w:hAnsiTheme="majorBidi"/>
          <w:color w:val="auto"/>
          <w:sz w:val="24"/>
          <w:szCs w:val="24"/>
        </w:rPr>
        <w:t>The</w:t>
      </w:r>
      <w:r w:rsidR="00611F74" w:rsidRPr="00BB6978">
        <w:rPr>
          <w:rFonts w:asciiTheme="majorBidi" w:eastAsia="Times New Roman" w:hAnsiTheme="majorBidi"/>
          <w:color w:val="auto"/>
          <w:sz w:val="24"/>
          <w:szCs w:val="24"/>
        </w:rPr>
        <w:t xml:space="preserve"> r</w:t>
      </w:r>
      <w:r w:rsidR="004900A1" w:rsidRPr="00BB6978">
        <w:rPr>
          <w:rFonts w:asciiTheme="majorBidi" w:eastAsia="Times New Roman" w:hAnsiTheme="majorBidi"/>
          <w:color w:val="auto"/>
          <w:sz w:val="24"/>
          <w:szCs w:val="24"/>
        </w:rPr>
        <w:t xml:space="preserve">elationship </w:t>
      </w:r>
      <w:r w:rsidR="00450335" w:rsidRPr="00BB6978">
        <w:rPr>
          <w:rFonts w:asciiTheme="majorBidi" w:eastAsia="Times New Roman" w:hAnsiTheme="majorBidi"/>
          <w:color w:val="auto"/>
          <w:sz w:val="24"/>
          <w:szCs w:val="24"/>
        </w:rPr>
        <w:t>between school cost and school quality in private schools in Abu Dhabi</w:t>
      </w:r>
      <w:bookmarkEnd w:id="185"/>
    </w:p>
    <w:p w14:paraId="44036AC1" w14:textId="77777777" w:rsidR="00EA61ED" w:rsidRPr="00BB6978" w:rsidRDefault="00EA61ED" w:rsidP="005D7BF2">
      <w:pPr>
        <w:spacing w:after="68" w:line="480" w:lineRule="auto"/>
        <w:ind w:firstLine="357"/>
        <w:jc w:val="both"/>
        <w:rPr>
          <w:rFonts w:ascii="Times New Roman" w:eastAsia="Calibri" w:hAnsi="Times New Roman" w:cs="Times New Roman"/>
          <w:sz w:val="24"/>
          <w:szCs w:val="24"/>
        </w:rPr>
      </w:pPr>
      <w:bookmarkStart w:id="186" w:name="_Toc60081691"/>
      <w:bookmarkStart w:id="187" w:name="_Toc60235826"/>
      <w:bookmarkStart w:id="188" w:name="_Toc60321160"/>
      <w:bookmarkStart w:id="189" w:name="_Toc64369142"/>
      <w:bookmarkStart w:id="190" w:name="_Toc96103773"/>
    </w:p>
    <w:bookmarkEnd w:id="186"/>
    <w:bookmarkEnd w:id="187"/>
    <w:bookmarkEnd w:id="188"/>
    <w:bookmarkEnd w:id="189"/>
    <w:bookmarkEnd w:id="190"/>
    <w:p w14:paraId="660830BF" w14:textId="36A27090" w:rsidR="001C5BCF" w:rsidRPr="00BB6978" w:rsidRDefault="001C5BCF" w:rsidP="001C5BCF">
      <w:pPr>
        <w:spacing w:after="68" w:line="480" w:lineRule="auto"/>
        <w:ind w:firstLine="720"/>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 xml:space="preserve">School cost and quality exhibit a significant positive association (R2 = .360, p &lt; 0.001). These findings align with the Education Production Function and the educational economic theory, which posit that the output is generally satisfactory in relation to the input. In other words, schools provide high-quality education and other facilities that manifest in </w:t>
      </w:r>
      <w:r w:rsidR="00E419C9" w:rsidRPr="00BB6978">
        <w:rPr>
          <w:rFonts w:ascii="Times New Roman" w:eastAsia="Calibri" w:hAnsi="Times New Roman" w:cs="Times New Roman"/>
          <w:sz w:val="24"/>
          <w:szCs w:val="24"/>
        </w:rPr>
        <w:t>favourable</w:t>
      </w:r>
      <w:r w:rsidRPr="00BB6978">
        <w:rPr>
          <w:rFonts w:ascii="Times New Roman" w:eastAsia="Calibri" w:hAnsi="Times New Roman" w:cs="Times New Roman"/>
          <w:sz w:val="24"/>
          <w:szCs w:val="24"/>
        </w:rPr>
        <w:t xml:space="preserve"> student outcomes. The survey results further substantiate this notion, as parents strongly believe that high-cost schools deliver superior education. Moreover, the comprehensive study and survey support the observation that the quality of education in private schools in Abu Dhabi improves with higher fees. Nevertheless, this correlation contradicts ADEK reports, which indicate a weak link between school cost and quality. Despite this discrepancy, private schools in Abu Dhabi with higher costs possess the capacity to deliver education of exceptional standards encompassing the curriculum, safety, well-being, teaching, leadership, socio-personal development, and student achievement. It is noteworthy that all private schools in Abu Dhabi undergo accreditation and licensing by the Ministry of Education (Ministry of Education, 2019). The Education Department in Abu Dhabi assumes full responsibility for overseeing the quality of education in the private sector, ensuring compliance with world-class standards of efficiency, safety, and innovation. To maintain thorough records, the department's inspection team conducts annual visits to private schools. Consequently, it can be hypothesized that all private schools prioritize quality.</w:t>
      </w:r>
    </w:p>
    <w:p w14:paraId="6342F4EA" w14:textId="77777777" w:rsidR="001C5BCF" w:rsidRPr="00BB6978" w:rsidRDefault="001C5BCF" w:rsidP="003A2B72">
      <w:pPr>
        <w:spacing w:after="68" w:line="480" w:lineRule="auto"/>
        <w:ind w:firstLine="360"/>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ADEK reports, obtained through school inspections, reveal that excellent schools have an average cost of $14,900, while "very good" schools cost approximately $12,300 (ADEK, n.d.). A closer examination of private schools with higher fees indicates that they fall within the "good to acceptable" range. This observation may explain the relatively weak correlation observed when comparing cost and quality. However, it should be noted that the findings from the Irtiqaa ADEK reports suffer from the limitation of poorly defined quality, with individual school mottos and achievements being recorded instead.</w:t>
      </w:r>
    </w:p>
    <w:p w14:paraId="77CF0585" w14:textId="77777777" w:rsidR="00161F8B" w:rsidRPr="00BB6978" w:rsidRDefault="005D7BF2" w:rsidP="00B91029">
      <w:pPr>
        <w:pStyle w:val="Heading1"/>
        <w:numPr>
          <w:ilvl w:val="1"/>
          <w:numId w:val="2"/>
        </w:numPr>
        <w:rPr>
          <w:rFonts w:asciiTheme="majorBidi" w:eastAsia="Times New Roman" w:hAnsiTheme="majorBidi"/>
          <w:color w:val="auto"/>
          <w:sz w:val="24"/>
          <w:szCs w:val="24"/>
        </w:rPr>
      </w:pPr>
      <w:bookmarkStart w:id="191" w:name="_Toc138239823"/>
      <w:r w:rsidRPr="00BB6978">
        <w:rPr>
          <w:rFonts w:asciiTheme="majorBidi" w:eastAsia="Times New Roman" w:hAnsiTheme="majorBidi"/>
          <w:color w:val="auto"/>
          <w:sz w:val="24"/>
          <w:szCs w:val="24"/>
        </w:rPr>
        <w:t xml:space="preserve">The </w:t>
      </w:r>
      <w:r w:rsidR="00450335" w:rsidRPr="00BB6978">
        <w:rPr>
          <w:rFonts w:asciiTheme="majorBidi" w:eastAsia="Times New Roman" w:hAnsiTheme="majorBidi"/>
          <w:color w:val="auto"/>
          <w:sz w:val="24"/>
          <w:szCs w:val="24"/>
        </w:rPr>
        <w:t>relationship between school cost and student achievement in private schools in Abu Dhabi</w:t>
      </w:r>
      <w:bookmarkEnd w:id="191"/>
    </w:p>
    <w:p w14:paraId="5C13A49E" w14:textId="77777777" w:rsidR="00117CA3" w:rsidRPr="00BB6978" w:rsidRDefault="00117CA3" w:rsidP="00117CA3">
      <w:pPr>
        <w:ind w:left="720"/>
      </w:pPr>
    </w:p>
    <w:p w14:paraId="0B5431E0" w14:textId="77777777" w:rsidR="003A2B72" w:rsidRPr="00BB6978" w:rsidRDefault="003A2B72" w:rsidP="003A2B72">
      <w:pPr>
        <w:spacing w:after="68" w:line="480" w:lineRule="auto"/>
        <w:ind w:firstLine="357"/>
        <w:mirrorIndents/>
        <w:jc w:val="both"/>
        <w:rPr>
          <w:rFonts w:ascii="Times New Roman" w:eastAsia="Calibri" w:hAnsi="Times New Roman" w:cs="Times New Roman"/>
          <w:sz w:val="24"/>
          <w:szCs w:val="24"/>
        </w:rPr>
      </w:pPr>
      <w:bookmarkStart w:id="192" w:name="_Toc60081692"/>
      <w:bookmarkStart w:id="193" w:name="_Toc60235827"/>
      <w:bookmarkStart w:id="194" w:name="_Toc60321161"/>
      <w:bookmarkStart w:id="195" w:name="_Toc64369143"/>
      <w:bookmarkStart w:id="196" w:name="_Toc96103774"/>
      <w:r w:rsidRPr="00BB6978">
        <w:rPr>
          <w:rFonts w:ascii="Times New Roman" w:eastAsia="Calibri" w:hAnsi="Times New Roman" w:cs="Times New Roman"/>
          <w:sz w:val="24"/>
          <w:szCs w:val="24"/>
        </w:rPr>
        <w:t>Based on the linear regression analysis, it has been found that parents of students in private schools believe that the amount they pay for their children's education directly impacts their academic outcomes. The cost factor accounts for 28.5% of the variance in student achievement (R2 = .285, p &lt; 0.001). However, this result contradicts the ratings from the Abu Dhabi Department of Education and Knowledge (ADEK) for the years 2017-2020, which indicate that some high-cost schools are rated as outstanding while others are rated as acceptable. According to the ADEK report, the cost of schooling does not seem to have a significant impact on school performance. Schools have a crucial responsibility in ensuring academic success by providing students with knowledge, motivation, and effective learning techniques, which can help reduce the likelihood of neglect. However, the cost of education does not guarantee achievement. According to ADEK's (2019) ratings and individual school achievements, even schools with lower fees have shown positive results in student achievement, proving that cost is not a determining factor.</w:t>
      </w:r>
    </w:p>
    <w:p w14:paraId="380A07F6" w14:textId="77777777" w:rsidR="003A2B72" w:rsidRPr="00BB6978" w:rsidRDefault="003A2B72" w:rsidP="003A2B72">
      <w:pPr>
        <w:spacing w:after="68" w:line="480" w:lineRule="auto"/>
        <w:ind w:firstLine="357"/>
        <w:mirrorIndents/>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This study's discovery about cost aligns with a similar study in the United States that examined 1,400 campaigns from school districts. The research indicates that when there is minimal support for investing in schools, higher costs result in improved student achievement (Martorell et al., 2016). Additionally, the study's findings are consistent with those of Woessmann (2016), who reported a positive correlation between cost and student achievement. However, it is important to note that the contexts of the studies differ, and it is not possible to determine student achievement on a case-by-case basis. Ultimately, school cost alone does not determine student achievement. Bergman and Chan (2019) demonstrated that school cost does not always have a positive correlation with student achievement.</w:t>
      </w:r>
    </w:p>
    <w:p w14:paraId="06CA688F" w14:textId="77777777" w:rsidR="00117CA3" w:rsidRPr="00BB6978" w:rsidRDefault="00117CA3" w:rsidP="009576CA">
      <w:pPr>
        <w:spacing w:after="68" w:line="480" w:lineRule="auto"/>
        <w:ind w:firstLine="357"/>
        <w:jc w:val="both"/>
        <w:rPr>
          <w:rFonts w:ascii="Times New Roman" w:eastAsia="Calibri" w:hAnsi="Times New Roman" w:cs="Times New Roman"/>
          <w:sz w:val="24"/>
          <w:szCs w:val="24"/>
        </w:rPr>
      </w:pPr>
    </w:p>
    <w:p w14:paraId="1E19E78E" w14:textId="77777777" w:rsidR="00161F8B" w:rsidRPr="00BB6978" w:rsidRDefault="00CD4B65" w:rsidP="00B91029">
      <w:pPr>
        <w:pStyle w:val="Heading1"/>
        <w:numPr>
          <w:ilvl w:val="1"/>
          <w:numId w:val="2"/>
        </w:numPr>
        <w:rPr>
          <w:rFonts w:asciiTheme="majorBidi" w:eastAsia="Times New Roman" w:hAnsiTheme="majorBidi"/>
          <w:color w:val="auto"/>
          <w:sz w:val="24"/>
          <w:szCs w:val="24"/>
        </w:rPr>
      </w:pPr>
      <w:bookmarkStart w:id="197" w:name="_Toc138239824"/>
      <w:bookmarkEnd w:id="192"/>
      <w:bookmarkEnd w:id="193"/>
      <w:bookmarkEnd w:id="194"/>
      <w:bookmarkEnd w:id="195"/>
      <w:bookmarkEnd w:id="196"/>
      <w:r w:rsidRPr="00BB6978">
        <w:rPr>
          <w:rFonts w:asciiTheme="majorBidi" w:eastAsia="Times New Roman" w:hAnsiTheme="majorBidi"/>
          <w:color w:val="auto"/>
          <w:sz w:val="24"/>
          <w:szCs w:val="24"/>
        </w:rPr>
        <w:t xml:space="preserve">The </w:t>
      </w:r>
      <w:r w:rsidR="00450335" w:rsidRPr="00BB6978">
        <w:rPr>
          <w:rFonts w:asciiTheme="majorBidi" w:eastAsia="Times New Roman" w:hAnsiTheme="majorBidi"/>
          <w:color w:val="auto"/>
          <w:sz w:val="24"/>
          <w:szCs w:val="24"/>
        </w:rPr>
        <w:t>relationship between school quality and students’ achievements in private schools in Abu Dhabi</w:t>
      </w:r>
      <w:bookmarkEnd w:id="197"/>
    </w:p>
    <w:p w14:paraId="62D4EF80" w14:textId="77777777" w:rsidR="00117CA3" w:rsidRPr="00BB6978" w:rsidRDefault="00117CA3" w:rsidP="00117CA3">
      <w:pPr>
        <w:ind w:left="720"/>
      </w:pPr>
    </w:p>
    <w:p w14:paraId="4D542C30" w14:textId="77777777" w:rsidR="003A2B72" w:rsidRPr="00BB6978" w:rsidRDefault="003A2B72" w:rsidP="003A2B72">
      <w:pPr>
        <w:spacing w:after="68" w:line="480" w:lineRule="auto"/>
        <w:ind w:firstLine="357"/>
        <w:mirrorIndents/>
        <w:jc w:val="both"/>
        <w:rPr>
          <w:rFonts w:ascii="Times New Roman" w:eastAsia="Calibri" w:hAnsi="Times New Roman" w:cs="Times New Roman"/>
          <w:sz w:val="24"/>
          <w:szCs w:val="24"/>
        </w:rPr>
      </w:pPr>
      <w:bookmarkStart w:id="198" w:name="_Toc60081693"/>
      <w:bookmarkStart w:id="199" w:name="_Toc60235828"/>
      <w:bookmarkStart w:id="200" w:name="_Toc60321162"/>
      <w:bookmarkStart w:id="201" w:name="_Toc64369144"/>
      <w:bookmarkStart w:id="202" w:name="_Toc96103775"/>
      <w:r w:rsidRPr="00BB6978">
        <w:rPr>
          <w:rFonts w:ascii="Times New Roman" w:eastAsia="Calibri" w:hAnsi="Times New Roman" w:cs="Times New Roman"/>
          <w:sz w:val="24"/>
          <w:szCs w:val="24"/>
        </w:rPr>
        <w:t>Based on the linear regression analysis, it was discovered that school quality (R2 = 0.378, p &lt; 0.001) has a significant positive impact on students' achievement. This factor was found to explain approximately 37.8% of the variation in students' achievement. The findings of this study are consistent with those of Gorard, See, and Siddiqui (2020), who evaluated 3,000 schools and 400,000 students and concluded that school quality is the most crucial factor affecting student achievement. Similarly, a qualitative study by Sutriayu, Makhdalena, &amp; Sumarno (2020) found a positive correlation between school quality and student achievement. However, it is necessary to note that these studies have limitations regarding the context and time.</w:t>
      </w:r>
    </w:p>
    <w:p w14:paraId="312FF931" w14:textId="77777777" w:rsidR="003A2B72" w:rsidRPr="00BB6978" w:rsidRDefault="003A2B72" w:rsidP="003A2B72">
      <w:pPr>
        <w:spacing w:after="68" w:line="480" w:lineRule="auto"/>
        <w:ind w:firstLine="357"/>
        <w:mirrorIndents/>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During inspections, there have been concerns about student engagement and collaboration not meeting expected levels, which may result in lower achievements. ADEK's inspection manager noted that this could be due to schools and staff not being highly trained (Gulf Business, 2020). Private schools, in particular, have shown slower progress and achievement due to their teacher-centered approach and inadequate instruction standards. Research has shown that teaching methods, classroom environment, parental support, and student involvement all play a role in academic success. In fact, according to some sources, 70% of the factors that directly impact achievement are related to the quality of the school itself (Khaleej Times, 2020). Therefore, it is important for students to have qualified and supportive teachers and attend classes in well-equipped classrooms (Woessmann, 2016). However, other factors such as the student's psychological profile and environmental factors can also impact academic outcomes, as outlined in Walberg's theory (Bell &amp; Puckett, 2020).</w:t>
      </w:r>
    </w:p>
    <w:p w14:paraId="187798C8" w14:textId="77777777" w:rsidR="003A2B72" w:rsidRPr="00BB6978" w:rsidRDefault="003A2B72" w:rsidP="003A2B72">
      <w:pPr>
        <w:spacing w:after="68" w:line="480" w:lineRule="auto"/>
        <w:ind w:firstLine="357"/>
        <w:mirrorIndents/>
        <w:jc w:val="both"/>
        <w:rPr>
          <w:rFonts w:ascii="Times New Roman" w:eastAsia="Calibri" w:hAnsi="Times New Roman" w:cs="Times New Roman"/>
          <w:sz w:val="24"/>
          <w:szCs w:val="24"/>
        </w:rPr>
      </w:pPr>
      <w:r w:rsidRPr="00BB6978">
        <w:rPr>
          <w:rFonts w:ascii="Times New Roman" w:eastAsia="Calibri" w:hAnsi="Times New Roman" w:cs="Times New Roman"/>
          <w:sz w:val="24"/>
          <w:szCs w:val="24"/>
        </w:rPr>
        <w:t>In conclusion, there is a positive correlation between school quality and student achievement. Having top-notch schools in Abu Dhabi with great facilities and exceptional staff is crucial in inspiring students to strive for success.</w:t>
      </w:r>
    </w:p>
    <w:p w14:paraId="05DE9242" w14:textId="77777777" w:rsidR="00594CAD" w:rsidRPr="00BB6978" w:rsidRDefault="00594CAD" w:rsidP="00B91029">
      <w:pPr>
        <w:pStyle w:val="Heading1"/>
        <w:numPr>
          <w:ilvl w:val="1"/>
          <w:numId w:val="2"/>
        </w:numPr>
        <w:rPr>
          <w:rFonts w:asciiTheme="majorBidi" w:eastAsia="Times New Roman" w:hAnsiTheme="majorBidi"/>
          <w:color w:val="auto"/>
          <w:sz w:val="24"/>
          <w:szCs w:val="24"/>
        </w:rPr>
      </w:pPr>
      <w:bookmarkStart w:id="203" w:name="_Toc138239825"/>
      <w:r w:rsidRPr="00BB6978">
        <w:rPr>
          <w:rFonts w:asciiTheme="majorBidi" w:eastAsia="Times New Roman" w:hAnsiTheme="majorBidi"/>
          <w:color w:val="auto"/>
          <w:sz w:val="24"/>
          <w:szCs w:val="24"/>
        </w:rPr>
        <w:t>School Quality Mediates the Relationship between School cost and students’ Achievement in private schools in Abu Dhabi.</w:t>
      </w:r>
      <w:bookmarkEnd w:id="203"/>
    </w:p>
    <w:p w14:paraId="469DA007" w14:textId="77777777" w:rsidR="005C72E5" w:rsidRPr="00BB6978" w:rsidRDefault="005C72E5" w:rsidP="005C72E5"/>
    <w:p w14:paraId="7D1CC64A" w14:textId="22DB85B3" w:rsidR="00F7595D" w:rsidRPr="00BB6978" w:rsidRDefault="00F7595D" w:rsidP="00F7595D">
      <w:pPr>
        <w:spacing w:after="68" w:line="480" w:lineRule="auto"/>
        <w:ind w:firstLine="360"/>
        <w:jc w:val="both"/>
        <w:rPr>
          <w:rFonts w:ascii="Times New Roman" w:eastAsia="Calibri" w:hAnsi="Times New Roman" w:cs="Times New Roman"/>
          <w:sz w:val="24"/>
          <w:szCs w:val="24"/>
          <w:shd w:val="clear" w:color="auto" w:fill="FFFFFF"/>
        </w:rPr>
      </w:pPr>
      <w:bookmarkStart w:id="204" w:name="_Toc134127226"/>
      <w:bookmarkEnd w:id="198"/>
      <w:bookmarkEnd w:id="199"/>
      <w:bookmarkEnd w:id="200"/>
      <w:bookmarkEnd w:id="201"/>
      <w:bookmarkEnd w:id="202"/>
      <w:r w:rsidRPr="00BB6978">
        <w:rPr>
          <w:rFonts w:ascii="Times New Roman" w:eastAsia="Calibri" w:hAnsi="Times New Roman" w:cs="Times New Roman"/>
          <w:sz w:val="24"/>
          <w:szCs w:val="24"/>
          <w:shd w:val="clear" w:color="auto" w:fill="FFFFFF"/>
        </w:rPr>
        <w:t>According to the hierarchical regression analysis, the relationship between school cost and students' achievement is mediated by school quality (R2 = .421, p &lt; 0.001). This means that 42.1% of the variation in students' achievement can be attributed to school cost, with school quality serving as a mediator. This finding aligns with the ADEK (2017, 2020) rating report, which ranked some high-cost schools as outstanding due to their high-quality education, while others were ranked as acceptable based on their satisfactory school quality. This suggests that the association between school cost and students' achievement can be observed in the presence of school quality. This is consistent with the findings of Ainsworth et al. (2020), who reported that parents are more motivated by considerations of school quality. Despite the desire to provide their children with a quality education, many parents are still deterred by the high cost associated with it. This consideration often weighs heavily on their decision-making process, causing them to carefully evaluate both the school's quality and the related expenses. In some cases, private schools with high status may offer equal or superior education compared to public schools, leading families to fiercely compete for admission despite the high tuition fees, as noted by Ainsworth et al. (2020) and Campos &amp; Kearns (2021). Sutriayu et al. (2020) found that students from higher-income families tend to perform better academically. This is likely due to several factors, including access to better nutrition, consistent attendance, private tutoring, a well-lit study environment, and fewer household responsibilities. Additionally, these students are more likely to attend schools that provide higher quality education and resources, such as better collaboration and teaching staff, as well as more extracurricular activities. These schools also tend to employ a student-centered approach to learning rather than a teacher-centered approach. Overall, these findings suggest that a high-quality school environment plays a significant role in mediating the relationship between parents' income levels and their children's academic success. Parents’ income moderates the relationship between school cost and students’ achievement in private schools in Abu Dhabi</w:t>
      </w:r>
      <w:bookmarkEnd w:id="204"/>
    </w:p>
    <w:p w14:paraId="321D1908" w14:textId="77777777" w:rsidR="00161F8B" w:rsidRPr="00BB6978" w:rsidRDefault="00594CAD" w:rsidP="00B91029">
      <w:pPr>
        <w:pStyle w:val="Heading1"/>
        <w:numPr>
          <w:ilvl w:val="1"/>
          <w:numId w:val="2"/>
        </w:numPr>
        <w:rPr>
          <w:rFonts w:asciiTheme="majorBidi" w:eastAsia="Times New Roman" w:hAnsiTheme="majorBidi"/>
          <w:color w:val="auto"/>
          <w:sz w:val="24"/>
          <w:szCs w:val="24"/>
        </w:rPr>
      </w:pPr>
      <w:bookmarkStart w:id="205" w:name="_Toc138239826"/>
      <w:r w:rsidRPr="00BB6978">
        <w:rPr>
          <w:rFonts w:asciiTheme="majorBidi" w:eastAsia="Times New Roman" w:hAnsiTheme="majorBidi"/>
          <w:color w:val="auto"/>
          <w:sz w:val="24"/>
          <w:szCs w:val="24"/>
        </w:rPr>
        <w:t xml:space="preserve">Parents’ income </w:t>
      </w:r>
      <w:r w:rsidR="00450335" w:rsidRPr="00BB6978">
        <w:rPr>
          <w:rFonts w:asciiTheme="majorBidi" w:eastAsia="Times New Roman" w:hAnsiTheme="majorBidi"/>
          <w:color w:val="auto"/>
          <w:sz w:val="24"/>
          <w:szCs w:val="24"/>
        </w:rPr>
        <w:t>moderate</w:t>
      </w:r>
      <w:r w:rsidRPr="00BB6978">
        <w:rPr>
          <w:rFonts w:asciiTheme="majorBidi" w:eastAsia="Times New Roman" w:hAnsiTheme="majorBidi"/>
          <w:color w:val="auto"/>
          <w:sz w:val="24"/>
          <w:szCs w:val="24"/>
        </w:rPr>
        <w:t>s</w:t>
      </w:r>
      <w:r w:rsidR="00450335" w:rsidRPr="00BB6978">
        <w:rPr>
          <w:rFonts w:asciiTheme="majorBidi" w:eastAsia="Times New Roman" w:hAnsiTheme="majorBidi"/>
          <w:color w:val="auto"/>
          <w:sz w:val="24"/>
          <w:szCs w:val="24"/>
        </w:rPr>
        <w:t xml:space="preserve"> the relationship between school cost and students’ achievement</w:t>
      </w:r>
      <w:r w:rsidRPr="00BB6978">
        <w:rPr>
          <w:rFonts w:asciiTheme="majorBidi" w:eastAsia="Times New Roman" w:hAnsiTheme="majorBidi"/>
          <w:color w:val="auto"/>
          <w:sz w:val="24"/>
          <w:szCs w:val="24"/>
        </w:rPr>
        <w:t xml:space="preserve"> in private schools in Abu Dhabi</w:t>
      </w:r>
      <w:bookmarkEnd w:id="205"/>
    </w:p>
    <w:p w14:paraId="21560F04" w14:textId="77777777" w:rsidR="00117CA3" w:rsidRPr="00BB6978" w:rsidRDefault="00117CA3" w:rsidP="00117CA3"/>
    <w:p w14:paraId="3ADFDEB3" w14:textId="77777777" w:rsidR="00F7595D" w:rsidRPr="00BB6978" w:rsidRDefault="00F7595D" w:rsidP="00F7595D">
      <w:pPr>
        <w:spacing w:after="68" w:line="480" w:lineRule="auto"/>
        <w:ind w:firstLine="360"/>
        <w:jc w:val="both"/>
        <w:rPr>
          <w:rFonts w:ascii="Times New Roman" w:eastAsia="Calibri" w:hAnsi="Times New Roman" w:cs="Times New Roman"/>
          <w:sz w:val="24"/>
          <w:szCs w:val="24"/>
          <w:shd w:val="clear" w:color="auto" w:fill="FFFFFF"/>
        </w:rPr>
      </w:pPr>
      <w:r w:rsidRPr="00BB6978">
        <w:rPr>
          <w:rFonts w:ascii="Times New Roman" w:eastAsia="Calibri" w:hAnsi="Times New Roman" w:cs="Times New Roman"/>
          <w:sz w:val="24"/>
          <w:szCs w:val="24"/>
          <w:shd w:val="clear" w:color="auto" w:fill="FFFFFF"/>
        </w:rPr>
        <w:t>The relationship between academic achievement and various socioeconomic contexts, such as parents' income, is continuously studied to gain a better understanding of their impact. In Abu Dhabi private schools, a multiple regression analysis was conducted to examine the correlation between school costs, parents' incomes, and students' achievement. The analysis revealed that parents' income, as a moderator, strengthens the correlation between school cost and students' achievement. This finding is consistent with the conclusion of Dolean and Cãlugãr (2020) that socioeconomic factors can lead to learning disabilities and have a negative effect on student achievement. Other studies also suggest that lower socioeconomic factors can result in learning disabilities and negatively impact students' learning. Many studies use the socioeconomic background of schools and students as contextual variables to determine correlations. The student backgrounds are categorized as advantaged or disadvantaged, but relevant studies have not established a pattern by which this moderates the influence on academic achievement, unlike the study conducted by Hancock et al. (2017).</w:t>
      </w:r>
    </w:p>
    <w:p w14:paraId="396F5E42" w14:textId="77777777" w:rsidR="00F7595D" w:rsidRPr="00BB6978" w:rsidRDefault="00F7595D" w:rsidP="00F7595D">
      <w:pPr>
        <w:spacing w:after="68" w:line="480" w:lineRule="auto"/>
        <w:ind w:firstLine="360"/>
        <w:jc w:val="both"/>
        <w:rPr>
          <w:rFonts w:ascii="Times New Roman" w:eastAsia="Calibri" w:hAnsi="Times New Roman" w:cs="Times New Roman"/>
          <w:sz w:val="24"/>
          <w:szCs w:val="24"/>
          <w:shd w:val="clear" w:color="auto" w:fill="FFFFFF"/>
        </w:rPr>
      </w:pPr>
      <w:r w:rsidRPr="00BB6978">
        <w:rPr>
          <w:rFonts w:ascii="Times New Roman" w:eastAsia="Calibri" w:hAnsi="Times New Roman" w:cs="Times New Roman"/>
          <w:sz w:val="24"/>
          <w:szCs w:val="24"/>
          <w:shd w:val="clear" w:color="auto" w:fill="FFFFFF"/>
        </w:rPr>
        <w:t>This finding is consistent with previous research that suggests socioeconomic factors, along with other factors, have a partial impact on students' academic performance. Some studies have found moderate correlations between socioeconomic factors and student achievement, but the impact is not as significant compared to other important factors like learning abilities (Lin, 2019). However, other studies contradict this and suggest that genetic factors and the environment are more influential, and socioeconomic factors have less of an impact.</w:t>
      </w:r>
    </w:p>
    <w:p w14:paraId="007FCCAB" w14:textId="40FCA839" w:rsidR="00F7595D" w:rsidRPr="00BB6978" w:rsidRDefault="00F7595D" w:rsidP="00F7595D">
      <w:pPr>
        <w:spacing w:after="68" w:line="480" w:lineRule="auto"/>
        <w:ind w:firstLine="360"/>
        <w:jc w:val="both"/>
        <w:rPr>
          <w:rFonts w:ascii="Times New Roman" w:eastAsia="Calibri" w:hAnsi="Times New Roman" w:cs="Times New Roman"/>
          <w:sz w:val="24"/>
          <w:szCs w:val="24"/>
          <w:shd w:val="clear" w:color="auto" w:fill="FFFFFF"/>
        </w:rPr>
      </w:pPr>
      <w:r w:rsidRPr="00BB6978">
        <w:rPr>
          <w:rFonts w:ascii="Times New Roman" w:eastAsia="Calibri" w:hAnsi="Times New Roman" w:cs="Times New Roman"/>
          <w:sz w:val="24"/>
          <w:szCs w:val="24"/>
          <w:shd w:val="clear" w:color="auto" w:fill="FFFFFF"/>
        </w:rPr>
        <w:t>Research shows that socioeconomic factors play a significant role in a student's academic achievement. A conducive home environment, with adequate resources such as books and e-libraries, can positively impact a student's learning (Bradford, Mowder, and Bohte, 2016). Additionally, children from high socioeconomic backgrounds often have access to quality schools without financial interruptions, as their parents can afford to provide them with the necessary financial support (Chifamba, 2019). These parents can also enrol their children in various programs, which can help them learn continuously and excel in their academic pursuits. Studies have shown that socioeconomic background can influence a student's performance in subjects such as mathematics (Murphy, 2018). Higher income for parents means they can afford higher fees, which can affect the overall cost of schooling. Furthermore, students from healthier socioeconomic backgrounds tend to have better home environments and parental support. In conclusion, socioeconomic factors have a positive impact on academic achievement and can affect the cost of schooling</w:t>
      </w:r>
    </w:p>
    <w:p w14:paraId="058A4242" w14:textId="77777777" w:rsidR="00161F8B" w:rsidRPr="00BB6978" w:rsidRDefault="00E83FEA" w:rsidP="00B91029">
      <w:pPr>
        <w:pStyle w:val="Heading1"/>
        <w:numPr>
          <w:ilvl w:val="1"/>
          <w:numId w:val="2"/>
        </w:numPr>
        <w:rPr>
          <w:rFonts w:asciiTheme="majorBidi" w:eastAsia="Times New Roman" w:hAnsiTheme="majorBidi"/>
          <w:color w:val="auto"/>
          <w:sz w:val="24"/>
          <w:szCs w:val="24"/>
        </w:rPr>
      </w:pPr>
      <w:bookmarkStart w:id="206" w:name="_Toc138239827"/>
      <w:r w:rsidRPr="00BB6978">
        <w:rPr>
          <w:rFonts w:asciiTheme="majorBidi" w:eastAsia="Times New Roman" w:hAnsiTheme="majorBidi"/>
          <w:color w:val="auto"/>
          <w:sz w:val="24"/>
          <w:szCs w:val="24"/>
        </w:rPr>
        <w:t xml:space="preserve">Parents’ Education </w:t>
      </w:r>
      <w:r w:rsidR="00450335" w:rsidRPr="00BB6978">
        <w:rPr>
          <w:rFonts w:asciiTheme="majorBidi" w:eastAsia="Times New Roman" w:hAnsiTheme="majorBidi"/>
          <w:color w:val="auto"/>
          <w:sz w:val="24"/>
          <w:szCs w:val="24"/>
        </w:rPr>
        <w:t>moderate</w:t>
      </w:r>
      <w:r w:rsidRPr="00BB6978">
        <w:rPr>
          <w:rFonts w:asciiTheme="majorBidi" w:eastAsia="Times New Roman" w:hAnsiTheme="majorBidi"/>
          <w:color w:val="auto"/>
          <w:sz w:val="24"/>
          <w:szCs w:val="24"/>
        </w:rPr>
        <w:t>s</w:t>
      </w:r>
      <w:r w:rsidR="00450335" w:rsidRPr="00BB6978">
        <w:rPr>
          <w:rFonts w:asciiTheme="majorBidi" w:eastAsia="Times New Roman" w:hAnsiTheme="majorBidi"/>
          <w:color w:val="auto"/>
          <w:sz w:val="24"/>
          <w:szCs w:val="24"/>
        </w:rPr>
        <w:t xml:space="preserve"> the relationship between school quality and students’ achievement</w:t>
      </w:r>
      <w:r w:rsidRPr="00BB6978">
        <w:rPr>
          <w:rFonts w:asciiTheme="majorBidi" w:eastAsia="Times New Roman" w:hAnsiTheme="majorBidi"/>
          <w:color w:val="auto"/>
          <w:sz w:val="24"/>
          <w:szCs w:val="24"/>
        </w:rPr>
        <w:t xml:space="preserve"> in private schools in Abu Dhabi.</w:t>
      </w:r>
      <w:bookmarkEnd w:id="206"/>
    </w:p>
    <w:p w14:paraId="241C8A1D" w14:textId="77777777" w:rsidR="00117CA3" w:rsidRPr="00BB6978" w:rsidRDefault="00117CA3" w:rsidP="00117CA3">
      <w:pPr>
        <w:ind w:left="720"/>
      </w:pPr>
    </w:p>
    <w:p w14:paraId="77E00264" w14:textId="77777777" w:rsidR="00F7595D" w:rsidRPr="00BB6978" w:rsidRDefault="00F7595D" w:rsidP="00F7595D">
      <w:pPr>
        <w:spacing w:after="68" w:line="480" w:lineRule="auto"/>
        <w:ind w:firstLine="360"/>
        <w:jc w:val="both"/>
        <w:rPr>
          <w:rFonts w:ascii="Times New Roman" w:eastAsia="Calibri" w:hAnsi="Times New Roman" w:cs="Times New Roman"/>
          <w:sz w:val="24"/>
          <w:szCs w:val="24"/>
          <w:shd w:val="clear" w:color="auto" w:fill="FFFFFF"/>
        </w:rPr>
      </w:pPr>
      <w:bookmarkStart w:id="207" w:name="_Toc60081695"/>
      <w:bookmarkStart w:id="208" w:name="_Toc60235830"/>
      <w:bookmarkStart w:id="209" w:name="_Toc60321164"/>
      <w:bookmarkStart w:id="210" w:name="_Toc64369146"/>
      <w:bookmarkStart w:id="211" w:name="_Toc96103777"/>
      <w:r w:rsidRPr="00BB6978">
        <w:rPr>
          <w:rFonts w:ascii="Times New Roman" w:eastAsia="Calibri" w:hAnsi="Times New Roman" w:cs="Times New Roman"/>
          <w:sz w:val="24"/>
          <w:szCs w:val="24"/>
          <w:shd w:val="clear" w:color="auto" w:fill="FFFFFF"/>
        </w:rPr>
        <w:t>The socioeconomic status (SES) of parents significantly influences their choice of schools, ensuring their children's academic success and access to quality education. Studies examining SES and student achievement have revealed an unknown mechanism that impacts educational success. The results of multiple regression analysis indicate that parents' education, acting as a moderator, strengthens the correlation between school quality and students' achievements. This suggests that educated parents understand how school quality positively affects their children's academic success. This preference for high-quality education is evident in Abu Dhabi, where parents with high levels of education opt for expensive private schools over free public schools due to their superior quality (Stiles, Lee, &amp; Luthar, 2020).</w:t>
      </w:r>
    </w:p>
    <w:p w14:paraId="67C8ADC3" w14:textId="77777777" w:rsidR="00F7595D" w:rsidRPr="00BB6978" w:rsidRDefault="00F7595D" w:rsidP="00F7595D">
      <w:pPr>
        <w:spacing w:after="68" w:line="480" w:lineRule="auto"/>
        <w:ind w:firstLine="360"/>
        <w:jc w:val="both"/>
        <w:rPr>
          <w:rFonts w:ascii="Times New Roman" w:eastAsia="Calibri" w:hAnsi="Times New Roman" w:cs="Times New Roman"/>
          <w:sz w:val="24"/>
          <w:szCs w:val="24"/>
          <w:shd w:val="clear" w:color="auto" w:fill="FFFFFF"/>
        </w:rPr>
      </w:pPr>
      <w:r w:rsidRPr="00BB6978">
        <w:rPr>
          <w:rFonts w:ascii="Times New Roman" w:eastAsia="Calibri" w:hAnsi="Times New Roman" w:cs="Times New Roman"/>
          <w:sz w:val="24"/>
          <w:szCs w:val="24"/>
          <w:shd w:val="clear" w:color="auto" w:fill="FFFFFF"/>
        </w:rPr>
        <w:t>These findings are consistent with existing literature and indicate that parents with higher SES are more invested in their children's education, actively seeking out information about school standards and quality. They often identify gaps in education and extracurricular activities necessary for academic progress, thereby contributing to the maintenance of school quality. According to Thomson (2018), higher SES is associated with better attendance, leading to consistent education and increased learning. In contrast, persistent absenteeism is usually linked to poverty or lower SES, making subjects like mathematics more challenging to study. Students may miss out on valuable knowledge without parental involvement and a well-equipped home environment. However, there are cases where students from low socioeconomic backgrounds excel in their studies. Research has shown that high-quality schools with dedicated teaching staff can create an enjoyable learning environment, leading to increased student achievement. A survey of students attending such schools found that they studied science and other subjects because they genuinely enjoyed them (Thomson, 2018). Teachers play a significant role in sparking students' interest in a subject, as learning is more effective when it is engaging. Unfortunately, many low-income families cannot afford a high-quality education, which may result in attending schools with less-qualified and less-dedicated teachers.</w:t>
      </w:r>
    </w:p>
    <w:p w14:paraId="18BF005D" w14:textId="77777777" w:rsidR="00F7595D" w:rsidRPr="00BB6978" w:rsidRDefault="00F7595D" w:rsidP="00F7595D">
      <w:pPr>
        <w:spacing w:after="68" w:line="480" w:lineRule="auto"/>
        <w:ind w:firstLine="360"/>
        <w:jc w:val="both"/>
        <w:rPr>
          <w:rFonts w:ascii="Times New Roman" w:eastAsia="Calibri" w:hAnsi="Times New Roman" w:cs="Times New Roman"/>
          <w:sz w:val="24"/>
          <w:szCs w:val="24"/>
          <w:shd w:val="clear" w:color="auto" w:fill="FFFFFF"/>
        </w:rPr>
      </w:pPr>
      <w:r w:rsidRPr="00BB6978">
        <w:rPr>
          <w:rFonts w:ascii="Times New Roman" w:eastAsia="Calibri" w:hAnsi="Times New Roman" w:cs="Times New Roman"/>
          <w:sz w:val="24"/>
          <w:szCs w:val="24"/>
          <w:shd w:val="clear" w:color="auto" w:fill="FFFFFF"/>
        </w:rPr>
        <w:t>Moreover, students from low socioeconomic backgrounds may face health problems, mental stress, anxiety, feelings of inferiority, and depression. These challenges can negatively impact their education and academic performance, ultimately affecting the overall education quality they receive. Research indicates that certain countries have implemented programs to promote equal and high-quality education, regardless of financial differences (Archambault et al., 2017).</w:t>
      </w:r>
    </w:p>
    <w:p w14:paraId="727DA030" w14:textId="77777777" w:rsidR="00F7595D" w:rsidRPr="00BB6978" w:rsidRDefault="00F7595D" w:rsidP="00F7595D">
      <w:pPr>
        <w:spacing w:after="68" w:line="480" w:lineRule="auto"/>
        <w:ind w:firstLine="360"/>
        <w:jc w:val="both"/>
        <w:rPr>
          <w:rFonts w:ascii="Times New Roman" w:eastAsia="Calibri" w:hAnsi="Times New Roman" w:cs="Times New Roman"/>
          <w:sz w:val="24"/>
          <w:szCs w:val="24"/>
          <w:shd w:val="clear" w:color="auto" w:fill="FFFFFF"/>
        </w:rPr>
      </w:pPr>
      <w:r w:rsidRPr="00BB6978">
        <w:rPr>
          <w:rFonts w:ascii="Times New Roman" w:eastAsia="Calibri" w:hAnsi="Times New Roman" w:cs="Times New Roman"/>
          <w:sz w:val="24"/>
          <w:szCs w:val="24"/>
          <w:shd w:val="clear" w:color="auto" w:fill="FFFFFF"/>
        </w:rPr>
        <w:t>In summary, this study highlights the influence of SES on education quality and academic success. Students from higher SES backgrounds tend to perform better academically, which affects the correlation between school expenses, school standards, and student achievements. Various factors, such as absenteeism and physical and mental health issues, can hinder learning, particularly for students from low SES backgrounds who may lack sufficient resources or a supportive home environment. Poor infrastructure in schools can also demotivate teachers, resulting in substandard learning experiences and lower academic performance. As a result, schools in areas with higher socioeconomic status tend to provide better quality education and yield more positive academic outcomes.</w:t>
      </w:r>
    </w:p>
    <w:p w14:paraId="4E989A9B" w14:textId="77777777" w:rsidR="00161F8B" w:rsidRPr="00BB6978" w:rsidRDefault="00161F8B" w:rsidP="00161F8B">
      <w:pPr>
        <w:pStyle w:val="Heading1"/>
        <w:rPr>
          <w:rFonts w:asciiTheme="majorBidi" w:eastAsia="Times New Roman" w:hAnsiTheme="majorBidi"/>
          <w:b w:val="0"/>
          <w:bCs w:val="0"/>
          <w:color w:val="auto"/>
          <w:sz w:val="24"/>
          <w:szCs w:val="24"/>
        </w:rPr>
      </w:pPr>
      <w:bookmarkStart w:id="212" w:name="_Toc138239828"/>
      <w:r w:rsidRPr="00BB6978">
        <w:rPr>
          <w:rFonts w:asciiTheme="majorBidi" w:eastAsia="Times New Roman" w:hAnsiTheme="majorBidi"/>
          <w:color w:val="auto"/>
          <w:sz w:val="24"/>
          <w:szCs w:val="24"/>
        </w:rPr>
        <w:t>5.</w:t>
      </w:r>
      <w:r w:rsidR="00E83FEA" w:rsidRPr="00BB6978">
        <w:rPr>
          <w:rFonts w:asciiTheme="majorBidi" w:eastAsia="Times New Roman" w:hAnsiTheme="majorBidi"/>
          <w:color w:val="auto"/>
          <w:sz w:val="24"/>
          <w:szCs w:val="24"/>
        </w:rPr>
        <w:t>8</w:t>
      </w:r>
      <w:r w:rsidRPr="00BB6978">
        <w:rPr>
          <w:rFonts w:asciiTheme="majorBidi" w:eastAsia="Times New Roman" w:hAnsiTheme="majorBidi"/>
          <w:color w:val="auto"/>
          <w:sz w:val="24"/>
          <w:szCs w:val="24"/>
        </w:rPr>
        <w:t xml:space="preserve"> Conclusion</w:t>
      </w:r>
      <w:bookmarkEnd w:id="207"/>
      <w:bookmarkEnd w:id="208"/>
      <w:bookmarkEnd w:id="209"/>
      <w:bookmarkEnd w:id="210"/>
      <w:bookmarkEnd w:id="211"/>
      <w:bookmarkEnd w:id="212"/>
    </w:p>
    <w:p w14:paraId="4F6FFD61" w14:textId="77777777" w:rsidR="00F53F8B" w:rsidRPr="00BB6978" w:rsidRDefault="00F53F8B" w:rsidP="00BF7E99">
      <w:pPr>
        <w:spacing w:after="68" w:line="480" w:lineRule="auto"/>
        <w:ind w:firstLine="360"/>
        <w:jc w:val="both"/>
        <w:rPr>
          <w:rFonts w:ascii="Times New Roman" w:eastAsia="Calibri" w:hAnsi="Times New Roman" w:cs="Times New Roman"/>
          <w:sz w:val="24"/>
          <w:szCs w:val="24"/>
          <w:shd w:val="clear" w:color="auto" w:fill="FFFFFF"/>
        </w:rPr>
      </w:pPr>
      <w:bookmarkStart w:id="213" w:name="_Toc96103778"/>
    </w:p>
    <w:p w14:paraId="200B032F" w14:textId="77777777" w:rsidR="00BF7E99" w:rsidRPr="00BB6978" w:rsidRDefault="00BF7E99" w:rsidP="00BF7E99">
      <w:pPr>
        <w:spacing w:after="68" w:line="480" w:lineRule="auto"/>
        <w:ind w:firstLine="360"/>
        <w:jc w:val="both"/>
        <w:rPr>
          <w:rFonts w:ascii="Times New Roman" w:eastAsia="Calibri" w:hAnsi="Times New Roman" w:cs="Times New Roman"/>
          <w:sz w:val="24"/>
          <w:szCs w:val="24"/>
          <w:shd w:val="clear" w:color="auto" w:fill="FFFFFF"/>
        </w:rPr>
      </w:pPr>
      <w:r w:rsidRPr="00BB6978">
        <w:rPr>
          <w:rFonts w:ascii="Times New Roman" w:eastAsia="Calibri" w:hAnsi="Times New Roman" w:cs="Times New Roman"/>
          <w:sz w:val="24"/>
          <w:szCs w:val="24"/>
          <w:shd w:val="clear" w:color="auto" w:fill="FFFFFF"/>
        </w:rPr>
        <w:t>This study focuses on private education in Abu Dhabi, specifically examining the relationship between school cost, school quality, and student achievement. The government closely monitors private schools in Abu Dhabi and provides relevant statistics and ADEK reports to help parents make informed decisions about school cost and quality. Through a survey of 400 parents, this study found a positive correlation between high private school costs and school quality. However, it also revealed that cost alone is not the sole determinant of student achievement. It is important to consider students' socioeconomic status when evaluating academic performance. Recent reports from ADEK on school fees and ratings have shown that high fees do not necessarily correlate with better academic outcomes. Instead, the quality of the teaching staff emerges as a top concern. Unfortunately, some private schools have inexperienced teachers who adopt a teacher-centric approach that fails to engage students or make learning enjoyable. To address this issue, increased funding could be allocated to attract and hire more motivated educators who prioritize student achievement.</w:t>
      </w:r>
    </w:p>
    <w:p w14:paraId="6185F338" w14:textId="77777777" w:rsidR="00BF7E99" w:rsidRPr="00BB6978" w:rsidRDefault="00BF7E99" w:rsidP="00BF7E99">
      <w:pPr>
        <w:spacing w:after="68" w:line="480" w:lineRule="auto"/>
        <w:ind w:firstLine="360"/>
        <w:jc w:val="both"/>
        <w:rPr>
          <w:rFonts w:ascii="Times New Roman" w:eastAsia="Calibri" w:hAnsi="Times New Roman" w:cs="Times New Roman"/>
          <w:sz w:val="24"/>
          <w:szCs w:val="24"/>
          <w:shd w:val="clear" w:color="auto" w:fill="FFFFFF"/>
        </w:rPr>
      </w:pPr>
      <w:r w:rsidRPr="00BB6978">
        <w:rPr>
          <w:rFonts w:ascii="Times New Roman" w:eastAsia="Calibri" w:hAnsi="Times New Roman" w:cs="Times New Roman"/>
          <w:sz w:val="24"/>
          <w:szCs w:val="24"/>
          <w:shd w:val="clear" w:color="auto" w:fill="FFFFFF"/>
        </w:rPr>
        <w:t>This study contributes to our understanding of the connection between school quality and student achievement. Schools with better quality offer superior curricula, extracurricular activities, and innovative learning techniques that actively engage students. As a result, students in high-quality schools tend to perform better academically. The quality of education, school costs, and student achievement are influenced by socioeconomic factors. A student's family income, background, and parents' occupation directly impact their academic success. A conducive home environment can enhance a student's learning abilities. Therefore, a higher socioeconomic background can have a positive impact on student achievement, but it is not the sole determining factor. Further studies could employ qualitative analysis to collect data on student achievements, costs, and quality variables, providing deeper insights into the subject matter.</w:t>
      </w:r>
    </w:p>
    <w:p w14:paraId="3F9C629E" w14:textId="77777777" w:rsidR="00161F8B" w:rsidRPr="00BB6978" w:rsidRDefault="00161F8B" w:rsidP="00161F8B">
      <w:pPr>
        <w:pStyle w:val="Heading1"/>
        <w:rPr>
          <w:rFonts w:asciiTheme="majorBidi" w:eastAsia="Times New Roman" w:hAnsiTheme="majorBidi"/>
          <w:b w:val="0"/>
          <w:bCs w:val="0"/>
          <w:color w:val="auto"/>
          <w:sz w:val="24"/>
          <w:szCs w:val="24"/>
        </w:rPr>
      </w:pPr>
      <w:bookmarkStart w:id="214" w:name="_Toc138239829"/>
      <w:r w:rsidRPr="00BB6978">
        <w:rPr>
          <w:rFonts w:asciiTheme="majorBidi" w:eastAsia="Times New Roman" w:hAnsiTheme="majorBidi"/>
          <w:color w:val="auto"/>
          <w:sz w:val="24"/>
          <w:szCs w:val="24"/>
        </w:rPr>
        <w:t>5.</w:t>
      </w:r>
      <w:r w:rsidR="00E83FEA" w:rsidRPr="00BB6978">
        <w:rPr>
          <w:rFonts w:asciiTheme="majorBidi" w:eastAsia="Times New Roman" w:hAnsiTheme="majorBidi"/>
          <w:color w:val="auto"/>
          <w:sz w:val="24"/>
          <w:szCs w:val="24"/>
        </w:rPr>
        <w:t>9</w:t>
      </w:r>
      <w:r w:rsidRPr="00BB6978">
        <w:rPr>
          <w:rFonts w:asciiTheme="majorBidi" w:eastAsia="Times New Roman" w:hAnsiTheme="majorBidi"/>
          <w:color w:val="auto"/>
          <w:sz w:val="24"/>
          <w:szCs w:val="24"/>
        </w:rPr>
        <w:t xml:space="preserve"> Recommendations</w:t>
      </w:r>
      <w:bookmarkEnd w:id="213"/>
      <w:bookmarkEnd w:id="214"/>
    </w:p>
    <w:p w14:paraId="6D802F8C" w14:textId="77777777" w:rsidR="00161F8B" w:rsidRPr="00BB6978" w:rsidRDefault="00161F8B" w:rsidP="00161F8B"/>
    <w:p w14:paraId="029085E0" w14:textId="77777777" w:rsidR="002E0E96" w:rsidRPr="00BB6978" w:rsidRDefault="002E0E96" w:rsidP="002E0E96">
      <w:pPr>
        <w:spacing w:line="480" w:lineRule="auto"/>
        <w:jc w:val="both"/>
        <w:rPr>
          <w:rFonts w:asciiTheme="majorBidi" w:hAnsiTheme="majorBidi" w:cstheme="majorBidi"/>
          <w:sz w:val="24"/>
          <w:szCs w:val="24"/>
        </w:rPr>
      </w:pPr>
      <w:bookmarkStart w:id="215" w:name="_Toc96103779"/>
      <w:r w:rsidRPr="00BB6978">
        <w:rPr>
          <w:rFonts w:asciiTheme="majorBidi" w:hAnsiTheme="majorBidi" w:cstheme="majorBidi"/>
          <w:sz w:val="24"/>
          <w:szCs w:val="24"/>
        </w:rPr>
        <w:t>Based on the study and its results, the following recommendations can be made for the whole education ecosystem inside and outside the UAE:</w:t>
      </w:r>
    </w:p>
    <w:p w14:paraId="7D6C8729" w14:textId="77777777" w:rsidR="002E0E96" w:rsidRPr="00BB6978" w:rsidRDefault="002E0E96" w:rsidP="002E0E96">
      <w:pPr>
        <w:pStyle w:val="ListParagraph"/>
        <w:numPr>
          <w:ilvl w:val="0"/>
          <w:numId w:val="6"/>
        </w:numPr>
        <w:spacing w:line="480" w:lineRule="auto"/>
        <w:jc w:val="both"/>
        <w:rPr>
          <w:rFonts w:asciiTheme="majorBidi" w:hAnsiTheme="majorBidi"/>
          <w:sz w:val="24"/>
          <w:szCs w:val="24"/>
        </w:rPr>
      </w:pPr>
      <w:r w:rsidRPr="00BB6978">
        <w:rPr>
          <w:rFonts w:asciiTheme="majorBidi" w:hAnsiTheme="majorBidi" w:cstheme="majorBidi"/>
          <w:sz w:val="24"/>
          <w:szCs w:val="24"/>
        </w:rPr>
        <w:t>Governments can address socioeconomic inequalities by implementing policies aimed at providing support for families, and addressing other factors that contribute to inequality.</w:t>
      </w:r>
    </w:p>
    <w:p w14:paraId="478A3738" w14:textId="77777777" w:rsidR="002E0E96" w:rsidRPr="00BB6978" w:rsidRDefault="002E0E96" w:rsidP="002E0E96">
      <w:pPr>
        <w:pStyle w:val="ListParagraph"/>
        <w:numPr>
          <w:ilvl w:val="0"/>
          <w:numId w:val="6"/>
        </w:numPr>
        <w:spacing w:line="480" w:lineRule="auto"/>
        <w:jc w:val="both"/>
        <w:rPr>
          <w:rFonts w:asciiTheme="majorBidi" w:hAnsiTheme="majorBidi" w:cstheme="majorBidi"/>
          <w:sz w:val="24"/>
          <w:szCs w:val="24"/>
        </w:rPr>
      </w:pPr>
      <w:r w:rsidRPr="00BB6978">
        <w:rPr>
          <w:rFonts w:asciiTheme="majorBidi" w:hAnsiTheme="majorBidi" w:cstheme="majorBidi"/>
          <w:sz w:val="24"/>
          <w:szCs w:val="24"/>
        </w:rPr>
        <w:t>Governments can promote teacher training and support to ensure that all students have access to quality teaching. This can be achieved by encouraging high-quality private schools to provide teacher training programs to other low-quality schools. Additionally, governments can provide incentives to private schools to employ certified and experienced teachers, such funding opportunities. This can lead to a more skilled and motivated teaching workforce, which can positively impact student achievement and overall school quality.</w:t>
      </w:r>
    </w:p>
    <w:p w14:paraId="1C752B8C" w14:textId="77777777" w:rsidR="002E0E96" w:rsidRPr="00BB6978" w:rsidRDefault="002E0E96" w:rsidP="002E0E96">
      <w:pPr>
        <w:pStyle w:val="ListParagraph"/>
        <w:numPr>
          <w:ilvl w:val="0"/>
          <w:numId w:val="6"/>
        </w:numPr>
        <w:spacing w:line="480" w:lineRule="auto"/>
        <w:jc w:val="both"/>
        <w:rPr>
          <w:rFonts w:asciiTheme="majorBidi" w:hAnsiTheme="majorBidi"/>
          <w:sz w:val="24"/>
          <w:szCs w:val="24"/>
        </w:rPr>
      </w:pPr>
      <w:r w:rsidRPr="00BB6978">
        <w:rPr>
          <w:rFonts w:asciiTheme="majorBidi" w:hAnsiTheme="majorBidi" w:cstheme="majorBidi"/>
          <w:sz w:val="24"/>
          <w:szCs w:val="24"/>
        </w:rPr>
        <w:t>Policymakers can take practical steps such as increasing transparency and access to information about school quality, promoting the establishment of more low and medium-fee schools, and investing in programs aimed at reducing socioeconomic inequalities in education.</w:t>
      </w:r>
    </w:p>
    <w:p w14:paraId="56146948" w14:textId="77777777" w:rsidR="002E0E96" w:rsidRPr="00BB6978" w:rsidRDefault="002E0E96" w:rsidP="002E0E96">
      <w:pPr>
        <w:pStyle w:val="ListParagraph"/>
        <w:numPr>
          <w:ilvl w:val="0"/>
          <w:numId w:val="6"/>
        </w:numPr>
        <w:spacing w:line="480" w:lineRule="auto"/>
        <w:jc w:val="both"/>
        <w:rPr>
          <w:rFonts w:asciiTheme="majorBidi" w:hAnsiTheme="majorBidi" w:cstheme="majorBidi"/>
          <w:sz w:val="24"/>
          <w:szCs w:val="24"/>
        </w:rPr>
      </w:pPr>
      <w:r w:rsidRPr="00BB6978">
        <w:rPr>
          <w:rFonts w:asciiTheme="majorBidi" w:hAnsiTheme="majorBidi" w:cstheme="majorBidi"/>
          <w:sz w:val="24"/>
          <w:szCs w:val="24"/>
        </w:rPr>
        <w:t xml:space="preserve">Parents should support their children enrolled in acceptable ranked schools to compensate the promoters of the extra curricula activities offered by high quality schools, such as by sharing math and language games. </w:t>
      </w:r>
    </w:p>
    <w:p w14:paraId="6817DDAC" w14:textId="77777777" w:rsidR="002E0E96" w:rsidRPr="00BB6978" w:rsidRDefault="002E0E96" w:rsidP="002E0E96">
      <w:pPr>
        <w:pStyle w:val="ListParagraph"/>
        <w:numPr>
          <w:ilvl w:val="0"/>
          <w:numId w:val="6"/>
        </w:numPr>
        <w:spacing w:line="480" w:lineRule="auto"/>
        <w:jc w:val="both"/>
        <w:rPr>
          <w:rFonts w:asciiTheme="majorBidi" w:hAnsiTheme="majorBidi" w:cstheme="majorBidi"/>
          <w:sz w:val="24"/>
          <w:szCs w:val="24"/>
        </w:rPr>
      </w:pPr>
      <w:r w:rsidRPr="00BB6978">
        <w:rPr>
          <w:rFonts w:asciiTheme="majorBidi" w:hAnsiTheme="majorBidi" w:cstheme="majorBidi"/>
          <w:sz w:val="24"/>
          <w:szCs w:val="24"/>
        </w:rPr>
        <w:t>Private school operators can provide scholarships/discounts sponsored by the schools for high achiever; this could raise the quality of the schools too and at the same time support families with low income to get quality education.</w:t>
      </w:r>
    </w:p>
    <w:p w14:paraId="76A00C9D" w14:textId="77777777" w:rsidR="002E0E96" w:rsidRPr="00BB6978" w:rsidRDefault="002E0E96" w:rsidP="002E0E96">
      <w:pPr>
        <w:pStyle w:val="ListParagraph"/>
        <w:numPr>
          <w:ilvl w:val="0"/>
          <w:numId w:val="6"/>
        </w:numPr>
        <w:spacing w:line="480" w:lineRule="auto"/>
        <w:jc w:val="both"/>
        <w:rPr>
          <w:rFonts w:asciiTheme="majorBidi" w:hAnsiTheme="majorBidi" w:cstheme="majorBidi"/>
          <w:sz w:val="24"/>
          <w:szCs w:val="24"/>
        </w:rPr>
      </w:pPr>
      <w:r w:rsidRPr="00BB6978">
        <w:rPr>
          <w:rFonts w:asciiTheme="majorBidi" w:hAnsiTheme="majorBidi" w:cstheme="majorBidi"/>
          <w:sz w:val="24"/>
          <w:szCs w:val="24"/>
        </w:rPr>
        <w:t>Private school operators can invest in the recruitment and training of qualified and experienced teachers to provide quality education to students. Frequent professional development workshops can enhance teachers’ experience regarding updated styles of teaching and learning. This can improve the quality of education that supports students’ achievement.</w:t>
      </w:r>
    </w:p>
    <w:p w14:paraId="201ED89F" w14:textId="4C93BF58" w:rsidR="002E0E96" w:rsidRPr="00BB6978" w:rsidRDefault="002E0E96" w:rsidP="00F53395">
      <w:pPr>
        <w:pStyle w:val="ListParagraph"/>
        <w:numPr>
          <w:ilvl w:val="0"/>
          <w:numId w:val="6"/>
        </w:numPr>
        <w:spacing w:line="480" w:lineRule="auto"/>
        <w:jc w:val="both"/>
        <w:rPr>
          <w:rFonts w:asciiTheme="majorBidi" w:hAnsiTheme="majorBidi" w:cstheme="majorBidi"/>
          <w:sz w:val="24"/>
          <w:szCs w:val="24"/>
        </w:rPr>
      </w:pPr>
      <w:r w:rsidRPr="00BB6978">
        <w:rPr>
          <w:rFonts w:asciiTheme="majorBidi" w:hAnsiTheme="majorBidi" w:cstheme="majorBidi"/>
          <w:sz w:val="24"/>
          <w:szCs w:val="24"/>
        </w:rPr>
        <w:t>Private school operators can collaborate with other schools to share resources and expertise to improve the quality of education provided to students.</w:t>
      </w:r>
    </w:p>
    <w:p w14:paraId="5A6911AB" w14:textId="77777777" w:rsidR="002E0E96" w:rsidRPr="00BB6978" w:rsidRDefault="002E0E96" w:rsidP="002E0E96">
      <w:pPr>
        <w:pStyle w:val="ListParagraph"/>
        <w:numPr>
          <w:ilvl w:val="0"/>
          <w:numId w:val="6"/>
        </w:numPr>
        <w:spacing w:line="480" w:lineRule="auto"/>
        <w:jc w:val="both"/>
        <w:rPr>
          <w:rFonts w:asciiTheme="majorBidi" w:hAnsiTheme="majorBidi" w:cstheme="majorBidi"/>
          <w:sz w:val="24"/>
          <w:szCs w:val="24"/>
        </w:rPr>
      </w:pPr>
      <w:r w:rsidRPr="00BB6978">
        <w:rPr>
          <w:rFonts w:asciiTheme="majorBidi" w:hAnsiTheme="majorBidi" w:cstheme="majorBidi"/>
          <w:sz w:val="24"/>
          <w:szCs w:val="24"/>
        </w:rPr>
        <w:t>Private school operators can implement Corporate Social Responsibility (CSR) programs aimed at reducing socioeconomic inequalities in education by providing support to schools and students from low-income backgrounds. Most schools receive their fees in two or three instalments. Changing this to monthly or bimonthly payments may make it easier for parents with medium or low income to afford their children’s education.</w:t>
      </w:r>
    </w:p>
    <w:p w14:paraId="6DE1BDDE" w14:textId="67CAA60B" w:rsidR="002E0E96" w:rsidRPr="00BB6978" w:rsidRDefault="002E0E96" w:rsidP="002E0E96">
      <w:pPr>
        <w:pStyle w:val="ListParagraph"/>
        <w:numPr>
          <w:ilvl w:val="0"/>
          <w:numId w:val="6"/>
        </w:numPr>
        <w:spacing w:line="480" w:lineRule="auto"/>
        <w:jc w:val="both"/>
        <w:rPr>
          <w:rFonts w:asciiTheme="majorBidi" w:hAnsiTheme="majorBidi" w:cstheme="majorBidi"/>
          <w:sz w:val="24"/>
          <w:szCs w:val="24"/>
        </w:rPr>
      </w:pPr>
      <w:r w:rsidRPr="00BB6978">
        <w:rPr>
          <w:rFonts w:asciiTheme="majorBidi" w:hAnsiTheme="majorBidi" w:cstheme="majorBidi"/>
          <w:sz w:val="24"/>
          <w:szCs w:val="24"/>
        </w:rPr>
        <w:t>School administrators can focus on maintaining the quality of education they provide by investing in quality teaching, monitoring all factors that affect student achievement, providing facilities that help develop students' academic and personal skills and development, and offering personalized attention to students.</w:t>
      </w:r>
    </w:p>
    <w:p w14:paraId="083DF1AD" w14:textId="77777777" w:rsidR="002E0E96" w:rsidRPr="00BB6978" w:rsidRDefault="002E0E96" w:rsidP="002E0E96">
      <w:pPr>
        <w:pStyle w:val="ListParagraph"/>
        <w:numPr>
          <w:ilvl w:val="0"/>
          <w:numId w:val="6"/>
        </w:numPr>
        <w:spacing w:line="480" w:lineRule="auto"/>
        <w:jc w:val="both"/>
        <w:rPr>
          <w:rFonts w:asciiTheme="majorBidi" w:hAnsiTheme="majorBidi"/>
          <w:sz w:val="24"/>
          <w:szCs w:val="24"/>
        </w:rPr>
      </w:pPr>
      <w:r w:rsidRPr="00BB6978">
        <w:rPr>
          <w:rFonts w:asciiTheme="majorBidi" w:hAnsiTheme="majorBidi" w:cstheme="majorBidi"/>
          <w:sz w:val="24"/>
          <w:szCs w:val="24"/>
        </w:rPr>
        <w:t>Social enterprises can develop innovative solutions such as educational technology platforms, alternative schools, and after-school programs that can help bridge the educational gap and provide quality education to students from low-income backgrounds.</w:t>
      </w:r>
    </w:p>
    <w:p w14:paraId="4B6D2F6C" w14:textId="77777777" w:rsidR="002E0E96" w:rsidRPr="00BB6978" w:rsidRDefault="002E0E96" w:rsidP="002E0E96">
      <w:pPr>
        <w:pStyle w:val="ListParagraph"/>
        <w:numPr>
          <w:ilvl w:val="0"/>
          <w:numId w:val="6"/>
        </w:numPr>
        <w:spacing w:line="480" w:lineRule="auto"/>
        <w:jc w:val="both"/>
        <w:rPr>
          <w:rFonts w:asciiTheme="majorBidi" w:hAnsiTheme="majorBidi" w:cstheme="majorBidi"/>
          <w:sz w:val="24"/>
          <w:szCs w:val="24"/>
        </w:rPr>
      </w:pPr>
      <w:r w:rsidRPr="00BB6978">
        <w:rPr>
          <w:rFonts w:asciiTheme="majorBidi" w:hAnsiTheme="majorBidi" w:cstheme="majorBidi"/>
          <w:sz w:val="24"/>
          <w:szCs w:val="24"/>
        </w:rPr>
        <w:t>Social enterprises can provide funding and support to low-cost private schools to improve the quality of education provided to students.</w:t>
      </w:r>
    </w:p>
    <w:p w14:paraId="3B2BA2A4" w14:textId="77777777" w:rsidR="00F631DF" w:rsidRPr="00BB6978" w:rsidRDefault="00F631DF" w:rsidP="00F631DF">
      <w:pPr>
        <w:spacing w:after="68" w:line="480" w:lineRule="auto"/>
        <w:ind w:firstLine="360"/>
        <w:jc w:val="both"/>
        <w:rPr>
          <w:rFonts w:ascii="Times New Roman" w:eastAsia="Calibri" w:hAnsi="Times New Roman" w:cs="Times New Roman"/>
          <w:sz w:val="24"/>
          <w:szCs w:val="24"/>
          <w:shd w:val="clear" w:color="auto" w:fill="FFFFFF"/>
        </w:rPr>
      </w:pPr>
      <w:r w:rsidRPr="00BB6978">
        <w:rPr>
          <w:rFonts w:ascii="Times New Roman" w:eastAsia="Calibri" w:hAnsi="Times New Roman" w:cs="Times New Roman"/>
          <w:sz w:val="24"/>
          <w:szCs w:val="24"/>
          <w:shd w:val="clear" w:color="auto" w:fill="FFFFFF"/>
        </w:rPr>
        <w:t>Implementing these recommendations can greatly enhance the quality of education, minimize socioeconomic disparities, and ensure equal access to quality education for all students. The collaborative efforts of governments, private entities, social organizations, and communities are essential in achieving this goal. By taking these steps, we can make a valuable contribution toward promoting equal access to quality education for all students.</w:t>
      </w:r>
    </w:p>
    <w:p w14:paraId="0347976E" w14:textId="77777777" w:rsidR="002E0E96" w:rsidRPr="00BB6978" w:rsidRDefault="002E0E96" w:rsidP="00F631DF">
      <w:pPr>
        <w:spacing w:after="68" w:line="480" w:lineRule="auto"/>
        <w:ind w:firstLine="360"/>
        <w:jc w:val="both"/>
        <w:rPr>
          <w:rFonts w:ascii="Times New Roman" w:eastAsia="Calibri" w:hAnsi="Times New Roman" w:cs="Times New Roman"/>
          <w:sz w:val="24"/>
          <w:szCs w:val="24"/>
          <w:shd w:val="clear" w:color="auto" w:fill="FFFFFF"/>
        </w:rPr>
      </w:pPr>
    </w:p>
    <w:p w14:paraId="5E2B0EBD" w14:textId="77777777" w:rsidR="00E83FEA" w:rsidRPr="00BB6978" w:rsidRDefault="00E83FEA" w:rsidP="00E83FEA">
      <w:pPr>
        <w:spacing w:after="68" w:line="480" w:lineRule="auto"/>
        <w:jc w:val="both"/>
        <w:rPr>
          <w:rFonts w:ascii="Times New Roman" w:eastAsia="Calibri" w:hAnsi="Times New Roman" w:cs="Times New Roman"/>
          <w:b/>
          <w:bCs/>
          <w:sz w:val="24"/>
          <w:szCs w:val="24"/>
        </w:rPr>
      </w:pPr>
      <w:r w:rsidRPr="00BB6978">
        <w:rPr>
          <w:rFonts w:ascii="Times New Roman" w:eastAsia="Calibri" w:hAnsi="Times New Roman" w:cs="Times New Roman"/>
          <w:b/>
          <w:bCs/>
          <w:sz w:val="24"/>
          <w:szCs w:val="24"/>
        </w:rPr>
        <w:t>5.10 Implications</w:t>
      </w:r>
      <w:r w:rsidR="0098567F" w:rsidRPr="00BB6978">
        <w:rPr>
          <w:rFonts w:ascii="Times New Roman" w:eastAsia="Calibri" w:hAnsi="Times New Roman" w:cs="Times New Roman"/>
          <w:b/>
          <w:bCs/>
          <w:sz w:val="24"/>
          <w:szCs w:val="24"/>
        </w:rPr>
        <w:t xml:space="preserve"> of the Study </w:t>
      </w:r>
    </w:p>
    <w:p w14:paraId="54528944" w14:textId="77777777" w:rsidR="00F631DF" w:rsidRPr="00BB6978" w:rsidRDefault="00F631DF" w:rsidP="00F631DF">
      <w:pPr>
        <w:spacing w:after="68" w:line="480" w:lineRule="auto"/>
        <w:ind w:firstLine="360"/>
        <w:jc w:val="both"/>
        <w:rPr>
          <w:rFonts w:ascii="Times New Roman" w:eastAsia="Calibri" w:hAnsi="Times New Roman" w:cs="Times New Roman"/>
          <w:sz w:val="24"/>
          <w:szCs w:val="24"/>
          <w:shd w:val="clear" w:color="auto" w:fill="FFFFFF"/>
        </w:rPr>
      </w:pPr>
      <w:r w:rsidRPr="00BB6978">
        <w:rPr>
          <w:rFonts w:ascii="Times New Roman" w:eastAsia="Calibri" w:hAnsi="Times New Roman" w:cs="Times New Roman"/>
          <w:sz w:val="24"/>
          <w:szCs w:val="24"/>
          <w:shd w:val="clear" w:color="auto" w:fill="FFFFFF"/>
        </w:rPr>
        <w:t>The results of this study have significant implications for education policy, not only within the UAE but also in the West. Policymakers can utilize these findings to inform their decisions when establishing policies related to school expenses and standards. The study demonstrates a positive correlation between school quality and cost, with school quality significantly influencing student achievement. Therefore, policymakers should prioritize investing in quality education to ensure equal access to high-caliber educational opportunities for all students.</w:t>
      </w:r>
    </w:p>
    <w:p w14:paraId="7D68E9B0" w14:textId="77777777" w:rsidR="00F631DF" w:rsidRPr="00BB6978" w:rsidRDefault="00F631DF" w:rsidP="00F631DF">
      <w:pPr>
        <w:spacing w:after="68" w:line="480" w:lineRule="auto"/>
        <w:ind w:firstLine="360"/>
        <w:jc w:val="both"/>
        <w:rPr>
          <w:rFonts w:ascii="Times New Roman" w:eastAsia="Calibri" w:hAnsi="Times New Roman" w:cs="Times New Roman"/>
          <w:sz w:val="24"/>
          <w:szCs w:val="24"/>
          <w:shd w:val="clear" w:color="auto" w:fill="FFFFFF"/>
        </w:rPr>
      </w:pPr>
      <w:r w:rsidRPr="00BB6978">
        <w:rPr>
          <w:rFonts w:ascii="Times New Roman" w:eastAsia="Calibri" w:hAnsi="Times New Roman" w:cs="Times New Roman"/>
          <w:sz w:val="24"/>
          <w:szCs w:val="24"/>
          <w:shd w:val="clear" w:color="auto" w:fill="FFFFFF"/>
        </w:rPr>
        <w:t>Moreover, the study highlights the importance of addressing socioeconomic disparities in education, which is a global issue. Educational policies should prioritize providing impartial access to education and improving outcomes for all students, regardless of their background. Implementing policies that aim to reduce the cost of education and expand access to high-quality schooling can help address these inequalities.</w:t>
      </w:r>
    </w:p>
    <w:p w14:paraId="3CDA0C09" w14:textId="77777777" w:rsidR="00F631DF" w:rsidRPr="00BB6978" w:rsidRDefault="00F631DF" w:rsidP="00F631DF">
      <w:pPr>
        <w:spacing w:after="68" w:line="480" w:lineRule="auto"/>
        <w:ind w:firstLine="360"/>
        <w:jc w:val="both"/>
        <w:rPr>
          <w:rFonts w:ascii="Times New Roman" w:eastAsia="Calibri" w:hAnsi="Times New Roman" w:cs="Times New Roman"/>
          <w:sz w:val="24"/>
          <w:szCs w:val="24"/>
          <w:shd w:val="clear" w:color="auto" w:fill="FFFFFF"/>
        </w:rPr>
      </w:pPr>
      <w:r w:rsidRPr="00BB6978">
        <w:rPr>
          <w:rFonts w:ascii="Times New Roman" w:eastAsia="Calibri" w:hAnsi="Times New Roman" w:cs="Times New Roman"/>
          <w:sz w:val="24"/>
          <w:szCs w:val="24"/>
          <w:shd w:val="clear" w:color="auto" w:fill="FFFFFF"/>
        </w:rPr>
        <w:t>The study's results also provide valuable insights for school administrations and teachers in various regions. Administrators can refer to these findings to maintain high educational standards, consider all factors that can impact student success, and provide resources to support students' academic and personal development. Similarly, teachers can be mindful of how socioeconomic factors can affect student achievement and incorporate strategies within their teaching methods to address these factors.</w:t>
      </w:r>
    </w:p>
    <w:p w14:paraId="140C7BEE" w14:textId="77777777" w:rsidR="00F631DF" w:rsidRPr="00BB6978" w:rsidRDefault="00F631DF" w:rsidP="00F631DF">
      <w:pPr>
        <w:spacing w:after="68" w:line="480" w:lineRule="auto"/>
        <w:ind w:firstLine="360"/>
        <w:jc w:val="both"/>
        <w:rPr>
          <w:rFonts w:ascii="Times New Roman" w:eastAsia="Calibri" w:hAnsi="Times New Roman" w:cs="Times New Roman"/>
          <w:sz w:val="24"/>
          <w:szCs w:val="24"/>
          <w:shd w:val="clear" w:color="auto" w:fill="FFFFFF"/>
        </w:rPr>
      </w:pPr>
      <w:r w:rsidRPr="00BB6978">
        <w:rPr>
          <w:rFonts w:ascii="Times New Roman" w:eastAsia="Calibri" w:hAnsi="Times New Roman" w:cs="Times New Roman"/>
          <w:sz w:val="24"/>
          <w:szCs w:val="24"/>
          <w:shd w:val="clear" w:color="auto" w:fill="FFFFFF"/>
        </w:rPr>
        <w:t>For parents, the study's results shed light on the relationship between a student's academic performance and the quality of their school. This information can assist parents in making informed decisions when selecting a school for their child and contribute to the development of policies that improve parents' access to information about school quality.</w:t>
      </w:r>
    </w:p>
    <w:p w14:paraId="3DFB17F4" w14:textId="77777777" w:rsidR="00F631DF" w:rsidRPr="00BB6978" w:rsidRDefault="00F631DF" w:rsidP="00F631DF">
      <w:pPr>
        <w:spacing w:after="68" w:line="480" w:lineRule="auto"/>
        <w:ind w:firstLine="360"/>
        <w:jc w:val="both"/>
        <w:rPr>
          <w:rFonts w:ascii="Times New Roman" w:eastAsia="Calibri" w:hAnsi="Times New Roman" w:cs="Times New Roman"/>
          <w:sz w:val="24"/>
          <w:szCs w:val="24"/>
          <w:shd w:val="clear" w:color="auto" w:fill="FFFFFF"/>
        </w:rPr>
      </w:pPr>
      <w:r w:rsidRPr="00BB6978">
        <w:rPr>
          <w:rFonts w:ascii="Times New Roman" w:eastAsia="Calibri" w:hAnsi="Times New Roman" w:cs="Times New Roman"/>
          <w:sz w:val="24"/>
          <w:szCs w:val="24"/>
          <w:shd w:val="clear" w:color="auto" w:fill="FFFFFF"/>
        </w:rPr>
        <w:t>In summary, the results of this study provide valuable insights for educational policy-making beyond the UAE. The study emphasizes the importance of prioritizing quality education and addressing socioeconomic disparities in education. Additionally, the findings offer guidance to school administrators, educators, and parents in other regions.</w:t>
      </w:r>
    </w:p>
    <w:p w14:paraId="635E8EB6" w14:textId="77777777" w:rsidR="00C43489" w:rsidRPr="00BB6978" w:rsidRDefault="00C43489" w:rsidP="00F631DF">
      <w:pPr>
        <w:spacing w:after="68" w:line="480" w:lineRule="auto"/>
        <w:ind w:firstLine="360"/>
        <w:jc w:val="both"/>
        <w:rPr>
          <w:rFonts w:ascii="Times New Roman" w:eastAsia="Calibri" w:hAnsi="Times New Roman" w:cs="Times New Roman"/>
          <w:sz w:val="24"/>
          <w:szCs w:val="24"/>
          <w:shd w:val="clear" w:color="auto" w:fill="FFFFFF"/>
        </w:rPr>
      </w:pPr>
    </w:p>
    <w:p w14:paraId="3E08DC6E" w14:textId="77777777" w:rsidR="00C43489" w:rsidRPr="00BB6978" w:rsidRDefault="00C43489" w:rsidP="00F631DF">
      <w:pPr>
        <w:spacing w:after="68" w:line="480" w:lineRule="auto"/>
        <w:ind w:firstLine="360"/>
        <w:jc w:val="both"/>
        <w:rPr>
          <w:rFonts w:ascii="Times New Roman" w:eastAsia="Calibri" w:hAnsi="Times New Roman" w:cs="Times New Roman"/>
          <w:sz w:val="24"/>
          <w:szCs w:val="24"/>
          <w:shd w:val="clear" w:color="auto" w:fill="FFFFFF"/>
        </w:rPr>
      </w:pPr>
    </w:p>
    <w:p w14:paraId="2F76ADD0" w14:textId="77777777" w:rsidR="00C43489" w:rsidRPr="00BB6978" w:rsidRDefault="00C43489" w:rsidP="00F631DF">
      <w:pPr>
        <w:spacing w:after="68" w:line="480" w:lineRule="auto"/>
        <w:ind w:firstLine="360"/>
        <w:jc w:val="both"/>
        <w:rPr>
          <w:rFonts w:ascii="Times New Roman" w:eastAsia="Calibri" w:hAnsi="Times New Roman" w:cs="Times New Roman"/>
          <w:sz w:val="24"/>
          <w:szCs w:val="24"/>
          <w:shd w:val="clear" w:color="auto" w:fill="FFFFFF"/>
        </w:rPr>
      </w:pPr>
    </w:p>
    <w:p w14:paraId="785FDFD8" w14:textId="77777777" w:rsidR="00C43489" w:rsidRPr="00BB6978" w:rsidRDefault="00C43489" w:rsidP="00F631DF">
      <w:pPr>
        <w:spacing w:after="68" w:line="480" w:lineRule="auto"/>
        <w:ind w:firstLine="360"/>
        <w:jc w:val="both"/>
        <w:rPr>
          <w:rFonts w:ascii="Times New Roman" w:eastAsia="Calibri" w:hAnsi="Times New Roman" w:cs="Times New Roman"/>
          <w:sz w:val="24"/>
          <w:szCs w:val="24"/>
          <w:shd w:val="clear" w:color="auto" w:fill="FFFFFF"/>
        </w:rPr>
      </w:pPr>
    </w:p>
    <w:p w14:paraId="625C56C8" w14:textId="77777777" w:rsidR="00C43489" w:rsidRPr="00BB6978" w:rsidRDefault="00C43489" w:rsidP="00F631DF">
      <w:pPr>
        <w:spacing w:after="68" w:line="480" w:lineRule="auto"/>
        <w:ind w:firstLine="360"/>
        <w:jc w:val="both"/>
        <w:rPr>
          <w:rFonts w:ascii="Times New Roman" w:eastAsia="Calibri" w:hAnsi="Times New Roman" w:cs="Times New Roman"/>
          <w:sz w:val="24"/>
          <w:szCs w:val="24"/>
          <w:shd w:val="clear" w:color="auto" w:fill="FFFFFF"/>
        </w:rPr>
      </w:pPr>
    </w:p>
    <w:p w14:paraId="677B2B6A" w14:textId="77777777" w:rsidR="00C43489" w:rsidRPr="00BB6978" w:rsidRDefault="00C43489" w:rsidP="00F631DF">
      <w:pPr>
        <w:spacing w:after="68" w:line="480" w:lineRule="auto"/>
        <w:ind w:firstLine="360"/>
        <w:jc w:val="both"/>
        <w:rPr>
          <w:rFonts w:ascii="Times New Roman" w:eastAsia="Calibri" w:hAnsi="Times New Roman" w:cs="Times New Roman"/>
          <w:sz w:val="24"/>
          <w:szCs w:val="24"/>
          <w:shd w:val="clear" w:color="auto" w:fill="FFFFFF"/>
        </w:rPr>
      </w:pPr>
    </w:p>
    <w:p w14:paraId="002D65BC" w14:textId="77777777" w:rsidR="00C43489" w:rsidRPr="00BB6978" w:rsidRDefault="00C43489" w:rsidP="00F631DF">
      <w:pPr>
        <w:spacing w:after="68" w:line="480" w:lineRule="auto"/>
        <w:ind w:firstLine="360"/>
        <w:jc w:val="both"/>
        <w:rPr>
          <w:rFonts w:ascii="Times New Roman" w:eastAsia="Calibri" w:hAnsi="Times New Roman" w:cs="Times New Roman"/>
          <w:sz w:val="24"/>
          <w:szCs w:val="24"/>
          <w:shd w:val="clear" w:color="auto" w:fill="FFFFFF"/>
        </w:rPr>
      </w:pPr>
    </w:p>
    <w:p w14:paraId="0CAEC978" w14:textId="77777777" w:rsidR="00C43489" w:rsidRPr="00BB6978" w:rsidRDefault="00C43489" w:rsidP="00F631DF">
      <w:pPr>
        <w:spacing w:after="68" w:line="480" w:lineRule="auto"/>
        <w:ind w:firstLine="360"/>
        <w:jc w:val="both"/>
        <w:rPr>
          <w:rFonts w:ascii="Times New Roman" w:eastAsia="Calibri" w:hAnsi="Times New Roman" w:cs="Times New Roman"/>
          <w:sz w:val="24"/>
          <w:szCs w:val="24"/>
          <w:shd w:val="clear" w:color="auto" w:fill="FFFFFF"/>
        </w:rPr>
      </w:pPr>
    </w:p>
    <w:p w14:paraId="7962AD1F" w14:textId="77777777" w:rsidR="00C43489" w:rsidRPr="00BB6978" w:rsidRDefault="00C43489" w:rsidP="00F631DF">
      <w:pPr>
        <w:spacing w:after="68" w:line="480" w:lineRule="auto"/>
        <w:ind w:firstLine="360"/>
        <w:jc w:val="both"/>
        <w:rPr>
          <w:rFonts w:ascii="Times New Roman" w:eastAsia="Calibri" w:hAnsi="Times New Roman" w:cs="Times New Roman"/>
          <w:sz w:val="24"/>
          <w:szCs w:val="24"/>
          <w:shd w:val="clear" w:color="auto" w:fill="FFFFFF"/>
        </w:rPr>
      </w:pPr>
    </w:p>
    <w:p w14:paraId="4A9FE852" w14:textId="77777777" w:rsidR="00C43489" w:rsidRPr="00BB6978" w:rsidRDefault="00C43489" w:rsidP="00F631DF">
      <w:pPr>
        <w:spacing w:after="68" w:line="480" w:lineRule="auto"/>
        <w:ind w:firstLine="360"/>
        <w:jc w:val="both"/>
        <w:rPr>
          <w:rFonts w:ascii="Times New Roman" w:eastAsia="Calibri" w:hAnsi="Times New Roman" w:cs="Times New Roman"/>
          <w:sz w:val="24"/>
          <w:szCs w:val="24"/>
          <w:shd w:val="clear" w:color="auto" w:fill="FFFFFF"/>
        </w:rPr>
      </w:pPr>
    </w:p>
    <w:p w14:paraId="6E0B5D1D" w14:textId="77777777" w:rsidR="00C43489" w:rsidRPr="00BB6978" w:rsidRDefault="00C43489" w:rsidP="00F631DF">
      <w:pPr>
        <w:spacing w:after="68" w:line="480" w:lineRule="auto"/>
        <w:ind w:firstLine="360"/>
        <w:jc w:val="both"/>
        <w:rPr>
          <w:rFonts w:ascii="Times New Roman" w:eastAsia="Calibri" w:hAnsi="Times New Roman" w:cs="Times New Roman"/>
          <w:sz w:val="24"/>
          <w:szCs w:val="24"/>
          <w:shd w:val="clear" w:color="auto" w:fill="FFFFFF"/>
        </w:rPr>
      </w:pPr>
    </w:p>
    <w:p w14:paraId="2D4F8D1F" w14:textId="77777777" w:rsidR="00C43489" w:rsidRPr="00BB6978" w:rsidRDefault="00C43489" w:rsidP="00F631DF">
      <w:pPr>
        <w:spacing w:after="68" w:line="480" w:lineRule="auto"/>
        <w:ind w:firstLine="360"/>
        <w:jc w:val="both"/>
        <w:rPr>
          <w:rFonts w:ascii="Times New Roman" w:eastAsia="Calibri" w:hAnsi="Times New Roman" w:cs="Times New Roman"/>
          <w:sz w:val="24"/>
          <w:szCs w:val="24"/>
          <w:shd w:val="clear" w:color="auto" w:fill="FFFFFF"/>
        </w:rPr>
      </w:pPr>
    </w:p>
    <w:p w14:paraId="07D511A7" w14:textId="77777777" w:rsidR="00C43489" w:rsidRPr="00BB6978" w:rsidRDefault="00C43489" w:rsidP="00F631DF">
      <w:pPr>
        <w:spacing w:after="68" w:line="480" w:lineRule="auto"/>
        <w:ind w:firstLine="360"/>
        <w:jc w:val="both"/>
        <w:rPr>
          <w:rFonts w:ascii="Times New Roman" w:eastAsia="Calibri" w:hAnsi="Times New Roman" w:cs="Times New Roman"/>
          <w:sz w:val="24"/>
          <w:szCs w:val="24"/>
          <w:shd w:val="clear" w:color="auto" w:fill="FFFFFF"/>
        </w:rPr>
      </w:pPr>
    </w:p>
    <w:p w14:paraId="32547DF8" w14:textId="77777777" w:rsidR="00C43489" w:rsidRPr="00BB6978" w:rsidRDefault="00C43489" w:rsidP="00F631DF">
      <w:pPr>
        <w:spacing w:after="68" w:line="480" w:lineRule="auto"/>
        <w:ind w:firstLine="360"/>
        <w:jc w:val="both"/>
        <w:rPr>
          <w:rFonts w:ascii="Times New Roman" w:eastAsia="Calibri" w:hAnsi="Times New Roman" w:cs="Times New Roman"/>
          <w:sz w:val="24"/>
          <w:szCs w:val="24"/>
          <w:shd w:val="clear" w:color="auto" w:fill="FFFFFF"/>
        </w:rPr>
      </w:pPr>
    </w:p>
    <w:p w14:paraId="113EB50F" w14:textId="77777777" w:rsidR="00C43489" w:rsidRPr="00BB6978" w:rsidRDefault="00C43489" w:rsidP="00F631DF">
      <w:pPr>
        <w:spacing w:after="68" w:line="480" w:lineRule="auto"/>
        <w:ind w:firstLine="360"/>
        <w:jc w:val="both"/>
        <w:rPr>
          <w:rFonts w:ascii="Times New Roman" w:eastAsia="Calibri" w:hAnsi="Times New Roman" w:cs="Times New Roman"/>
          <w:sz w:val="24"/>
          <w:szCs w:val="24"/>
          <w:shd w:val="clear" w:color="auto" w:fill="FFFFFF"/>
        </w:rPr>
      </w:pPr>
    </w:p>
    <w:p w14:paraId="0941D2F2" w14:textId="77777777" w:rsidR="00C43489" w:rsidRPr="00BB6978" w:rsidRDefault="00C43489" w:rsidP="00F631DF">
      <w:pPr>
        <w:spacing w:after="68" w:line="480" w:lineRule="auto"/>
        <w:ind w:firstLine="360"/>
        <w:jc w:val="both"/>
        <w:rPr>
          <w:rFonts w:ascii="Times New Roman" w:eastAsia="Calibri" w:hAnsi="Times New Roman" w:cs="Times New Roman"/>
          <w:sz w:val="24"/>
          <w:szCs w:val="24"/>
          <w:shd w:val="clear" w:color="auto" w:fill="FFFFFF"/>
        </w:rPr>
      </w:pPr>
    </w:p>
    <w:p w14:paraId="40CEB93D" w14:textId="77777777" w:rsidR="00BE1C62" w:rsidRPr="00BB6978" w:rsidRDefault="00BE1C62" w:rsidP="00117CA3">
      <w:pPr>
        <w:rPr>
          <w:lang w:val="en-US"/>
        </w:rPr>
      </w:pPr>
    </w:p>
    <w:p w14:paraId="5A55762E" w14:textId="77777777" w:rsidR="002E0E96" w:rsidRPr="00BB6978" w:rsidRDefault="002E0E96" w:rsidP="00117CA3">
      <w:pPr>
        <w:rPr>
          <w:lang w:val="en-US"/>
        </w:rPr>
      </w:pPr>
    </w:p>
    <w:p w14:paraId="707B8367" w14:textId="77777777" w:rsidR="002E0E96" w:rsidRPr="00BB6978" w:rsidRDefault="002E0E96" w:rsidP="00117CA3">
      <w:pPr>
        <w:rPr>
          <w:lang w:val="en-US"/>
        </w:rPr>
      </w:pPr>
    </w:p>
    <w:p w14:paraId="1EB37639" w14:textId="77777777" w:rsidR="002E0E96" w:rsidRPr="00BB6978" w:rsidRDefault="002E0E96" w:rsidP="00117CA3">
      <w:pPr>
        <w:rPr>
          <w:lang w:val="en-US"/>
        </w:rPr>
      </w:pPr>
    </w:p>
    <w:p w14:paraId="55A52B81" w14:textId="77777777" w:rsidR="00161F8B" w:rsidRPr="00BB6978" w:rsidRDefault="00161F8B" w:rsidP="00161F8B">
      <w:pPr>
        <w:pStyle w:val="Heading1"/>
        <w:rPr>
          <w:rFonts w:asciiTheme="majorBidi" w:hAnsiTheme="majorBidi"/>
          <w:color w:val="auto"/>
          <w:sz w:val="24"/>
          <w:szCs w:val="24"/>
        </w:rPr>
      </w:pPr>
      <w:bookmarkStart w:id="216" w:name="_Toc138239830"/>
      <w:r w:rsidRPr="00BB6978">
        <w:rPr>
          <w:rFonts w:asciiTheme="majorBidi" w:hAnsiTheme="majorBidi"/>
          <w:color w:val="auto"/>
          <w:sz w:val="24"/>
          <w:szCs w:val="24"/>
        </w:rPr>
        <w:t>Reference</w:t>
      </w:r>
      <w:bookmarkEnd w:id="215"/>
      <w:bookmarkEnd w:id="216"/>
    </w:p>
    <w:p w14:paraId="3C82E59B" w14:textId="77777777" w:rsidR="00204EA1" w:rsidRPr="00BB6978" w:rsidRDefault="00204EA1" w:rsidP="003501F9">
      <w:pPr>
        <w:ind w:left="720" w:hanging="720"/>
        <w:rPr>
          <w:rFonts w:asciiTheme="majorBidi" w:hAnsiTheme="majorBidi" w:cstheme="majorBidi"/>
          <w:sz w:val="2"/>
          <w:szCs w:val="2"/>
        </w:rPr>
      </w:pPr>
    </w:p>
    <w:p w14:paraId="04AF3AD0" w14:textId="77777777" w:rsidR="00676834" w:rsidRPr="00BB6978" w:rsidRDefault="00676834" w:rsidP="00676834">
      <w:pPr>
        <w:rPr>
          <w:rFonts w:asciiTheme="majorBidi" w:hAnsiTheme="majorBidi" w:cstheme="majorBidi"/>
          <w:sz w:val="6"/>
          <w:szCs w:val="6"/>
          <w:lang w:val="en-US"/>
        </w:rPr>
      </w:pPr>
    </w:p>
    <w:p w14:paraId="516FE653" w14:textId="77777777" w:rsidR="00676834" w:rsidRPr="00BB6978" w:rsidRDefault="00676834" w:rsidP="00B14D43">
      <w:pPr>
        <w:spacing w:before="240" w:after="200" w:line="480" w:lineRule="auto"/>
        <w:ind w:left="709" w:hanging="709"/>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Abdulkadiroğlu, A., Pathak, P. A., Schellenberg, J., &amp; Walters, C. R. (2020). Do parents value school effectiveness?. </w:t>
      </w:r>
      <w:r w:rsidRPr="00BB6978">
        <w:rPr>
          <w:rFonts w:asciiTheme="majorBidi" w:hAnsiTheme="majorBidi" w:cstheme="majorBidi"/>
          <w:i/>
          <w:iCs/>
          <w:sz w:val="24"/>
          <w:szCs w:val="24"/>
          <w:shd w:val="clear" w:color="auto" w:fill="FFFFFF"/>
        </w:rPr>
        <w:t>American Economic Review</w:t>
      </w:r>
      <w:r w:rsidRPr="00BB6978">
        <w:rPr>
          <w:rFonts w:asciiTheme="majorBidi" w:hAnsiTheme="majorBidi" w:cstheme="majorBidi"/>
          <w:sz w:val="24"/>
          <w:szCs w:val="24"/>
          <w:shd w:val="clear" w:color="auto" w:fill="FFFFFF"/>
        </w:rPr>
        <w:t>, </w:t>
      </w:r>
      <w:r w:rsidRPr="00BB6978">
        <w:rPr>
          <w:rFonts w:asciiTheme="majorBidi" w:hAnsiTheme="majorBidi" w:cstheme="majorBidi"/>
          <w:i/>
          <w:iCs/>
          <w:sz w:val="24"/>
          <w:szCs w:val="24"/>
          <w:shd w:val="clear" w:color="auto" w:fill="FFFFFF"/>
        </w:rPr>
        <w:t>110</w:t>
      </w:r>
      <w:r w:rsidRPr="00BB6978">
        <w:rPr>
          <w:rFonts w:asciiTheme="majorBidi" w:hAnsiTheme="majorBidi" w:cstheme="majorBidi"/>
          <w:sz w:val="24"/>
          <w:szCs w:val="24"/>
          <w:shd w:val="clear" w:color="auto" w:fill="FFFFFF"/>
        </w:rPr>
        <w:t>(5), 1502-39.</w:t>
      </w:r>
    </w:p>
    <w:p w14:paraId="4CE3D0CC" w14:textId="77777777" w:rsidR="00676834" w:rsidRPr="00BB6978" w:rsidRDefault="00676834" w:rsidP="00B14D43">
      <w:pPr>
        <w:spacing w:line="480" w:lineRule="auto"/>
        <w:ind w:left="567" w:hanging="567"/>
        <w:jc w:val="both"/>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Abenawe, C. (2022). Evaluation of the relationship between socio-economic status and the quality of education in secondary schools in Ibanda District. </w:t>
      </w:r>
      <w:r w:rsidRPr="00BB6978">
        <w:rPr>
          <w:rFonts w:asciiTheme="majorBidi" w:hAnsiTheme="majorBidi" w:cstheme="majorBidi"/>
          <w:i/>
          <w:iCs/>
          <w:sz w:val="24"/>
          <w:szCs w:val="24"/>
          <w:shd w:val="clear" w:color="auto" w:fill="FFFFFF"/>
        </w:rPr>
        <w:t>IAA Journal Arts and Humanities</w:t>
      </w:r>
      <w:r w:rsidRPr="00BB6978">
        <w:rPr>
          <w:rFonts w:asciiTheme="majorBidi" w:hAnsiTheme="majorBidi" w:cstheme="majorBidi"/>
          <w:sz w:val="24"/>
          <w:szCs w:val="24"/>
          <w:shd w:val="clear" w:color="auto" w:fill="FFFFFF"/>
        </w:rPr>
        <w:t>, </w:t>
      </w:r>
      <w:r w:rsidRPr="00BB6978">
        <w:rPr>
          <w:rFonts w:asciiTheme="majorBidi" w:hAnsiTheme="majorBidi" w:cstheme="majorBidi"/>
          <w:i/>
          <w:iCs/>
          <w:sz w:val="24"/>
          <w:szCs w:val="24"/>
          <w:shd w:val="clear" w:color="auto" w:fill="FFFFFF"/>
        </w:rPr>
        <w:t>9</w:t>
      </w:r>
      <w:r w:rsidRPr="00BB6978">
        <w:rPr>
          <w:rFonts w:asciiTheme="majorBidi" w:hAnsiTheme="majorBidi" w:cstheme="majorBidi"/>
          <w:sz w:val="24"/>
          <w:szCs w:val="24"/>
          <w:shd w:val="clear" w:color="auto" w:fill="FFFFFF"/>
        </w:rPr>
        <w:t>(1), 83-94.</w:t>
      </w:r>
    </w:p>
    <w:p w14:paraId="11605B29" w14:textId="77777777" w:rsidR="00C43489" w:rsidRPr="00BB6978" w:rsidRDefault="00C43489" w:rsidP="00B14D43">
      <w:pPr>
        <w:spacing w:line="480" w:lineRule="auto"/>
        <w:ind w:left="567" w:hanging="567"/>
        <w:jc w:val="both"/>
        <w:rPr>
          <w:rFonts w:asciiTheme="majorBidi" w:hAnsiTheme="majorBidi" w:cstheme="majorBidi"/>
          <w:sz w:val="24"/>
          <w:szCs w:val="24"/>
          <w:shd w:val="clear" w:color="auto" w:fill="FFFFFF"/>
        </w:rPr>
      </w:pPr>
      <w:bookmarkStart w:id="217" w:name="_Hlk138085864"/>
      <w:r w:rsidRPr="00BB6978">
        <w:rPr>
          <w:rFonts w:asciiTheme="majorBidi" w:hAnsiTheme="majorBidi" w:cstheme="majorBidi"/>
          <w:sz w:val="24"/>
          <w:szCs w:val="24"/>
          <w:shd w:val="clear" w:color="auto" w:fill="FFFFFF"/>
        </w:rPr>
        <w:t>Abrego, L. J., &amp; Gonzales, R. G. (2010</w:t>
      </w:r>
      <w:bookmarkEnd w:id="217"/>
      <w:r w:rsidRPr="00BB6978">
        <w:rPr>
          <w:rFonts w:asciiTheme="majorBidi" w:hAnsiTheme="majorBidi" w:cstheme="majorBidi"/>
          <w:sz w:val="24"/>
          <w:szCs w:val="24"/>
          <w:shd w:val="clear" w:color="auto" w:fill="FFFFFF"/>
        </w:rPr>
        <w:t>). Blocked paths, uncertain futures: The postsecondary education and labor market prospects of undocumented Latino youth. Journal of education for students placed at risk, 15(1-2), 144-157.</w:t>
      </w:r>
    </w:p>
    <w:p w14:paraId="5ACE095C"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Acedo, C., Adams, D., &amp; Popa, S. (Eds.). (2012). </w:t>
      </w:r>
      <w:r w:rsidRPr="00BB6978">
        <w:rPr>
          <w:rFonts w:asciiTheme="majorBidi" w:hAnsiTheme="majorBidi" w:cstheme="majorBidi"/>
          <w:i/>
          <w:iCs/>
          <w:sz w:val="24"/>
          <w:szCs w:val="24"/>
        </w:rPr>
        <w:t>Quality and qualities: Tensions in education reforms</w:t>
      </w:r>
      <w:r w:rsidRPr="00BB6978">
        <w:rPr>
          <w:rFonts w:asciiTheme="majorBidi" w:hAnsiTheme="majorBidi" w:cstheme="majorBidi"/>
          <w:sz w:val="24"/>
          <w:szCs w:val="24"/>
        </w:rPr>
        <w:t> (Vol. 16). Springer Science &amp; Business Media.</w:t>
      </w:r>
      <w:r w:rsidRPr="00BB6978">
        <w:rPr>
          <w:rFonts w:asciiTheme="majorBidi" w:hAnsiTheme="majorBidi" w:cstheme="majorBidi"/>
          <w:sz w:val="24"/>
          <w:szCs w:val="24"/>
          <w:rtl/>
        </w:rPr>
        <w:t>‏</w:t>
      </w:r>
    </w:p>
    <w:p w14:paraId="2D49F3CD" w14:textId="77777777" w:rsidR="00676834" w:rsidRPr="00BB6978" w:rsidRDefault="00676834" w:rsidP="00B14D43">
      <w:pPr>
        <w:pStyle w:val="NormalWeb"/>
        <w:spacing w:line="480" w:lineRule="auto"/>
        <w:ind w:left="567" w:hanging="567"/>
        <w:rPr>
          <w:rFonts w:asciiTheme="majorBidi" w:hAnsiTheme="majorBidi" w:cstheme="majorBidi"/>
        </w:rPr>
      </w:pPr>
      <w:r w:rsidRPr="00BB6978">
        <w:rPr>
          <w:rFonts w:asciiTheme="majorBidi" w:hAnsiTheme="majorBidi" w:cstheme="majorBidi"/>
        </w:rPr>
        <w:t xml:space="preserve">Adams, D. (1997). Defining Educational Quality. </w:t>
      </w:r>
      <w:r w:rsidRPr="00BB6978">
        <w:rPr>
          <w:rFonts w:asciiTheme="majorBidi" w:hAnsiTheme="majorBidi" w:cstheme="majorBidi"/>
          <w:i/>
          <w:iCs/>
        </w:rPr>
        <w:t>Educational Planning</w:t>
      </w:r>
      <w:r w:rsidRPr="00BB6978">
        <w:rPr>
          <w:rFonts w:asciiTheme="majorBidi" w:hAnsiTheme="majorBidi" w:cstheme="majorBidi"/>
        </w:rPr>
        <w:t xml:space="preserve">, </w:t>
      </w:r>
      <w:r w:rsidRPr="00BB6978">
        <w:rPr>
          <w:rFonts w:asciiTheme="majorBidi" w:hAnsiTheme="majorBidi" w:cstheme="majorBidi"/>
          <w:i/>
          <w:iCs/>
        </w:rPr>
        <w:t>9</w:t>
      </w:r>
      <w:r w:rsidRPr="00BB6978">
        <w:rPr>
          <w:rFonts w:asciiTheme="majorBidi" w:hAnsiTheme="majorBidi" w:cstheme="majorBidi"/>
        </w:rPr>
        <w:t xml:space="preserve">, 3–18. </w:t>
      </w:r>
    </w:p>
    <w:p w14:paraId="64AE13A4" w14:textId="77777777" w:rsidR="00676834" w:rsidRPr="00BB6978" w:rsidRDefault="00676834" w:rsidP="00B14D43">
      <w:pPr>
        <w:pStyle w:val="NormalWeb"/>
        <w:spacing w:line="480" w:lineRule="auto"/>
        <w:ind w:left="567" w:hanging="567"/>
        <w:rPr>
          <w:rFonts w:asciiTheme="majorBidi" w:hAnsiTheme="majorBidi" w:cstheme="majorBidi"/>
        </w:rPr>
      </w:pPr>
      <w:r w:rsidRPr="00BB6978">
        <w:rPr>
          <w:rFonts w:asciiTheme="majorBidi" w:hAnsiTheme="majorBidi" w:cstheme="majorBidi"/>
        </w:rPr>
        <w:t xml:space="preserve">ADEK, (n.d.-b). </w:t>
      </w:r>
      <w:r w:rsidRPr="00BB6978">
        <w:rPr>
          <w:rFonts w:asciiTheme="majorBidi" w:hAnsiTheme="majorBidi" w:cstheme="majorBidi"/>
          <w:i/>
          <w:iCs/>
        </w:rPr>
        <w:t>Private Schools</w:t>
      </w:r>
      <w:r w:rsidRPr="00BB6978">
        <w:rPr>
          <w:rFonts w:asciiTheme="majorBidi" w:hAnsiTheme="majorBidi" w:cstheme="majorBidi"/>
        </w:rPr>
        <w:t xml:space="preserve">. Department of Education and Knowledge. Retrieved 2020, from https://www.adek.gov.ae/en/Education-System/Private-Schools </w:t>
      </w:r>
    </w:p>
    <w:p w14:paraId="5780A2EC" w14:textId="77777777" w:rsidR="00C43489" w:rsidRPr="00BB6978" w:rsidRDefault="00C43489"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ADEK. (2023). The Role of ADEK. </w:t>
      </w:r>
      <w:hyperlink r:id="rId45" w:history="1">
        <w:r w:rsidRPr="00BB6978">
          <w:rPr>
            <w:rStyle w:val="Hyperlink"/>
            <w:rFonts w:asciiTheme="majorBidi" w:hAnsiTheme="majorBidi" w:cstheme="majorBidi"/>
            <w:color w:val="auto"/>
            <w:sz w:val="24"/>
            <w:szCs w:val="24"/>
          </w:rPr>
          <w:t>https://www.adek.gov.ae/About/About-Us</w:t>
        </w:r>
      </w:hyperlink>
    </w:p>
    <w:p w14:paraId="05345C24"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Ahmed, A., 2012a. School tuition loans on the rise. The National. [online] Available from: </w:t>
      </w:r>
      <w:hyperlink r:id="rId46" w:history="1">
        <w:r w:rsidRPr="00BB6978">
          <w:rPr>
            <w:rFonts w:asciiTheme="majorBidi" w:hAnsiTheme="majorBidi" w:cstheme="majorBidi"/>
            <w:sz w:val="24"/>
            <w:szCs w:val="24"/>
          </w:rPr>
          <w:t>http://www.emirates247.com/news/uae-news/education/northern-emirates-schools-under-evaluation</w:t>
        </w:r>
      </w:hyperlink>
    </w:p>
    <w:p w14:paraId="44BF7139" w14:textId="77777777" w:rsidR="00676834" w:rsidRPr="00BB6978" w:rsidRDefault="00676834" w:rsidP="00B14D43">
      <w:pPr>
        <w:spacing w:before="240" w:after="200" w:line="480" w:lineRule="auto"/>
        <w:ind w:left="709" w:hanging="709"/>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Ainsworth, R., Dehejia, R., Pop-Eleches, C., &amp; Urquiola, M. (2020). </w:t>
      </w:r>
      <w:r w:rsidRPr="00BB6978">
        <w:rPr>
          <w:rFonts w:asciiTheme="majorBidi" w:hAnsiTheme="majorBidi" w:cstheme="majorBidi"/>
          <w:i/>
          <w:iCs/>
          <w:sz w:val="24"/>
          <w:szCs w:val="24"/>
          <w:shd w:val="clear" w:color="auto" w:fill="FFFFFF"/>
        </w:rPr>
        <w:t>Information, preferences, and household demand for school value added</w:t>
      </w:r>
      <w:r w:rsidRPr="00BB6978">
        <w:rPr>
          <w:rFonts w:asciiTheme="majorBidi" w:hAnsiTheme="majorBidi" w:cstheme="majorBidi"/>
          <w:sz w:val="24"/>
          <w:szCs w:val="24"/>
          <w:shd w:val="clear" w:color="auto" w:fill="FFFFFF"/>
        </w:rPr>
        <w:t> (No. w28267). National Bureau of Economic Research.</w:t>
      </w:r>
    </w:p>
    <w:p w14:paraId="7F676E9F" w14:textId="77777777" w:rsidR="00676834" w:rsidRPr="00BB6978" w:rsidRDefault="00676834" w:rsidP="00B14D43">
      <w:pPr>
        <w:spacing w:before="240" w:after="200" w:line="480" w:lineRule="auto"/>
        <w:ind w:left="709" w:hanging="709"/>
        <w:rPr>
          <w:rFonts w:asciiTheme="majorBidi" w:eastAsia="Times New Roman" w:hAnsiTheme="majorBidi" w:cstheme="majorBidi"/>
          <w:sz w:val="24"/>
          <w:szCs w:val="24"/>
        </w:rPr>
      </w:pPr>
      <w:r w:rsidRPr="00BB6978">
        <w:rPr>
          <w:rFonts w:asciiTheme="majorBidi" w:hAnsiTheme="majorBidi" w:cstheme="majorBidi"/>
          <w:sz w:val="24"/>
          <w:szCs w:val="24"/>
        </w:rPr>
        <w:t xml:space="preserve">Akaguri, L. (2014). Fee-free public or low-fee private basic education in rural Ghana: How does the cost influence the choice of the poor? Compare: </w:t>
      </w:r>
      <w:r w:rsidRPr="00BB6978">
        <w:rPr>
          <w:rFonts w:asciiTheme="majorBidi" w:hAnsiTheme="majorBidi" w:cstheme="majorBidi"/>
          <w:i/>
          <w:iCs/>
          <w:sz w:val="24"/>
          <w:szCs w:val="24"/>
        </w:rPr>
        <w:t>A Journal of Comparative and International Education, 44</w:t>
      </w:r>
      <w:r w:rsidRPr="00BB6978">
        <w:rPr>
          <w:rFonts w:asciiTheme="majorBidi" w:hAnsiTheme="majorBidi" w:cstheme="majorBidi"/>
          <w:sz w:val="24"/>
          <w:szCs w:val="24"/>
        </w:rPr>
        <w:t>(2), 140–161.</w:t>
      </w:r>
    </w:p>
    <w:p w14:paraId="3E0BBE93"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Akareem, H.S. &amp; Hossain, S.S. (2016). Determinants of education quality: what makes students’ perception different? Open Review of Educational Research. [Online]. 3 (1). pp. 52–67. Available from: </w:t>
      </w:r>
      <w:hyperlink r:id="rId47" w:history="1">
        <w:r w:rsidRPr="00BB6978">
          <w:rPr>
            <w:rFonts w:asciiTheme="majorBidi" w:hAnsiTheme="majorBidi" w:cstheme="majorBidi"/>
            <w:sz w:val="24"/>
            <w:szCs w:val="24"/>
            <w:u w:val="single"/>
          </w:rPr>
          <w:t>https://www.tandfonline.com/doi/abs/10.1080/23265507.2016.1155167</w:t>
        </w:r>
      </w:hyperlink>
      <w:r w:rsidRPr="00BB6978">
        <w:rPr>
          <w:rFonts w:asciiTheme="majorBidi" w:hAnsiTheme="majorBidi" w:cstheme="majorBidi"/>
          <w:sz w:val="24"/>
          <w:szCs w:val="24"/>
        </w:rPr>
        <w:t>.</w:t>
      </w:r>
    </w:p>
    <w:p w14:paraId="49AE7B4C" w14:textId="77777777" w:rsidR="00676834" w:rsidRPr="00BB6978" w:rsidRDefault="00676834" w:rsidP="00B14D43">
      <w:pPr>
        <w:spacing w:before="240" w:after="200" w:line="480" w:lineRule="auto"/>
        <w:ind w:left="709" w:hanging="709"/>
        <w:rPr>
          <w:rFonts w:asciiTheme="majorBidi" w:hAnsiTheme="majorBidi" w:cstheme="majorBidi"/>
          <w:sz w:val="24"/>
          <w:szCs w:val="24"/>
          <w:shd w:val="clear" w:color="auto" w:fill="FFFFFF"/>
        </w:rPr>
      </w:pPr>
      <w:bookmarkStart w:id="218" w:name="_Hlk134053314"/>
      <w:r w:rsidRPr="00BB6978">
        <w:rPr>
          <w:rFonts w:asciiTheme="majorBidi" w:hAnsiTheme="majorBidi" w:cstheme="majorBidi"/>
          <w:sz w:val="24"/>
          <w:szCs w:val="24"/>
          <w:shd w:val="clear" w:color="auto" w:fill="FFFFFF"/>
        </w:rPr>
        <w:t>Alabdulkareem, S. (2023</w:t>
      </w:r>
      <w:bookmarkEnd w:id="218"/>
      <w:r w:rsidRPr="00BB6978">
        <w:rPr>
          <w:rFonts w:asciiTheme="majorBidi" w:hAnsiTheme="majorBidi" w:cstheme="majorBidi"/>
          <w:sz w:val="24"/>
          <w:szCs w:val="24"/>
          <w:shd w:val="clear" w:color="auto" w:fill="FFFFFF"/>
        </w:rPr>
        <w:t xml:space="preserve">). Saudi Mothers’ Perspectives on the English Programs Taught in their Children’s International Schools. </w:t>
      </w:r>
      <w:r w:rsidRPr="00BB6978">
        <w:rPr>
          <w:rFonts w:asciiTheme="majorBidi" w:hAnsiTheme="majorBidi" w:cstheme="majorBidi"/>
          <w:sz w:val="24"/>
          <w:szCs w:val="24"/>
          <w:shd w:val="clear" w:color="auto" w:fill="FFFFFF"/>
          <w:rtl/>
        </w:rPr>
        <w:t>المجلة العربية للعلوم التربوية والنفسية, 7(31), 643-686</w:t>
      </w:r>
    </w:p>
    <w:p w14:paraId="45BCF07F" w14:textId="77777777" w:rsidR="00676834" w:rsidRPr="00BB6978" w:rsidRDefault="00676834" w:rsidP="00B14D43">
      <w:pPr>
        <w:spacing w:before="240" w:after="200" w:line="480" w:lineRule="auto"/>
        <w:ind w:left="709" w:hanging="709"/>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Alderman, H., Orazem, P. F., &amp; Paterno, E. M. (2001). School quality, school cost, and the public/private school choices of low-income households in Pakistan. </w:t>
      </w:r>
      <w:r w:rsidRPr="00BB6978">
        <w:rPr>
          <w:rFonts w:asciiTheme="majorBidi" w:hAnsiTheme="majorBidi" w:cstheme="majorBidi"/>
          <w:i/>
          <w:iCs/>
          <w:sz w:val="24"/>
          <w:szCs w:val="24"/>
          <w:shd w:val="clear" w:color="auto" w:fill="FFFFFF"/>
        </w:rPr>
        <w:t>Journal of Human resources</w:t>
      </w:r>
      <w:r w:rsidRPr="00BB6978">
        <w:rPr>
          <w:rFonts w:asciiTheme="majorBidi" w:hAnsiTheme="majorBidi" w:cstheme="majorBidi"/>
          <w:sz w:val="24"/>
          <w:szCs w:val="24"/>
          <w:shd w:val="clear" w:color="auto" w:fill="FFFFFF"/>
        </w:rPr>
        <w:t>, 304-326.</w:t>
      </w:r>
    </w:p>
    <w:p w14:paraId="0344977D" w14:textId="77777777" w:rsidR="00C43489" w:rsidRPr="00BB6978" w:rsidRDefault="00C43489" w:rsidP="00B14D43">
      <w:pPr>
        <w:spacing w:line="480" w:lineRule="auto"/>
        <w:ind w:left="720" w:hanging="720"/>
        <w:rPr>
          <w:rFonts w:asciiTheme="majorBidi" w:hAnsiTheme="majorBidi" w:cstheme="majorBidi"/>
          <w:sz w:val="24"/>
          <w:szCs w:val="24"/>
          <w:shd w:val="clear" w:color="auto" w:fill="FFFFFF"/>
        </w:rPr>
      </w:pPr>
      <w:bookmarkStart w:id="219" w:name="_Hlk138085715"/>
      <w:r w:rsidRPr="00BB6978">
        <w:rPr>
          <w:rFonts w:asciiTheme="majorBidi" w:hAnsiTheme="majorBidi" w:cstheme="majorBidi"/>
          <w:sz w:val="24"/>
          <w:szCs w:val="24"/>
          <w:shd w:val="clear" w:color="auto" w:fill="FFFFFF"/>
        </w:rPr>
        <w:t>Alexander, R. (2008). </w:t>
      </w:r>
      <w:bookmarkEnd w:id="219"/>
      <w:r w:rsidRPr="00BB6978">
        <w:rPr>
          <w:rFonts w:asciiTheme="majorBidi" w:hAnsiTheme="majorBidi" w:cstheme="majorBidi"/>
          <w:i/>
          <w:iCs/>
          <w:sz w:val="24"/>
          <w:szCs w:val="24"/>
          <w:shd w:val="clear" w:color="auto" w:fill="FFFFFF"/>
        </w:rPr>
        <w:t>Education For All, The Quality Imperative and the Problem of Pedagogy. CREATE Pathways to Access. Research Monograph No. 20</w:t>
      </w:r>
      <w:r w:rsidRPr="00BB6978">
        <w:rPr>
          <w:rFonts w:asciiTheme="majorBidi" w:hAnsiTheme="majorBidi" w:cstheme="majorBidi"/>
          <w:sz w:val="24"/>
          <w:szCs w:val="24"/>
          <w:shd w:val="clear" w:color="auto" w:fill="FFFFFF"/>
        </w:rPr>
        <w:t>.</w:t>
      </w:r>
    </w:p>
    <w:p w14:paraId="79744E87" w14:textId="77777777" w:rsidR="00C43489" w:rsidRPr="00BB6978" w:rsidRDefault="00C43489" w:rsidP="00B14D43">
      <w:pPr>
        <w:spacing w:line="480" w:lineRule="auto"/>
        <w:ind w:left="720" w:hanging="720"/>
        <w:rPr>
          <w:rFonts w:asciiTheme="majorBidi" w:hAnsiTheme="majorBidi" w:cstheme="majorBidi"/>
          <w:sz w:val="24"/>
          <w:szCs w:val="24"/>
          <w14:ligatures w14:val="standardContextual"/>
        </w:rPr>
      </w:pPr>
      <w:r w:rsidRPr="00BB6978">
        <w:rPr>
          <w:rFonts w:asciiTheme="majorBidi" w:hAnsiTheme="majorBidi" w:cstheme="majorBidi"/>
          <w:sz w:val="24"/>
          <w:szCs w:val="24"/>
          <w14:ligatures w14:val="standardContextual"/>
        </w:rPr>
        <w:t xml:space="preserve">Al-Issa, A., &amp; Dahan, L.S. (2011). Global English and endangered Arabic in the United Arab Emirates. In A. Al-Issa &amp; L.S. Dahan (Eds.), </w:t>
      </w:r>
      <w:r w:rsidRPr="00BB6978">
        <w:rPr>
          <w:rFonts w:asciiTheme="majorBidi" w:hAnsiTheme="majorBidi" w:cstheme="majorBidi"/>
          <w:i/>
          <w:iCs/>
          <w:sz w:val="24"/>
          <w:szCs w:val="24"/>
          <w14:ligatures w14:val="standardContextual"/>
        </w:rPr>
        <w:t xml:space="preserve">Global English and Arabi: Issues of language, culture, and identity </w:t>
      </w:r>
      <w:r w:rsidRPr="00BB6978">
        <w:rPr>
          <w:rFonts w:asciiTheme="majorBidi" w:hAnsiTheme="majorBidi" w:cstheme="majorBidi"/>
          <w:sz w:val="24"/>
          <w:szCs w:val="24"/>
          <w14:ligatures w14:val="standardContextual"/>
        </w:rPr>
        <w:t>(pp.1-22). Peter Lang.</w:t>
      </w:r>
    </w:p>
    <w:p w14:paraId="7DF5931E" w14:textId="77777777" w:rsidR="00C43489" w:rsidRPr="00BB6978" w:rsidRDefault="00C43489" w:rsidP="00B14D43">
      <w:pPr>
        <w:spacing w:line="480" w:lineRule="auto"/>
        <w:ind w:left="720" w:hanging="720"/>
        <w:rPr>
          <w:rFonts w:asciiTheme="majorBidi" w:hAnsiTheme="majorBidi" w:cstheme="majorBidi"/>
          <w:sz w:val="24"/>
          <w:szCs w:val="24"/>
          <w14:ligatures w14:val="standardContextual"/>
        </w:rPr>
      </w:pPr>
      <w:r w:rsidRPr="00BB6978">
        <w:rPr>
          <w:rFonts w:asciiTheme="majorBidi" w:hAnsiTheme="majorBidi" w:cstheme="majorBidi"/>
          <w:sz w:val="24"/>
          <w:szCs w:val="24"/>
          <w14:ligatures w14:val="standardContextual"/>
        </w:rPr>
        <w:t xml:space="preserve">Alshamsi, A. (2018). </w:t>
      </w:r>
      <w:r w:rsidRPr="00BB6978">
        <w:rPr>
          <w:rFonts w:asciiTheme="majorBidi" w:hAnsiTheme="majorBidi" w:cstheme="majorBidi"/>
          <w:i/>
          <w:iCs/>
          <w:sz w:val="24"/>
          <w:szCs w:val="24"/>
          <w14:ligatures w14:val="standardContextual"/>
        </w:rPr>
        <w:t xml:space="preserve">Exploring the Bilingual and Biliteracy Experiences of Emirati Fifth Grade Students: A Mixed Method Study </w:t>
      </w:r>
      <w:r w:rsidRPr="00BB6978">
        <w:rPr>
          <w:rFonts w:asciiTheme="majorBidi" w:hAnsiTheme="majorBidi" w:cstheme="majorBidi"/>
          <w:sz w:val="24"/>
          <w:szCs w:val="24"/>
          <w14:ligatures w14:val="standardContextual"/>
        </w:rPr>
        <w:t>[Doctoral dissertation]. United Arab Emirates University, UAE.</w:t>
      </w:r>
    </w:p>
    <w:p w14:paraId="5D355FC6" w14:textId="77777777" w:rsidR="00C43489" w:rsidRPr="00BB6978" w:rsidRDefault="00C43489"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Al Qubaisi, A., Badri, M., Mohaidat, J., Al Dhaheri, H., Yang, G., Al Rashedi, A., &amp; Greer, K. (2016). An analytic hierarchy process for school quality and inspection: Model development and application. </w:t>
      </w:r>
      <w:r w:rsidRPr="00BB6978">
        <w:rPr>
          <w:rFonts w:asciiTheme="majorBidi" w:hAnsiTheme="majorBidi" w:cstheme="majorBidi"/>
          <w:i/>
          <w:iCs/>
          <w:sz w:val="24"/>
          <w:szCs w:val="24"/>
        </w:rPr>
        <w:t>International Journal of Educational Management</w:t>
      </w:r>
      <w:r w:rsidRPr="00BB6978">
        <w:rPr>
          <w:rFonts w:asciiTheme="majorBidi" w:hAnsiTheme="majorBidi" w:cstheme="majorBidi"/>
          <w:sz w:val="24"/>
          <w:szCs w:val="24"/>
        </w:rPr>
        <w:t>.</w:t>
      </w:r>
      <w:r w:rsidRPr="00BB6978">
        <w:rPr>
          <w:rFonts w:asciiTheme="majorBidi" w:hAnsiTheme="majorBidi" w:cstheme="majorBidi"/>
          <w:sz w:val="24"/>
          <w:szCs w:val="24"/>
          <w:rtl/>
        </w:rPr>
        <w:t>‏</w:t>
      </w:r>
    </w:p>
    <w:p w14:paraId="7C630276"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pacing w:val="-5"/>
          <w:sz w:val="24"/>
          <w:szCs w:val="24"/>
        </w:rPr>
        <w:t xml:space="preserve">American Institute for Economic Research. (2020.). Reform the K-12 Government School Monopoly: Economics and Facts. Retrieved December 20, 2022, from: </w:t>
      </w:r>
      <w:hyperlink r:id="rId48" w:history="1">
        <w:r w:rsidRPr="00BB6978">
          <w:rPr>
            <w:rStyle w:val="Hyperlink"/>
            <w:rFonts w:asciiTheme="majorBidi" w:hAnsiTheme="majorBidi" w:cstheme="majorBidi"/>
            <w:color w:val="auto"/>
            <w:sz w:val="24"/>
            <w:szCs w:val="24"/>
          </w:rPr>
          <w:t>Reform the K-12 Government- School Monopoly: Economics and Facts | AIER</w:t>
        </w:r>
      </w:hyperlink>
    </w:p>
    <w:p w14:paraId="1D337F2B" w14:textId="77777777" w:rsidR="00C43489" w:rsidRPr="00BB6978" w:rsidRDefault="00C43489" w:rsidP="00B14D43">
      <w:pPr>
        <w:spacing w:line="480" w:lineRule="auto"/>
        <w:ind w:left="720" w:hanging="720"/>
        <w:rPr>
          <w:rStyle w:val="contentpasted0"/>
          <w:rFonts w:asciiTheme="majorBidi" w:eastAsia="Times New Roman" w:hAnsiTheme="majorBidi" w:cstheme="majorBidi"/>
          <w:sz w:val="24"/>
          <w:szCs w:val="24"/>
          <w:shd w:val="clear" w:color="auto" w:fill="FFFFFF"/>
        </w:rPr>
      </w:pPr>
      <w:bookmarkStart w:id="220" w:name="_Hlk137912911"/>
      <w:r w:rsidRPr="00BB6978">
        <w:rPr>
          <w:rStyle w:val="contentpasted6"/>
          <w:rFonts w:asciiTheme="majorBidi" w:eastAsia="Times New Roman" w:hAnsiTheme="majorBidi" w:cstheme="majorBidi"/>
          <w:sz w:val="24"/>
          <w:szCs w:val="24"/>
          <w:shd w:val="clear" w:color="auto" w:fill="FFFFFF"/>
        </w:rPr>
        <w:t>Anastasiou, S., &amp; Papagianni, A. (2020</w:t>
      </w:r>
      <w:bookmarkEnd w:id="220"/>
      <w:r w:rsidRPr="00BB6978">
        <w:rPr>
          <w:rStyle w:val="contentpasted6"/>
          <w:rFonts w:asciiTheme="majorBidi" w:eastAsia="Times New Roman" w:hAnsiTheme="majorBidi" w:cstheme="majorBidi"/>
          <w:sz w:val="24"/>
          <w:szCs w:val="24"/>
          <w:shd w:val="clear" w:color="auto" w:fill="FFFFFF"/>
        </w:rPr>
        <w:t>). Parents’, teachers’ and principals’ views on parental involvement in secondary education schools in Greece. </w:t>
      </w:r>
      <w:r w:rsidRPr="00BB6978">
        <w:rPr>
          <w:rStyle w:val="contentpasted6"/>
          <w:rFonts w:asciiTheme="majorBidi" w:eastAsia="Times New Roman" w:hAnsiTheme="majorBidi" w:cstheme="majorBidi"/>
          <w:i/>
          <w:iCs/>
          <w:sz w:val="24"/>
          <w:szCs w:val="24"/>
          <w:shd w:val="clear" w:color="auto" w:fill="FFFFFF"/>
        </w:rPr>
        <w:t>Education Sciences</w:t>
      </w:r>
      <w:r w:rsidRPr="00BB6978">
        <w:rPr>
          <w:rStyle w:val="contentpasted6"/>
          <w:rFonts w:asciiTheme="majorBidi" w:eastAsia="Times New Roman" w:hAnsiTheme="majorBidi" w:cstheme="majorBidi"/>
          <w:sz w:val="24"/>
          <w:szCs w:val="24"/>
          <w:shd w:val="clear" w:color="auto" w:fill="FFFFFF"/>
        </w:rPr>
        <w:t>, </w:t>
      </w:r>
      <w:r w:rsidRPr="00BB6978">
        <w:rPr>
          <w:rStyle w:val="contentpasted6"/>
          <w:rFonts w:asciiTheme="majorBidi" w:eastAsia="Times New Roman" w:hAnsiTheme="majorBidi" w:cstheme="majorBidi"/>
          <w:i/>
          <w:iCs/>
          <w:sz w:val="24"/>
          <w:szCs w:val="24"/>
          <w:shd w:val="clear" w:color="auto" w:fill="FFFFFF"/>
        </w:rPr>
        <w:t>10</w:t>
      </w:r>
      <w:r w:rsidRPr="00BB6978">
        <w:rPr>
          <w:rStyle w:val="contentpasted6"/>
          <w:rFonts w:asciiTheme="majorBidi" w:eastAsia="Times New Roman" w:hAnsiTheme="majorBidi" w:cstheme="majorBidi"/>
          <w:sz w:val="24"/>
          <w:szCs w:val="24"/>
          <w:shd w:val="clear" w:color="auto" w:fill="FFFFFF"/>
        </w:rPr>
        <w:t>(3), 69.</w:t>
      </w:r>
      <w:r w:rsidRPr="00BB6978">
        <w:rPr>
          <w:rStyle w:val="contentpasted6"/>
          <w:rFonts w:asciiTheme="majorBidi" w:eastAsia="Times New Roman" w:hAnsiTheme="majorBidi" w:cstheme="majorBidi"/>
          <w:sz w:val="24"/>
          <w:szCs w:val="24"/>
          <w:shd w:val="clear" w:color="auto" w:fill="FFFFFF"/>
          <w:rtl/>
        </w:rPr>
        <w:t>‏</w:t>
      </w:r>
      <w:r w:rsidRPr="00BB6978">
        <w:rPr>
          <w:rStyle w:val="contentpasted5"/>
          <w:rFonts w:asciiTheme="majorBidi" w:eastAsia="Times New Roman" w:hAnsiTheme="majorBidi" w:cstheme="majorBidi"/>
          <w:sz w:val="24"/>
          <w:szCs w:val="24"/>
          <w:shd w:val="clear" w:color="auto" w:fill="FFFFFF"/>
          <w:rtl/>
        </w:rPr>
        <w:t>‏</w:t>
      </w:r>
      <w:r w:rsidRPr="00BB6978">
        <w:rPr>
          <w:rStyle w:val="contentpasted2"/>
          <w:rFonts w:asciiTheme="majorBidi" w:eastAsia="Times New Roman" w:hAnsiTheme="majorBidi" w:cstheme="majorBidi"/>
          <w:sz w:val="24"/>
          <w:szCs w:val="24"/>
          <w:shd w:val="clear" w:color="auto" w:fill="FFFFFF"/>
          <w:rtl/>
        </w:rPr>
        <w:t>‏</w:t>
      </w:r>
      <w:r w:rsidRPr="00BB6978">
        <w:rPr>
          <w:rStyle w:val="contentpasted0"/>
          <w:rFonts w:asciiTheme="majorBidi" w:eastAsia="Times New Roman" w:hAnsiTheme="majorBidi" w:cstheme="majorBidi"/>
          <w:sz w:val="24"/>
          <w:szCs w:val="24"/>
          <w:shd w:val="clear" w:color="auto" w:fill="FFFFFF"/>
          <w:rtl/>
        </w:rPr>
        <w:t>‏</w:t>
      </w:r>
    </w:p>
    <w:p w14:paraId="60FB84C1" w14:textId="7E1DE99B" w:rsidR="00C43489" w:rsidRPr="00BB6978" w:rsidRDefault="00C43489" w:rsidP="00A44219">
      <w:pPr>
        <w:spacing w:before="240" w:after="200" w:line="480" w:lineRule="auto"/>
        <w:ind w:left="709" w:hanging="709"/>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Andrabi, T., Das, J., &amp; Khwaja, A. (2005). Private schooling: Limits and possibilities. </w:t>
      </w:r>
      <w:r w:rsidRPr="00BB6978">
        <w:rPr>
          <w:rFonts w:asciiTheme="majorBidi" w:hAnsiTheme="majorBidi" w:cstheme="majorBidi"/>
          <w:i/>
          <w:iCs/>
          <w:sz w:val="24"/>
          <w:szCs w:val="24"/>
          <w:shd w:val="clear" w:color="auto" w:fill="FFFFFF"/>
        </w:rPr>
        <w:t>Processed. The World Bank, Washington, DC</w:t>
      </w:r>
      <w:r w:rsidRPr="00BB6978">
        <w:rPr>
          <w:rFonts w:asciiTheme="majorBidi" w:hAnsiTheme="majorBidi" w:cstheme="majorBidi"/>
          <w:sz w:val="24"/>
          <w:szCs w:val="24"/>
          <w:shd w:val="clear" w:color="auto" w:fill="FFFFFF"/>
        </w:rPr>
        <w:t>.</w:t>
      </w:r>
    </w:p>
    <w:p w14:paraId="44799CDF"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Archambault, I., Vandenbossche-Makombo, J., &amp; Fraser, S. L. (2017). Students’ oppositional behaviors and engagement in school: The differential role of the student-teacher relationship. </w:t>
      </w:r>
      <w:r w:rsidRPr="00BB6978">
        <w:rPr>
          <w:rFonts w:asciiTheme="majorBidi" w:hAnsiTheme="majorBidi" w:cstheme="majorBidi"/>
          <w:i/>
          <w:iCs/>
          <w:sz w:val="24"/>
          <w:szCs w:val="24"/>
        </w:rPr>
        <w:t>Journal of Child and Family Studies</w:t>
      </w:r>
      <w:r w:rsidRPr="00BB6978">
        <w:rPr>
          <w:rFonts w:asciiTheme="majorBidi" w:hAnsiTheme="majorBidi" w:cstheme="majorBidi"/>
          <w:sz w:val="24"/>
          <w:szCs w:val="24"/>
        </w:rPr>
        <w:t>, </w:t>
      </w:r>
      <w:r w:rsidRPr="00BB6978">
        <w:rPr>
          <w:rFonts w:asciiTheme="majorBidi" w:hAnsiTheme="majorBidi" w:cstheme="majorBidi"/>
          <w:i/>
          <w:iCs/>
          <w:sz w:val="24"/>
          <w:szCs w:val="24"/>
        </w:rPr>
        <w:t>26</w:t>
      </w:r>
      <w:r w:rsidRPr="00BB6978">
        <w:rPr>
          <w:rFonts w:asciiTheme="majorBidi" w:hAnsiTheme="majorBidi" w:cstheme="majorBidi"/>
          <w:sz w:val="24"/>
          <w:szCs w:val="24"/>
        </w:rPr>
        <w:t>(6), 1702-1712.</w:t>
      </w:r>
      <w:r w:rsidRPr="00BB6978">
        <w:rPr>
          <w:rFonts w:asciiTheme="majorBidi" w:hAnsiTheme="majorBidi" w:cstheme="majorBidi"/>
          <w:sz w:val="24"/>
          <w:szCs w:val="24"/>
          <w:rtl/>
        </w:rPr>
        <w:t>‏</w:t>
      </w:r>
    </w:p>
    <w:p w14:paraId="31860024" w14:textId="12D70C37" w:rsidR="00C43489" w:rsidRPr="00BB6978" w:rsidRDefault="00C43489" w:rsidP="00B14D43">
      <w:pPr>
        <w:spacing w:line="480" w:lineRule="auto"/>
        <w:ind w:left="720" w:hanging="720"/>
        <w:rPr>
          <w:rFonts w:asciiTheme="majorBidi" w:hAnsiTheme="majorBidi" w:cstheme="majorBidi"/>
          <w:sz w:val="24"/>
          <w:szCs w:val="24"/>
          <w:shd w:val="clear" w:color="auto" w:fill="FFFFFF"/>
        </w:rPr>
      </w:pPr>
      <w:bookmarkStart w:id="221" w:name="_Hlk138086057"/>
      <w:r w:rsidRPr="00BB6978">
        <w:rPr>
          <w:rFonts w:asciiTheme="majorBidi" w:hAnsiTheme="majorBidi" w:cstheme="majorBidi"/>
          <w:sz w:val="24"/>
          <w:szCs w:val="24"/>
          <w:shd w:val="clear" w:color="auto" w:fill="FFFFFF"/>
        </w:rPr>
        <w:t>Arsen, D., &amp; DeLuca, T. (2016</w:t>
      </w:r>
      <w:bookmarkEnd w:id="221"/>
      <w:r w:rsidRPr="00BB6978">
        <w:rPr>
          <w:rFonts w:asciiTheme="majorBidi" w:hAnsiTheme="majorBidi" w:cstheme="majorBidi"/>
          <w:sz w:val="24"/>
          <w:szCs w:val="24"/>
          <w:shd w:val="clear" w:color="auto" w:fill="FFFFFF"/>
        </w:rPr>
        <w:t>). Which districts get into financial trouble and why: Michigan's story. </w:t>
      </w:r>
      <w:r w:rsidRPr="00BB6978">
        <w:rPr>
          <w:rFonts w:asciiTheme="majorBidi" w:hAnsiTheme="majorBidi" w:cstheme="majorBidi"/>
          <w:i/>
          <w:iCs/>
          <w:sz w:val="24"/>
          <w:szCs w:val="24"/>
          <w:shd w:val="clear" w:color="auto" w:fill="FFFFFF"/>
        </w:rPr>
        <w:t>Journal of Education Finance</w:t>
      </w:r>
      <w:r w:rsidRPr="00BB6978">
        <w:rPr>
          <w:rFonts w:asciiTheme="majorBidi" w:hAnsiTheme="majorBidi" w:cstheme="majorBidi"/>
          <w:sz w:val="24"/>
          <w:szCs w:val="24"/>
          <w:shd w:val="clear" w:color="auto" w:fill="FFFFFF"/>
        </w:rPr>
        <w:t>, 100-126.</w:t>
      </w:r>
    </w:p>
    <w:p w14:paraId="0883EB76"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Asikhia, O. A. (2010). Students and teachers’ perception of the causes of poor academic performance in Ogun State secondary schools [Nigeria]: Implications for counseling for national development. European Journal of Social Sciences, 13(2), 229-242.</w:t>
      </w:r>
      <w:r w:rsidRPr="00BB6978">
        <w:rPr>
          <w:rFonts w:asciiTheme="majorBidi" w:hAnsiTheme="majorBidi" w:cstheme="majorBidi"/>
          <w:sz w:val="24"/>
          <w:szCs w:val="24"/>
          <w:rtl/>
        </w:rPr>
        <w:t>‏</w:t>
      </w:r>
    </w:p>
    <w:p w14:paraId="315617B9" w14:textId="5C97E428" w:rsidR="00C43489" w:rsidRPr="00BB6978" w:rsidRDefault="00C43489" w:rsidP="00A44219">
      <w:pPr>
        <w:spacing w:line="480" w:lineRule="auto"/>
        <w:ind w:left="720" w:hanging="720"/>
        <w:rPr>
          <w:rFonts w:asciiTheme="majorBidi" w:hAnsiTheme="majorBidi" w:cstheme="majorBidi"/>
          <w:sz w:val="24"/>
          <w:szCs w:val="24"/>
          <w:shd w:val="clear" w:color="auto" w:fill="FFFFFF"/>
        </w:rPr>
      </w:pPr>
      <w:bookmarkStart w:id="222" w:name="_Hlk138082820"/>
      <w:r w:rsidRPr="00BB6978">
        <w:rPr>
          <w:rFonts w:asciiTheme="majorBidi" w:hAnsiTheme="majorBidi" w:cstheme="majorBidi"/>
          <w:sz w:val="24"/>
          <w:szCs w:val="24"/>
          <w:shd w:val="clear" w:color="auto" w:fill="FFFFFF"/>
        </w:rPr>
        <w:t>Azeem</w:t>
      </w:r>
      <w:bookmarkEnd w:id="222"/>
      <w:r w:rsidRPr="00BB6978">
        <w:rPr>
          <w:rFonts w:asciiTheme="majorBidi" w:hAnsiTheme="majorBidi" w:cstheme="majorBidi"/>
          <w:sz w:val="24"/>
          <w:szCs w:val="24"/>
          <w:shd w:val="clear" w:color="auto" w:fill="FFFFFF"/>
        </w:rPr>
        <w:t>, M., Mataruna-Dos-Santos, L. J., &amp; Abdallah, R. B. (2020). Proposing revised KHDA model of school improvement: identification of factors for sustainable performance of Dubai private schools. In </w:t>
      </w:r>
      <w:r w:rsidRPr="00BB6978">
        <w:rPr>
          <w:rFonts w:asciiTheme="majorBidi" w:hAnsiTheme="majorBidi" w:cstheme="majorBidi"/>
          <w:i/>
          <w:iCs/>
          <w:sz w:val="24"/>
          <w:szCs w:val="24"/>
          <w:shd w:val="clear" w:color="auto" w:fill="FFFFFF"/>
        </w:rPr>
        <w:t>Sustainable Development and Social Responsibility—Volume 2: Proceedings of the 2nd American University in the Emirates International Research Conference, AUEIRC'18—Dubai, UAE 2018</w:t>
      </w:r>
      <w:r w:rsidRPr="00BB6978">
        <w:rPr>
          <w:rFonts w:asciiTheme="majorBidi" w:hAnsiTheme="majorBidi" w:cstheme="majorBidi"/>
          <w:sz w:val="24"/>
          <w:szCs w:val="24"/>
          <w:shd w:val="clear" w:color="auto" w:fill="FFFFFF"/>
        </w:rPr>
        <w:t> (pp. 173-202). Springer International Publishing.</w:t>
      </w:r>
    </w:p>
    <w:p w14:paraId="47ECB62E"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Badri, M. a &amp; Mourad, T. El (2012). Determinants of School Efficiencies in Abu Dhabi Using DEA. 2012 International Conference on Management and Education Innovation. [Online]. 37. pp. 314–318. Available from: </w:t>
      </w:r>
      <w:hyperlink r:id="rId49" w:history="1">
        <w:r w:rsidRPr="00BB6978">
          <w:rPr>
            <w:rFonts w:asciiTheme="majorBidi" w:hAnsiTheme="majorBidi" w:cstheme="majorBidi"/>
            <w:sz w:val="24"/>
            <w:szCs w:val="24"/>
            <w:u w:val="single"/>
          </w:rPr>
          <w:t>http://www.ipedr.com/vol37/061-ICMEI2012-M10077.pdf</w:t>
        </w:r>
      </w:hyperlink>
      <w:r w:rsidRPr="00BB6978">
        <w:rPr>
          <w:rFonts w:asciiTheme="majorBidi" w:hAnsiTheme="majorBidi" w:cstheme="majorBidi"/>
          <w:sz w:val="24"/>
          <w:szCs w:val="24"/>
        </w:rPr>
        <w:t>.</w:t>
      </w:r>
    </w:p>
    <w:p w14:paraId="5F15D1E9"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Badri, M., &amp; Khaili, M. A. (2014). Migration of P–12 education from its current state to one of high quality: The aspirations of Abu Dhabi. Policy Futures in Education, 12(2), 200-220.</w:t>
      </w:r>
      <w:r w:rsidRPr="00BB6978">
        <w:rPr>
          <w:rFonts w:asciiTheme="majorBidi" w:hAnsiTheme="majorBidi" w:cstheme="majorBidi"/>
          <w:sz w:val="24"/>
          <w:szCs w:val="24"/>
          <w:rtl/>
        </w:rPr>
        <w:t>‏</w:t>
      </w:r>
    </w:p>
    <w:p w14:paraId="6322B142"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Badri, M., Al Nuaimi, A., Guang, Y., Al Sheryani, Y., &amp; Al Rashedi, A. (2018). The effects of home and school on children’s happiness: a structural equation model. </w:t>
      </w:r>
      <w:r w:rsidRPr="00BB6978">
        <w:rPr>
          <w:rFonts w:asciiTheme="majorBidi" w:hAnsiTheme="majorBidi" w:cstheme="majorBidi"/>
          <w:i/>
          <w:iCs/>
          <w:sz w:val="24"/>
          <w:szCs w:val="24"/>
        </w:rPr>
        <w:t>International Journal of Child Care and Education Policy</w:t>
      </w:r>
      <w:r w:rsidRPr="00BB6978">
        <w:rPr>
          <w:rFonts w:asciiTheme="majorBidi" w:hAnsiTheme="majorBidi" w:cstheme="majorBidi"/>
          <w:sz w:val="24"/>
          <w:szCs w:val="24"/>
        </w:rPr>
        <w:t>, </w:t>
      </w:r>
      <w:r w:rsidRPr="00BB6978">
        <w:rPr>
          <w:rFonts w:asciiTheme="majorBidi" w:hAnsiTheme="majorBidi" w:cstheme="majorBidi"/>
          <w:i/>
          <w:iCs/>
          <w:sz w:val="24"/>
          <w:szCs w:val="24"/>
        </w:rPr>
        <w:t>12</w:t>
      </w:r>
      <w:r w:rsidRPr="00BB6978">
        <w:rPr>
          <w:rFonts w:asciiTheme="majorBidi" w:hAnsiTheme="majorBidi" w:cstheme="majorBidi"/>
          <w:sz w:val="24"/>
          <w:szCs w:val="24"/>
        </w:rPr>
        <w:t>(1), 1-16.</w:t>
      </w:r>
      <w:r w:rsidRPr="00BB6978">
        <w:rPr>
          <w:rFonts w:asciiTheme="majorBidi" w:hAnsiTheme="majorBidi" w:cstheme="majorBidi"/>
          <w:sz w:val="24"/>
          <w:szCs w:val="24"/>
          <w:rtl/>
        </w:rPr>
        <w:t>‏</w:t>
      </w:r>
    </w:p>
    <w:p w14:paraId="44F7141B"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Badri, M., Al Sheryani, Y., Yang, G., Al Rashedi, A., Al Sumaiti, R., &amp; Al Mazroui, K. (2019). The Effects of Teachers’, Parents’, and Students’ Attitudes and Behavior on 4th and 8th Graders’ Science/math Achievements: A model of School Leaders’ Perspectives. Int. J. Eng. Sci. Technol, 1, 22-37.</w:t>
      </w:r>
      <w:r w:rsidRPr="00BB6978">
        <w:rPr>
          <w:rFonts w:asciiTheme="majorBidi" w:hAnsiTheme="majorBidi" w:cstheme="majorBidi"/>
          <w:sz w:val="24"/>
          <w:szCs w:val="24"/>
          <w:rtl/>
        </w:rPr>
        <w:t>‏</w:t>
      </w:r>
    </w:p>
    <w:p w14:paraId="55CB358F"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Baker, D. J. (2019). Pathways to racial equity in higher education: Modeling the antecedents of state affirmative action bans. </w:t>
      </w:r>
      <w:r w:rsidRPr="00BB6978">
        <w:rPr>
          <w:rFonts w:asciiTheme="majorBidi" w:hAnsiTheme="majorBidi" w:cstheme="majorBidi"/>
          <w:i/>
          <w:iCs/>
          <w:sz w:val="24"/>
          <w:szCs w:val="24"/>
        </w:rPr>
        <w:t>American Educational Research Journal</w:t>
      </w:r>
      <w:r w:rsidRPr="00BB6978">
        <w:rPr>
          <w:rFonts w:asciiTheme="majorBidi" w:hAnsiTheme="majorBidi" w:cstheme="majorBidi"/>
          <w:sz w:val="24"/>
          <w:szCs w:val="24"/>
        </w:rPr>
        <w:t>, </w:t>
      </w:r>
      <w:r w:rsidRPr="00BB6978">
        <w:rPr>
          <w:rFonts w:asciiTheme="majorBidi" w:hAnsiTheme="majorBidi" w:cstheme="majorBidi"/>
          <w:i/>
          <w:iCs/>
          <w:sz w:val="24"/>
          <w:szCs w:val="24"/>
        </w:rPr>
        <w:t>56</w:t>
      </w:r>
      <w:r w:rsidRPr="00BB6978">
        <w:rPr>
          <w:rFonts w:asciiTheme="majorBidi" w:hAnsiTheme="majorBidi" w:cstheme="majorBidi"/>
          <w:sz w:val="24"/>
          <w:szCs w:val="24"/>
        </w:rPr>
        <w:t>(5), 1861-1895.</w:t>
      </w:r>
      <w:r w:rsidRPr="00BB6978">
        <w:rPr>
          <w:rFonts w:asciiTheme="majorBidi" w:hAnsiTheme="majorBidi" w:cstheme="majorBidi"/>
          <w:sz w:val="24"/>
          <w:szCs w:val="24"/>
          <w:rtl/>
        </w:rPr>
        <w:t>‏</w:t>
      </w:r>
    </w:p>
    <w:p w14:paraId="6FD2A269" w14:textId="77777777" w:rsidR="00676834" w:rsidRPr="00BB6978" w:rsidRDefault="00676834" w:rsidP="00B14D43">
      <w:pPr>
        <w:spacing w:before="240" w:after="200" w:line="480" w:lineRule="auto"/>
        <w:ind w:left="709" w:hanging="709"/>
        <w:rPr>
          <w:rFonts w:asciiTheme="majorBidi" w:eastAsia="Times New Roman" w:hAnsiTheme="majorBidi" w:cstheme="majorBidi"/>
          <w:sz w:val="24"/>
          <w:szCs w:val="24"/>
        </w:rPr>
      </w:pPr>
      <w:r w:rsidRPr="00BB6978">
        <w:rPr>
          <w:rFonts w:asciiTheme="majorBidi" w:eastAsia="Times New Roman" w:hAnsiTheme="majorBidi" w:cstheme="majorBidi"/>
          <w:sz w:val="24"/>
          <w:szCs w:val="24"/>
        </w:rPr>
        <w:t xml:space="preserve">Baron, R. M., &amp; Kenny, D. A. (1986). The moderator-mediator variable distinction in social psychological research: Conceptual, strategic, and statistical considerations. </w:t>
      </w:r>
      <w:r w:rsidRPr="00BB6978">
        <w:rPr>
          <w:rFonts w:asciiTheme="majorBidi" w:eastAsia="Times New Roman" w:hAnsiTheme="majorBidi" w:cstheme="majorBidi"/>
          <w:i/>
          <w:iCs/>
          <w:sz w:val="24"/>
          <w:szCs w:val="24"/>
        </w:rPr>
        <w:t>Journal of Personality and Social Psychology, 51</w:t>
      </w:r>
      <w:r w:rsidRPr="00BB6978">
        <w:rPr>
          <w:rFonts w:asciiTheme="majorBidi" w:eastAsia="Times New Roman" w:hAnsiTheme="majorBidi" w:cstheme="majorBidi"/>
          <w:sz w:val="24"/>
          <w:szCs w:val="24"/>
        </w:rPr>
        <w:t>(6), 1173.</w:t>
      </w:r>
    </w:p>
    <w:p w14:paraId="4A312C8D" w14:textId="4A18AE51" w:rsidR="00C43489" w:rsidRPr="00BB6978" w:rsidRDefault="00C43489" w:rsidP="00A44219">
      <w:pPr>
        <w:spacing w:line="480" w:lineRule="auto"/>
        <w:ind w:left="720" w:hanging="720"/>
        <w:rPr>
          <w:rFonts w:asciiTheme="majorBidi" w:hAnsiTheme="majorBidi" w:cstheme="majorBidi"/>
          <w:sz w:val="24"/>
          <w:szCs w:val="24"/>
          <w14:ligatures w14:val="standardContextual"/>
        </w:rPr>
      </w:pPr>
      <w:r w:rsidRPr="00BB6978">
        <w:rPr>
          <w:rFonts w:asciiTheme="majorBidi" w:hAnsiTheme="majorBidi" w:cstheme="majorBidi"/>
          <w:sz w:val="24"/>
          <w:szCs w:val="24"/>
          <w14:ligatures w14:val="standardContextual"/>
        </w:rPr>
        <w:t xml:space="preserve">Barnawi, O. (2017). </w:t>
      </w:r>
      <w:r w:rsidRPr="00BB6978">
        <w:rPr>
          <w:rFonts w:asciiTheme="majorBidi" w:hAnsiTheme="majorBidi" w:cstheme="majorBidi"/>
          <w:i/>
          <w:iCs/>
          <w:sz w:val="24"/>
          <w:szCs w:val="24"/>
          <w14:ligatures w14:val="standardContextual"/>
        </w:rPr>
        <w:t>Neoliberalism and English language education policies in the Arabian Gulf</w:t>
      </w:r>
      <w:r w:rsidRPr="00BB6978">
        <w:rPr>
          <w:rFonts w:asciiTheme="majorBidi" w:hAnsiTheme="majorBidi" w:cstheme="majorBidi"/>
          <w:sz w:val="24"/>
          <w:szCs w:val="24"/>
          <w14:ligatures w14:val="standardContextual"/>
        </w:rPr>
        <w:t>. Routledge.</w:t>
      </w:r>
    </w:p>
    <w:p w14:paraId="7EAD92D2"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Baum, D. R., Abdul-Hamid, H., &amp; Wesley, H. T. (2018). Inequality of Educational Opportunity.</w:t>
      </w:r>
      <w:r w:rsidRPr="00BB6978">
        <w:rPr>
          <w:rFonts w:asciiTheme="majorBidi" w:hAnsiTheme="majorBidi" w:cstheme="majorBidi"/>
          <w:sz w:val="24"/>
          <w:szCs w:val="24"/>
          <w:rtl/>
        </w:rPr>
        <w:t>‏</w:t>
      </w:r>
    </w:p>
    <w:p w14:paraId="63E68C15"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Beavis, A. (2004). Why parents choose public or private schools. Research Developments, 12(12), 3.</w:t>
      </w:r>
    </w:p>
    <w:p w14:paraId="1E98DCF8"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Bektas, F., Çogaltay, N., Karadag, E., &amp; Ay, Y. (2015). School culture and academic achievement of students: A meta-analysis study. </w:t>
      </w:r>
      <w:r w:rsidRPr="00BB6978">
        <w:rPr>
          <w:rFonts w:asciiTheme="majorBidi" w:hAnsiTheme="majorBidi" w:cstheme="majorBidi"/>
          <w:i/>
          <w:iCs/>
          <w:sz w:val="24"/>
          <w:szCs w:val="24"/>
        </w:rPr>
        <w:t>The Anthropologist</w:t>
      </w:r>
      <w:r w:rsidRPr="00BB6978">
        <w:rPr>
          <w:rFonts w:asciiTheme="majorBidi" w:hAnsiTheme="majorBidi" w:cstheme="majorBidi"/>
          <w:sz w:val="24"/>
          <w:szCs w:val="24"/>
        </w:rPr>
        <w:t>, </w:t>
      </w:r>
      <w:r w:rsidRPr="00BB6978">
        <w:rPr>
          <w:rFonts w:asciiTheme="majorBidi" w:hAnsiTheme="majorBidi" w:cstheme="majorBidi"/>
          <w:i/>
          <w:iCs/>
          <w:sz w:val="24"/>
          <w:szCs w:val="24"/>
        </w:rPr>
        <w:t>21</w:t>
      </w:r>
      <w:r w:rsidRPr="00BB6978">
        <w:rPr>
          <w:rFonts w:asciiTheme="majorBidi" w:hAnsiTheme="majorBidi" w:cstheme="majorBidi"/>
          <w:sz w:val="24"/>
          <w:szCs w:val="24"/>
        </w:rPr>
        <w:t>(3), 482-488.</w:t>
      </w:r>
      <w:r w:rsidRPr="00BB6978">
        <w:rPr>
          <w:rFonts w:asciiTheme="majorBidi" w:hAnsiTheme="majorBidi" w:cstheme="majorBidi"/>
          <w:sz w:val="24"/>
          <w:szCs w:val="24"/>
          <w:rtl/>
        </w:rPr>
        <w:t>‏</w:t>
      </w:r>
    </w:p>
    <w:p w14:paraId="6961D9AD"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Bell, C., &amp; Puckett, T. (2020). I want to learn but they won’t let me: Exploring the impact of school discipline on academic achievement. </w:t>
      </w:r>
      <w:r w:rsidRPr="00BB6978">
        <w:rPr>
          <w:rFonts w:asciiTheme="majorBidi" w:hAnsiTheme="majorBidi" w:cstheme="majorBidi"/>
          <w:i/>
          <w:iCs/>
          <w:sz w:val="24"/>
          <w:szCs w:val="24"/>
        </w:rPr>
        <w:t>Urban Education</w:t>
      </w:r>
      <w:r w:rsidRPr="00BB6978">
        <w:rPr>
          <w:rFonts w:asciiTheme="majorBidi" w:hAnsiTheme="majorBidi" w:cstheme="majorBidi"/>
          <w:sz w:val="24"/>
          <w:szCs w:val="24"/>
        </w:rPr>
        <w:t>, 0042085920968629.</w:t>
      </w:r>
      <w:r w:rsidRPr="00BB6978">
        <w:rPr>
          <w:rFonts w:asciiTheme="majorBidi" w:hAnsiTheme="majorBidi" w:cstheme="majorBidi"/>
          <w:sz w:val="24"/>
          <w:szCs w:val="24"/>
          <w:rtl/>
        </w:rPr>
        <w:t>‏</w:t>
      </w:r>
    </w:p>
    <w:p w14:paraId="69E8BBE7"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Benbenishty, R., Siegel, A., &amp; Astor, R. A. (2018). School-related experiences of adolescents in foster care: A comparison with their high-school peers. </w:t>
      </w:r>
      <w:r w:rsidRPr="00BB6978">
        <w:rPr>
          <w:rFonts w:asciiTheme="majorBidi" w:hAnsiTheme="majorBidi" w:cstheme="majorBidi"/>
          <w:i/>
          <w:iCs/>
          <w:sz w:val="24"/>
          <w:szCs w:val="24"/>
        </w:rPr>
        <w:t>American Journal of Orthopsychiatry</w:t>
      </w:r>
      <w:r w:rsidRPr="00BB6978">
        <w:rPr>
          <w:rFonts w:asciiTheme="majorBidi" w:hAnsiTheme="majorBidi" w:cstheme="majorBidi"/>
          <w:sz w:val="24"/>
          <w:szCs w:val="24"/>
        </w:rPr>
        <w:t>, </w:t>
      </w:r>
      <w:r w:rsidRPr="00BB6978">
        <w:rPr>
          <w:rFonts w:asciiTheme="majorBidi" w:hAnsiTheme="majorBidi" w:cstheme="majorBidi"/>
          <w:i/>
          <w:iCs/>
          <w:sz w:val="24"/>
          <w:szCs w:val="24"/>
        </w:rPr>
        <w:t>88</w:t>
      </w:r>
      <w:r w:rsidRPr="00BB6978">
        <w:rPr>
          <w:rFonts w:asciiTheme="majorBidi" w:hAnsiTheme="majorBidi" w:cstheme="majorBidi"/>
          <w:sz w:val="24"/>
          <w:szCs w:val="24"/>
        </w:rPr>
        <w:t>(3), 261.</w:t>
      </w:r>
      <w:r w:rsidRPr="00BB6978">
        <w:rPr>
          <w:rFonts w:asciiTheme="majorBidi" w:hAnsiTheme="majorBidi" w:cstheme="majorBidi"/>
          <w:sz w:val="24"/>
          <w:szCs w:val="24"/>
          <w:rtl/>
        </w:rPr>
        <w:t>‏</w:t>
      </w:r>
    </w:p>
    <w:p w14:paraId="207D8900" w14:textId="77777777" w:rsidR="00676834" w:rsidRPr="00BB6978" w:rsidRDefault="00676834" w:rsidP="00B14D43">
      <w:pPr>
        <w:pStyle w:val="NormalWeb"/>
        <w:spacing w:line="480" w:lineRule="auto"/>
        <w:ind w:left="567" w:hanging="567"/>
        <w:rPr>
          <w:rFonts w:asciiTheme="majorBidi" w:hAnsiTheme="majorBidi" w:cstheme="majorBidi"/>
        </w:rPr>
      </w:pPr>
      <w:r w:rsidRPr="00BB6978">
        <w:rPr>
          <w:rFonts w:asciiTheme="majorBidi" w:hAnsiTheme="majorBidi" w:cstheme="majorBidi"/>
        </w:rPr>
        <w:t xml:space="preserve">Bergman, P., &amp; Chan, E. (2021). Leveraging Parents through Low-Cost Technology: The Impact of High-Frequency Information on Student Achievement. </w:t>
      </w:r>
      <w:r w:rsidRPr="00BB6978">
        <w:rPr>
          <w:rFonts w:asciiTheme="majorBidi" w:hAnsiTheme="majorBidi" w:cstheme="majorBidi"/>
          <w:i/>
          <w:iCs/>
        </w:rPr>
        <w:t>Journal of Human Resources</w:t>
      </w:r>
      <w:r w:rsidRPr="00BB6978">
        <w:rPr>
          <w:rFonts w:asciiTheme="majorBidi" w:hAnsiTheme="majorBidi" w:cstheme="majorBidi"/>
        </w:rPr>
        <w:t xml:space="preserve">. https://doi.org/10.3368/jhr.56.1.1118-9837R1 </w:t>
      </w:r>
    </w:p>
    <w:p w14:paraId="0AFD970D"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Berkowitz, R., Moore, H., Astor, R. A., &amp; Benbenishty, R. (2017). A research synthesis of the associations between socioeconomic background, inequality, school climate, and academic achievement. </w:t>
      </w:r>
      <w:r w:rsidRPr="00BB6978">
        <w:rPr>
          <w:rFonts w:asciiTheme="majorBidi" w:hAnsiTheme="majorBidi" w:cstheme="majorBidi"/>
          <w:i/>
          <w:iCs/>
          <w:sz w:val="24"/>
          <w:szCs w:val="24"/>
        </w:rPr>
        <w:t>Review of Educational Research</w:t>
      </w:r>
      <w:r w:rsidRPr="00BB6978">
        <w:rPr>
          <w:rFonts w:asciiTheme="majorBidi" w:hAnsiTheme="majorBidi" w:cstheme="majorBidi"/>
          <w:sz w:val="24"/>
          <w:szCs w:val="24"/>
        </w:rPr>
        <w:t>, </w:t>
      </w:r>
      <w:r w:rsidRPr="00BB6978">
        <w:rPr>
          <w:rFonts w:asciiTheme="majorBidi" w:hAnsiTheme="majorBidi" w:cstheme="majorBidi"/>
          <w:i/>
          <w:iCs/>
          <w:sz w:val="24"/>
          <w:szCs w:val="24"/>
        </w:rPr>
        <w:t>87</w:t>
      </w:r>
      <w:r w:rsidRPr="00BB6978">
        <w:rPr>
          <w:rFonts w:asciiTheme="majorBidi" w:hAnsiTheme="majorBidi" w:cstheme="majorBidi"/>
          <w:sz w:val="24"/>
          <w:szCs w:val="24"/>
        </w:rPr>
        <w:t>(2), 425-469.</w:t>
      </w:r>
      <w:r w:rsidRPr="00BB6978">
        <w:rPr>
          <w:rFonts w:asciiTheme="majorBidi" w:hAnsiTheme="majorBidi" w:cstheme="majorBidi"/>
          <w:sz w:val="24"/>
          <w:szCs w:val="24"/>
          <w:rtl/>
        </w:rPr>
        <w:t>‏</w:t>
      </w:r>
    </w:p>
    <w:p w14:paraId="3D987D3A" w14:textId="77777777" w:rsidR="00676834" w:rsidRPr="00BB6978" w:rsidRDefault="00676834" w:rsidP="00B14D43">
      <w:pPr>
        <w:spacing w:before="240" w:after="200" w:line="480" w:lineRule="auto"/>
        <w:ind w:left="709" w:hanging="709"/>
        <w:rPr>
          <w:rFonts w:asciiTheme="majorBidi" w:hAnsiTheme="majorBidi" w:cstheme="majorBidi"/>
          <w:sz w:val="24"/>
          <w:szCs w:val="24"/>
          <w:shd w:val="clear" w:color="auto" w:fill="FFFFFF"/>
        </w:rPr>
      </w:pPr>
      <w:bookmarkStart w:id="223" w:name="_Hlk134049660"/>
      <w:r w:rsidRPr="00BB6978">
        <w:rPr>
          <w:rFonts w:asciiTheme="majorBidi" w:hAnsiTheme="majorBidi" w:cstheme="majorBidi"/>
          <w:sz w:val="24"/>
          <w:szCs w:val="24"/>
          <w:shd w:val="clear" w:color="auto" w:fill="FFFFFF"/>
        </w:rPr>
        <w:t xml:space="preserve">Beuermann, </w:t>
      </w:r>
      <w:bookmarkEnd w:id="223"/>
      <w:r w:rsidRPr="00BB6978">
        <w:rPr>
          <w:rFonts w:asciiTheme="majorBidi" w:hAnsiTheme="majorBidi" w:cstheme="majorBidi"/>
          <w:sz w:val="24"/>
          <w:szCs w:val="24"/>
          <w:shd w:val="clear" w:color="auto" w:fill="FFFFFF"/>
        </w:rPr>
        <w:t>D. W., Jackson, C. K., Navarro-Sola, L., &amp; Pardo, F. (2023). What is a good school, and can parents tell? Evidence on the multidimensionality of school output. The Review of Economic Studies, 90(1), 65-101.</w:t>
      </w:r>
    </w:p>
    <w:p w14:paraId="1E08FA0E"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Bevans,R., (2020). An introduction to multiple linear regression. Retrieved from </w:t>
      </w:r>
      <w:hyperlink r:id="rId50" w:history="1">
        <w:r w:rsidRPr="00BB6978">
          <w:rPr>
            <w:rFonts w:asciiTheme="majorBidi" w:hAnsiTheme="majorBidi" w:cstheme="majorBidi"/>
            <w:sz w:val="24"/>
            <w:szCs w:val="24"/>
          </w:rPr>
          <w:t>https://www.scribbr.com/statistics/multiple-linear-regression/</w:t>
        </w:r>
      </w:hyperlink>
    </w:p>
    <w:p w14:paraId="596DB8B6"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Blaney, J., (2000). Long-term planning in international schools. In: M. Hayden and J. Thompson, ed., International Schools and International Education: Improving Teaching, Management and Quality, 1st ed. London: Kogan Page, pp.158-168.</w:t>
      </w:r>
    </w:p>
    <w:p w14:paraId="6153FED9"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Blumberg, B., Cooper, D., &amp; Schindler, P. (2014). </w:t>
      </w:r>
      <w:r w:rsidRPr="00BB6978">
        <w:rPr>
          <w:rFonts w:asciiTheme="majorBidi" w:hAnsiTheme="majorBidi" w:cstheme="majorBidi"/>
          <w:i/>
          <w:iCs/>
          <w:sz w:val="24"/>
          <w:szCs w:val="24"/>
        </w:rPr>
        <w:t>EBOOK: Business Research Methods</w:t>
      </w:r>
      <w:r w:rsidRPr="00BB6978">
        <w:rPr>
          <w:rFonts w:asciiTheme="majorBidi" w:hAnsiTheme="majorBidi" w:cstheme="majorBidi"/>
          <w:sz w:val="24"/>
          <w:szCs w:val="24"/>
        </w:rPr>
        <w:t>. McGraw Hill.</w:t>
      </w:r>
      <w:r w:rsidRPr="00BB6978">
        <w:rPr>
          <w:rFonts w:asciiTheme="majorBidi" w:hAnsiTheme="majorBidi" w:cstheme="majorBidi"/>
          <w:sz w:val="24"/>
          <w:szCs w:val="24"/>
          <w:rtl/>
        </w:rPr>
        <w:t>‏</w:t>
      </w:r>
    </w:p>
    <w:p w14:paraId="6E64B7C6"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Bollen, K.A. (1989). Structural equations with latent variables. New York, NY: John Wiley &amp; Sons, Inc.</w:t>
      </w:r>
    </w:p>
    <w:p w14:paraId="28EB2B2E"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Bosetti, L., (2004). Determinants of school choice: Understanding how parents choose elementary schools in Alberta</w:t>
      </w:r>
      <w:r w:rsidRPr="00BB6978">
        <w:rPr>
          <w:rFonts w:asciiTheme="majorBidi" w:hAnsiTheme="majorBidi" w:cstheme="majorBidi"/>
          <w:i/>
          <w:iCs/>
          <w:sz w:val="24"/>
          <w:szCs w:val="24"/>
        </w:rPr>
        <w:t>. Journal of Education Policy</w:t>
      </w:r>
      <w:r w:rsidRPr="00BB6978">
        <w:rPr>
          <w:rFonts w:asciiTheme="majorBidi" w:hAnsiTheme="majorBidi" w:cstheme="majorBidi"/>
          <w:sz w:val="24"/>
          <w:szCs w:val="24"/>
        </w:rPr>
        <w:t xml:space="preserve"> 19(4):387-405. DOI: 10.1080/0268093042000227465</w:t>
      </w:r>
    </w:p>
    <w:p w14:paraId="4AE44AA0" w14:textId="2FE446D3" w:rsidR="00C43489" w:rsidRPr="00BB6978" w:rsidRDefault="00C43489" w:rsidP="00A44219">
      <w:pPr>
        <w:spacing w:line="480" w:lineRule="auto"/>
        <w:ind w:left="720" w:hanging="720"/>
        <w:rPr>
          <w:rFonts w:asciiTheme="majorBidi" w:eastAsia="Calibri" w:hAnsiTheme="majorBidi" w:cstheme="majorBidi"/>
          <w:sz w:val="24"/>
          <w:szCs w:val="24"/>
          <w:lang w:val="en-IN"/>
        </w:rPr>
      </w:pPr>
      <w:r w:rsidRPr="00BB6978">
        <w:rPr>
          <w:rFonts w:asciiTheme="majorBidi" w:eastAsia="Calibri" w:hAnsiTheme="majorBidi" w:cstheme="majorBidi"/>
          <w:sz w:val="24"/>
          <w:szCs w:val="24"/>
          <w:lang w:val="en-IN"/>
        </w:rPr>
        <w:t>Boston Consulting Group. (2018).</w:t>
      </w:r>
      <w:r w:rsidRPr="00BB6978">
        <w:rPr>
          <w:rFonts w:asciiTheme="majorBidi" w:hAnsiTheme="majorBidi" w:cstheme="majorBidi"/>
          <w:sz w:val="24"/>
          <w:szCs w:val="24"/>
        </w:rPr>
        <w:t xml:space="preserve"> </w:t>
      </w:r>
      <w:r w:rsidRPr="00BB6978">
        <w:rPr>
          <w:rFonts w:asciiTheme="majorBidi" w:eastAsia="Calibri" w:hAnsiTheme="majorBidi" w:cstheme="majorBidi"/>
          <w:sz w:val="24"/>
          <w:szCs w:val="24"/>
          <w:lang w:val="en-IN"/>
        </w:rPr>
        <w:t xml:space="preserve">The UAE's Private K-12 education market will grow by 40% in the next 5 years, BCG study finds. </w:t>
      </w:r>
      <w:hyperlink r:id="rId51" w:history="1">
        <w:r w:rsidRPr="00BB6978">
          <w:rPr>
            <w:rStyle w:val="Hyperlink"/>
            <w:rFonts w:asciiTheme="majorBidi" w:eastAsia="Calibri" w:hAnsiTheme="majorBidi" w:cstheme="majorBidi"/>
            <w:color w:val="auto"/>
            <w:sz w:val="24"/>
            <w:szCs w:val="24"/>
            <w:lang w:val="en-IN"/>
          </w:rPr>
          <w:t>https://www.zawya.com/en/press-release/the-uaes-private-k-12-education-market-will-grow-by-40-in-the-next-5-years-bcg-study-finds-nvs26244</w:t>
        </w:r>
      </w:hyperlink>
    </w:p>
    <w:p w14:paraId="60E44E1D"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Bowen, G. L., Hopson, L. M., Rose, R. A., &amp; Glennie, E. J. (2012). Students' perceived parental school behavior expectations and their academic performance: A longitudinal analysis. </w:t>
      </w:r>
      <w:r w:rsidRPr="00BB6978">
        <w:rPr>
          <w:rFonts w:asciiTheme="majorBidi" w:hAnsiTheme="majorBidi" w:cstheme="majorBidi"/>
          <w:i/>
          <w:iCs/>
          <w:sz w:val="24"/>
          <w:szCs w:val="24"/>
        </w:rPr>
        <w:t>Family Relations</w:t>
      </w:r>
      <w:r w:rsidRPr="00BB6978">
        <w:rPr>
          <w:rFonts w:asciiTheme="majorBidi" w:hAnsiTheme="majorBidi" w:cstheme="majorBidi"/>
          <w:sz w:val="24"/>
          <w:szCs w:val="24"/>
        </w:rPr>
        <w:t>, </w:t>
      </w:r>
      <w:r w:rsidRPr="00BB6978">
        <w:rPr>
          <w:rFonts w:asciiTheme="majorBidi" w:hAnsiTheme="majorBidi" w:cstheme="majorBidi"/>
          <w:i/>
          <w:iCs/>
          <w:sz w:val="24"/>
          <w:szCs w:val="24"/>
        </w:rPr>
        <w:t>61</w:t>
      </w:r>
      <w:r w:rsidRPr="00BB6978">
        <w:rPr>
          <w:rFonts w:asciiTheme="majorBidi" w:hAnsiTheme="majorBidi" w:cstheme="majorBidi"/>
          <w:sz w:val="24"/>
          <w:szCs w:val="24"/>
        </w:rPr>
        <w:t>(2), 175-191.</w:t>
      </w:r>
      <w:r w:rsidRPr="00BB6978">
        <w:rPr>
          <w:rFonts w:asciiTheme="majorBidi" w:hAnsiTheme="majorBidi" w:cstheme="majorBidi"/>
          <w:sz w:val="24"/>
          <w:szCs w:val="24"/>
          <w:rtl/>
        </w:rPr>
        <w:t>‏</w:t>
      </w:r>
    </w:p>
    <w:p w14:paraId="31959689"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Bradford, J., Mowder, D., &amp; Bohte, J. (2016). You can lead students to water, but you can't make them think: An assessment of student engagement and learning through student-centered teaching. </w:t>
      </w:r>
      <w:r w:rsidRPr="00BB6978">
        <w:rPr>
          <w:rFonts w:asciiTheme="majorBidi" w:hAnsiTheme="majorBidi" w:cstheme="majorBidi"/>
          <w:i/>
          <w:iCs/>
          <w:sz w:val="24"/>
          <w:szCs w:val="24"/>
        </w:rPr>
        <w:t>Journal of the Scholarship of Teaching and Learning</w:t>
      </w:r>
      <w:r w:rsidRPr="00BB6978">
        <w:rPr>
          <w:rFonts w:asciiTheme="majorBidi" w:hAnsiTheme="majorBidi" w:cstheme="majorBidi"/>
          <w:sz w:val="24"/>
          <w:szCs w:val="24"/>
        </w:rPr>
        <w:t>, </w:t>
      </w:r>
      <w:r w:rsidRPr="00BB6978">
        <w:rPr>
          <w:rFonts w:asciiTheme="majorBidi" w:hAnsiTheme="majorBidi" w:cstheme="majorBidi"/>
          <w:i/>
          <w:iCs/>
          <w:sz w:val="24"/>
          <w:szCs w:val="24"/>
        </w:rPr>
        <w:t>16</w:t>
      </w:r>
      <w:r w:rsidRPr="00BB6978">
        <w:rPr>
          <w:rFonts w:asciiTheme="majorBidi" w:hAnsiTheme="majorBidi" w:cstheme="majorBidi"/>
          <w:sz w:val="24"/>
          <w:szCs w:val="24"/>
        </w:rPr>
        <w:t>(4), 33-43.</w:t>
      </w:r>
      <w:r w:rsidRPr="00BB6978">
        <w:rPr>
          <w:rFonts w:asciiTheme="majorBidi" w:hAnsiTheme="majorBidi" w:cstheme="majorBidi"/>
          <w:sz w:val="24"/>
          <w:szCs w:val="24"/>
          <w:rtl/>
        </w:rPr>
        <w:t>‏</w:t>
      </w:r>
    </w:p>
    <w:p w14:paraId="0C20CBA2" w14:textId="0B838C12" w:rsidR="00C43489" w:rsidRPr="00BB6978" w:rsidRDefault="00C43489" w:rsidP="00B14D43">
      <w:pPr>
        <w:spacing w:line="480" w:lineRule="auto"/>
        <w:ind w:left="720" w:hanging="720"/>
        <w:rPr>
          <w:rFonts w:asciiTheme="majorBidi" w:eastAsia="Times New Roman" w:hAnsiTheme="majorBidi" w:cstheme="majorBidi"/>
          <w:sz w:val="24"/>
          <w:szCs w:val="24"/>
          <w:shd w:val="clear" w:color="auto" w:fill="FFFFFF"/>
        </w:rPr>
      </w:pPr>
      <w:bookmarkStart w:id="224" w:name="_Hlk137912948"/>
      <w:r w:rsidRPr="00BB6978">
        <w:rPr>
          <w:rStyle w:val="contentpasted5"/>
          <w:rFonts w:asciiTheme="majorBidi" w:eastAsia="Times New Roman" w:hAnsiTheme="majorBidi" w:cstheme="majorBidi"/>
          <w:sz w:val="24"/>
          <w:szCs w:val="24"/>
          <w:shd w:val="clear" w:color="auto" w:fill="FFFFFF"/>
        </w:rPr>
        <w:t>Brajša-Žganec, A. (2019</w:t>
      </w:r>
      <w:bookmarkEnd w:id="224"/>
      <w:r w:rsidRPr="00BB6978">
        <w:rPr>
          <w:rStyle w:val="contentpasted5"/>
          <w:rFonts w:asciiTheme="majorBidi" w:eastAsia="Times New Roman" w:hAnsiTheme="majorBidi" w:cstheme="majorBidi"/>
          <w:sz w:val="24"/>
          <w:szCs w:val="24"/>
          <w:shd w:val="clear" w:color="auto" w:fill="FFFFFF"/>
        </w:rPr>
        <w:t>). Merkaš,; Šakić Velić, M. The relations of parental supervision, parental school involvement, and child’s social competence with school achievement in primary school. </w:t>
      </w:r>
      <w:r w:rsidRPr="00BB6978">
        <w:rPr>
          <w:rStyle w:val="contentpasted5"/>
          <w:rFonts w:asciiTheme="majorBidi" w:eastAsia="Times New Roman" w:hAnsiTheme="majorBidi" w:cstheme="majorBidi"/>
          <w:i/>
          <w:iCs/>
          <w:sz w:val="24"/>
          <w:szCs w:val="24"/>
          <w:shd w:val="clear" w:color="auto" w:fill="FFFFFF"/>
        </w:rPr>
        <w:t>Psychol. Sch</w:t>
      </w:r>
      <w:r w:rsidRPr="00BB6978">
        <w:rPr>
          <w:rStyle w:val="contentpasted5"/>
          <w:rFonts w:asciiTheme="majorBidi" w:eastAsia="Times New Roman" w:hAnsiTheme="majorBidi" w:cstheme="majorBidi"/>
          <w:sz w:val="24"/>
          <w:szCs w:val="24"/>
          <w:shd w:val="clear" w:color="auto" w:fill="FFFFFF"/>
        </w:rPr>
        <w:t>, </w:t>
      </w:r>
      <w:r w:rsidRPr="00BB6978">
        <w:rPr>
          <w:rStyle w:val="contentpasted5"/>
          <w:rFonts w:asciiTheme="majorBidi" w:eastAsia="Times New Roman" w:hAnsiTheme="majorBidi" w:cstheme="majorBidi"/>
          <w:i/>
          <w:iCs/>
          <w:sz w:val="24"/>
          <w:szCs w:val="24"/>
          <w:shd w:val="clear" w:color="auto" w:fill="FFFFFF"/>
        </w:rPr>
        <w:t>56</w:t>
      </w:r>
      <w:r w:rsidRPr="00BB6978">
        <w:rPr>
          <w:rStyle w:val="contentpasted5"/>
          <w:rFonts w:asciiTheme="majorBidi" w:eastAsia="Times New Roman" w:hAnsiTheme="majorBidi" w:cstheme="majorBidi"/>
          <w:sz w:val="24"/>
          <w:szCs w:val="24"/>
          <w:shd w:val="clear" w:color="auto" w:fill="FFFFFF"/>
        </w:rPr>
        <w:t>, 1246-1258.</w:t>
      </w:r>
    </w:p>
    <w:p w14:paraId="52BCE41A"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Braun, H., Jenkins, F.,  and G. (2006). Comparing Private Schools and Public Schools Using Hierarchical Linear Modeling. [Online]. Available from: </w:t>
      </w:r>
      <w:hyperlink r:id="rId52" w:history="1">
        <w:r w:rsidRPr="00BB6978">
          <w:rPr>
            <w:rFonts w:asciiTheme="majorBidi" w:hAnsiTheme="majorBidi" w:cstheme="majorBidi"/>
            <w:sz w:val="24"/>
            <w:szCs w:val="24"/>
            <w:u w:val="single"/>
          </w:rPr>
          <w:t>https://nces.ed.gov/nationsreportcard/pdf/studies/2006461.pdf</w:t>
        </w:r>
      </w:hyperlink>
      <w:r w:rsidRPr="00BB6978">
        <w:rPr>
          <w:rFonts w:asciiTheme="majorBidi" w:hAnsiTheme="majorBidi" w:cstheme="majorBidi"/>
          <w:sz w:val="24"/>
          <w:szCs w:val="24"/>
        </w:rPr>
        <w:t>.</w:t>
      </w:r>
    </w:p>
    <w:p w14:paraId="3387AD96"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Bray, M., &amp; Ventura, A. (2022). Multiple systems, multiple shadows: Diversity of supplementary tutoring received by private-school students in Dubai. </w:t>
      </w:r>
      <w:r w:rsidRPr="00BB6978">
        <w:rPr>
          <w:rFonts w:asciiTheme="majorBidi" w:hAnsiTheme="majorBidi" w:cstheme="majorBidi"/>
          <w:i/>
          <w:iCs/>
          <w:sz w:val="24"/>
          <w:szCs w:val="24"/>
        </w:rPr>
        <w:t>International Journal of Educational Development</w:t>
      </w:r>
      <w:r w:rsidRPr="00BB6978">
        <w:rPr>
          <w:rFonts w:asciiTheme="majorBidi" w:hAnsiTheme="majorBidi" w:cstheme="majorBidi"/>
          <w:sz w:val="24"/>
          <w:szCs w:val="24"/>
        </w:rPr>
        <w:t>, </w:t>
      </w:r>
      <w:r w:rsidRPr="00BB6978">
        <w:rPr>
          <w:rFonts w:asciiTheme="majorBidi" w:hAnsiTheme="majorBidi" w:cstheme="majorBidi"/>
          <w:i/>
          <w:iCs/>
          <w:sz w:val="24"/>
          <w:szCs w:val="24"/>
        </w:rPr>
        <w:t>92</w:t>
      </w:r>
      <w:r w:rsidRPr="00BB6978">
        <w:rPr>
          <w:rFonts w:asciiTheme="majorBidi" w:hAnsiTheme="majorBidi" w:cstheme="majorBidi"/>
          <w:sz w:val="24"/>
          <w:szCs w:val="24"/>
        </w:rPr>
        <w:t>, 102624.</w:t>
      </w:r>
      <w:r w:rsidRPr="00BB6978">
        <w:rPr>
          <w:rFonts w:asciiTheme="majorBidi" w:hAnsiTheme="majorBidi" w:cstheme="majorBidi"/>
          <w:sz w:val="24"/>
          <w:szCs w:val="24"/>
          <w:rtl/>
        </w:rPr>
        <w:t>‏</w:t>
      </w:r>
    </w:p>
    <w:p w14:paraId="771B1BCC"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Britton, J., &amp; Propper, C. (2016). Teacher pay and school productivity: Exploiting wage regulation. </w:t>
      </w:r>
      <w:r w:rsidRPr="00BB6978">
        <w:rPr>
          <w:rFonts w:asciiTheme="majorBidi" w:hAnsiTheme="majorBidi" w:cstheme="majorBidi"/>
          <w:i/>
          <w:iCs/>
          <w:sz w:val="24"/>
          <w:szCs w:val="24"/>
        </w:rPr>
        <w:t>Journal of Public Economics</w:t>
      </w:r>
      <w:r w:rsidRPr="00BB6978">
        <w:rPr>
          <w:rFonts w:asciiTheme="majorBidi" w:hAnsiTheme="majorBidi" w:cstheme="majorBidi"/>
          <w:sz w:val="24"/>
          <w:szCs w:val="24"/>
        </w:rPr>
        <w:t>, </w:t>
      </w:r>
      <w:r w:rsidRPr="00BB6978">
        <w:rPr>
          <w:rFonts w:asciiTheme="majorBidi" w:hAnsiTheme="majorBidi" w:cstheme="majorBidi"/>
          <w:i/>
          <w:iCs/>
          <w:sz w:val="24"/>
          <w:szCs w:val="24"/>
        </w:rPr>
        <w:t>133</w:t>
      </w:r>
      <w:r w:rsidRPr="00BB6978">
        <w:rPr>
          <w:rFonts w:asciiTheme="majorBidi" w:hAnsiTheme="majorBidi" w:cstheme="majorBidi"/>
          <w:sz w:val="24"/>
          <w:szCs w:val="24"/>
        </w:rPr>
        <w:t>, 75-89.</w:t>
      </w:r>
      <w:r w:rsidRPr="00BB6978">
        <w:rPr>
          <w:rFonts w:asciiTheme="majorBidi" w:hAnsiTheme="majorBidi" w:cstheme="majorBidi"/>
          <w:sz w:val="24"/>
          <w:szCs w:val="24"/>
          <w:rtl/>
        </w:rPr>
        <w:t>‏</w:t>
      </w:r>
    </w:p>
    <w:p w14:paraId="1622D4F1" w14:textId="29FDDFE8" w:rsidR="00C43489"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Brown, B.W., &amp; Saks, D.H. (1981). The microeconomics of schooling. Review of Research in Education. 217-252.</w:t>
      </w:r>
    </w:p>
    <w:p w14:paraId="19B11B33"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Buchmann, C., Condron, D.J. &amp; Roscigno, V.J. (2010). Shadow Education, American Style: Test Preparation, the SAT and College Enrollment. Social Forces. [Online]. 89 (2). pp. 435–461. Available from: </w:t>
      </w:r>
      <w:hyperlink r:id="rId53" w:history="1">
        <w:r w:rsidRPr="00BB6978">
          <w:rPr>
            <w:rFonts w:asciiTheme="majorBidi" w:hAnsiTheme="majorBidi" w:cstheme="majorBidi"/>
            <w:sz w:val="24"/>
            <w:szCs w:val="24"/>
            <w:u w:val="single"/>
          </w:rPr>
          <w:t>https://academic.oup.com/sf/article-lookup/doi/10.1353/sof.2010.0105</w:t>
        </w:r>
      </w:hyperlink>
      <w:r w:rsidRPr="00BB6978">
        <w:rPr>
          <w:rFonts w:asciiTheme="majorBidi" w:hAnsiTheme="majorBidi" w:cstheme="majorBidi"/>
          <w:sz w:val="24"/>
          <w:szCs w:val="24"/>
        </w:rPr>
        <w:t>.</w:t>
      </w:r>
    </w:p>
    <w:p w14:paraId="3A6D36D0"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Bücker, S., Nuraydin, S., Simonsmeier, B.A., Schneider, M. &amp; Luhmann, M. (2018). Subjective well-being and academic achievement: A meta-analysis. Journal of Research in Personality. [Online]. 74. pp. 83–94. Available from: </w:t>
      </w:r>
      <w:hyperlink r:id="rId54" w:history="1">
        <w:r w:rsidRPr="00BB6978">
          <w:rPr>
            <w:rFonts w:asciiTheme="majorBidi" w:hAnsiTheme="majorBidi" w:cstheme="majorBidi"/>
            <w:sz w:val="24"/>
            <w:szCs w:val="24"/>
            <w:u w:val="single"/>
          </w:rPr>
          <w:t>https://linkinghub.elsevier.com/retrieve/pii/S0092656618300199</w:t>
        </w:r>
      </w:hyperlink>
      <w:r w:rsidRPr="00BB6978">
        <w:rPr>
          <w:rFonts w:asciiTheme="majorBidi" w:hAnsiTheme="majorBidi" w:cstheme="majorBidi"/>
          <w:sz w:val="24"/>
          <w:szCs w:val="24"/>
        </w:rPr>
        <w:t>.</w:t>
      </w:r>
    </w:p>
    <w:p w14:paraId="0ADCA7C0"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Buckner, E. (2018). The other gap: Examining low-income Emiratis’ educational achievement. </w:t>
      </w:r>
      <w:r w:rsidRPr="00BB6978">
        <w:rPr>
          <w:rFonts w:asciiTheme="majorBidi" w:hAnsiTheme="majorBidi" w:cstheme="majorBidi"/>
          <w:i/>
          <w:iCs/>
          <w:sz w:val="24"/>
          <w:szCs w:val="24"/>
        </w:rPr>
        <w:t>Sheikh Saud bin Saqr Al Qasimi Foundation for Policy Research. http://www. alqasimifounda tion. com/admin/Content/the-other-gap-examining-low-income-emiratis-educationalachievement-File301220189309. pdf</w:t>
      </w:r>
      <w:r w:rsidRPr="00BB6978">
        <w:rPr>
          <w:rFonts w:asciiTheme="majorBidi" w:hAnsiTheme="majorBidi" w:cstheme="majorBidi"/>
          <w:sz w:val="24"/>
          <w:szCs w:val="24"/>
        </w:rPr>
        <w:t>.</w:t>
      </w:r>
      <w:r w:rsidRPr="00BB6978">
        <w:rPr>
          <w:rFonts w:asciiTheme="majorBidi" w:hAnsiTheme="majorBidi" w:cstheme="majorBidi"/>
          <w:sz w:val="24"/>
          <w:szCs w:val="24"/>
          <w:rtl/>
        </w:rPr>
        <w:t>‏</w:t>
      </w:r>
    </w:p>
    <w:p w14:paraId="4E1C3097"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Buckner, E., Spencer, D., &amp; Cha, J. (2018). Between policy and practice: The education of Syrian refugees in Lebanon. </w:t>
      </w:r>
      <w:r w:rsidRPr="00BB6978">
        <w:rPr>
          <w:rFonts w:asciiTheme="majorBidi" w:hAnsiTheme="majorBidi" w:cstheme="majorBidi"/>
          <w:i/>
          <w:iCs/>
          <w:sz w:val="24"/>
          <w:szCs w:val="24"/>
        </w:rPr>
        <w:t>Journal of Refugee Studies</w:t>
      </w:r>
      <w:r w:rsidRPr="00BB6978">
        <w:rPr>
          <w:rFonts w:asciiTheme="majorBidi" w:hAnsiTheme="majorBidi" w:cstheme="majorBidi"/>
          <w:sz w:val="24"/>
          <w:szCs w:val="24"/>
        </w:rPr>
        <w:t>, </w:t>
      </w:r>
      <w:r w:rsidRPr="00BB6978">
        <w:rPr>
          <w:rFonts w:asciiTheme="majorBidi" w:hAnsiTheme="majorBidi" w:cstheme="majorBidi"/>
          <w:i/>
          <w:iCs/>
          <w:sz w:val="24"/>
          <w:szCs w:val="24"/>
        </w:rPr>
        <w:t>31</w:t>
      </w:r>
      <w:r w:rsidRPr="00BB6978">
        <w:rPr>
          <w:rFonts w:asciiTheme="majorBidi" w:hAnsiTheme="majorBidi" w:cstheme="majorBidi"/>
          <w:sz w:val="24"/>
          <w:szCs w:val="24"/>
        </w:rPr>
        <w:t>(4), 444-465.</w:t>
      </w:r>
      <w:r w:rsidRPr="00BB6978">
        <w:rPr>
          <w:rFonts w:asciiTheme="majorBidi" w:hAnsiTheme="majorBidi" w:cstheme="majorBidi"/>
          <w:sz w:val="24"/>
          <w:szCs w:val="24"/>
          <w:rtl/>
        </w:rPr>
        <w:t>‏</w:t>
      </w:r>
    </w:p>
    <w:p w14:paraId="2A80E168"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Burtless, G. (Ed.). (2011). </w:t>
      </w:r>
      <w:r w:rsidRPr="00BB6978">
        <w:rPr>
          <w:rFonts w:asciiTheme="majorBidi" w:hAnsiTheme="majorBidi" w:cstheme="majorBidi"/>
          <w:i/>
          <w:iCs/>
          <w:sz w:val="24"/>
          <w:szCs w:val="24"/>
        </w:rPr>
        <w:t>Does money matter?: The effect of school resources on student achievement and adult success</w:t>
      </w:r>
      <w:r w:rsidRPr="00BB6978">
        <w:rPr>
          <w:rFonts w:asciiTheme="majorBidi" w:hAnsiTheme="majorBidi" w:cstheme="majorBidi"/>
          <w:sz w:val="24"/>
          <w:szCs w:val="24"/>
        </w:rPr>
        <w:t>. Brookings Institution Press.</w:t>
      </w:r>
      <w:r w:rsidRPr="00BB6978">
        <w:rPr>
          <w:rFonts w:asciiTheme="majorBidi" w:hAnsiTheme="majorBidi" w:cstheme="majorBidi"/>
          <w:sz w:val="24"/>
          <w:szCs w:val="24"/>
          <w:rtl/>
        </w:rPr>
        <w:t>‏</w:t>
      </w:r>
    </w:p>
    <w:p w14:paraId="2D541060"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Byrne, B. M. (2001). Structural equation modeling with AMOS: Basic concepts, applications, and programming. Mahwah, NJ: Lawrence Erlbaum Associates.</w:t>
      </w:r>
    </w:p>
    <w:p w14:paraId="621ADEE9" w14:textId="12929D15" w:rsidR="00C43489" w:rsidRPr="00BB6978" w:rsidRDefault="00C43489" w:rsidP="00B14D43">
      <w:pPr>
        <w:spacing w:line="480" w:lineRule="auto"/>
        <w:ind w:left="720" w:hanging="720"/>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Caldas, S. J., &amp; Bankston, C. L. (1997).   The effect of school population socioeconomic status on individual student academic achievement. Journal of Educational Research, 90, 269-277.</w:t>
      </w:r>
    </w:p>
    <w:p w14:paraId="0D04F231" w14:textId="77777777" w:rsidR="00676834" w:rsidRPr="00BB6978" w:rsidRDefault="00676834" w:rsidP="00B14D43">
      <w:pPr>
        <w:spacing w:before="240" w:after="200" w:line="480" w:lineRule="auto"/>
        <w:ind w:left="709" w:hanging="709"/>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Campos, C., &amp; Kearns, C. (2022). The Impact of Neighborhood School Choice: Evidence from Los Angeles' Zones of Choice. </w:t>
      </w:r>
      <w:r w:rsidRPr="00BB6978">
        <w:rPr>
          <w:rFonts w:asciiTheme="majorBidi" w:hAnsiTheme="majorBidi" w:cstheme="majorBidi"/>
          <w:i/>
          <w:iCs/>
          <w:sz w:val="24"/>
          <w:szCs w:val="24"/>
          <w:shd w:val="clear" w:color="auto" w:fill="FFFFFF"/>
        </w:rPr>
        <w:t>Available at SSRN 3830628</w:t>
      </w:r>
      <w:r w:rsidRPr="00BB6978">
        <w:rPr>
          <w:rFonts w:asciiTheme="majorBidi" w:hAnsiTheme="majorBidi" w:cstheme="majorBidi"/>
          <w:sz w:val="24"/>
          <w:szCs w:val="24"/>
          <w:shd w:val="clear" w:color="auto" w:fill="FFFFFF"/>
        </w:rPr>
        <w:t>.</w:t>
      </w:r>
    </w:p>
    <w:p w14:paraId="11CC07F0"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Carnevale, A &amp; Rose, S. (2003). Socioeconomic Status, Race/Ethnicity, and Selective College Admissions. A Century Foundation Paper.</w:t>
      </w:r>
    </w:p>
    <w:p w14:paraId="3E54D924" w14:textId="238FBC42" w:rsidR="00C43489" w:rsidRPr="00BB6978" w:rsidRDefault="00C43489" w:rsidP="00B14D43">
      <w:pPr>
        <w:spacing w:line="480" w:lineRule="auto"/>
        <w:ind w:left="720" w:hanging="720"/>
        <w:rPr>
          <w:rFonts w:asciiTheme="majorBidi" w:hAnsiTheme="majorBidi" w:cstheme="majorBidi"/>
          <w:sz w:val="24"/>
          <w:szCs w:val="24"/>
          <w:shd w:val="clear" w:color="auto" w:fill="FFFFFF"/>
        </w:rPr>
      </w:pPr>
      <w:bookmarkStart w:id="225" w:name="_Hlk138082587"/>
      <w:r w:rsidRPr="00BB6978">
        <w:rPr>
          <w:rFonts w:asciiTheme="majorBidi" w:hAnsiTheme="majorBidi" w:cstheme="majorBidi"/>
          <w:sz w:val="24"/>
          <w:szCs w:val="24"/>
          <w:shd w:val="clear" w:color="auto" w:fill="FFFFFF"/>
        </w:rPr>
        <w:t xml:space="preserve">Care, </w:t>
      </w:r>
      <w:bookmarkEnd w:id="225"/>
      <w:r w:rsidRPr="00BB6978">
        <w:rPr>
          <w:rFonts w:asciiTheme="majorBidi" w:hAnsiTheme="majorBidi" w:cstheme="majorBidi"/>
          <w:sz w:val="24"/>
          <w:szCs w:val="24"/>
          <w:shd w:val="clear" w:color="auto" w:fill="FFFFFF"/>
        </w:rPr>
        <w:t>E., Kim, H., Vista, A., &amp; Anderson, K. (2018). Education System Alignment for 21st Century Skills: Focus on Assessment. </w:t>
      </w:r>
      <w:r w:rsidRPr="00BB6978">
        <w:rPr>
          <w:rFonts w:asciiTheme="majorBidi" w:hAnsiTheme="majorBidi" w:cstheme="majorBidi"/>
          <w:i/>
          <w:iCs/>
          <w:sz w:val="24"/>
          <w:szCs w:val="24"/>
          <w:shd w:val="clear" w:color="auto" w:fill="FFFFFF"/>
        </w:rPr>
        <w:t>Center for Universal Education at The Brookings Institution</w:t>
      </w:r>
      <w:r w:rsidRPr="00BB6978">
        <w:rPr>
          <w:rFonts w:asciiTheme="majorBidi" w:hAnsiTheme="majorBidi" w:cstheme="majorBidi"/>
          <w:sz w:val="24"/>
          <w:szCs w:val="24"/>
          <w:shd w:val="clear" w:color="auto" w:fill="FFFFFF"/>
        </w:rPr>
        <w:t>.</w:t>
      </w:r>
    </w:p>
    <w:p w14:paraId="5B593643"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Castro, M., Expósito-Casas, E., López-Martín, E., Lizasoain, L., Navarro-Asencio, E., &amp; Gaviria, J. L. (2015). Parental involvement on student academic achievement: A meta-analysis. </w:t>
      </w:r>
      <w:r w:rsidRPr="00BB6978">
        <w:rPr>
          <w:rFonts w:asciiTheme="majorBidi" w:hAnsiTheme="majorBidi" w:cstheme="majorBidi"/>
          <w:i/>
          <w:iCs/>
          <w:sz w:val="24"/>
          <w:szCs w:val="24"/>
        </w:rPr>
        <w:t>Educational research review</w:t>
      </w:r>
      <w:r w:rsidRPr="00BB6978">
        <w:rPr>
          <w:rFonts w:asciiTheme="majorBidi" w:hAnsiTheme="majorBidi" w:cstheme="majorBidi"/>
          <w:sz w:val="24"/>
          <w:szCs w:val="24"/>
        </w:rPr>
        <w:t>, </w:t>
      </w:r>
      <w:r w:rsidRPr="00BB6978">
        <w:rPr>
          <w:rFonts w:asciiTheme="majorBidi" w:hAnsiTheme="majorBidi" w:cstheme="majorBidi"/>
          <w:i/>
          <w:iCs/>
          <w:sz w:val="24"/>
          <w:szCs w:val="24"/>
        </w:rPr>
        <w:t>14</w:t>
      </w:r>
      <w:r w:rsidRPr="00BB6978">
        <w:rPr>
          <w:rFonts w:asciiTheme="majorBidi" w:hAnsiTheme="majorBidi" w:cstheme="majorBidi"/>
          <w:sz w:val="24"/>
          <w:szCs w:val="24"/>
        </w:rPr>
        <w:t>, 33-46.</w:t>
      </w:r>
      <w:r w:rsidRPr="00BB6978">
        <w:rPr>
          <w:rFonts w:asciiTheme="majorBidi" w:hAnsiTheme="majorBidi" w:cstheme="majorBidi"/>
          <w:sz w:val="24"/>
          <w:szCs w:val="24"/>
          <w:rtl/>
        </w:rPr>
        <w:t>‏</w:t>
      </w:r>
    </w:p>
    <w:p w14:paraId="5171EB51" w14:textId="77777777" w:rsidR="00C43489" w:rsidRPr="00BB6978" w:rsidRDefault="00C43489" w:rsidP="00B14D43">
      <w:pPr>
        <w:spacing w:line="480" w:lineRule="auto"/>
        <w:ind w:left="720" w:hanging="720"/>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Capraro, M. M., Capraro, R. M., &amp; Wiggins, B. B. (2000). An investigation of the effect of gender, socioeconomic status, race and grades on standardized test scores. Paper presented at the Southwest Educational Research Association, Dallas, TX meeting.</w:t>
      </w:r>
    </w:p>
    <w:p w14:paraId="08838B66" w14:textId="77777777" w:rsidR="005D2C22" w:rsidRPr="00BB6978" w:rsidRDefault="005D2C22" w:rsidP="00B14D43">
      <w:pPr>
        <w:spacing w:line="480" w:lineRule="auto"/>
        <w:rPr>
          <w:rFonts w:asciiTheme="majorBidi" w:hAnsiTheme="majorBidi" w:cstheme="majorBidi"/>
          <w:sz w:val="24"/>
          <w:szCs w:val="24"/>
          <w:lang w:val="en-US"/>
        </w:rPr>
      </w:pPr>
      <w:r w:rsidRPr="00BB6978">
        <w:rPr>
          <w:rFonts w:asciiTheme="majorBidi" w:hAnsiTheme="majorBidi" w:cstheme="majorBidi"/>
          <w:sz w:val="24"/>
          <w:szCs w:val="24"/>
          <w:lang w:val="en-US"/>
        </w:rPr>
        <w:t xml:space="preserve">Chen, Y.-C. (2020). Private schooling, family background, and access to elite higher education: A comparative study of China and the United States. Research in Social Stratification and Mobility, 66, 100490. </w:t>
      </w:r>
      <w:hyperlink r:id="rId55" w:history="1">
        <w:r w:rsidRPr="00BB6978">
          <w:rPr>
            <w:rStyle w:val="Hyperlink"/>
            <w:rFonts w:asciiTheme="majorBidi" w:hAnsiTheme="majorBidi" w:cstheme="majorBidi"/>
            <w:color w:val="auto"/>
            <w:sz w:val="24"/>
            <w:szCs w:val="24"/>
            <w:lang w:val="en-US"/>
          </w:rPr>
          <w:t>https://doi.org/10.1016/j.rssm.2020.100490</w:t>
        </w:r>
      </w:hyperlink>
    </w:p>
    <w:p w14:paraId="3987807A"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Chesters, J. (2018). The marketisation of education in Australia: Does investment in private schooling improve post-school outcomes? Australian Journal of Social Issues. 53 (2). pp. 139–157.</w:t>
      </w:r>
    </w:p>
    <w:p w14:paraId="1E58998C"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Chifamba, C. (2019). An Analysis of how Parents Influence their Children‟ s Career Decisions. </w:t>
      </w:r>
      <w:r w:rsidRPr="00BB6978">
        <w:rPr>
          <w:rFonts w:asciiTheme="majorBidi" w:hAnsiTheme="majorBidi" w:cstheme="majorBidi"/>
          <w:i/>
          <w:iCs/>
          <w:sz w:val="24"/>
          <w:szCs w:val="24"/>
        </w:rPr>
        <w:t>International Journal of Innovative Science and Research Technology</w:t>
      </w:r>
      <w:r w:rsidRPr="00BB6978">
        <w:rPr>
          <w:rFonts w:asciiTheme="majorBidi" w:hAnsiTheme="majorBidi" w:cstheme="majorBidi"/>
          <w:sz w:val="24"/>
          <w:szCs w:val="24"/>
        </w:rPr>
        <w:t>, </w:t>
      </w:r>
      <w:r w:rsidRPr="00BB6978">
        <w:rPr>
          <w:rFonts w:asciiTheme="majorBidi" w:hAnsiTheme="majorBidi" w:cstheme="majorBidi"/>
          <w:i/>
          <w:iCs/>
          <w:sz w:val="24"/>
          <w:szCs w:val="24"/>
        </w:rPr>
        <w:t>4</w:t>
      </w:r>
      <w:r w:rsidRPr="00BB6978">
        <w:rPr>
          <w:rFonts w:asciiTheme="majorBidi" w:hAnsiTheme="majorBidi" w:cstheme="majorBidi"/>
          <w:sz w:val="24"/>
          <w:szCs w:val="24"/>
        </w:rPr>
        <w:t>(12), 1207-1213.</w:t>
      </w:r>
      <w:r w:rsidRPr="00BB6978">
        <w:rPr>
          <w:rFonts w:asciiTheme="majorBidi" w:hAnsiTheme="majorBidi" w:cstheme="majorBidi"/>
          <w:sz w:val="24"/>
          <w:szCs w:val="24"/>
          <w:rtl/>
        </w:rPr>
        <w:t>‏</w:t>
      </w:r>
    </w:p>
    <w:p w14:paraId="48073F70"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Clarke, S., &amp; O’Donoghue, T. (2017). Educational leadership and context: A rendering of an inseparable relationship. </w:t>
      </w:r>
      <w:r w:rsidRPr="00BB6978">
        <w:rPr>
          <w:rFonts w:asciiTheme="majorBidi" w:hAnsiTheme="majorBidi" w:cstheme="majorBidi"/>
          <w:i/>
          <w:iCs/>
          <w:sz w:val="24"/>
          <w:szCs w:val="24"/>
        </w:rPr>
        <w:t>British Journal of Educational Studies</w:t>
      </w:r>
      <w:r w:rsidRPr="00BB6978">
        <w:rPr>
          <w:rFonts w:asciiTheme="majorBidi" w:hAnsiTheme="majorBidi" w:cstheme="majorBidi"/>
          <w:sz w:val="24"/>
          <w:szCs w:val="24"/>
        </w:rPr>
        <w:t>, </w:t>
      </w:r>
      <w:r w:rsidRPr="00BB6978">
        <w:rPr>
          <w:rFonts w:asciiTheme="majorBidi" w:hAnsiTheme="majorBidi" w:cstheme="majorBidi"/>
          <w:i/>
          <w:iCs/>
          <w:sz w:val="24"/>
          <w:szCs w:val="24"/>
        </w:rPr>
        <w:t>65</w:t>
      </w:r>
      <w:r w:rsidRPr="00BB6978">
        <w:rPr>
          <w:rFonts w:asciiTheme="majorBidi" w:hAnsiTheme="majorBidi" w:cstheme="majorBidi"/>
          <w:sz w:val="24"/>
          <w:szCs w:val="24"/>
        </w:rPr>
        <w:t>(2), 167-182.</w:t>
      </w:r>
      <w:r w:rsidRPr="00BB6978">
        <w:rPr>
          <w:rFonts w:asciiTheme="majorBidi" w:hAnsiTheme="majorBidi" w:cstheme="majorBidi"/>
          <w:sz w:val="24"/>
          <w:szCs w:val="24"/>
          <w:rtl/>
        </w:rPr>
        <w:t>‏</w:t>
      </w:r>
    </w:p>
    <w:p w14:paraId="591992A3"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Coleman, J.S., Campbell, E.Q., Hobson, C.J., McPartland, J., Mood, A.M., Weinfeld, F.D., York, R.L. (1966). Equality of educational opportunity. Washington, DC: U.S. Government Printing Office.</w:t>
      </w:r>
    </w:p>
    <w:p w14:paraId="451B6715"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Collins, T. N., &amp; Parson, K. A. (2010). School climate and student outcomes. </w:t>
      </w:r>
      <w:r w:rsidRPr="00BB6978">
        <w:rPr>
          <w:rFonts w:asciiTheme="majorBidi" w:hAnsiTheme="majorBidi" w:cstheme="majorBidi"/>
          <w:i/>
          <w:iCs/>
          <w:sz w:val="24"/>
          <w:szCs w:val="24"/>
        </w:rPr>
        <w:t>Journal of Cross-Disciplinary Perspectives in Education</w:t>
      </w:r>
      <w:r w:rsidRPr="00BB6978">
        <w:rPr>
          <w:rFonts w:asciiTheme="majorBidi" w:hAnsiTheme="majorBidi" w:cstheme="majorBidi"/>
          <w:sz w:val="24"/>
          <w:szCs w:val="24"/>
        </w:rPr>
        <w:t>, </w:t>
      </w:r>
      <w:r w:rsidRPr="00BB6978">
        <w:rPr>
          <w:rFonts w:asciiTheme="majorBidi" w:hAnsiTheme="majorBidi" w:cstheme="majorBidi"/>
          <w:i/>
          <w:iCs/>
          <w:sz w:val="24"/>
          <w:szCs w:val="24"/>
        </w:rPr>
        <w:t>3</w:t>
      </w:r>
      <w:r w:rsidRPr="00BB6978">
        <w:rPr>
          <w:rFonts w:asciiTheme="majorBidi" w:hAnsiTheme="majorBidi" w:cstheme="majorBidi"/>
          <w:sz w:val="24"/>
          <w:szCs w:val="24"/>
        </w:rPr>
        <w:t>(1), 34-39.</w:t>
      </w:r>
      <w:r w:rsidRPr="00BB6978">
        <w:rPr>
          <w:rFonts w:asciiTheme="majorBidi" w:hAnsiTheme="majorBidi" w:cstheme="majorBidi"/>
          <w:sz w:val="24"/>
          <w:szCs w:val="24"/>
          <w:rtl/>
        </w:rPr>
        <w:t>‏</w:t>
      </w:r>
    </w:p>
    <w:p w14:paraId="474E71BC"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Creswell, J. W. (2012). Educational research: Planning, conducting, and evaluating qualitative and quantitative research (4th ed.). Boston, USA: Pearson.</w:t>
      </w:r>
    </w:p>
    <w:p w14:paraId="4AE5F640" w14:textId="6B5FF6BA" w:rsidR="00C43489" w:rsidRPr="00BB6978" w:rsidRDefault="00C43489" w:rsidP="00A44219">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shd w:val="clear" w:color="auto" w:fill="FFFFFF"/>
        </w:rPr>
        <w:t>Crosnoe, R., Johnson, M. K., &amp; Elder, G. H. (2004). School size and the interpersonal side of education: An examination of race/ethnicity and organizational context. Social Science Quarterly, 85(5), 12591274.</w:t>
      </w:r>
    </w:p>
    <w:p w14:paraId="276E22B9"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Darling-Hammond, L. (2000). Teacher quality and student achievement: A review of state policy evidence. Education Policy Analysis Archives. 8 (1). pp. 1–44.</w:t>
      </w:r>
    </w:p>
    <w:p w14:paraId="4736DC7D"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Davis, A. M. (2011). Why Do Parents Choose to Send Their Children To Private Schools?.</w:t>
      </w:r>
      <w:r w:rsidRPr="00BB6978">
        <w:rPr>
          <w:rFonts w:asciiTheme="majorBidi" w:hAnsiTheme="majorBidi" w:cstheme="majorBidi"/>
          <w:sz w:val="24"/>
          <w:szCs w:val="24"/>
          <w:rtl/>
        </w:rPr>
        <w:t>‏</w:t>
      </w:r>
    </w:p>
    <w:p w14:paraId="1EB5739D" w14:textId="77777777" w:rsidR="00676834" w:rsidRPr="00BB6978" w:rsidRDefault="00676834" w:rsidP="00B14D43">
      <w:pPr>
        <w:spacing w:before="240" w:after="200" w:line="480" w:lineRule="auto"/>
        <w:ind w:left="709" w:hanging="709"/>
        <w:rPr>
          <w:rFonts w:asciiTheme="majorBidi" w:hAnsiTheme="majorBidi" w:cstheme="majorBidi"/>
          <w:sz w:val="24"/>
          <w:szCs w:val="24"/>
        </w:rPr>
      </w:pPr>
      <w:r w:rsidRPr="00BB6978">
        <w:rPr>
          <w:rFonts w:asciiTheme="majorBidi" w:hAnsiTheme="majorBidi" w:cstheme="majorBidi"/>
          <w:sz w:val="24"/>
          <w:szCs w:val="24"/>
        </w:rPr>
        <w:t>Day, A. L. C., Mcloughlin, C., Aslam, M., Engel, J., Wales, J., &amp; Rose, P. (2014). The role and impact of a private school in developing countries: A rigorous review of the evidence. London: Department for International Development</w:t>
      </w:r>
    </w:p>
    <w:p w14:paraId="6025230D" w14:textId="5B8920D9" w:rsidR="00C43489" w:rsidRPr="00BB6978" w:rsidRDefault="00C43489" w:rsidP="00A44219">
      <w:pPr>
        <w:spacing w:line="480" w:lineRule="auto"/>
        <w:ind w:left="720" w:hanging="720"/>
        <w:rPr>
          <w:rFonts w:asciiTheme="majorBidi" w:hAnsiTheme="majorBidi" w:cstheme="majorBidi"/>
          <w:sz w:val="24"/>
          <w:szCs w:val="24"/>
          <w:shd w:val="clear" w:color="auto" w:fill="FFFFFF"/>
        </w:rPr>
      </w:pPr>
      <w:bookmarkStart w:id="226" w:name="_Hlk138079500"/>
      <w:r w:rsidRPr="00BB6978">
        <w:rPr>
          <w:rFonts w:asciiTheme="majorBidi" w:hAnsiTheme="majorBidi" w:cstheme="majorBidi"/>
          <w:sz w:val="24"/>
          <w:szCs w:val="24"/>
          <w:shd w:val="clear" w:color="auto" w:fill="FFFFFF"/>
        </w:rPr>
        <w:t xml:space="preserve">De Bel-Air, </w:t>
      </w:r>
      <w:bookmarkEnd w:id="226"/>
      <w:r w:rsidRPr="00BB6978">
        <w:rPr>
          <w:rFonts w:asciiTheme="majorBidi" w:hAnsiTheme="majorBidi" w:cstheme="majorBidi"/>
          <w:sz w:val="24"/>
          <w:szCs w:val="24"/>
          <w:shd w:val="clear" w:color="auto" w:fill="FFFFFF"/>
        </w:rPr>
        <w:t>F. (2015). </w:t>
      </w:r>
      <w:r w:rsidRPr="00BB6978">
        <w:rPr>
          <w:rFonts w:asciiTheme="majorBidi" w:hAnsiTheme="majorBidi" w:cstheme="majorBidi"/>
          <w:i/>
          <w:iCs/>
          <w:sz w:val="24"/>
          <w:szCs w:val="24"/>
          <w:shd w:val="clear" w:color="auto" w:fill="FFFFFF"/>
        </w:rPr>
        <w:t>Demography, Migration, and the Labour Market in the UAE</w:t>
      </w:r>
      <w:r w:rsidRPr="00BB6978">
        <w:rPr>
          <w:rFonts w:asciiTheme="majorBidi" w:hAnsiTheme="majorBidi" w:cstheme="majorBidi"/>
          <w:sz w:val="24"/>
          <w:szCs w:val="24"/>
          <w:shd w:val="clear" w:color="auto" w:fill="FFFFFF"/>
        </w:rPr>
        <w:t>.</w:t>
      </w:r>
    </w:p>
    <w:p w14:paraId="32211D76" w14:textId="77777777" w:rsidR="00676834" w:rsidRPr="00BB6978" w:rsidRDefault="00676834" w:rsidP="00B14D43">
      <w:pPr>
        <w:spacing w:line="480" w:lineRule="auto"/>
        <w:ind w:left="567" w:hanging="567"/>
        <w:jc w:val="both"/>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Declercq, K., &amp; Verboven, F. (2015). Socio-economic status and enrollment in higher education: do costs matter?. </w:t>
      </w:r>
      <w:r w:rsidRPr="00BB6978">
        <w:rPr>
          <w:rFonts w:asciiTheme="majorBidi" w:hAnsiTheme="majorBidi" w:cstheme="majorBidi"/>
          <w:i/>
          <w:iCs/>
          <w:sz w:val="24"/>
          <w:szCs w:val="24"/>
          <w:shd w:val="clear" w:color="auto" w:fill="FFFFFF"/>
        </w:rPr>
        <w:t>Education Economics</w:t>
      </w:r>
      <w:r w:rsidRPr="00BB6978">
        <w:rPr>
          <w:rFonts w:asciiTheme="majorBidi" w:hAnsiTheme="majorBidi" w:cstheme="majorBidi"/>
          <w:sz w:val="24"/>
          <w:szCs w:val="24"/>
          <w:shd w:val="clear" w:color="auto" w:fill="FFFFFF"/>
        </w:rPr>
        <w:t>, </w:t>
      </w:r>
      <w:r w:rsidRPr="00BB6978">
        <w:rPr>
          <w:rFonts w:asciiTheme="majorBidi" w:hAnsiTheme="majorBidi" w:cstheme="majorBidi"/>
          <w:i/>
          <w:iCs/>
          <w:sz w:val="24"/>
          <w:szCs w:val="24"/>
          <w:shd w:val="clear" w:color="auto" w:fill="FFFFFF"/>
        </w:rPr>
        <w:t>23</w:t>
      </w:r>
      <w:r w:rsidRPr="00BB6978">
        <w:rPr>
          <w:rFonts w:asciiTheme="majorBidi" w:hAnsiTheme="majorBidi" w:cstheme="majorBidi"/>
          <w:sz w:val="24"/>
          <w:szCs w:val="24"/>
          <w:shd w:val="clear" w:color="auto" w:fill="FFFFFF"/>
        </w:rPr>
        <w:t>(5), 532-556.</w:t>
      </w:r>
    </w:p>
    <w:p w14:paraId="3B740006" w14:textId="77777777" w:rsidR="00676834" w:rsidRPr="00BB6978" w:rsidRDefault="00676834" w:rsidP="00B14D43">
      <w:pPr>
        <w:spacing w:line="480" w:lineRule="auto"/>
        <w:ind w:left="720" w:hanging="720"/>
        <w:rPr>
          <w:rFonts w:asciiTheme="majorBidi" w:hAnsiTheme="majorBidi" w:cstheme="majorBidi"/>
          <w:sz w:val="24"/>
          <w:szCs w:val="24"/>
          <w:u w:val="single"/>
        </w:rPr>
      </w:pPr>
      <w:r w:rsidRPr="00BB6978">
        <w:rPr>
          <w:rFonts w:asciiTheme="majorBidi" w:hAnsiTheme="majorBidi" w:cstheme="majorBidi"/>
          <w:sz w:val="24"/>
          <w:szCs w:val="24"/>
        </w:rPr>
        <w:t xml:space="preserve">DeFranzo S. E., (2020). Benefit From 3 Types of Survey Research. Website of Snap Surveys. Available at </w:t>
      </w:r>
      <w:hyperlink r:id="rId56" w:history="1">
        <w:r w:rsidRPr="00BB6978">
          <w:rPr>
            <w:rFonts w:asciiTheme="majorBidi" w:hAnsiTheme="majorBidi" w:cstheme="majorBidi"/>
            <w:sz w:val="24"/>
            <w:szCs w:val="24"/>
            <w:u w:val="single"/>
          </w:rPr>
          <w:t>https://www.snapsurveys.com/blog/benefit-3-types-surveyresearch/</w:t>
        </w:r>
      </w:hyperlink>
    </w:p>
    <w:p w14:paraId="6C31BCF2"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Della Cerra, S.,L. (2021). </w:t>
      </w:r>
      <w:r w:rsidRPr="00BB6978">
        <w:rPr>
          <w:rFonts w:asciiTheme="majorBidi" w:hAnsiTheme="majorBidi" w:cstheme="majorBidi"/>
          <w:i/>
          <w:iCs/>
          <w:sz w:val="24"/>
          <w:szCs w:val="24"/>
        </w:rPr>
        <w:t>Deciding factors in school choice among parents in the southwest united states </w:t>
      </w:r>
      <w:r w:rsidRPr="00BB6978">
        <w:rPr>
          <w:rFonts w:asciiTheme="majorBidi" w:hAnsiTheme="majorBidi" w:cstheme="majorBidi"/>
          <w:sz w:val="24"/>
          <w:szCs w:val="24"/>
        </w:rPr>
        <w:t xml:space="preserve">(Order No. 28414084). Available from ProQuest Central; ProQuest One Academic. (2539882706). Retrieved from </w:t>
      </w:r>
      <w:hyperlink r:id="rId57" w:history="1">
        <w:r w:rsidRPr="00BB6978">
          <w:rPr>
            <w:rStyle w:val="Hyperlink"/>
            <w:rFonts w:asciiTheme="majorBidi" w:hAnsiTheme="majorBidi" w:cstheme="majorBidi"/>
            <w:color w:val="auto"/>
            <w:sz w:val="24"/>
            <w:szCs w:val="24"/>
          </w:rPr>
          <w:t>https://uaeu.idm.oclc.org/dissertations-theses/deciding-factors-school-choice-among-parents/docview/2539882706/se-2</w:t>
        </w:r>
      </w:hyperlink>
    </w:p>
    <w:p w14:paraId="4B2A76CA"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Department for International Development (DFID), (n.d). British government. Retrieved from </w:t>
      </w:r>
      <w:hyperlink r:id="rId58" w:history="1">
        <w:r w:rsidRPr="00BB6978">
          <w:rPr>
            <w:rFonts w:asciiTheme="majorBidi" w:hAnsiTheme="majorBidi" w:cstheme="majorBidi"/>
            <w:sz w:val="24"/>
            <w:szCs w:val="24"/>
            <w:u w:val="single"/>
          </w:rPr>
          <w:t>Department for International Development (DFID) - British government - ACTED</w:t>
        </w:r>
      </w:hyperlink>
      <w:r w:rsidRPr="00BB6978">
        <w:rPr>
          <w:rFonts w:asciiTheme="majorBidi" w:hAnsiTheme="majorBidi" w:cstheme="majorBidi"/>
          <w:sz w:val="24"/>
          <w:szCs w:val="24"/>
        </w:rPr>
        <w:t xml:space="preserve"> </w:t>
      </w:r>
    </w:p>
    <w:p w14:paraId="371C0C5C" w14:textId="77777777" w:rsidR="0034320A" w:rsidRPr="00BB6978" w:rsidRDefault="0034320A" w:rsidP="00B14D43">
      <w:pPr>
        <w:spacing w:line="480" w:lineRule="auto"/>
        <w:ind w:left="360"/>
        <w:rPr>
          <w:rFonts w:asciiTheme="majorBidi" w:hAnsiTheme="majorBidi" w:cstheme="majorBidi"/>
          <w:sz w:val="24"/>
          <w:szCs w:val="24"/>
          <w:lang w:val="en-US"/>
        </w:rPr>
      </w:pPr>
      <w:r w:rsidRPr="00BB6978">
        <w:rPr>
          <w:rFonts w:asciiTheme="majorBidi" w:hAnsiTheme="majorBidi" w:cstheme="majorBidi"/>
          <w:sz w:val="24"/>
          <w:szCs w:val="24"/>
          <w:lang w:val="en-US"/>
        </w:rPr>
        <w:t>Dillman, D. A., Smyth, J. D., &amp; Christian, L. M. (2014). Internet, phone, mail, and mixed-mode surveys: The tailored design method (4th ed.). John Wiley &amp; Sons.</w:t>
      </w:r>
    </w:p>
    <w:p w14:paraId="4A12EB41"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Dixon, P. (2012). Why the denial? Low-cost private schools in developing countries and their contributions to education. </w:t>
      </w:r>
      <w:r w:rsidRPr="00BB6978">
        <w:rPr>
          <w:rFonts w:asciiTheme="majorBidi" w:hAnsiTheme="majorBidi" w:cstheme="majorBidi"/>
          <w:i/>
          <w:iCs/>
          <w:sz w:val="24"/>
          <w:szCs w:val="24"/>
        </w:rPr>
        <w:t>Econ Journal Watch</w:t>
      </w:r>
      <w:r w:rsidRPr="00BB6978">
        <w:rPr>
          <w:rFonts w:asciiTheme="majorBidi" w:hAnsiTheme="majorBidi" w:cstheme="majorBidi"/>
          <w:sz w:val="24"/>
          <w:szCs w:val="24"/>
        </w:rPr>
        <w:t>, </w:t>
      </w:r>
      <w:r w:rsidRPr="00BB6978">
        <w:rPr>
          <w:rFonts w:asciiTheme="majorBidi" w:hAnsiTheme="majorBidi" w:cstheme="majorBidi"/>
          <w:i/>
          <w:iCs/>
          <w:sz w:val="24"/>
          <w:szCs w:val="24"/>
        </w:rPr>
        <w:t>9</w:t>
      </w:r>
      <w:r w:rsidRPr="00BB6978">
        <w:rPr>
          <w:rFonts w:asciiTheme="majorBidi" w:hAnsiTheme="majorBidi" w:cstheme="majorBidi"/>
          <w:sz w:val="24"/>
          <w:szCs w:val="24"/>
        </w:rPr>
        <w:t>(3).</w:t>
      </w:r>
      <w:r w:rsidRPr="00BB6978">
        <w:rPr>
          <w:rFonts w:asciiTheme="majorBidi" w:hAnsiTheme="majorBidi" w:cstheme="majorBidi"/>
          <w:sz w:val="24"/>
          <w:szCs w:val="24"/>
          <w:rtl/>
        </w:rPr>
        <w:t>‏</w:t>
      </w:r>
    </w:p>
    <w:p w14:paraId="52D8018A" w14:textId="77777777" w:rsidR="00676834" w:rsidRPr="00BB6978" w:rsidRDefault="00676834" w:rsidP="00B14D43">
      <w:pPr>
        <w:spacing w:before="240" w:after="200" w:line="480" w:lineRule="auto"/>
        <w:ind w:left="709" w:hanging="709"/>
        <w:rPr>
          <w:rFonts w:asciiTheme="majorBidi" w:eastAsia="Times New Roman" w:hAnsiTheme="majorBidi" w:cstheme="majorBidi"/>
          <w:sz w:val="24"/>
          <w:szCs w:val="24"/>
        </w:rPr>
      </w:pPr>
      <w:r w:rsidRPr="00BB6978">
        <w:rPr>
          <w:rFonts w:asciiTheme="majorBidi" w:hAnsiTheme="majorBidi" w:cstheme="majorBidi"/>
          <w:sz w:val="24"/>
          <w:szCs w:val="24"/>
        </w:rPr>
        <w:t xml:space="preserve">Dixon, P., &amp; Tooley, J. (2012). A case study of private schools in Kibera: An update. </w:t>
      </w:r>
      <w:r w:rsidRPr="00BB6978">
        <w:rPr>
          <w:rFonts w:asciiTheme="majorBidi" w:hAnsiTheme="majorBidi" w:cstheme="majorBidi"/>
          <w:i/>
          <w:iCs/>
          <w:sz w:val="24"/>
          <w:szCs w:val="24"/>
        </w:rPr>
        <w:t>Educational Management Administration &amp; Leadership, 40</w:t>
      </w:r>
      <w:r w:rsidRPr="00BB6978">
        <w:rPr>
          <w:rFonts w:asciiTheme="majorBidi" w:hAnsiTheme="majorBidi" w:cstheme="majorBidi"/>
          <w:sz w:val="24"/>
          <w:szCs w:val="24"/>
        </w:rPr>
        <w:t>(6), 690–706.</w:t>
      </w:r>
    </w:p>
    <w:p w14:paraId="43BFFEAC"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Dixon-Román, E.J., Everson, H.T. &amp; McArdle, J.J. (2013). Race, poverty and SAT scores: Modeling the influences of family income on black and white high school students’ sat performance. Teachers College Record. [Online]. 115 (4). pp. 1–33. Available from: </w:t>
      </w:r>
      <w:hyperlink r:id="rId59" w:history="1">
        <w:r w:rsidRPr="00BB6978">
          <w:rPr>
            <w:rFonts w:asciiTheme="majorBidi" w:hAnsiTheme="majorBidi" w:cstheme="majorBidi"/>
            <w:sz w:val="24"/>
            <w:szCs w:val="24"/>
            <w:u w:val="single"/>
          </w:rPr>
          <w:t>https://d1wqtxts1xzle7.cloudfront.net/50171775/Race_Poverty_SAT_TC_Record.pdf?1478553883=&amp;response-content</w:t>
        </w:r>
      </w:hyperlink>
    </w:p>
    <w:p w14:paraId="3799E9C5"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Dolan, R.C., &amp; Schmidt, R.M. (1987). Assessing the impact of expenditure on achievement: Some methodological and policy considerations. Economics of Educational Review. ^(3), 285-299.</w:t>
      </w:r>
    </w:p>
    <w:p w14:paraId="26AA09E1"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Dolean, D., &amp; Cãlugãr, A. (2020). How Reliably Can We Measure a Child’s True IQ? Socio-Economic Status Can Explain Most of the Inter-Ethnic Differences in General Non-verbal Abilities. </w:t>
      </w:r>
      <w:r w:rsidRPr="00BB6978">
        <w:rPr>
          <w:rFonts w:asciiTheme="majorBidi" w:hAnsiTheme="majorBidi" w:cstheme="majorBidi"/>
          <w:i/>
          <w:iCs/>
          <w:sz w:val="24"/>
          <w:szCs w:val="24"/>
        </w:rPr>
        <w:t>Frontiers in Psychology</w:t>
      </w:r>
      <w:r w:rsidRPr="00BB6978">
        <w:rPr>
          <w:rFonts w:asciiTheme="majorBidi" w:hAnsiTheme="majorBidi" w:cstheme="majorBidi"/>
          <w:sz w:val="24"/>
          <w:szCs w:val="24"/>
        </w:rPr>
        <w:t>, 2000.</w:t>
      </w:r>
      <w:r w:rsidRPr="00BB6978">
        <w:rPr>
          <w:rFonts w:asciiTheme="majorBidi" w:hAnsiTheme="majorBidi" w:cstheme="majorBidi"/>
          <w:sz w:val="24"/>
          <w:szCs w:val="24"/>
          <w:rtl/>
        </w:rPr>
        <w:t>‏</w:t>
      </w:r>
    </w:p>
    <w:p w14:paraId="6449B203"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Dragoset, L., Thomas, J., Herrmann, M., Deke, J., James-Burdumy, S., &amp; Lee Luca, D. (2019). The impact of school improvement grants on student outcomes: Findings from a national evaluation using a regression discontinuity design. </w:t>
      </w:r>
      <w:r w:rsidRPr="00BB6978">
        <w:rPr>
          <w:rFonts w:asciiTheme="majorBidi" w:hAnsiTheme="majorBidi" w:cstheme="majorBidi"/>
          <w:i/>
          <w:iCs/>
          <w:sz w:val="24"/>
          <w:szCs w:val="24"/>
        </w:rPr>
        <w:t>Journal of Research on Educational Effectiveness</w:t>
      </w:r>
      <w:r w:rsidRPr="00BB6978">
        <w:rPr>
          <w:rFonts w:asciiTheme="majorBidi" w:hAnsiTheme="majorBidi" w:cstheme="majorBidi"/>
          <w:sz w:val="24"/>
          <w:szCs w:val="24"/>
        </w:rPr>
        <w:t>, </w:t>
      </w:r>
      <w:r w:rsidRPr="00BB6978">
        <w:rPr>
          <w:rFonts w:asciiTheme="majorBidi" w:hAnsiTheme="majorBidi" w:cstheme="majorBidi"/>
          <w:i/>
          <w:iCs/>
          <w:sz w:val="24"/>
          <w:szCs w:val="24"/>
        </w:rPr>
        <w:t>12</w:t>
      </w:r>
      <w:r w:rsidRPr="00BB6978">
        <w:rPr>
          <w:rFonts w:asciiTheme="majorBidi" w:hAnsiTheme="majorBidi" w:cstheme="majorBidi"/>
          <w:sz w:val="24"/>
          <w:szCs w:val="24"/>
        </w:rPr>
        <w:t>(2), 215-250.</w:t>
      </w:r>
      <w:r w:rsidRPr="00BB6978">
        <w:rPr>
          <w:rFonts w:asciiTheme="majorBidi" w:hAnsiTheme="majorBidi" w:cstheme="majorBidi"/>
          <w:sz w:val="24"/>
          <w:szCs w:val="24"/>
          <w:rtl/>
        </w:rPr>
        <w:t>‏</w:t>
      </w:r>
    </w:p>
    <w:p w14:paraId="7A3EFC8C"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Dronkers, J., &amp; Avram, S. (2010). A cross-national analysis of the relations of school choice and effectiveness differences between private-dependent and public schools. </w:t>
      </w:r>
      <w:r w:rsidRPr="00BB6978">
        <w:rPr>
          <w:rFonts w:asciiTheme="majorBidi" w:hAnsiTheme="majorBidi" w:cstheme="majorBidi"/>
          <w:i/>
          <w:iCs/>
          <w:sz w:val="24"/>
          <w:szCs w:val="24"/>
        </w:rPr>
        <w:t>Educational Research and Evaluation</w:t>
      </w:r>
      <w:r w:rsidRPr="00BB6978">
        <w:rPr>
          <w:rFonts w:asciiTheme="majorBidi" w:hAnsiTheme="majorBidi" w:cstheme="majorBidi"/>
          <w:sz w:val="24"/>
          <w:szCs w:val="24"/>
        </w:rPr>
        <w:t>, </w:t>
      </w:r>
      <w:r w:rsidRPr="00BB6978">
        <w:rPr>
          <w:rFonts w:asciiTheme="majorBidi" w:hAnsiTheme="majorBidi" w:cstheme="majorBidi"/>
          <w:i/>
          <w:iCs/>
          <w:sz w:val="24"/>
          <w:szCs w:val="24"/>
        </w:rPr>
        <w:t>16</w:t>
      </w:r>
      <w:r w:rsidRPr="00BB6978">
        <w:rPr>
          <w:rFonts w:asciiTheme="majorBidi" w:hAnsiTheme="majorBidi" w:cstheme="majorBidi"/>
          <w:sz w:val="24"/>
          <w:szCs w:val="24"/>
        </w:rPr>
        <w:t>(2), 151-175.</w:t>
      </w:r>
      <w:r w:rsidRPr="00BB6978">
        <w:rPr>
          <w:rFonts w:asciiTheme="majorBidi" w:hAnsiTheme="majorBidi" w:cstheme="majorBidi"/>
          <w:sz w:val="24"/>
          <w:szCs w:val="24"/>
          <w:rtl/>
        </w:rPr>
        <w:t>‏</w:t>
      </w:r>
    </w:p>
    <w:p w14:paraId="5D6B706F" w14:textId="77777777" w:rsidR="00E12B10" w:rsidRPr="00BB6978" w:rsidRDefault="00E12B10" w:rsidP="00B14D43">
      <w:pPr>
        <w:spacing w:line="480" w:lineRule="auto"/>
        <w:rPr>
          <w:rFonts w:asciiTheme="majorBidi" w:hAnsiTheme="majorBidi" w:cstheme="majorBidi"/>
          <w:sz w:val="24"/>
          <w:szCs w:val="24"/>
          <w:lang w:val="en-US"/>
        </w:rPr>
      </w:pPr>
      <w:r w:rsidRPr="00BB6978">
        <w:rPr>
          <w:rFonts w:asciiTheme="majorBidi" w:hAnsiTheme="majorBidi" w:cstheme="majorBidi"/>
          <w:sz w:val="24"/>
          <w:szCs w:val="24"/>
          <w:lang w:val="en-US"/>
        </w:rPr>
        <w:t xml:space="preserve">Dronkers, J., &amp; van der Velden, R. (2012). Positive but also negative effects of ethnic diversity in schools on educational performance? An empirical test using cross-national PISA data. Educational Research and Evaluation, 18(5), 405–422. </w:t>
      </w:r>
      <w:hyperlink r:id="rId60" w:history="1">
        <w:r w:rsidRPr="00BB6978">
          <w:rPr>
            <w:rStyle w:val="Hyperlink"/>
            <w:rFonts w:asciiTheme="majorBidi" w:hAnsiTheme="majorBidi" w:cstheme="majorBidi"/>
            <w:color w:val="auto"/>
            <w:sz w:val="24"/>
            <w:szCs w:val="24"/>
            <w:lang w:val="en-US"/>
          </w:rPr>
          <w:t>https://doi.org/10.1080/13803611.2012.718371</w:t>
        </w:r>
      </w:hyperlink>
    </w:p>
    <w:p w14:paraId="7DC5299D"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Duncan, O. D., &amp; Featherman, D. L. (1972). Psychological and cultural factors in the process of occupational achievement. </w:t>
      </w:r>
      <w:r w:rsidRPr="00BB6978">
        <w:rPr>
          <w:rFonts w:asciiTheme="majorBidi" w:hAnsiTheme="majorBidi" w:cstheme="majorBidi"/>
          <w:i/>
          <w:iCs/>
          <w:sz w:val="24"/>
          <w:szCs w:val="24"/>
        </w:rPr>
        <w:t>Social Science Research</w:t>
      </w:r>
      <w:r w:rsidRPr="00BB6978">
        <w:rPr>
          <w:rFonts w:asciiTheme="majorBidi" w:hAnsiTheme="majorBidi" w:cstheme="majorBidi"/>
          <w:sz w:val="24"/>
          <w:szCs w:val="24"/>
        </w:rPr>
        <w:t>, </w:t>
      </w:r>
      <w:r w:rsidRPr="00BB6978">
        <w:rPr>
          <w:rFonts w:asciiTheme="majorBidi" w:hAnsiTheme="majorBidi" w:cstheme="majorBidi"/>
          <w:i/>
          <w:iCs/>
          <w:sz w:val="24"/>
          <w:szCs w:val="24"/>
        </w:rPr>
        <w:t>1</w:t>
      </w:r>
      <w:r w:rsidRPr="00BB6978">
        <w:rPr>
          <w:rFonts w:asciiTheme="majorBidi" w:hAnsiTheme="majorBidi" w:cstheme="majorBidi"/>
          <w:sz w:val="24"/>
          <w:szCs w:val="24"/>
        </w:rPr>
        <w:t>(2), 121-145.</w:t>
      </w:r>
      <w:r w:rsidRPr="00BB6978">
        <w:rPr>
          <w:rFonts w:asciiTheme="majorBidi" w:hAnsiTheme="majorBidi" w:cstheme="majorBidi"/>
          <w:sz w:val="24"/>
          <w:szCs w:val="24"/>
          <w:rtl/>
        </w:rPr>
        <w:t>‏</w:t>
      </w:r>
    </w:p>
    <w:p w14:paraId="0FDA5D54"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Edarabia. (2021). UAE school Fees by Grade (2020). Retrieved from </w:t>
      </w:r>
      <w:hyperlink r:id="rId61" w:history="1">
        <w:r w:rsidRPr="00BB6978">
          <w:rPr>
            <w:rFonts w:asciiTheme="majorBidi" w:hAnsiTheme="majorBidi" w:cstheme="majorBidi"/>
            <w:sz w:val="24"/>
            <w:szCs w:val="24"/>
          </w:rPr>
          <w:t>UAE School Fees by Grade (2021 Tuition) (edarabia.com)</w:t>
        </w:r>
      </w:hyperlink>
    </w:p>
    <w:p w14:paraId="473B2B91"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Education Evolving, (2016). Our Working Definition of Student Achievement and School Quality. Retrieved from </w:t>
      </w:r>
      <w:hyperlink r:id="rId62" w:history="1">
        <w:r w:rsidRPr="00BB6978">
          <w:rPr>
            <w:rFonts w:asciiTheme="majorBidi" w:hAnsiTheme="majorBidi" w:cstheme="majorBidi"/>
            <w:sz w:val="24"/>
            <w:szCs w:val="24"/>
            <w:u w:val="single"/>
          </w:rPr>
          <w:t>Definition-Achievement-School-Quality.pdf (educationevolving.org)</w:t>
        </w:r>
      </w:hyperlink>
    </w:p>
    <w:p w14:paraId="44034187"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Ensminger, M. E., Fothergill, K. E., Bornstein, M. H., &amp; Bradley, R. H. (2003). A decade of measuring SES: What it tells us and where to go from here. </w:t>
      </w:r>
      <w:r w:rsidRPr="00BB6978">
        <w:rPr>
          <w:rFonts w:asciiTheme="majorBidi" w:hAnsiTheme="majorBidi" w:cstheme="majorBidi"/>
          <w:i/>
          <w:iCs/>
          <w:sz w:val="24"/>
          <w:szCs w:val="24"/>
        </w:rPr>
        <w:t>Socioeconomic status, parenting, and child development</w:t>
      </w:r>
      <w:r w:rsidRPr="00BB6978">
        <w:rPr>
          <w:rFonts w:asciiTheme="majorBidi" w:hAnsiTheme="majorBidi" w:cstheme="majorBidi"/>
          <w:sz w:val="24"/>
          <w:szCs w:val="24"/>
        </w:rPr>
        <w:t>, </w:t>
      </w:r>
      <w:r w:rsidRPr="00BB6978">
        <w:rPr>
          <w:rFonts w:asciiTheme="majorBidi" w:hAnsiTheme="majorBidi" w:cstheme="majorBidi"/>
          <w:i/>
          <w:iCs/>
          <w:sz w:val="24"/>
          <w:szCs w:val="24"/>
        </w:rPr>
        <w:t>13</w:t>
      </w:r>
      <w:r w:rsidRPr="00BB6978">
        <w:rPr>
          <w:rFonts w:asciiTheme="majorBidi" w:hAnsiTheme="majorBidi" w:cstheme="majorBidi"/>
          <w:sz w:val="24"/>
          <w:szCs w:val="24"/>
        </w:rPr>
        <w:t>, 27.</w:t>
      </w:r>
      <w:r w:rsidRPr="00BB6978">
        <w:rPr>
          <w:rFonts w:asciiTheme="majorBidi" w:hAnsiTheme="majorBidi" w:cstheme="majorBidi"/>
          <w:sz w:val="24"/>
          <w:szCs w:val="24"/>
          <w:rtl/>
        </w:rPr>
        <w:t>‏</w:t>
      </w:r>
    </w:p>
    <w:p w14:paraId="4BF5A871"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Erdem, D. (2018). Kindergarten Teachers' Views about Outdoor Activities. </w:t>
      </w:r>
      <w:r w:rsidRPr="00BB6978">
        <w:rPr>
          <w:rFonts w:asciiTheme="majorBidi" w:hAnsiTheme="majorBidi" w:cstheme="majorBidi"/>
          <w:i/>
          <w:iCs/>
          <w:sz w:val="24"/>
          <w:szCs w:val="24"/>
        </w:rPr>
        <w:t>Journal of education and learning</w:t>
      </w:r>
      <w:r w:rsidRPr="00BB6978">
        <w:rPr>
          <w:rFonts w:asciiTheme="majorBidi" w:hAnsiTheme="majorBidi" w:cstheme="majorBidi"/>
          <w:sz w:val="24"/>
          <w:szCs w:val="24"/>
        </w:rPr>
        <w:t>, </w:t>
      </w:r>
      <w:r w:rsidRPr="00BB6978">
        <w:rPr>
          <w:rFonts w:asciiTheme="majorBidi" w:hAnsiTheme="majorBidi" w:cstheme="majorBidi"/>
          <w:i/>
          <w:iCs/>
          <w:sz w:val="24"/>
          <w:szCs w:val="24"/>
        </w:rPr>
        <w:t>7</w:t>
      </w:r>
      <w:r w:rsidRPr="00BB6978">
        <w:rPr>
          <w:rFonts w:asciiTheme="majorBidi" w:hAnsiTheme="majorBidi" w:cstheme="majorBidi"/>
          <w:sz w:val="24"/>
          <w:szCs w:val="24"/>
        </w:rPr>
        <w:t>(3), 203-218.</w:t>
      </w:r>
      <w:r w:rsidRPr="00BB6978">
        <w:rPr>
          <w:rFonts w:asciiTheme="majorBidi" w:hAnsiTheme="majorBidi" w:cstheme="majorBidi"/>
          <w:sz w:val="24"/>
          <w:szCs w:val="24"/>
          <w:rtl/>
        </w:rPr>
        <w:t>‏</w:t>
      </w:r>
    </w:p>
    <w:p w14:paraId="2A4BCD12"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Fairchild, H.H. (1984). School size, per-pupil expenditures, and school achievement. Review of Public Data Use, 12, 221-229.</w:t>
      </w:r>
    </w:p>
    <w:p w14:paraId="690A5BDA" w14:textId="36BE1899" w:rsidR="00C43489" w:rsidRPr="00BB6978" w:rsidRDefault="00C43489" w:rsidP="00A44219">
      <w:pPr>
        <w:spacing w:line="480" w:lineRule="auto"/>
        <w:ind w:left="720" w:hanging="720"/>
        <w:rPr>
          <w:rFonts w:asciiTheme="majorBidi" w:hAnsiTheme="majorBidi" w:cstheme="majorBidi"/>
          <w:sz w:val="24"/>
          <w:szCs w:val="24"/>
          <w:shd w:val="clear" w:color="auto" w:fill="FFFFFF"/>
        </w:rPr>
      </w:pPr>
      <w:bookmarkStart w:id="227" w:name="_Hlk138092017"/>
      <w:r w:rsidRPr="00BB6978">
        <w:rPr>
          <w:rFonts w:asciiTheme="majorBidi" w:hAnsiTheme="majorBidi" w:cstheme="majorBidi"/>
          <w:sz w:val="24"/>
          <w:szCs w:val="24"/>
          <w:shd w:val="clear" w:color="auto" w:fill="FFFFFF"/>
        </w:rPr>
        <w:t>Farooq</w:t>
      </w:r>
      <w:bookmarkEnd w:id="227"/>
      <w:r w:rsidRPr="00BB6978">
        <w:rPr>
          <w:rFonts w:asciiTheme="majorBidi" w:hAnsiTheme="majorBidi" w:cstheme="majorBidi"/>
          <w:sz w:val="24"/>
          <w:szCs w:val="24"/>
          <w:shd w:val="clear" w:color="auto" w:fill="FFFFFF"/>
        </w:rPr>
        <w:t>, M. S., Chaudhry, A. H., Shafiq, M., &amp; Berhanu, G. (2011). Factors affecting students’ quality of academic performance: A case of secondary school level. </w:t>
      </w:r>
      <w:r w:rsidRPr="00BB6978">
        <w:rPr>
          <w:rFonts w:asciiTheme="majorBidi" w:hAnsiTheme="majorBidi" w:cstheme="majorBidi"/>
          <w:i/>
          <w:iCs/>
          <w:sz w:val="24"/>
          <w:szCs w:val="24"/>
          <w:shd w:val="clear" w:color="auto" w:fill="FFFFFF"/>
        </w:rPr>
        <w:t>Journal of quality and technology management</w:t>
      </w:r>
      <w:r w:rsidRPr="00BB6978">
        <w:rPr>
          <w:rFonts w:asciiTheme="majorBidi" w:hAnsiTheme="majorBidi" w:cstheme="majorBidi"/>
          <w:sz w:val="24"/>
          <w:szCs w:val="24"/>
          <w:shd w:val="clear" w:color="auto" w:fill="FFFFFF"/>
        </w:rPr>
        <w:t>, </w:t>
      </w:r>
      <w:r w:rsidRPr="00BB6978">
        <w:rPr>
          <w:rFonts w:asciiTheme="majorBidi" w:hAnsiTheme="majorBidi" w:cstheme="majorBidi"/>
          <w:i/>
          <w:iCs/>
          <w:sz w:val="24"/>
          <w:szCs w:val="24"/>
          <w:shd w:val="clear" w:color="auto" w:fill="FFFFFF"/>
        </w:rPr>
        <w:t>7</w:t>
      </w:r>
      <w:r w:rsidRPr="00BB6978">
        <w:rPr>
          <w:rFonts w:asciiTheme="majorBidi" w:hAnsiTheme="majorBidi" w:cstheme="majorBidi"/>
          <w:sz w:val="24"/>
          <w:szCs w:val="24"/>
          <w:shd w:val="clear" w:color="auto" w:fill="FFFFFF"/>
        </w:rPr>
        <w:t>(2), 1-14.</w:t>
      </w:r>
    </w:p>
    <w:p w14:paraId="3906F319"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Fan, Y., Chen, J., Shirkey, G. et al. Applications of structural equation modeling (SEM) in ecological studies: an updated review. Ecol Process 5, 19 (2016). </w:t>
      </w:r>
      <w:hyperlink r:id="rId63" w:history="1">
        <w:r w:rsidRPr="00BB6978">
          <w:rPr>
            <w:rFonts w:asciiTheme="majorBidi" w:hAnsiTheme="majorBidi" w:cstheme="majorBidi"/>
            <w:sz w:val="24"/>
            <w:szCs w:val="24"/>
          </w:rPr>
          <w:t>https://doi.org/10.1186/s13717-016-0063-3</w:t>
        </w:r>
      </w:hyperlink>
    </w:p>
    <w:p w14:paraId="5AA8CB77" w14:textId="77777777" w:rsidR="00676834" w:rsidRPr="00BB6978" w:rsidRDefault="00676834" w:rsidP="00B14D43">
      <w:pPr>
        <w:spacing w:before="240" w:after="200" w:line="480" w:lineRule="auto"/>
        <w:ind w:left="709" w:hanging="709"/>
        <w:rPr>
          <w:rFonts w:asciiTheme="majorBidi" w:hAnsiTheme="majorBidi" w:cstheme="majorBidi"/>
          <w:sz w:val="24"/>
          <w:szCs w:val="24"/>
          <w:shd w:val="clear" w:color="auto" w:fill="FFFFFF"/>
        </w:rPr>
      </w:pPr>
      <w:bookmarkStart w:id="228" w:name="_Hlk134053957"/>
      <w:r w:rsidRPr="00BB6978">
        <w:rPr>
          <w:rFonts w:asciiTheme="majorBidi" w:hAnsiTheme="majorBidi" w:cstheme="majorBidi"/>
          <w:sz w:val="24"/>
          <w:szCs w:val="24"/>
          <w:shd w:val="clear" w:color="auto" w:fill="FFFFFF"/>
        </w:rPr>
        <w:t>Fehérvári, A. (2023</w:t>
      </w:r>
      <w:bookmarkEnd w:id="228"/>
      <w:r w:rsidRPr="00BB6978">
        <w:rPr>
          <w:rFonts w:asciiTheme="majorBidi" w:hAnsiTheme="majorBidi" w:cstheme="majorBidi"/>
          <w:sz w:val="24"/>
          <w:szCs w:val="24"/>
          <w:shd w:val="clear" w:color="auto" w:fill="FFFFFF"/>
        </w:rPr>
        <w:t>). The role of teachers’ views and attitudes in the academic achievement of Roma students. Journal for Multicultural Education, (ahead-of-print).</w:t>
      </w:r>
    </w:p>
    <w:p w14:paraId="189275B7"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Ferguson, R.F. (1991). Paying for public education: New evidence on how and why money matters. Harvard Journal on Legislation, 28,2, 465-498.</w:t>
      </w:r>
    </w:p>
    <w:p w14:paraId="45BAAD05"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Finch, W. H., &amp; Cassady, J. C. (2014). Use of the probit model to estimate school performance in student attainment of achievement testing standards. </w:t>
      </w:r>
      <w:r w:rsidRPr="00BB6978">
        <w:rPr>
          <w:rFonts w:asciiTheme="majorBidi" w:hAnsiTheme="majorBidi" w:cstheme="majorBidi"/>
          <w:i/>
          <w:iCs/>
          <w:sz w:val="24"/>
          <w:szCs w:val="24"/>
        </w:rPr>
        <w:t>Educational Assessment, Evaluation and Accountability</w:t>
      </w:r>
      <w:r w:rsidRPr="00BB6978">
        <w:rPr>
          <w:rFonts w:asciiTheme="majorBidi" w:hAnsiTheme="majorBidi" w:cstheme="majorBidi"/>
          <w:sz w:val="24"/>
          <w:szCs w:val="24"/>
        </w:rPr>
        <w:t>, </w:t>
      </w:r>
      <w:r w:rsidRPr="00BB6978">
        <w:rPr>
          <w:rFonts w:asciiTheme="majorBidi" w:hAnsiTheme="majorBidi" w:cstheme="majorBidi"/>
          <w:i/>
          <w:iCs/>
          <w:sz w:val="24"/>
          <w:szCs w:val="24"/>
        </w:rPr>
        <w:t>26</w:t>
      </w:r>
      <w:r w:rsidRPr="00BB6978">
        <w:rPr>
          <w:rFonts w:asciiTheme="majorBidi" w:hAnsiTheme="majorBidi" w:cstheme="majorBidi"/>
          <w:sz w:val="24"/>
          <w:szCs w:val="24"/>
        </w:rPr>
        <w:t>(2), 177-201.</w:t>
      </w:r>
      <w:r w:rsidRPr="00BB6978">
        <w:rPr>
          <w:rFonts w:asciiTheme="majorBidi" w:hAnsiTheme="majorBidi" w:cstheme="majorBidi"/>
          <w:sz w:val="24"/>
          <w:szCs w:val="24"/>
          <w:rtl/>
        </w:rPr>
        <w:t>‏</w:t>
      </w:r>
    </w:p>
    <w:p w14:paraId="258C73DB"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fldChar w:fldCharType="begin" w:fldLock="1"/>
      </w:r>
      <w:r w:rsidRPr="00BB6978">
        <w:rPr>
          <w:rFonts w:asciiTheme="majorBidi" w:hAnsiTheme="majorBidi" w:cstheme="majorBidi"/>
          <w:sz w:val="24"/>
          <w:szCs w:val="24"/>
        </w:rPr>
        <w:instrText>ADDIN CSL_CITATION {"citationItems":[{"id":"ITEM-1","itemData":{"URL":"https://www.vision2021.ae/en/national-agenda-2021/list/first-rate-circle","accessed":{"date-parts":[["2020","2","2"]]},"id":"ITEM-1","issued":{"date-parts":[["0"]]},"title":"First-Rate Education System","type":"webpage"},"uris":["http://www.mendeley.com/documents/?uuid=b53a6602-bb6d-3853-81de-81bc1802576c"]}],"mendeley":{"formattedCitation":"(“First-Rate Education System,” n.d.)","plainTextFormattedCitation":"(“First-Rate Education System,” n.d.)","previouslyFormattedCitation":"(“First-Rate Education System,” n.d.)"},"properties":{"noteIndex":0},"schema":"https://github.com/citation-style-language/schema/raw/master/csl-citation.json"}</w:instrText>
      </w:r>
      <w:r w:rsidRPr="00BB6978">
        <w:rPr>
          <w:rFonts w:asciiTheme="majorBidi" w:hAnsiTheme="majorBidi" w:cstheme="majorBidi"/>
          <w:sz w:val="24"/>
          <w:szCs w:val="24"/>
        </w:rPr>
        <w:fldChar w:fldCharType="separate"/>
      </w:r>
      <w:r w:rsidRPr="00BB6978">
        <w:rPr>
          <w:rFonts w:asciiTheme="majorBidi" w:hAnsiTheme="majorBidi" w:cstheme="majorBidi"/>
          <w:sz w:val="24"/>
          <w:szCs w:val="24"/>
        </w:rPr>
        <w:t>First-Rate Education System. (2018)</w:t>
      </w:r>
      <w:r w:rsidRPr="00BB6978">
        <w:rPr>
          <w:rFonts w:asciiTheme="majorBidi" w:hAnsiTheme="majorBidi" w:cstheme="majorBidi"/>
          <w:sz w:val="24"/>
          <w:szCs w:val="24"/>
        </w:rPr>
        <w:fldChar w:fldCharType="end"/>
      </w:r>
      <w:r w:rsidRPr="00BB6978">
        <w:rPr>
          <w:rFonts w:asciiTheme="majorBidi" w:hAnsiTheme="majorBidi" w:cstheme="majorBidi"/>
          <w:sz w:val="24"/>
          <w:szCs w:val="24"/>
        </w:rPr>
        <w:t xml:space="preserve">. Retrieved from </w:t>
      </w:r>
      <w:hyperlink r:id="rId64" w:history="1">
        <w:r w:rsidRPr="00BB6978">
          <w:rPr>
            <w:rFonts w:asciiTheme="majorBidi" w:hAnsiTheme="majorBidi" w:cstheme="majorBidi"/>
            <w:sz w:val="24"/>
            <w:szCs w:val="24"/>
            <w:u w:val="single"/>
          </w:rPr>
          <w:t>First-Rate Education System (vision2021.ae)</w:t>
        </w:r>
      </w:hyperlink>
    </w:p>
    <w:p w14:paraId="184566A3"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Fong-Yee, D., &amp; Normore, A. H. (2013). The impact of quality teachers on student achievement.</w:t>
      </w:r>
      <w:r w:rsidRPr="00BB6978">
        <w:rPr>
          <w:rFonts w:asciiTheme="majorBidi" w:hAnsiTheme="majorBidi" w:cstheme="majorBidi"/>
          <w:sz w:val="24"/>
          <w:szCs w:val="24"/>
          <w:rtl/>
        </w:rPr>
        <w:t>‏</w:t>
      </w:r>
    </w:p>
    <w:p w14:paraId="397F3908"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Forster, G. (2013). A win-win solution: The empirical evidence on school choice. </w:t>
      </w:r>
      <w:r w:rsidRPr="00BB6978">
        <w:rPr>
          <w:rFonts w:asciiTheme="majorBidi" w:hAnsiTheme="majorBidi" w:cstheme="majorBidi"/>
          <w:i/>
          <w:iCs/>
          <w:sz w:val="24"/>
          <w:szCs w:val="24"/>
        </w:rPr>
        <w:t>Friedman Foundation for Educational Choice</w:t>
      </w:r>
      <w:r w:rsidRPr="00BB6978">
        <w:rPr>
          <w:rFonts w:asciiTheme="majorBidi" w:hAnsiTheme="majorBidi" w:cstheme="majorBidi"/>
          <w:sz w:val="24"/>
          <w:szCs w:val="24"/>
        </w:rPr>
        <w:t>.</w:t>
      </w:r>
      <w:r w:rsidRPr="00BB6978">
        <w:rPr>
          <w:rFonts w:asciiTheme="majorBidi" w:hAnsiTheme="majorBidi" w:cstheme="majorBidi"/>
          <w:sz w:val="24"/>
          <w:szCs w:val="24"/>
          <w:rtl/>
        </w:rPr>
        <w:t>‏</w:t>
      </w:r>
    </w:p>
    <w:p w14:paraId="60BBBC20"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Fortier, M. S., Vallerand, R. J., &amp; Guay, F. (1995). Academic motivation and school performance: Toward a structural model. </w:t>
      </w:r>
      <w:r w:rsidRPr="00BB6978">
        <w:rPr>
          <w:rFonts w:asciiTheme="majorBidi" w:hAnsiTheme="majorBidi" w:cstheme="majorBidi"/>
          <w:i/>
          <w:iCs/>
          <w:sz w:val="24"/>
          <w:szCs w:val="24"/>
        </w:rPr>
        <w:t>Contemporary educational psychology</w:t>
      </w:r>
      <w:r w:rsidRPr="00BB6978">
        <w:rPr>
          <w:rFonts w:asciiTheme="majorBidi" w:hAnsiTheme="majorBidi" w:cstheme="majorBidi"/>
          <w:sz w:val="24"/>
          <w:szCs w:val="24"/>
        </w:rPr>
        <w:t>, </w:t>
      </w:r>
      <w:r w:rsidRPr="00BB6978">
        <w:rPr>
          <w:rFonts w:asciiTheme="majorBidi" w:hAnsiTheme="majorBidi" w:cstheme="majorBidi"/>
          <w:i/>
          <w:iCs/>
          <w:sz w:val="24"/>
          <w:szCs w:val="24"/>
        </w:rPr>
        <w:t>20</w:t>
      </w:r>
      <w:r w:rsidRPr="00BB6978">
        <w:rPr>
          <w:rFonts w:asciiTheme="majorBidi" w:hAnsiTheme="majorBidi" w:cstheme="majorBidi"/>
          <w:sz w:val="24"/>
          <w:szCs w:val="24"/>
        </w:rPr>
        <w:t>(3), 257-274.</w:t>
      </w:r>
      <w:r w:rsidRPr="00BB6978">
        <w:rPr>
          <w:rFonts w:asciiTheme="majorBidi" w:hAnsiTheme="majorBidi" w:cstheme="majorBidi"/>
          <w:sz w:val="24"/>
          <w:szCs w:val="24"/>
          <w:rtl/>
        </w:rPr>
        <w:t>‏</w:t>
      </w:r>
    </w:p>
    <w:p w14:paraId="1D2CF7C3"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Fredricks, J. A., Filsecker, M., &amp; Lawson, M. A. (2016). Student engagement, context, and adjustment: Addressing definitional, measurement, and methodological issues. </w:t>
      </w:r>
      <w:r w:rsidRPr="00BB6978">
        <w:rPr>
          <w:rFonts w:asciiTheme="majorBidi" w:hAnsiTheme="majorBidi" w:cstheme="majorBidi"/>
          <w:i/>
          <w:iCs/>
          <w:sz w:val="24"/>
          <w:szCs w:val="24"/>
        </w:rPr>
        <w:t>Learning and Instruction</w:t>
      </w:r>
      <w:r w:rsidRPr="00BB6978">
        <w:rPr>
          <w:rFonts w:asciiTheme="majorBidi" w:hAnsiTheme="majorBidi" w:cstheme="majorBidi"/>
          <w:sz w:val="24"/>
          <w:szCs w:val="24"/>
        </w:rPr>
        <w:t>, </w:t>
      </w:r>
      <w:r w:rsidRPr="00BB6978">
        <w:rPr>
          <w:rFonts w:asciiTheme="majorBidi" w:hAnsiTheme="majorBidi" w:cstheme="majorBidi"/>
          <w:i/>
          <w:iCs/>
          <w:sz w:val="24"/>
          <w:szCs w:val="24"/>
        </w:rPr>
        <w:t>43</w:t>
      </w:r>
      <w:r w:rsidRPr="00BB6978">
        <w:rPr>
          <w:rFonts w:asciiTheme="majorBidi" w:hAnsiTheme="majorBidi" w:cstheme="majorBidi"/>
          <w:sz w:val="24"/>
          <w:szCs w:val="24"/>
        </w:rPr>
        <w:t>, 1-4.</w:t>
      </w:r>
      <w:r w:rsidRPr="00BB6978">
        <w:rPr>
          <w:rFonts w:asciiTheme="majorBidi" w:hAnsiTheme="majorBidi" w:cstheme="majorBidi"/>
          <w:sz w:val="24"/>
          <w:szCs w:val="24"/>
          <w:rtl/>
        </w:rPr>
        <w:t>‏</w:t>
      </w:r>
    </w:p>
    <w:p w14:paraId="6129A90A"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Gajardo, F., &amp; Grau, N. (2019). Competition among schools and educational quality: Tension between various objectives of educational policy. </w:t>
      </w:r>
      <w:r w:rsidRPr="00BB6978">
        <w:rPr>
          <w:rFonts w:asciiTheme="majorBidi" w:hAnsiTheme="majorBidi" w:cstheme="majorBidi"/>
          <w:i/>
          <w:iCs/>
          <w:sz w:val="24"/>
          <w:szCs w:val="24"/>
        </w:rPr>
        <w:t>International Journal of Educational Development</w:t>
      </w:r>
      <w:r w:rsidRPr="00BB6978">
        <w:rPr>
          <w:rFonts w:asciiTheme="majorBidi" w:hAnsiTheme="majorBidi" w:cstheme="majorBidi"/>
          <w:sz w:val="24"/>
          <w:szCs w:val="24"/>
        </w:rPr>
        <w:t>, </w:t>
      </w:r>
      <w:r w:rsidRPr="00BB6978">
        <w:rPr>
          <w:rFonts w:asciiTheme="majorBidi" w:hAnsiTheme="majorBidi" w:cstheme="majorBidi"/>
          <w:i/>
          <w:iCs/>
          <w:sz w:val="24"/>
          <w:szCs w:val="24"/>
        </w:rPr>
        <w:t>65</w:t>
      </w:r>
      <w:r w:rsidRPr="00BB6978">
        <w:rPr>
          <w:rFonts w:asciiTheme="majorBidi" w:hAnsiTheme="majorBidi" w:cstheme="majorBidi"/>
          <w:sz w:val="24"/>
          <w:szCs w:val="24"/>
        </w:rPr>
        <w:t>, 123-133.</w:t>
      </w:r>
      <w:r w:rsidRPr="00BB6978">
        <w:rPr>
          <w:rFonts w:asciiTheme="majorBidi" w:hAnsiTheme="majorBidi" w:cstheme="majorBidi"/>
          <w:sz w:val="24"/>
          <w:szCs w:val="24"/>
          <w:rtl/>
        </w:rPr>
        <w:t>‏</w:t>
      </w:r>
    </w:p>
    <w:p w14:paraId="26A8E997" w14:textId="77777777" w:rsidR="00570292" w:rsidRPr="00BB6978" w:rsidRDefault="00570292" w:rsidP="00B14D43">
      <w:pPr>
        <w:spacing w:line="480" w:lineRule="auto"/>
        <w:ind w:left="720" w:hanging="720"/>
        <w:rPr>
          <w:rFonts w:asciiTheme="majorBidi" w:hAnsiTheme="majorBidi" w:cstheme="majorBidi"/>
          <w:sz w:val="24"/>
          <w:szCs w:val="24"/>
          <w:shd w:val="clear" w:color="auto" w:fill="FFFFFF"/>
        </w:rPr>
      </w:pPr>
      <w:bookmarkStart w:id="229" w:name="_Hlk138080283"/>
      <w:r w:rsidRPr="00BB6978">
        <w:rPr>
          <w:rFonts w:asciiTheme="majorBidi" w:hAnsiTheme="majorBidi" w:cstheme="majorBidi"/>
          <w:sz w:val="24"/>
          <w:szCs w:val="24"/>
          <w:shd w:val="clear" w:color="auto" w:fill="FFFFFF"/>
        </w:rPr>
        <w:t>Gallagher, K. (2019</w:t>
      </w:r>
      <w:bookmarkEnd w:id="229"/>
      <w:r w:rsidRPr="00BB6978">
        <w:rPr>
          <w:rFonts w:asciiTheme="majorBidi" w:hAnsiTheme="majorBidi" w:cstheme="majorBidi"/>
          <w:sz w:val="24"/>
          <w:szCs w:val="24"/>
          <w:shd w:val="clear" w:color="auto" w:fill="FFFFFF"/>
        </w:rPr>
        <w:t>). Introduction: Education in the UAE—context and themes. </w:t>
      </w:r>
      <w:r w:rsidRPr="00BB6978">
        <w:rPr>
          <w:rFonts w:asciiTheme="majorBidi" w:hAnsiTheme="majorBidi" w:cstheme="majorBidi"/>
          <w:i/>
          <w:iCs/>
          <w:sz w:val="24"/>
          <w:szCs w:val="24"/>
          <w:shd w:val="clear" w:color="auto" w:fill="FFFFFF"/>
        </w:rPr>
        <w:t>Education in the United Arab Emirates: Innovation and Transformation</w:t>
      </w:r>
      <w:r w:rsidRPr="00BB6978">
        <w:rPr>
          <w:rFonts w:asciiTheme="majorBidi" w:hAnsiTheme="majorBidi" w:cstheme="majorBidi"/>
          <w:sz w:val="24"/>
          <w:szCs w:val="24"/>
          <w:shd w:val="clear" w:color="auto" w:fill="FFFFFF"/>
        </w:rPr>
        <w:t>, 1-18.</w:t>
      </w:r>
    </w:p>
    <w:p w14:paraId="32D23BF5"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Garira, E. (2020). A Proposed Unified Conceptual Framework for Quality of Education in Schools. Sage Open. [Online]. 10 (1). pp. 2158244019899445. Retrieved from: </w:t>
      </w:r>
      <w:hyperlink r:id="rId65" w:history="1">
        <w:r w:rsidRPr="00BB6978">
          <w:rPr>
            <w:rFonts w:asciiTheme="majorBidi" w:hAnsiTheme="majorBidi" w:cstheme="majorBidi"/>
            <w:sz w:val="24"/>
            <w:szCs w:val="24"/>
            <w:u w:val="single"/>
          </w:rPr>
          <w:t>https://journals.sagepub.com/doi/abs/10.1177/2158244019899445</w:t>
        </w:r>
      </w:hyperlink>
      <w:r w:rsidRPr="00BB6978">
        <w:rPr>
          <w:rFonts w:asciiTheme="majorBidi" w:hAnsiTheme="majorBidi" w:cstheme="majorBidi"/>
          <w:sz w:val="24"/>
          <w:szCs w:val="24"/>
        </w:rPr>
        <w:t>.</w:t>
      </w:r>
    </w:p>
    <w:p w14:paraId="4652FCD9" w14:textId="77777777" w:rsidR="00676834" w:rsidRPr="00BB6978" w:rsidRDefault="00676834" w:rsidP="00B14D43">
      <w:pPr>
        <w:spacing w:line="480" w:lineRule="auto"/>
        <w:ind w:left="720" w:hanging="720"/>
        <w:rPr>
          <w:rFonts w:asciiTheme="majorBidi" w:hAnsiTheme="majorBidi" w:cstheme="majorBidi"/>
          <w:spacing w:val="-5"/>
          <w:sz w:val="24"/>
          <w:szCs w:val="24"/>
        </w:rPr>
      </w:pPr>
      <w:r w:rsidRPr="00BB6978">
        <w:rPr>
          <w:rFonts w:asciiTheme="majorBidi" w:hAnsiTheme="majorBidi" w:cstheme="majorBidi"/>
          <w:spacing w:val="-5"/>
          <w:sz w:val="24"/>
          <w:szCs w:val="24"/>
        </w:rPr>
        <w:t xml:space="preserve">Gates, S. M., &amp; Shields, J. (2017, July 25). A quality approach to school funding. American Progress, 1(1). Retrieved from </w:t>
      </w:r>
      <w:hyperlink r:id="rId66" w:history="1">
        <w:r w:rsidRPr="00BB6978">
          <w:rPr>
            <w:rStyle w:val="Hyperlink"/>
            <w:rFonts w:asciiTheme="majorBidi" w:hAnsiTheme="majorBidi" w:cstheme="majorBidi"/>
            <w:color w:val="auto"/>
            <w:sz w:val="24"/>
            <w:szCs w:val="24"/>
          </w:rPr>
          <w:t>A Quality Approach to School Funding - Center for American Progress</w:t>
        </w:r>
      </w:hyperlink>
    </w:p>
    <w:p w14:paraId="78BAD84F" w14:textId="77777777" w:rsidR="00676834" w:rsidRPr="00BB6978" w:rsidRDefault="00676834" w:rsidP="00B14D43">
      <w:pPr>
        <w:spacing w:before="240" w:after="200" w:line="480" w:lineRule="auto"/>
        <w:ind w:left="709" w:hanging="709"/>
        <w:rPr>
          <w:rFonts w:asciiTheme="majorBidi" w:eastAsia="Calibri" w:hAnsiTheme="majorBidi" w:cstheme="majorBidi"/>
          <w:sz w:val="24"/>
          <w:szCs w:val="24"/>
        </w:rPr>
      </w:pPr>
      <w:r w:rsidRPr="00BB6978">
        <w:rPr>
          <w:rFonts w:asciiTheme="majorBidi" w:eastAsia="Times New Roman" w:hAnsiTheme="majorBidi" w:cstheme="majorBidi"/>
          <w:sz w:val="24"/>
          <w:szCs w:val="24"/>
        </w:rPr>
        <w:t>Gay, L., Mills, G., &amp; Airasian, P. (2011). </w:t>
      </w:r>
      <w:r w:rsidRPr="00BB6978">
        <w:rPr>
          <w:rFonts w:asciiTheme="majorBidi" w:eastAsia="Times New Roman" w:hAnsiTheme="majorBidi" w:cstheme="majorBidi"/>
          <w:i/>
          <w:iCs/>
          <w:sz w:val="24"/>
          <w:szCs w:val="24"/>
        </w:rPr>
        <w:t>Educational research</w:t>
      </w:r>
      <w:r w:rsidRPr="00BB6978">
        <w:rPr>
          <w:rFonts w:asciiTheme="majorBidi" w:eastAsia="Times New Roman" w:hAnsiTheme="majorBidi" w:cstheme="majorBidi"/>
          <w:sz w:val="24"/>
          <w:szCs w:val="24"/>
        </w:rPr>
        <w:t> (10th ed.). Boston: Pearson</w:t>
      </w:r>
    </w:p>
    <w:p w14:paraId="330959D8"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Gay, Mills, &amp; Airasian (2011). Educational research: Competencies for analysis and applications (10th edition).</w:t>
      </w:r>
    </w:p>
    <w:p w14:paraId="08C872C9"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GCC Education Industry (2018). GCC Education Industry | November 13 , 2018 GCC Education Industry | November 13 , 2018. pp. 1–100.</w:t>
      </w:r>
    </w:p>
    <w:p w14:paraId="0CE84F28" w14:textId="77777777" w:rsidR="00676834" w:rsidRPr="00BB6978" w:rsidRDefault="00676834" w:rsidP="00B14D43">
      <w:pPr>
        <w:spacing w:line="480" w:lineRule="auto"/>
        <w:ind w:left="567" w:hanging="567"/>
        <w:jc w:val="both"/>
        <w:rPr>
          <w:rFonts w:asciiTheme="majorBidi" w:hAnsiTheme="majorBidi" w:cstheme="majorBidi"/>
          <w:sz w:val="24"/>
          <w:szCs w:val="24"/>
          <w:shd w:val="clear" w:color="auto" w:fill="FFFFFF"/>
        </w:rPr>
      </w:pPr>
      <w:r w:rsidRPr="00BB6978">
        <w:rPr>
          <w:rFonts w:asciiTheme="majorBidi" w:hAnsiTheme="majorBidi" w:cstheme="majorBidi"/>
          <w:sz w:val="24"/>
          <w:szCs w:val="24"/>
        </w:rPr>
        <w:t>Gemici, S., Lim, P. and Karmel, T. (2013). The Impact of Schools on Young People’s Transition to University, Longitudinal Surveys of Australian Youth Research Report. 61, National Centre for Vocational Education Research, Adelaide.</w:t>
      </w:r>
    </w:p>
    <w:p w14:paraId="4731659B"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Gewirtz, S. (2002) The managerial school: post-welfarism and social justice in education (London,Routledge)</w:t>
      </w:r>
    </w:p>
    <w:p w14:paraId="4D13CE5D"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Gibbons, S., &amp; Silva, O. (2011). School quality, child wellbeing and parents’ satisfaction. </w:t>
      </w:r>
      <w:r w:rsidRPr="00BB6978">
        <w:rPr>
          <w:rFonts w:asciiTheme="majorBidi" w:hAnsiTheme="majorBidi" w:cstheme="majorBidi"/>
          <w:i/>
          <w:iCs/>
          <w:sz w:val="24"/>
          <w:szCs w:val="24"/>
        </w:rPr>
        <w:t>Economics of Education Review</w:t>
      </w:r>
      <w:r w:rsidRPr="00BB6978">
        <w:rPr>
          <w:rFonts w:asciiTheme="majorBidi" w:hAnsiTheme="majorBidi" w:cstheme="majorBidi"/>
          <w:sz w:val="24"/>
          <w:szCs w:val="24"/>
        </w:rPr>
        <w:t>, </w:t>
      </w:r>
      <w:r w:rsidRPr="00BB6978">
        <w:rPr>
          <w:rFonts w:asciiTheme="majorBidi" w:hAnsiTheme="majorBidi" w:cstheme="majorBidi"/>
          <w:i/>
          <w:iCs/>
          <w:sz w:val="24"/>
          <w:szCs w:val="24"/>
        </w:rPr>
        <w:t>30</w:t>
      </w:r>
      <w:r w:rsidRPr="00BB6978">
        <w:rPr>
          <w:rFonts w:asciiTheme="majorBidi" w:hAnsiTheme="majorBidi" w:cstheme="majorBidi"/>
          <w:sz w:val="24"/>
          <w:szCs w:val="24"/>
        </w:rPr>
        <w:t>(2), 312-331.</w:t>
      </w:r>
      <w:r w:rsidRPr="00BB6978">
        <w:rPr>
          <w:rFonts w:asciiTheme="majorBidi" w:hAnsiTheme="majorBidi" w:cstheme="majorBidi"/>
          <w:sz w:val="24"/>
          <w:szCs w:val="24"/>
          <w:rtl/>
        </w:rPr>
        <w:t>‏</w:t>
      </w:r>
    </w:p>
    <w:p w14:paraId="0BE0A493"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Glasman, N.J., &amp; Biniaminov, I. (1981). Input-output analysis in schools. Review of Educational Research, 51(4), 509-539.</w:t>
      </w:r>
    </w:p>
    <w:p w14:paraId="44164643"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Glass, G.V; Cahen, L.S.; Smith, M.L.; and Filby, N.N. (1982). School class size: Research and Policy. Beverly Hills, CA: SAGE Publications.</w:t>
      </w:r>
    </w:p>
    <w:p w14:paraId="1455158F" w14:textId="77777777" w:rsidR="00570292" w:rsidRPr="00BB6978" w:rsidRDefault="00570292" w:rsidP="00B14D43">
      <w:pPr>
        <w:spacing w:line="480" w:lineRule="auto"/>
        <w:ind w:left="720" w:hanging="720"/>
        <w:rPr>
          <w:rFonts w:asciiTheme="majorBidi" w:hAnsiTheme="majorBidi" w:cstheme="majorBidi"/>
          <w:sz w:val="24"/>
          <w:szCs w:val="24"/>
          <w14:ligatures w14:val="standardContextual"/>
        </w:rPr>
      </w:pPr>
      <w:r w:rsidRPr="00BB6978">
        <w:rPr>
          <w:rFonts w:asciiTheme="majorBidi" w:hAnsiTheme="majorBidi" w:cstheme="majorBidi"/>
          <w:sz w:val="24"/>
          <w:szCs w:val="24"/>
          <w14:ligatures w14:val="standardContextual"/>
        </w:rPr>
        <w:t xml:space="preserve">Global Media Insight. (2022, March 18). </w:t>
      </w:r>
      <w:r w:rsidRPr="00BB6978">
        <w:rPr>
          <w:rFonts w:asciiTheme="majorBidi" w:hAnsiTheme="majorBidi" w:cstheme="majorBidi"/>
          <w:i/>
          <w:iCs/>
          <w:sz w:val="24"/>
          <w:szCs w:val="24"/>
          <w14:ligatures w14:val="standardContextual"/>
        </w:rPr>
        <w:t>United Arab Emirates Population Statistics 2022</w:t>
      </w:r>
      <w:r w:rsidRPr="00BB6978">
        <w:rPr>
          <w:rFonts w:asciiTheme="majorBidi" w:hAnsiTheme="majorBidi" w:cstheme="majorBidi"/>
          <w:sz w:val="24"/>
          <w:szCs w:val="24"/>
          <w14:ligatures w14:val="standardContextual"/>
        </w:rPr>
        <w:t xml:space="preserve">. GMI. </w:t>
      </w:r>
      <w:hyperlink r:id="rId67" w:anchor=":~:text=The%20Population%20of%20UAE%20in,in%202022%20is%208.92%20Million" w:history="1">
        <w:r w:rsidRPr="00BB6978">
          <w:rPr>
            <w:rStyle w:val="Hyperlink"/>
            <w:rFonts w:asciiTheme="majorBidi" w:hAnsiTheme="majorBidi" w:cstheme="majorBidi"/>
            <w:color w:val="auto"/>
            <w:sz w:val="24"/>
            <w:szCs w:val="24"/>
            <w14:ligatures w14:val="standardContextual"/>
          </w:rPr>
          <w:t>https://www.globalmediainsight.com/blog/uae-population-statistics/#:~:text=The%20Population%20of%20UAE%20in,in%202022%20is%208.92%20Million</w:t>
        </w:r>
      </w:hyperlink>
      <w:r w:rsidRPr="00BB6978">
        <w:rPr>
          <w:rFonts w:asciiTheme="majorBidi" w:hAnsiTheme="majorBidi" w:cstheme="majorBidi"/>
          <w:sz w:val="24"/>
          <w:szCs w:val="24"/>
          <w14:ligatures w14:val="standardContextual"/>
        </w:rPr>
        <w:t>.</w:t>
      </w:r>
    </w:p>
    <w:p w14:paraId="71111F09" w14:textId="77777777" w:rsidR="00570292" w:rsidRPr="00BB6978" w:rsidRDefault="00570292" w:rsidP="00B14D43">
      <w:pPr>
        <w:spacing w:line="480" w:lineRule="auto"/>
        <w:ind w:left="720" w:hanging="720"/>
        <w:rPr>
          <w:rFonts w:asciiTheme="majorBidi" w:hAnsiTheme="majorBidi" w:cstheme="majorBidi"/>
          <w:sz w:val="24"/>
          <w:szCs w:val="24"/>
          <w:shd w:val="clear" w:color="auto" w:fill="FFFFFF"/>
        </w:rPr>
      </w:pPr>
      <w:bookmarkStart w:id="230" w:name="_Hlk138081955"/>
      <w:r w:rsidRPr="00BB6978">
        <w:rPr>
          <w:rFonts w:asciiTheme="majorBidi" w:hAnsiTheme="majorBidi" w:cstheme="majorBidi"/>
          <w:sz w:val="24"/>
          <w:szCs w:val="24"/>
          <w:shd w:val="clear" w:color="auto" w:fill="FFFFFF"/>
        </w:rPr>
        <w:t>Gobert, M. T. (2019</w:t>
      </w:r>
      <w:bookmarkEnd w:id="230"/>
      <w:r w:rsidRPr="00BB6978">
        <w:rPr>
          <w:rFonts w:asciiTheme="majorBidi" w:hAnsiTheme="majorBidi" w:cstheme="majorBidi"/>
          <w:sz w:val="24"/>
          <w:szCs w:val="24"/>
          <w:shd w:val="clear" w:color="auto" w:fill="FFFFFF"/>
        </w:rPr>
        <w:t>). Transformation in English language education in the UAE. </w:t>
      </w:r>
      <w:r w:rsidRPr="00BB6978">
        <w:rPr>
          <w:rFonts w:asciiTheme="majorBidi" w:hAnsiTheme="majorBidi" w:cstheme="majorBidi"/>
          <w:i/>
          <w:iCs/>
          <w:sz w:val="24"/>
          <w:szCs w:val="24"/>
          <w:shd w:val="clear" w:color="auto" w:fill="FFFFFF"/>
        </w:rPr>
        <w:t>Education in the United Arab Emirates: Innovation and transformation</w:t>
      </w:r>
      <w:r w:rsidRPr="00BB6978">
        <w:rPr>
          <w:rFonts w:asciiTheme="majorBidi" w:hAnsiTheme="majorBidi" w:cstheme="majorBidi"/>
          <w:sz w:val="24"/>
          <w:szCs w:val="24"/>
          <w:shd w:val="clear" w:color="auto" w:fill="FFFFFF"/>
        </w:rPr>
        <w:t>, 113-126.</w:t>
      </w:r>
    </w:p>
    <w:p w14:paraId="289D99C8" w14:textId="35C27169" w:rsidR="00570292" w:rsidRPr="00BB6978" w:rsidRDefault="00570292" w:rsidP="00A44219">
      <w:pPr>
        <w:spacing w:line="480" w:lineRule="auto"/>
        <w:ind w:left="720" w:hanging="720"/>
        <w:rPr>
          <w:rFonts w:asciiTheme="majorBidi" w:hAnsiTheme="majorBidi" w:cstheme="majorBidi"/>
          <w:sz w:val="24"/>
          <w:szCs w:val="24"/>
          <w:shd w:val="clear" w:color="auto" w:fill="FFFFFF"/>
        </w:rPr>
      </w:pPr>
      <w:bookmarkStart w:id="231" w:name="_Hlk138085476"/>
      <w:r w:rsidRPr="00BB6978">
        <w:rPr>
          <w:rFonts w:asciiTheme="majorBidi" w:hAnsiTheme="majorBidi" w:cstheme="majorBidi"/>
          <w:sz w:val="24"/>
          <w:szCs w:val="24"/>
          <w:shd w:val="clear" w:color="auto" w:fill="FFFFFF"/>
        </w:rPr>
        <w:t xml:space="preserve">Goe, L. (2007). </w:t>
      </w:r>
      <w:bookmarkEnd w:id="231"/>
      <w:r w:rsidRPr="00BB6978">
        <w:rPr>
          <w:rFonts w:asciiTheme="majorBidi" w:hAnsiTheme="majorBidi" w:cstheme="majorBidi"/>
          <w:sz w:val="24"/>
          <w:szCs w:val="24"/>
          <w:shd w:val="clear" w:color="auto" w:fill="FFFFFF"/>
        </w:rPr>
        <w:t>The link between teacher quality and student outcomes: A research synthesis. </w:t>
      </w:r>
      <w:r w:rsidRPr="00BB6978">
        <w:rPr>
          <w:rFonts w:asciiTheme="majorBidi" w:hAnsiTheme="majorBidi" w:cstheme="majorBidi"/>
          <w:i/>
          <w:iCs/>
          <w:sz w:val="24"/>
          <w:szCs w:val="24"/>
          <w:shd w:val="clear" w:color="auto" w:fill="FFFFFF"/>
        </w:rPr>
        <w:t>National comprehensive center for teacher quality</w:t>
      </w:r>
      <w:r w:rsidRPr="00BB6978">
        <w:rPr>
          <w:rFonts w:asciiTheme="majorBidi" w:hAnsiTheme="majorBidi" w:cstheme="majorBidi"/>
          <w:sz w:val="24"/>
          <w:szCs w:val="24"/>
          <w:shd w:val="clear" w:color="auto" w:fill="FFFFFF"/>
        </w:rPr>
        <w:t>.</w:t>
      </w:r>
    </w:p>
    <w:p w14:paraId="25924E49" w14:textId="72A14492" w:rsidR="00676834" w:rsidRPr="00BB6978" w:rsidRDefault="00676834" w:rsidP="00B14D43">
      <w:pPr>
        <w:spacing w:line="480" w:lineRule="auto"/>
        <w:ind w:left="567" w:hanging="567"/>
        <w:jc w:val="both"/>
        <w:rPr>
          <w:rFonts w:asciiTheme="majorBidi" w:hAnsiTheme="majorBidi" w:cstheme="majorBidi"/>
          <w:sz w:val="24"/>
          <w:szCs w:val="24"/>
          <w:shd w:val="clear" w:color="auto" w:fill="FFFFFF"/>
        </w:rPr>
      </w:pPr>
      <w:r w:rsidRPr="00BB6978">
        <w:rPr>
          <w:rFonts w:asciiTheme="majorBidi" w:hAnsiTheme="majorBidi" w:cstheme="majorBidi"/>
          <w:sz w:val="24"/>
          <w:szCs w:val="24"/>
        </w:rPr>
        <w:t>Gonski, D., Boston, K., Greiner, K., Lawrence,C., Scales, B. and Tannock, P. (2011). Review of Funding for Schooling: Final Report, Department of Education, Employment and Workplace Relations, Canberra.</w:t>
      </w:r>
    </w:p>
    <w:p w14:paraId="78D2071B"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Goodreads. (2021). Sheikh Zayed Al Nahyan, Quotes. Retrieved from </w:t>
      </w:r>
      <w:hyperlink r:id="rId68" w:history="1">
        <w:r w:rsidRPr="00BB6978">
          <w:rPr>
            <w:rFonts w:asciiTheme="majorBidi" w:hAnsiTheme="majorBidi" w:cstheme="majorBidi"/>
            <w:sz w:val="24"/>
            <w:szCs w:val="24"/>
          </w:rPr>
          <w:t>Sheikh Zayed Al Nahyan Quotes (goodreads.com)</w:t>
        </w:r>
      </w:hyperlink>
    </w:p>
    <w:p w14:paraId="75C1566C" w14:textId="77777777" w:rsidR="00570292" w:rsidRPr="00BB6978" w:rsidRDefault="00570292"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Gopalan, M., Rosinger, K., &amp; Ahn, J. B. (2020). Use of quasi-experimental research designs in education research: Growth, promise, and challenges. </w:t>
      </w:r>
      <w:r w:rsidRPr="00BB6978">
        <w:rPr>
          <w:rFonts w:asciiTheme="majorBidi" w:hAnsiTheme="majorBidi" w:cstheme="majorBidi"/>
          <w:i/>
          <w:iCs/>
          <w:sz w:val="24"/>
          <w:szCs w:val="24"/>
        </w:rPr>
        <w:t>Review of Research in Education</w:t>
      </w:r>
      <w:r w:rsidRPr="00BB6978">
        <w:rPr>
          <w:rFonts w:asciiTheme="majorBidi" w:hAnsiTheme="majorBidi" w:cstheme="majorBidi"/>
          <w:sz w:val="24"/>
          <w:szCs w:val="24"/>
        </w:rPr>
        <w:t>, </w:t>
      </w:r>
      <w:r w:rsidRPr="00BB6978">
        <w:rPr>
          <w:rFonts w:asciiTheme="majorBidi" w:hAnsiTheme="majorBidi" w:cstheme="majorBidi"/>
          <w:i/>
          <w:iCs/>
          <w:sz w:val="24"/>
          <w:szCs w:val="24"/>
        </w:rPr>
        <w:t>44</w:t>
      </w:r>
      <w:r w:rsidRPr="00BB6978">
        <w:rPr>
          <w:rFonts w:asciiTheme="majorBidi" w:hAnsiTheme="majorBidi" w:cstheme="majorBidi"/>
          <w:sz w:val="24"/>
          <w:szCs w:val="24"/>
        </w:rPr>
        <w:t>(1), 218-243.</w:t>
      </w:r>
      <w:r w:rsidRPr="00BB6978">
        <w:rPr>
          <w:rFonts w:asciiTheme="majorBidi" w:hAnsiTheme="majorBidi" w:cstheme="majorBidi"/>
          <w:sz w:val="24"/>
          <w:szCs w:val="24"/>
          <w:rtl/>
        </w:rPr>
        <w:t>‏</w:t>
      </w:r>
    </w:p>
    <w:p w14:paraId="2C6786AE"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Gorard, S., Fitz, J. &amp; Taylor, C. (2001) School choice impacts: what we know? EducationalResearcher, 30(7), 18–23</w:t>
      </w:r>
    </w:p>
    <w:p w14:paraId="1AA67C08"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Gorard, S., See, B. H., &amp; Siddiqui, N. (2020). What is the evidence on the best way to get evidence into use in education?. </w:t>
      </w:r>
      <w:r w:rsidRPr="00BB6978">
        <w:rPr>
          <w:rFonts w:asciiTheme="majorBidi" w:hAnsiTheme="majorBidi" w:cstheme="majorBidi"/>
          <w:i/>
          <w:iCs/>
          <w:sz w:val="24"/>
          <w:szCs w:val="24"/>
        </w:rPr>
        <w:t>Review of Education</w:t>
      </w:r>
      <w:r w:rsidRPr="00BB6978">
        <w:rPr>
          <w:rFonts w:asciiTheme="majorBidi" w:hAnsiTheme="majorBidi" w:cstheme="majorBidi"/>
          <w:sz w:val="24"/>
          <w:szCs w:val="24"/>
        </w:rPr>
        <w:t>, </w:t>
      </w:r>
      <w:r w:rsidRPr="00BB6978">
        <w:rPr>
          <w:rFonts w:asciiTheme="majorBidi" w:hAnsiTheme="majorBidi" w:cstheme="majorBidi"/>
          <w:i/>
          <w:iCs/>
          <w:sz w:val="24"/>
          <w:szCs w:val="24"/>
        </w:rPr>
        <w:t>8</w:t>
      </w:r>
      <w:r w:rsidRPr="00BB6978">
        <w:rPr>
          <w:rFonts w:asciiTheme="majorBidi" w:hAnsiTheme="majorBidi" w:cstheme="majorBidi"/>
          <w:sz w:val="24"/>
          <w:szCs w:val="24"/>
        </w:rPr>
        <w:t>(2), 570-610.</w:t>
      </w:r>
      <w:r w:rsidRPr="00BB6978">
        <w:rPr>
          <w:rFonts w:asciiTheme="majorBidi" w:hAnsiTheme="majorBidi" w:cstheme="majorBidi"/>
          <w:sz w:val="24"/>
          <w:szCs w:val="24"/>
          <w:rtl/>
        </w:rPr>
        <w:t>‏</w:t>
      </w:r>
    </w:p>
    <w:p w14:paraId="7FF108EF"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Greaves, E., &amp; Sibieta, L. (2019). Constrained optimisation? Teacher salaries, school resources and student achievement. </w:t>
      </w:r>
      <w:r w:rsidRPr="00BB6978">
        <w:rPr>
          <w:rFonts w:asciiTheme="majorBidi" w:hAnsiTheme="majorBidi" w:cstheme="majorBidi"/>
          <w:i/>
          <w:iCs/>
          <w:sz w:val="24"/>
          <w:szCs w:val="24"/>
        </w:rPr>
        <w:t>Economics of Education Review</w:t>
      </w:r>
      <w:r w:rsidRPr="00BB6978">
        <w:rPr>
          <w:rFonts w:asciiTheme="majorBidi" w:hAnsiTheme="majorBidi" w:cstheme="majorBidi"/>
          <w:sz w:val="24"/>
          <w:szCs w:val="24"/>
        </w:rPr>
        <w:t>, </w:t>
      </w:r>
      <w:r w:rsidRPr="00BB6978">
        <w:rPr>
          <w:rFonts w:asciiTheme="majorBidi" w:hAnsiTheme="majorBidi" w:cstheme="majorBidi"/>
          <w:i/>
          <w:iCs/>
          <w:sz w:val="24"/>
          <w:szCs w:val="24"/>
        </w:rPr>
        <w:t>73</w:t>
      </w:r>
      <w:r w:rsidRPr="00BB6978">
        <w:rPr>
          <w:rFonts w:asciiTheme="majorBidi" w:hAnsiTheme="majorBidi" w:cstheme="majorBidi"/>
          <w:sz w:val="24"/>
          <w:szCs w:val="24"/>
        </w:rPr>
        <w:t>, 101924.</w:t>
      </w:r>
      <w:r w:rsidRPr="00BB6978">
        <w:rPr>
          <w:rFonts w:asciiTheme="majorBidi" w:hAnsiTheme="majorBidi" w:cstheme="majorBidi"/>
          <w:sz w:val="24"/>
          <w:szCs w:val="24"/>
          <w:rtl/>
        </w:rPr>
        <w:t>‏</w:t>
      </w:r>
    </w:p>
    <w:p w14:paraId="2ECD8187" w14:textId="7F859C16" w:rsidR="00570292" w:rsidRPr="00BB6978" w:rsidRDefault="00570292" w:rsidP="00A44219">
      <w:pPr>
        <w:spacing w:line="480" w:lineRule="auto"/>
        <w:ind w:left="720" w:hanging="720"/>
        <w:rPr>
          <w:rFonts w:asciiTheme="majorBidi" w:hAnsiTheme="majorBidi" w:cstheme="majorBidi"/>
          <w:sz w:val="24"/>
          <w:szCs w:val="24"/>
          <w:shd w:val="clear" w:color="auto" w:fill="FFFFFF"/>
        </w:rPr>
      </w:pPr>
      <w:bookmarkStart w:id="232" w:name="_Hlk138083250"/>
      <w:r w:rsidRPr="00BB6978">
        <w:rPr>
          <w:rFonts w:asciiTheme="majorBidi" w:hAnsiTheme="majorBidi" w:cstheme="majorBidi"/>
          <w:sz w:val="24"/>
          <w:szCs w:val="24"/>
          <w:shd w:val="clear" w:color="auto" w:fill="FFFFFF"/>
        </w:rPr>
        <w:t>Grek</w:t>
      </w:r>
      <w:bookmarkEnd w:id="232"/>
      <w:r w:rsidRPr="00BB6978">
        <w:rPr>
          <w:rFonts w:asciiTheme="majorBidi" w:hAnsiTheme="majorBidi" w:cstheme="majorBidi"/>
          <w:sz w:val="24"/>
          <w:szCs w:val="24"/>
          <w:shd w:val="clear" w:color="auto" w:fill="FFFFFF"/>
        </w:rPr>
        <w:t>, S., Lawn, M., Lingard, B., Ozga, J., Rinne, R., Segerholm, C., &amp; Simola, H. (2009). National policy brokering and the construction of the European Education Space in England, Sweden, Finland and Scotland. </w:t>
      </w:r>
      <w:r w:rsidRPr="00BB6978">
        <w:rPr>
          <w:rFonts w:asciiTheme="majorBidi" w:hAnsiTheme="majorBidi" w:cstheme="majorBidi"/>
          <w:i/>
          <w:iCs/>
          <w:sz w:val="24"/>
          <w:szCs w:val="24"/>
          <w:shd w:val="clear" w:color="auto" w:fill="FFFFFF"/>
        </w:rPr>
        <w:t>Comparative Education</w:t>
      </w:r>
      <w:r w:rsidRPr="00BB6978">
        <w:rPr>
          <w:rFonts w:asciiTheme="majorBidi" w:hAnsiTheme="majorBidi" w:cstheme="majorBidi"/>
          <w:sz w:val="24"/>
          <w:szCs w:val="24"/>
          <w:shd w:val="clear" w:color="auto" w:fill="FFFFFF"/>
        </w:rPr>
        <w:t>, </w:t>
      </w:r>
      <w:r w:rsidRPr="00BB6978">
        <w:rPr>
          <w:rFonts w:asciiTheme="majorBidi" w:hAnsiTheme="majorBidi" w:cstheme="majorBidi"/>
          <w:i/>
          <w:iCs/>
          <w:sz w:val="24"/>
          <w:szCs w:val="24"/>
          <w:shd w:val="clear" w:color="auto" w:fill="FFFFFF"/>
        </w:rPr>
        <w:t>45</w:t>
      </w:r>
      <w:r w:rsidRPr="00BB6978">
        <w:rPr>
          <w:rFonts w:asciiTheme="majorBidi" w:hAnsiTheme="majorBidi" w:cstheme="majorBidi"/>
          <w:sz w:val="24"/>
          <w:szCs w:val="24"/>
          <w:shd w:val="clear" w:color="auto" w:fill="FFFFFF"/>
        </w:rPr>
        <w:t>(1), 5-21.</w:t>
      </w:r>
    </w:p>
    <w:p w14:paraId="5CF0A458" w14:textId="43C1FB1E"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Greene, J. (2001) A survey of results from voucher experiments: where we are and what we know,in: C. Hepburn (Ed.) Can markets save our schools? (Vancouver, BC, the Fraser Institute), 121–149 </w:t>
      </w:r>
    </w:p>
    <w:p w14:paraId="57DC57B4" w14:textId="03CB82F2" w:rsidR="00570292" w:rsidRPr="00BB6978" w:rsidRDefault="00676834" w:rsidP="00A44219">
      <w:pPr>
        <w:spacing w:line="480" w:lineRule="auto"/>
        <w:ind w:left="567" w:hanging="567"/>
        <w:jc w:val="both"/>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Greenwald, R., Hedges, L. V., &amp; Laine, R. D. (1996). The effect of school resources on student achievement. </w:t>
      </w:r>
      <w:r w:rsidRPr="00BB6978">
        <w:rPr>
          <w:rFonts w:asciiTheme="majorBidi" w:hAnsiTheme="majorBidi" w:cstheme="majorBidi"/>
          <w:i/>
          <w:iCs/>
          <w:sz w:val="24"/>
          <w:szCs w:val="24"/>
          <w:shd w:val="clear" w:color="auto" w:fill="FFFFFF"/>
        </w:rPr>
        <w:t>Review of educational research</w:t>
      </w:r>
      <w:r w:rsidRPr="00BB6978">
        <w:rPr>
          <w:rFonts w:asciiTheme="majorBidi" w:hAnsiTheme="majorBidi" w:cstheme="majorBidi"/>
          <w:sz w:val="24"/>
          <w:szCs w:val="24"/>
          <w:shd w:val="clear" w:color="auto" w:fill="FFFFFF"/>
        </w:rPr>
        <w:t>, </w:t>
      </w:r>
      <w:r w:rsidRPr="00BB6978">
        <w:rPr>
          <w:rFonts w:asciiTheme="majorBidi" w:hAnsiTheme="majorBidi" w:cstheme="majorBidi"/>
          <w:i/>
          <w:iCs/>
          <w:sz w:val="24"/>
          <w:szCs w:val="24"/>
          <w:shd w:val="clear" w:color="auto" w:fill="FFFFFF"/>
        </w:rPr>
        <w:t>66</w:t>
      </w:r>
      <w:r w:rsidRPr="00BB6978">
        <w:rPr>
          <w:rFonts w:asciiTheme="majorBidi" w:hAnsiTheme="majorBidi" w:cstheme="majorBidi"/>
          <w:sz w:val="24"/>
          <w:szCs w:val="24"/>
          <w:shd w:val="clear" w:color="auto" w:fill="FFFFFF"/>
        </w:rPr>
        <w:t>(3), 361-396.</w:t>
      </w:r>
    </w:p>
    <w:p w14:paraId="52C1B46B"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Gulf business (2020). School fees in the UAE. [Online]. 2020. Gulf business. Available from: https://gulfbusiness.com/revealed-average-private-school-fees-abu-dhabi/. [Accessed: 30 December 2020].</w:t>
      </w:r>
    </w:p>
    <w:p w14:paraId="57AB819A" w14:textId="316B379C" w:rsidR="00570292" w:rsidRPr="00BB6978" w:rsidRDefault="00570292" w:rsidP="00A44219">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Guo, L., Huang, J., &amp; Zhang, Y. (2019). Education development in China: Education return, quality, and equity. </w:t>
      </w:r>
      <w:r w:rsidRPr="00BB6978">
        <w:rPr>
          <w:rFonts w:asciiTheme="majorBidi" w:hAnsiTheme="majorBidi" w:cstheme="majorBidi"/>
          <w:i/>
          <w:iCs/>
          <w:sz w:val="24"/>
          <w:szCs w:val="24"/>
        </w:rPr>
        <w:t>Sustainability</w:t>
      </w:r>
      <w:r w:rsidRPr="00BB6978">
        <w:rPr>
          <w:rFonts w:asciiTheme="majorBidi" w:hAnsiTheme="majorBidi" w:cstheme="majorBidi"/>
          <w:sz w:val="24"/>
          <w:szCs w:val="24"/>
        </w:rPr>
        <w:t>, </w:t>
      </w:r>
      <w:r w:rsidRPr="00BB6978">
        <w:rPr>
          <w:rFonts w:asciiTheme="majorBidi" w:hAnsiTheme="majorBidi" w:cstheme="majorBidi"/>
          <w:i/>
          <w:iCs/>
          <w:sz w:val="24"/>
          <w:szCs w:val="24"/>
        </w:rPr>
        <w:t>11</w:t>
      </w:r>
      <w:r w:rsidRPr="00BB6978">
        <w:rPr>
          <w:rFonts w:asciiTheme="majorBidi" w:hAnsiTheme="majorBidi" w:cstheme="majorBidi"/>
          <w:sz w:val="24"/>
          <w:szCs w:val="24"/>
        </w:rPr>
        <w:t>(13), 3750.</w:t>
      </w:r>
      <w:r w:rsidRPr="00BB6978">
        <w:rPr>
          <w:rFonts w:asciiTheme="majorBidi" w:hAnsiTheme="majorBidi" w:cstheme="majorBidi"/>
          <w:sz w:val="24"/>
          <w:szCs w:val="24"/>
          <w:rtl/>
        </w:rPr>
        <w:t>‏</w:t>
      </w:r>
    </w:p>
    <w:p w14:paraId="6C3342A9"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Haisken-DeNew, J., Hasan, S., Jha, N., &amp; Sinning, M. (2018). Unawareness and selective disclosure: The effect of school quality information on property prices. </w:t>
      </w:r>
      <w:r w:rsidRPr="00BB6978">
        <w:rPr>
          <w:rFonts w:asciiTheme="majorBidi" w:hAnsiTheme="majorBidi" w:cstheme="majorBidi"/>
          <w:i/>
          <w:iCs/>
          <w:sz w:val="24"/>
          <w:szCs w:val="24"/>
        </w:rPr>
        <w:t>Journal of Economic Behavior &amp; Organization</w:t>
      </w:r>
      <w:r w:rsidRPr="00BB6978">
        <w:rPr>
          <w:rFonts w:asciiTheme="majorBidi" w:hAnsiTheme="majorBidi" w:cstheme="majorBidi"/>
          <w:sz w:val="24"/>
          <w:szCs w:val="24"/>
        </w:rPr>
        <w:t>, </w:t>
      </w:r>
      <w:r w:rsidRPr="00BB6978">
        <w:rPr>
          <w:rFonts w:asciiTheme="majorBidi" w:hAnsiTheme="majorBidi" w:cstheme="majorBidi"/>
          <w:i/>
          <w:iCs/>
          <w:sz w:val="24"/>
          <w:szCs w:val="24"/>
        </w:rPr>
        <w:t>145</w:t>
      </w:r>
      <w:r w:rsidRPr="00BB6978">
        <w:rPr>
          <w:rFonts w:asciiTheme="majorBidi" w:hAnsiTheme="majorBidi" w:cstheme="majorBidi"/>
          <w:sz w:val="24"/>
          <w:szCs w:val="24"/>
        </w:rPr>
        <w:t>, 449-464.</w:t>
      </w:r>
      <w:r w:rsidRPr="00BB6978">
        <w:rPr>
          <w:rFonts w:asciiTheme="majorBidi" w:hAnsiTheme="majorBidi" w:cstheme="majorBidi"/>
          <w:sz w:val="24"/>
          <w:szCs w:val="24"/>
          <w:rtl/>
        </w:rPr>
        <w:t>‏</w:t>
      </w:r>
    </w:p>
    <w:p w14:paraId="05914CC7"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Haller, E. J., &amp; Virkler, S. J. (1993). Another look at ruralnonrural differences in student's educational aspirations. In </w:t>
      </w:r>
      <w:r w:rsidRPr="00BB6978">
        <w:rPr>
          <w:rFonts w:asciiTheme="majorBidi" w:hAnsiTheme="majorBidi" w:cstheme="majorBidi"/>
          <w:i/>
          <w:iCs/>
          <w:sz w:val="24"/>
          <w:szCs w:val="24"/>
        </w:rPr>
        <w:t>Journal of Research in Rural Education</w:t>
      </w:r>
      <w:r w:rsidRPr="00BB6978">
        <w:rPr>
          <w:rFonts w:asciiTheme="majorBidi" w:hAnsiTheme="majorBidi" w:cstheme="majorBidi"/>
          <w:sz w:val="24"/>
          <w:szCs w:val="24"/>
        </w:rPr>
        <w:t>.</w:t>
      </w:r>
      <w:r w:rsidRPr="00BB6978">
        <w:rPr>
          <w:rFonts w:asciiTheme="majorBidi" w:hAnsiTheme="majorBidi" w:cstheme="majorBidi"/>
          <w:sz w:val="24"/>
          <w:szCs w:val="24"/>
          <w:rtl/>
        </w:rPr>
        <w:t>‏</w:t>
      </w:r>
    </w:p>
    <w:p w14:paraId="323B19AD"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Hancock, K. J., Lawrence, D., Shepherd, C. C., Mitrou, F., &amp; Zubrick, S. R. (2017). Associations between school absence and academic achievement: Do socioeconomics matter?. </w:t>
      </w:r>
      <w:r w:rsidRPr="00BB6978">
        <w:rPr>
          <w:rFonts w:asciiTheme="majorBidi" w:hAnsiTheme="majorBidi" w:cstheme="majorBidi"/>
          <w:i/>
          <w:iCs/>
          <w:sz w:val="24"/>
          <w:szCs w:val="24"/>
        </w:rPr>
        <w:t>British Educational Research Journal</w:t>
      </w:r>
      <w:r w:rsidRPr="00BB6978">
        <w:rPr>
          <w:rFonts w:asciiTheme="majorBidi" w:hAnsiTheme="majorBidi" w:cstheme="majorBidi"/>
          <w:sz w:val="24"/>
          <w:szCs w:val="24"/>
        </w:rPr>
        <w:t>, </w:t>
      </w:r>
      <w:r w:rsidRPr="00BB6978">
        <w:rPr>
          <w:rFonts w:asciiTheme="majorBidi" w:hAnsiTheme="majorBidi" w:cstheme="majorBidi"/>
          <w:i/>
          <w:iCs/>
          <w:sz w:val="24"/>
          <w:szCs w:val="24"/>
        </w:rPr>
        <w:t>43</w:t>
      </w:r>
      <w:r w:rsidRPr="00BB6978">
        <w:rPr>
          <w:rFonts w:asciiTheme="majorBidi" w:hAnsiTheme="majorBidi" w:cstheme="majorBidi"/>
          <w:sz w:val="24"/>
          <w:szCs w:val="24"/>
        </w:rPr>
        <w:t>(3), 415-440.</w:t>
      </w:r>
      <w:r w:rsidRPr="00BB6978">
        <w:rPr>
          <w:rFonts w:asciiTheme="majorBidi" w:hAnsiTheme="majorBidi" w:cstheme="majorBidi"/>
          <w:sz w:val="24"/>
          <w:szCs w:val="24"/>
          <w:rtl/>
        </w:rPr>
        <w:t>‏</w:t>
      </w:r>
    </w:p>
    <w:p w14:paraId="2054E235"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Hanushek, E. (2003). The Failure of Input-based Schooling Policies. The Economic Journal, 113, pp. 64-98. Retrieved from </w:t>
      </w:r>
      <w:hyperlink r:id="rId69" w:history="1">
        <w:r w:rsidRPr="00BB6978">
          <w:rPr>
            <w:rFonts w:asciiTheme="majorBidi" w:hAnsiTheme="majorBidi" w:cstheme="majorBidi"/>
            <w:sz w:val="24"/>
            <w:szCs w:val="24"/>
          </w:rPr>
          <w:t>http://hanushek.stanford.edu/publications/failure-input-base-schooling-policies</w:t>
        </w:r>
      </w:hyperlink>
    </w:p>
    <w:p w14:paraId="7376D55B"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Hanushek, E. A., &amp; Woessmann, L. (2020). Education, knowledge capital, and economic growth. </w:t>
      </w:r>
      <w:r w:rsidRPr="00BB6978">
        <w:rPr>
          <w:rFonts w:asciiTheme="majorBidi" w:hAnsiTheme="majorBidi" w:cstheme="majorBidi"/>
          <w:i/>
          <w:iCs/>
          <w:sz w:val="24"/>
          <w:szCs w:val="24"/>
        </w:rPr>
        <w:t>The economics of education</w:t>
      </w:r>
      <w:r w:rsidRPr="00BB6978">
        <w:rPr>
          <w:rFonts w:asciiTheme="majorBidi" w:hAnsiTheme="majorBidi" w:cstheme="majorBidi"/>
          <w:sz w:val="24"/>
          <w:szCs w:val="24"/>
        </w:rPr>
        <w:t>, 171-182.</w:t>
      </w:r>
      <w:r w:rsidRPr="00BB6978">
        <w:rPr>
          <w:rFonts w:asciiTheme="majorBidi" w:hAnsiTheme="majorBidi" w:cstheme="majorBidi"/>
          <w:sz w:val="24"/>
          <w:szCs w:val="24"/>
          <w:rtl/>
        </w:rPr>
        <w:t>‏</w:t>
      </w:r>
    </w:p>
    <w:p w14:paraId="30E3F68D"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Hanushek, E. A., Peterson, P. E., Talpey, L. M., &amp; Woessmann, L. (2019). The achievement gap fails to close. Education Next, 19(3), 8-17.</w:t>
      </w:r>
      <w:r w:rsidRPr="00BB6978">
        <w:rPr>
          <w:rFonts w:asciiTheme="majorBidi" w:hAnsiTheme="majorBidi" w:cstheme="majorBidi"/>
          <w:sz w:val="24"/>
          <w:szCs w:val="24"/>
          <w:rtl/>
        </w:rPr>
        <w:t>‏</w:t>
      </w:r>
    </w:p>
    <w:p w14:paraId="7847150C" w14:textId="77777777" w:rsidR="00570292" w:rsidRPr="00BB6978" w:rsidRDefault="00570292" w:rsidP="00B14D43">
      <w:pPr>
        <w:spacing w:line="480" w:lineRule="auto"/>
        <w:ind w:left="720" w:hanging="720"/>
        <w:rPr>
          <w:rFonts w:asciiTheme="majorBidi" w:hAnsiTheme="majorBidi" w:cstheme="majorBidi"/>
          <w:sz w:val="24"/>
          <w:szCs w:val="24"/>
          <w:shd w:val="clear" w:color="auto" w:fill="FFFFFF"/>
        </w:rPr>
      </w:pPr>
      <w:bookmarkStart w:id="233" w:name="_Hlk138084363"/>
      <w:r w:rsidRPr="00BB6978">
        <w:rPr>
          <w:rFonts w:asciiTheme="majorBidi" w:hAnsiTheme="majorBidi" w:cstheme="majorBidi"/>
          <w:sz w:val="24"/>
          <w:szCs w:val="24"/>
          <w:shd w:val="clear" w:color="auto" w:fill="FFFFFF"/>
        </w:rPr>
        <w:t xml:space="preserve">Hanushek, </w:t>
      </w:r>
      <w:bookmarkEnd w:id="233"/>
      <w:r w:rsidRPr="00BB6978">
        <w:rPr>
          <w:rFonts w:asciiTheme="majorBidi" w:hAnsiTheme="majorBidi" w:cstheme="majorBidi"/>
          <w:sz w:val="24"/>
          <w:szCs w:val="24"/>
          <w:shd w:val="clear" w:color="auto" w:fill="FFFFFF"/>
        </w:rPr>
        <w:t>E. A., Kain, J. F., Rivkin, S. G., &amp; Branch, G. F. (2007). Charter school quality and parental decision making with school choice. </w:t>
      </w:r>
      <w:r w:rsidRPr="00BB6978">
        <w:rPr>
          <w:rFonts w:asciiTheme="majorBidi" w:hAnsiTheme="majorBidi" w:cstheme="majorBidi"/>
          <w:i/>
          <w:iCs/>
          <w:sz w:val="24"/>
          <w:szCs w:val="24"/>
          <w:shd w:val="clear" w:color="auto" w:fill="FFFFFF"/>
        </w:rPr>
        <w:t>Journal of public economics</w:t>
      </w:r>
      <w:r w:rsidRPr="00BB6978">
        <w:rPr>
          <w:rFonts w:asciiTheme="majorBidi" w:hAnsiTheme="majorBidi" w:cstheme="majorBidi"/>
          <w:sz w:val="24"/>
          <w:szCs w:val="24"/>
          <w:shd w:val="clear" w:color="auto" w:fill="FFFFFF"/>
        </w:rPr>
        <w:t>, </w:t>
      </w:r>
      <w:r w:rsidRPr="00BB6978">
        <w:rPr>
          <w:rFonts w:asciiTheme="majorBidi" w:hAnsiTheme="majorBidi" w:cstheme="majorBidi"/>
          <w:i/>
          <w:iCs/>
          <w:sz w:val="24"/>
          <w:szCs w:val="24"/>
          <w:shd w:val="clear" w:color="auto" w:fill="FFFFFF"/>
        </w:rPr>
        <w:t>91</w:t>
      </w:r>
      <w:r w:rsidRPr="00BB6978">
        <w:rPr>
          <w:rFonts w:asciiTheme="majorBidi" w:hAnsiTheme="majorBidi" w:cstheme="majorBidi"/>
          <w:sz w:val="24"/>
          <w:szCs w:val="24"/>
          <w:shd w:val="clear" w:color="auto" w:fill="FFFFFF"/>
        </w:rPr>
        <w:t>(5-6), 823-848.</w:t>
      </w:r>
    </w:p>
    <w:p w14:paraId="5CDAB94C" w14:textId="79413043" w:rsidR="00570292" w:rsidRPr="00BB6978" w:rsidRDefault="00570292" w:rsidP="00A44219">
      <w:pPr>
        <w:spacing w:line="480" w:lineRule="auto"/>
        <w:ind w:left="720" w:hanging="720"/>
        <w:rPr>
          <w:rFonts w:asciiTheme="majorBidi" w:hAnsiTheme="majorBidi" w:cstheme="majorBidi"/>
          <w:sz w:val="24"/>
          <w:szCs w:val="24"/>
          <w:shd w:val="clear" w:color="auto" w:fill="FFFFFF"/>
        </w:rPr>
      </w:pPr>
      <w:bookmarkStart w:id="234" w:name="_Hlk138085074"/>
      <w:r w:rsidRPr="00BB6978">
        <w:rPr>
          <w:rFonts w:asciiTheme="majorBidi" w:hAnsiTheme="majorBidi" w:cstheme="majorBidi"/>
          <w:sz w:val="24"/>
          <w:szCs w:val="24"/>
          <w:shd w:val="clear" w:color="auto" w:fill="FFFFFF"/>
        </w:rPr>
        <w:t xml:space="preserve">Hanushek, </w:t>
      </w:r>
      <w:bookmarkEnd w:id="234"/>
      <w:r w:rsidRPr="00BB6978">
        <w:rPr>
          <w:rFonts w:asciiTheme="majorBidi" w:hAnsiTheme="majorBidi" w:cstheme="majorBidi"/>
          <w:sz w:val="24"/>
          <w:szCs w:val="24"/>
          <w:shd w:val="clear" w:color="auto" w:fill="FFFFFF"/>
        </w:rPr>
        <w:t>E. A., &amp; Rivkin, S. G. (2006). Teacher quality. </w:t>
      </w:r>
      <w:r w:rsidRPr="00BB6978">
        <w:rPr>
          <w:rFonts w:asciiTheme="majorBidi" w:hAnsiTheme="majorBidi" w:cstheme="majorBidi"/>
          <w:i/>
          <w:iCs/>
          <w:sz w:val="24"/>
          <w:szCs w:val="24"/>
          <w:shd w:val="clear" w:color="auto" w:fill="FFFFFF"/>
        </w:rPr>
        <w:t>Handbook of the Economics of Education</w:t>
      </w:r>
      <w:r w:rsidRPr="00BB6978">
        <w:rPr>
          <w:rFonts w:asciiTheme="majorBidi" w:hAnsiTheme="majorBidi" w:cstheme="majorBidi"/>
          <w:sz w:val="24"/>
          <w:szCs w:val="24"/>
          <w:shd w:val="clear" w:color="auto" w:fill="FFFFFF"/>
        </w:rPr>
        <w:t>, </w:t>
      </w:r>
      <w:r w:rsidRPr="00BB6978">
        <w:rPr>
          <w:rFonts w:asciiTheme="majorBidi" w:hAnsiTheme="majorBidi" w:cstheme="majorBidi"/>
          <w:i/>
          <w:iCs/>
          <w:sz w:val="24"/>
          <w:szCs w:val="24"/>
          <w:shd w:val="clear" w:color="auto" w:fill="FFFFFF"/>
        </w:rPr>
        <w:t>2</w:t>
      </w:r>
      <w:r w:rsidRPr="00BB6978">
        <w:rPr>
          <w:rFonts w:asciiTheme="majorBidi" w:hAnsiTheme="majorBidi" w:cstheme="majorBidi"/>
          <w:sz w:val="24"/>
          <w:szCs w:val="24"/>
          <w:shd w:val="clear" w:color="auto" w:fill="FFFFFF"/>
        </w:rPr>
        <w:t>, 1051-1078.</w:t>
      </w:r>
    </w:p>
    <w:p w14:paraId="2255A78F" w14:textId="54E57D50" w:rsidR="00570292" w:rsidRPr="00BB6978" w:rsidRDefault="00676834" w:rsidP="00A44219">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Hanushek, E.A. (1986). The economics of schooling: Production and efficiency in public schools. Journal of Economic Literature. 14(3), 1141-1177.</w:t>
      </w:r>
    </w:p>
    <w:p w14:paraId="38A8AA7D" w14:textId="77777777" w:rsidR="00676834" w:rsidRPr="00BB6978" w:rsidRDefault="00676834" w:rsidP="00B14D43">
      <w:pPr>
        <w:spacing w:before="240" w:after="200" w:line="480" w:lineRule="auto"/>
        <w:ind w:left="709" w:hanging="709"/>
        <w:rPr>
          <w:rFonts w:asciiTheme="majorBidi" w:eastAsia="Times New Roman" w:hAnsiTheme="majorBidi" w:cstheme="majorBidi"/>
          <w:sz w:val="24"/>
          <w:szCs w:val="24"/>
        </w:rPr>
      </w:pPr>
      <w:r w:rsidRPr="00BB6978">
        <w:rPr>
          <w:rFonts w:asciiTheme="majorBidi" w:hAnsiTheme="majorBidi" w:cstheme="majorBidi"/>
          <w:sz w:val="24"/>
          <w:szCs w:val="24"/>
        </w:rPr>
        <w:t>Härmä, J. (2011). Low-cost private schooling in India: Is it pro-poor and equitable? International Journal of Educational Development, 31(4), 350–356.</w:t>
      </w:r>
    </w:p>
    <w:p w14:paraId="39A153CE" w14:textId="77777777" w:rsidR="00676834" w:rsidRPr="00BB6978" w:rsidRDefault="00676834" w:rsidP="00B14D43">
      <w:pPr>
        <w:spacing w:before="240" w:after="200" w:line="480" w:lineRule="auto"/>
        <w:ind w:left="709" w:hanging="709"/>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Härmä, J. (2013). Access or quality? Why do families living in slums choose low-cost private schools in Lagos, Nigeria?. </w:t>
      </w:r>
      <w:r w:rsidRPr="00BB6978">
        <w:rPr>
          <w:rFonts w:asciiTheme="majorBidi" w:hAnsiTheme="majorBidi" w:cstheme="majorBidi"/>
          <w:i/>
          <w:iCs/>
          <w:sz w:val="24"/>
          <w:szCs w:val="24"/>
          <w:shd w:val="clear" w:color="auto" w:fill="FFFFFF"/>
        </w:rPr>
        <w:t>Oxford Review of Education</w:t>
      </w:r>
      <w:r w:rsidRPr="00BB6978">
        <w:rPr>
          <w:rFonts w:asciiTheme="majorBidi" w:hAnsiTheme="majorBidi" w:cstheme="majorBidi"/>
          <w:sz w:val="24"/>
          <w:szCs w:val="24"/>
          <w:shd w:val="clear" w:color="auto" w:fill="FFFFFF"/>
        </w:rPr>
        <w:t>, </w:t>
      </w:r>
      <w:r w:rsidRPr="00BB6978">
        <w:rPr>
          <w:rFonts w:asciiTheme="majorBidi" w:hAnsiTheme="majorBidi" w:cstheme="majorBidi"/>
          <w:i/>
          <w:iCs/>
          <w:sz w:val="24"/>
          <w:szCs w:val="24"/>
          <w:shd w:val="clear" w:color="auto" w:fill="FFFFFF"/>
        </w:rPr>
        <w:t>39</w:t>
      </w:r>
      <w:r w:rsidRPr="00BB6978">
        <w:rPr>
          <w:rFonts w:asciiTheme="majorBidi" w:hAnsiTheme="majorBidi" w:cstheme="majorBidi"/>
          <w:sz w:val="24"/>
          <w:szCs w:val="24"/>
          <w:shd w:val="clear" w:color="auto" w:fill="FFFFFF"/>
        </w:rPr>
        <w:t>(4), 548-566.</w:t>
      </w:r>
    </w:p>
    <w:p w14:paraId="7D18C9DE" w14:textId="77777777" w:rsidR="00676834" w:rsidRPr="00BB6978" w:rsidRDefault="00676834" w:rsidP="00B14D43">
      <w:pPr>
        <w:spacing w:before="240" w:after="200" w:line="480" w:lineRule="auto"/>
        <w:ind w:left="709" w:hanging="709"/>
        <w:rPr>
          <w:rFonts w:asciiTheme="majorBidi" w:eastAsia="Times New Roman" w:hAnsiTheme="majorBidi" w:cstheme="majorBidi"/>
          <w:sz w:val="24"/>
          <w:szCs w:val="24"/>
        </w:rPr>
      </w:pPr>
      <w:r w:rsidRPr="00BB6978">
        <w:rPr>
          <w:rFonts w:asciiTheme="majorBidi" w:hAnsiTheme="majorBidi" w:cstheme="majorBidi"/>
          <w:sz w:val="24"/>
          <w:szCs w:val="24"/>
        </w:rPr>
        <w:t>Härmä, J. (2021). Evidence on school choice and the human right to education. In </w:t>
      </w:r>
      <w:r w:rsidRPr="00BB6978">
        <w:rPr>
          <w:rFonts w:asciiTheme="majorBidi" w:hAnsiTheme="majorBidi" w:cstheme="majorBidi"/>
          <w:i/>
          <w:iCs/>
          <w:sz w:val="24"/>
          <w:szCs w:val="24"/>
        </w:rPr>
        <w:t>Realizing the Abidjan Principles on the Right to Education</w:t>
      </w:r>
      <w:r w:rsidRPr="00BB6978">
        <w:rPr>
          <w:rFonts w:asciiTheme="majorBidi" w:hAnsiTheme="majorBidi" w:cstheme="majorBidi"/>
          <w:sz w:val="24"/>
          <w:szCs w:val="24"/>
        </w:rPr>
        <w:t> (pp. 132-156). Edward Elgar Publishing.</w:t>
      </w:r>
      <w:r w:rsidRPr="00BB6978">
        <w:rPr>
          <w:rFonts w:asciiTheme="majorBidi" w:hAnsiTheme="majorBidi" w:cstheme="majorBidi"/>
          <w:sz w:val="24"/>
          <w:szCs w:val="24"/>
          <w:rtl/>
        </w:rPr>
        <w:t>‏</w:t>
      </w:r>
    </w:p>
    <w:p w14:paraId="3B054727"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pacing w:val="-5"/>
          <w:sz w:val="24"/>
          <w:szCs w:val="24"/>
        </w:rPr>
        <w:t xml:space="preserve">Hechinger, J. (2020, October 6). New data: Even within the same district, some wealthy schools get millions more than poor ones. The Hechinger Report, 1(1). Retrieved from </w:t>
      </w:r>
      <w:hyperlink r:id="rId70" w:history="1">
        <w:r w:rsidRPr="00BB6978">
          <w:rPr>
            <w:rStyle w:val="Hyperlink"/>
            <w:rFonts w:asciiTheme="majorBidi" w:hAnsiTheme="majorBidi" w:cstheme="majorBidi"/>
            <w:color w:val="auto"/>
            <w:sz w:val="24"/>
            <w:szCs w:val="24"/>
          </w:rPr>
          <w:t>New data lays bare school funding disparities -- within districts, too (hechingerreport.org)</w:t>
        </w:r>
      </w:hyperlink>
    </w:p>
    <w:p w14:paraId="54878699"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Henning, L., Dreiskämper, D., &amp; Strauss, B. (2019). What a difference a grade makes? The relationship between the academic and non-academic self-concept, self-esteem, and grades in secondary school children. </w:t>
      </w:r>
      <w:r w:rsidRPr="00BB6978">
        <w:rPr>
          <w:rFonts w:asciiTheme="majorBidi" w:hAnsiTheme="majorBidi" w:cstheme="majorBidi"/>
          <w:i/>
          <w:iCs/>
          <w:sz w:val="24"/>
          <w:szCs w:val="24"/>
        </w:rPr>
        <w:t>Journal of Exercise, Movement, and Sport (SCAPPS refereed abstracts repository)</w:t>
      </w:r>
      <w:r w:rsidRPr="00BB6978">
        <w:rPr>
          <w:rFonts w:asciiTheme="majorBidi" w:hAnsiTheme="majorBidi" w:cstheme="majorBidi"/>
          <w:sz w:val="24"/>
          <w:szCs w:val="24"/>
        </w:rPr>
        <w:t>, </w:t>
      </w:r>
      <w:r w:rsidRPr="00BB6978">
        <w:rPr>
          <w:rFonts w:asciiTheme="majorBidi" w:hAnsiTheme="majorBidi" w:cstheme="majorBidi"/>
          <w:i/>
          <w:iCs/>
          <w:sz w:val="24"/>
          <w:szCs w:val="24"/>
        </w:rPr>
        <w:t>51</w:t>
      </w:r>
      <w:r w:rsidRPr="00BB6978">
        <w:rPr>
          <w:rFonts w:asciiTheme="majorBidi" w:hAnsiTheme="majorBidi" w:cstheme="majorBidi"/>
          <w:sz w:val="24"/>
          <w:szCs w:val="24"/>
        </w:rPr>
        <w:t>(1), 105-105.</w:t>
      </w:r>
      <w:r w:rsidRPr="00BB6978">
        <w:rPr>
          <w:rFonts w:asciiTheme="majorBidi" w:hAnsiTheme="majorBidi" w:cstheme="majorBidi"/>
          <w:sz w:val="24"/>
          <w:szCs w:val="24"/>
          <w:rtl/>
        </w:rPr>
        <w:t>‏</w:t>
      </w:r>
    </w:p>
    <w:p w14:paraId="6E4376D8" w14:textId="77777777" w:rsidR="00676834" w:rsidRPr="00BB6978" w:rsidRDefault="00676834" w:rsidP="00B14D43">
      <w:pPr>
        <w:spacing w:before="240" w:after="200" w:line="480" w:lineRule="auto"/>
        <w:ind w:left="709" w:hanging="709"/>
        <w:rPr>
          <w:rFonts w:asciiTheme="majorBidi" w:hAnsiTheme="majorBidi" w:cstheme="majorBidi"/>
          <w:sz w:val="24"/>
          <w:szCs w:val="24"/>
        </w:rPr>
      </w:pPr>
      <w:r w:rsidRPr="00BB6978">
        <w:rPr>
          <w:rFonts w:asciiTheme="majorBidi" w:hAnsiTheme="majorBidi" w:cstheme="majorBidi"/>
          <w:sz w:val="24"/>
          <w:szCs w:val="24"/>
        </w:rPr>
        <w:t xml:space="preserve">Heyneman, S. P., &amp; Stern, J. M. B. (2014). Low-cost private schools for the poor: What public policy is appropriate? </w:t>
      </w:r>
      <w:r w:rsidRPr="00BB6978">
        <w:rPr>
          <w:rFonts w:asciiTheme="majorBidi" w:hAnsiTheme="majorBidi" w:cstheme="majorBidi"/>
          <w:i/>
          <w:iCs/>
          <w:sz w:val="24"/>
          <w:szCs w:val="24"/>
        </w:rPr>
        <w:t>International Journal of Educational Development, 35</w:t>
      </w:r>
      <w:r w:rsidRPr="00BB6978">
        <w:rPr>
          <w:rFonts w:asciiTheme="majorBidi" w:hAnsiTheme="majorBidi" w:cstheme="majorBidi"/>
          <w:sz w:val="24"/>
          <w:szCs w:val="24"/>
        </w:rPr>
        <w:t>, 3–15.</w:t>
      </w:r>
    </w:p>
    <w:p w14:paraId="2D331F73"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HEYNEMAN, S. P., AND J. M. STERN (2014): “Low cost private schools for the poor: What public policy is appropriate?,” International Journal of Educational Development, 35, 3 – 15.</w:t>
      </w:r>
    </w:p>
    <w:p w14:paraId="296A6F19" w14:textId="77777777" w:rsidR="00570292" w:rsidRPr="00BB6978" w:rsidRDefault="00570292" w:rsidP="00B14D43">
      <w:pPr>
        <w:spacing w:line="480" w:lineRule="auto"/>
        <w:ind w:left="720" w:hanging="720"/>
        <w:rPr>
          <w:rFonts w:asciiTheme="majorBidi" w:hAnsiTheme="majorBidi" w:cstheme="majorBidi"/>
          <w:sz w:val="24"/>
          <w:szCs w:val="24"/>
          <w:shd w:val="clear" w:color="auto" w:fill="FFFFFF"/>
        </w:rPr>
      </w:pPr>
      <w:bookmarkStart w:id="235" w:name="_Hlk137915104"/>
      <w:r w:rsidRPr="00BB6978">
        <w:rPr>
          <w:rFonts w:asciiTheme="majorBidi" w:hAnsiTheme="majorBidi" w:cstheme="majorBidi"/>
          <w:sz w:val="24"/>
          <w:szCs w:val="24"/>
          <w:shd w:val="clear" w:color="auto" w:fill="FFFFFF"/>
        </w:rPr>
        <w:t>Hill, N. E., &amp; Taylor</w:t>
      </w:r>
      <w:bookmarkEnd w:id="235"/>
      <w:r w:rsidRPr="00BB6978">
        <w:rPr>
          <w:rFonts w:asciiTheme="majorBidi" w:hAnsiTheme="majorBidi" w:cstheme="majorBidi"/>
          <w:sz w:val="24"/>
          <w:szCs w:val="24"/>
          <w:shd w:val="clear" w:color="auto" w:fill="FFFFFF"/>
        </w:rPr>
        <w:t>, L. C. (2004). Parental school involvement and children's academic achievement: Pragmatics and issues. </w:t>
      </w:r>
      <w:r w:rsidRPr="00BB6978">
        <w:rPr>
          <w:rFonts w:asciiTheme="majorBidi" w:hAnsiTheme="majorBidi" w:cstheme="majorBidi"/>
          <w:i/>
          <w:iCs/>
          <w:sz w:val="24"/>
          <w:szCs w:val="24"/>
          <w:shd w:val="clear" w:color="auto" w:fill="FFFFFF"/>
        </w:rPr>
        <w:t>Current directions in psychological science</w:t>
      </w:r>
      <w:r w:rsidRPr="00BB6978">
        <w:rPr>
          <w:rFonts w:asciiTheme="majorBidi" w:hAnsiTheme="majorBidi" w:cstheme="majorBidi"/>
          <w:sz w:val="24"/>
          <w:szCs w:val="24"/>
          <w:shd w:val="clear" w:color="auto" w:fill="FFFFFF"/>
        </w:rPr>
        <w:t>, </w:t>
      </w:r>
      <w:r w:rsidRPr="00BB6978">
        <w:rPr>
          <w:rFonts w:asciiTheme="majorBidi" w:hAnsiTheme="majorBidi" w:cstheme="majorBidi"/>
          <w:i/>
          <w:iCs/>
          <w:sz w:val="24"/>
          <w:szCs w:val="24"/>
          <w:shd w:val="clear" w:color="auto" w:fill="FFFFFF"/>
        </w:rPr>
        <w:t>13</w:t>
      </w:r>
      <w:r w:rsidRPr="00BB6978">
        <w:rPr>
          <w:rFonts w:asciiTheme="majorBidi" w:hAnsiTheme="majorBidi" w:cstheme="majorBidi"/>
          <w:sz w:val="24"/>
          <w:szCs w:val="24"/>
          <w:shd w:val="clear" w:color="auto" w:fill="FFFFFF"/>
        </w:rPr>
        <w:t>(4), 161-164.</w:t>
      </w:r>
    </w:p>
    <w:p w14:paraId="1D4A56AC" w14:textId="77777777" w:rsidR="00676834" w:rsidRPr="00BB6978" w:rsidRDefault="00676834" w:rsidP="00B14D43">
      <w:pPr>
        <w:spacing w:before="240" w:after="200" w:line="480" w:lineRule="auto"/>
        <w:ind w:left="709" w:hanging="709"/>
        <w:rPr>
          <w:rFonts w:asciiTheme="majorBidi" w:hAnsiTheme="majorBidi" w:cstheme="majorBidi"/>
          <w:sz w:val="24"/>
          <w:szCs w:val="24"/>
          <w:shd w:val="clear" w:color="auto" w:fill="FFFFFF"/>
        </w:rPr>
      </w:pPr>
      <w:bookmarkStart w:id="236" w:name="_Hlk134049543"/>
      <w:r w:rsidRPr="00BB6978">
        <w:rPr>
          <w:rFonts w:asciiTheme="majorBidi" w:hAnsiTheme="majorBidi" w:cstheme="majorBidi"/>
          <w:sz w:val="24"/>
          <w:szCs w:val="24"/>
          <w:shd w:val="clear" w:color="auto" w:fill="FFFFFF"/>
        </w:rPr>
        <w:t>Hofman</w:t>
      </w:r>
      <w:bookmarkEnd w:id="236"/>
      <w:r w:rsidRPr="00BB6978">
        <w:rPr>
          <w:rFonts w:asciiTheme="majorBidi" w:hAnsiTheme="majorBidi" w:cstheme="majorBidi"/>
          <w:sz w:val="24"/>
          <w:szCs w:val="24"/>
          <w:shd w:val="clear" w:color="auto" w:fill="FFFFFF"/>
        </w:rPr>
        <w:t>, R. H., Dijkstra, N. J., &amp; Adriaan Hofman, W. H. (2009). School self-evaluation and student achievement. </w:t>
      </w:r>
      <w:r w:rsidRPr="00BB6978">
        <w:rPr>
          <w:rFonts w:asciiTheme="majorBidi" w:hAnsiTheme="majorBidi" w:cstheme="majorBidi"/>
          <w:i/>
          <w:iCs/>
          <w:sz w:val="24"/>
          <w:szCs w:val="24"/>
          <w:shd w:val="clear" w:color="auto" w:fill="FFFFFF"/>
        </w:rPr>
        <w:t>School effectiveness and school improvement</w:t>
      </w:r>
      <w:r w:rsidRPr="00BB6978">
        <w:rPr>
          <w:rFonts w:asciiTheme="majorBidi" w:hAnsiTheme="majorBidi" w:cstheme="majorBidi"/>
          <w:sz w:val="24"/>
          <w:szCs w:val="24"/>
          <w:shd w:val="clear" w:color="auto" w:fill="FFFFFF"/>
        </w:rPr>
        <w:t>, </w:t>
      </w:r>
      <w:r w:rsidRPr="00BB6978">
        <w:rPr>
          <w:rFonts w:asciiTheme="majorBidi" w:hAnsiTheme="majorBidi" w:cstheme="majorBidi"/>
          <w:i/>
          <w:iCs/>
          <w:sz w:val="24"/>
          <w:szCs w:val="24"/>
          <w:shd w:val="clear" w:color="auto" w:fill="FFFFFF"/>
        </w:rPr>
        <w:t>20</w:t>
      </w:r>
      <w:r w:rsidRPr="00BB6978">
        <w:rPr>
          <w:rFonts w:asciiTheme="majorBidi" w:hAnsiTheme="majorBidi" w:cstheme="majorBidi"/>
          <w:sz w:val="24"/>
          <w:szCs w:val="24"/>
          <w:shd w:val="clear" w:color="auto" w:fill="FFFFFF"/>
        </w:rPr>
        <w:t>(1), 47-68.</w:t>
      </w:r>
    </w:p>
    <w:p w14:paraId="47EBBA6F"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Hoge, J.D. (2003). Teaching History for Citizenship in the Elementary School. [Online]. Available from: </w:t>
      </w:r>
      <w:hyperlink r:id="rId71" w:history="1">
        <w:r w:rsidRPr="00BB6978">
          <w:rPr>
            <w:rFonts w:asciiTheme="majorBidi" w:hAnsiTheme="majorBidi" w:cstheme="majorBidi"/>
            <w:sz w:val="24"/>
            <w:szCs w:val="24"/>
            <w:u w:val="single"/>
          </w:rPr>
          <w:t>https://eric.ed.gov/?id=ED480421</w:t>
        </w:r>
      </w:hyperlink>
      <w:r w:rsidRPr="00BB6978">
        <w:rPr>
          <w:rFonts w:asciiTheme="majorBidi" w:hAnsiTheme="majorBidi" w:cstheme="majorBidi"/>
          <w:sz w:val="24"/>
          <w:szCs w:val="24"/>
        </w:rPr>
        <w:t>.</w:t>
      </w:r>
    </w:p>
    <w:p w14:paraId="395C05C6"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Holmes Erickson, H. (2017). How do parents choose schools, and what schools do they choose? A literature review of private school choice programs in the United States. Journal of School Choice, 11(4), 491-506.</w:t>
      </w:r>
    </w:p>
    <w:p w14:paraId="7F038450" w14:textId="77777777" w:rsidR="00570292" w:rsidRPr="00BB6978" w:rsidRDefault="00570292" w:rsidP="00B14D43">
      <w:pPr>
        <w:spacing w:line="480" w:lineRule="auto"/>
        <w:ind w:left="720" w:hanging="720"/>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Holme, J. J. (2002). Buying homes, buying schools: School choice and the social construction of school quality. </w:t>
      </w:r>
      <w:r w:rsidRPr="00BB6978">
        <w:rPr>
          <w:rFonts w:asciiTheme="majorBidi" w:hAnsiTheme="majorBidi" w:cstheme="majorBidi"/>
          <w:i/>
          <w:iCs/>
          <w:sz w:val="24"/>
          <w:szCs w:val="24"/>
          <w:shd w:val="clear" w:color="auto" w:fill="FFFFFF"/>
        </w:rPr>
        <w:t>Harvard Educational Review</w:t>
      </w:r>
      <w:r w:rsidRPr="00BB6978">
        <w:rPr>
          <w:rFonts w:asciiTheme="majorBidi" w:hAnsiTheme="majorBidi" w:cstheme="majorBidi"/>
          <w:sz w:val="24"/>
          <w:szCs w:val="24"/>
          <w:shd w:val="clear" w:color="auto" w:fill="FFFFFF"/>
        </w:rPr>
        <w:t>, </w:t>
      </w:r>
      <w:r w:rsidRPr="00BB6978">
        <w:rPr>
          <w:rFonts w:asciiTheme="majorBidi" w:hAnsiTheme="majorBidi" w:cstheme="majorBidi"/>
          <w:i/>
          <w:iCs/>
          <w:sz w:val="24"/>
          <w:szCs w:val="24"/>
          <w:shd w:val="clear" w:color="auto" w:fill="FFFFFF"/>
        </w:rPr>
        <w:t>72</w:t>
      </w:r>
      <w:r w:rsidRPr="00BB6978">
        <w:rPr>
          <w:rFonts w:asciiTheme="majorBidi" w:hAnsiTheme="majorBidi" w:cstheme="majorBidi"/>
          <w:sz w:val="24"/>
          <w:szCs w:val="24"/>
          <w:shd w:val="clear" w:color="auto" w:fill="FFFFFF"/>
        </w:rPr>
        <w:t>(2), 177-206.</w:t>
      </w:r>
    </w:p>
    <w:p w14:paraId="44F7F550" w14:textId="77777777" w:rsidR="00570292" w:rsidRPr="00BB6978" w:rsidRDefault="00570292" w:rsidP="00B14D43">
      <w:pPr>
        <w:spacing w:line="480" w:lineRule="auto"/>
        <w:ind w:left="720" w:hanging="720"/>
        <w:rPr>
          <w:rStyle w:val="contentpasted3"/>
          <w:rFonts w:asciiTheme="majorBidi" w:eastAsia="Times New Roman" w:hAnsiTheme="majorBidi" w:cstheme="majorBidi"/>
          <w:szCs w:val="24"/>
          <w:shd w:val="clear" w:color="auto" w:fill="FFFFFF"/>
        </w:rPr>
      </w:pPr>
      <w:bookmarkStart w:id="237" w:name="_Hlk137912972"/>
      <w:r w:rsidRPr="00BB6978">
        <w:rPr>
          <w:rStyle w:val="contentpasted3"/>
          <w:rFonts w:asciiTheme="majorBidi" w:eastAsia="Times New Roman" w:hAnsiTheme="majorBidi" w:cstheme="majorBidi"/>
          <w:szCs w:val="24"/>
          <w:shd w:val="clear" w:color="auto" w:fill="FFFFFF"/>
        </w:rPr>
        <w:t>Hoover-Dempsey</w:t>
      </w:r>
      <w:bookmarkEnd w:id="237"/>
      <w:r w:rsidRPr="00BB6978">
        <w:rPr>
          <w:rStyle w:val="contentpasted3"/>
          <w:rFonts w:asciiTheme="majorBidi" w:eastAsia="Times New Roman" w:hAnsiTheme="majorBidi" w:cstheme="majorBidi"/>
          <w:szCs w:val="24"/>
          <w:shd w:val="clear" w:color="auto" w:fill="FFFFFF"/>
        </w:rPr>
        <w:t>, K. V., Walker, J. M., Sandler, H. M., Whetsel, D., Green, C. L., Wilkins, A. S., &amp; Closson, K. (2005). Why do parents become involved? Research findings and implications. </w:t>
      </w:r>
      <w:r w:rsidRPr="00BB6978">
        <w:rPr>
          <w:rStyle w:val="contentpasted3"/>
          <w:rFonts w:asciiTheme="majorBidi" w:eastAsia="Times New Roman" w:hAnsiTheme="majorBidi" w:cstheme="majorBidi"/>
          <w:i/>
          <w:iCs/>
          <w:szCs w:val="24"/>
          <w:shd w:val="clear" w:color="auto" w:fill="FFFFFF"/>
        </w:rPr>
        <w:t>The elementary school journal</w:t>
      </w:r>
      <w:r w:rsidRPr="00BB6978">
        <w:rPr>
          <w:rStyle w:val="contentpasted3"/>
          <w:rFonts w:asciiTheme="majorBidi" w:eastAsia="Times New Roman" w:hAnsiTheme="majorBidi" w:cstheme="majorBidi"/>
          <w:szCs w:val="24"/>
          <w:shd w:val="clear" w:color="auto" w:fill="FFFFFF"/>
        </w:rPr>
        <w:t>, </w:t>
      </w:r>
      <w:r w:rsidRPr="00BB6978">
        <w:rPr>
          <w:rStyle w:val="contentpasted3"/>
          <w:rFonts w:asciiTheme="majorBidi" w:eastAsia="Times New Roman" w:hAnsiTheme="majorBidi" w:cstheme="majorBidi"/>
          <w:i/>
          <w:iCs/>
          <w:szCs w:val="24"/>
          <w:shd w:val="clear" w:color="auto" w:fill="FFFFFF"/>
        </w:rPr>
        <w:t>106</w:t>
      </w:r>
      <w:r w:rsidRPr="00BB6978">
        <w:rPr>
          <w:rStyle w:val="contentpasted3"/>
          <w:rFonts w:asciiTheme="majorBidi" w:eastAsia="Times New Roman" w:hAnsiTheme="majorBidi" w:cstheme="majorBidi"/>
          <w:szCs w:val="24"/>
          <w:shd w:val="clear" w:color="auto" w:fill="FFFFFF"/>
        </w:rPr>
        <w:t>(2), 105-130.</w:t>
      </w:r>
      <w:r w:rsidRPr="00BB6978">
        <w:rPr>
          <w:rStyle w:val="contentpasted3"/>
          <w:rFonts w:asciiTheme="majorBidi" w:eastAsia="Times New Roman" w:hAnsiTheme="majorBidi" w:cstheme="majorBidi"/>
          <w:szCs w:val="24"/>
          <w:shd w:val="clear" w:color="auto" w:fill="FFFFFF"/>
          <w:rtl/>
        </w:rPr>
        <w:t>‏</w:t>
      </w:r>
    </w:p>
    <w:p w14:paraId="778AC877" w14:textId="77777777" w:rsidR="00570292" w:rsidRPr="00BB6978" w:rsidRDefault="00570292" w:rsidP="00B14D43">
      <w:pPr>
        <w:spacing w:line="480" w:lineRule="auto"/>
        <w:ind w:left="709" w:hanging="709"/>
        <w:rPr>
          <w:rStyle w:val="contentpasted0"/>
          <w:rFonts w:asciiTheme="majorBidi" w:eastAsia="Times New Roman" w:hAnsiTheme="majorBidi" w:cstheme="majorBidi"/>
          <w:sz w:val="24"/>
          <w:szCs w:val="24"/>
          <w:shd w:val="clear" w:color="auto" w:fill="FFFFFF"/>
        </w:rPr>
      </w:pPr>
      <w:bookmarkStart w:id="238" w:name="_Hlk137913000"/>
      <w:r w:rsidRPr="00BB6978">
        <w:rPr>
          <w:rStyle w:val="contentpasted0"/>
          <w:rFonts w:asciiTheme="majorBidi" w:eastAsia="Times New Roman" w:hAnsiTheme="majorBidi" w:cstheme="majorBidi"/>
          <w:sz w:val="24"/>
          <w:szCs w:val="24"/>
          <w:shd w:val="clear" w:color="auto" w:fill="FFFFFF"/>
        </w:rPr>
        <w:t>Hornby, G., &amp; Lafaele, R. (2011</w:t>
      </w:r>
      <w:bookmarkEnd w:id="238"/>
      <w:r w:rsidRPr="00BB6978">
        <w:rPr>
          <w:rStyle w:val="contentpasted0"/>
          <w:rFonts w:asciiTheme="majorBidi" w:eastAsia="Times New Roman" w:hAnsiTheme="majorBidi" w:cstheme="majorBidi"/>
          <w:sz w:val="24"/>
          <w:szCs w:val="24"/>
          <w:shd w:val="clear" w:color="auto" w:fill="FFFFFF"/>
        </w:rPr>
        <w:t>). Barriers to parental involvement in education: An explanatory model. </w:t>
      </w:r>
      <w:r w:rsidRPr="00BB6978">
        <w:rPr>
          <w:rStyle w:val="contentpasted0"/>
          <w:rFonts w:asciiTheme="majorBidi" w:eastAsia="Times New Roman" w:hAnsiTheme="majorBidi" w:cstheme="majorBidi"/>
          <w:i/>
          <w:iCs/>
          <w:sz w:val="24"/>
          <w:szCs w:val="24"/>
          <w:shd w:val="clear" w:color="auto" w:fill="FFFFFF"/>
        </w:rPr>
        <w:t>Educational review</w:t>
      </w:r>
      <w:r w:rsidRPr="00BB6978">
        <w:rPr>
          <w:rStyle w:val="contentpasted0"/>
          <w:rFonts w:asciiTheme="majorBidi" w:eastAsia="Times New Roman" w:hAnsiTheme="majorBidi" w:cstheme="majorBidi"/>
          <w:sz w:val="24"/>
          <w:szCs w:val="24"/>
          <w:shd w:val="clear" w:color="auto" w:fill="FFFFFF"/>
        </w:rPr>
        <w:t>, </w:t>
      </w:r>
      <w:r w:rsidRPr="00BB6978">
        <w:rPr>
          <w:rStyle w:val="contentpasted0"/>
          <w:rFonts w:asciiTheme="majorBidi" w:eastAsia="Times New Roman" w:hAnsiTheme="majorBidi" w:cstheme="majorBidi"/>
          <w:i/>
          <w:iCs/>
          <w:sz w:val="24"/>
          <w:szCs w:val="24"/>
          <w:shd w:val="clear" w:color="auto" w:fill="FFFFFF"/>
        </w:rPr>
        <w:t>63</w:t>
      </w:r>
      <w:r w:rsidRPr="00BB6978">
        <w:rPr>
          <w:rStyle w:val="contentpasted0"/>
          <w:rFonts w:asciiTheme="majorBidi" w:eastAsia="Times New Roman" w:hAnsiTheme="majorBidi" w:cstheme="majorBidi"/>
          <w:sz w:val="24"/>
          <w:szCs w:val="24"/>
          <w:shd w:val="clear" w:color="auto" w:fill="FFFFFF"/>
        </w:rPr>
        <w:t>(1), 37-52.</w:t>
      </w:r>
    </w:p>
    <w:p w14:paraId="1A56416B" w14:textId="77777777" w:rsidR="00676834" w:rsidRPr="00BB6978" w:rsidRDefault="00676834" w:rsidP="00B14D43">
      <w:pPr>
        <w:pStyle w:val="NormalWeb"/>
        <w:spacing w:line="480" w:lineRule="auto"/>
        <w:ind w:left="567" w:hanging="567"/>
        <w:rPr>
          <w:rFonts w:asciiTheme="majorBidi" w:hAnsiTheme="majorBidi" w:cstheme="majorBidi"/>
        </w:rPr>
      </w:pPr>
      <w:r w:rsidRPr="00BB6978">
        <w:rPr>
          <w:rFonts w:asciiTheme="majorBidi" w:hAnsiTheme="majorBidi" w:cstheme="majorBidi"/>
        </w:rPr>
        <w:t xml:space="preserve">Hoppe, C. (2022). </w:t>
      </w:r>
      <w:r w:rsidRPr="00BB6978">
        <w:rPr>
          <w:rFonts w:asciiTheme="majorBidi" w:hAnsiTheme="majorBidi" w:cstheme="majorBidi"/>
          <w:i/>
          <w:iCs/>
        </w:rPr>
        <w:t>School Fees Biggest Concern For Almost Half Of UAE Parents</w:t>
      </w:r>
      <w:r w:rsidRPr="00BB6978">
        <w:rPr>
          <w:rFonts w:asciiTheme="majorBidi" w:hAnsiTheme="majorBidi" w:cstheme="majorBidi"/>
        </w:rPr>
        <w:t xml:space="preserve">. whichschooladvisor. Retrieved 2021, from https://whichschooladvisor.com/uae/school-news/school-fees-biggest-concern-for-almost-half-of-uae-parents  </w:t>
      </w:r>
    </w:p>
    <w:p w14:paraId="7A185A18"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Hoteit, L., Maya El Hachem, C., &amp; Farah, S. (2018). Where to invest now in GCC private education. Retrieved January, 26, 2021.</w:t>
      </w:r>
      <w:r w:rsidRPr="00BB6978">
        <w:rPr>
          <w:rFonts w:asciiTheme="majorBidi" w:hAnsiTheme="majorBidi" w:cstheme="majorBidi"/>
          <w:sz w:val="24"/>
          <w:szCs w:val="24"/>
          <w:rtl/>
        </w:rPr>
        <w:t>‏</w:t>
      </w:r>
    </w:p>
    <w:p w14:paraId="13453BB7"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Hu, L. T., &amp; Bentler, P. M. (1999). Cutoff criteria for fit indexes in covariance structure analysis: Conventional criteria versus new alternatives. Structural equation modeling: a multidisciplinary journal, 6(1), 1-55.</w:t>
      </w:r>
      <w:r w:rsidRPr="00BB6978">
        <w:rPr>
          <w:rFonts w:asciiTheme="majorBidi" w:hAnsiTheme="majorBidi" w:cstheme="majorBidi"/>
          <w:sz w:val="24"/>
          <w:szCs w:val="24"/>
          <w:rtl/>
        </w:rPr>
        <w:t>‏</w:t>
      </w:r>
    </w:p>
    <w:p w14:paraId="62108BA8"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Huang, F. L., &amp; Cornell, D. (2018). The relationship of school climate with out-of-school suspensions. </w:t>
      </w:r>
      <w:r w:rsidRPr="00BB6978">
        <w:rPr>
          <w:rFonts w:asciiTheme="majorBidi" w:hAnsiTheme="majorBidi" w:cstheme="majorBidi"/>
          <w:i/>
          <w:iCs/>
          <w:sz w:val="24"/>
          <w:szCs w:val="24"/>
        </w:rPr>
        <w:t>Children and Youth Services Review</w:t>
      </w:r>
      <w:r w:rsidRPr="00BB6978">
        <w:rPr>
          <w:rFonts w:asciiTheme="majorBidi" w:hAnsiTheme="majorBidi" w:cstheme="majorBidi"/>
          <w:sz w:val="24"/>
          <w:szCs w:val="24"/>
        </w:rPr>
        <w:t>, </w:t>
      </w:r>
      <w:r w:rsidRPr="00BB6978">
        <w:rPr>
          <w:rFonts w:asciiTheme="majorBidi" w:hAnsiTheme="majorBidi" w:cstheme="majorBidi"/>
          <w:i/>
          <w:iCs/>
          <w:sz w:val="24"/>
          <w:szCs w:val="24"/>
        </w:rPr>
        <w:t>94</w:t>
      </w:r>
      <w:r w:rsidRPr="00BB6978">
        <w:rPr>
          <w:rFonts w:asciiTheme="majorBidi" w:hAnsiTheme="majorBidi" w:cstheme="majorBidi"/>
          <w:sz w:val="24"/>
          <w:szCs w:val="24"/>
        </w:rPr>
        <w:t>, 378-389.</w:t>
      </w:r>
      <w:r w:rsidRPr="00BB6978">
        <w:rPr>
          <w:rFonts w:asciiTheme="majorBidi" w:hAnsiTheme="majorBidi" w:cstheme="majorBidi"/>
          <w:sz w:val="24"/>
          <w:szCs w:val="24"/>
          <w:rtl/>
        </w:rPr>
        <w:t>‏</w:t>
      </w:r>
    </w:p>
    <w:p w14:paraId="2FCAA45E"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Hyman, J. (2017). ACT for all: The effect of mandatory college entrance exams on postsecondary attainment and choice. </w:t>
      </w:r>
      <w:r w:rsidRPr="00BB6978">
        <w:rPr>
          <w:rFonts w:asciiTheme="majorBidi" w:hAnsiTheme="majorBidi" w:cstheme="majorBidi"/>
          <w:i/>
          <w:iCs/>
          <w:sz w:val="24"/>
          <w:szCs w:val="24"/>
        </w:rPr>
        <w:t>Education Finance and Policy</w:t>
      </w:r>
      <w:r w:rsidRPr="00BB6978">
        <w:rPr>
          <w:rFonts w:asciiTheme="majorBidi" w:hAnsiTheme="majorBidi" w:cstheme="majorBidi"/>
          <w:sz w:val="24"/>
          <w:szCs w:val="24"/>
        </w:rPr>
        <w:t>, </w:t>
      </w:r>
      <w:r w:rsidRPr="00BB6978">
        <w:rPr>
          <w:rFonts w:asciiTheme="majorBidi" w:hAnsiTheme="majorBidi" w:cstheme="majorBidi"/>
          <w:i/>
          <w:iCs/>
          <w:sz w:val="24"/>
          <w:szCs w:val="24"/>
        </w:rPr>
        <w:t>12</w:t>
      </w:r>
      <w:r w:rsidRPr="00BB6978">
        <w:rPr>
          <w:rFonts w:asciiTheme="majorBidi" w:hAnsiTheme="majorBidi" w:cstheme="majorBidi"/>
          <w:sz w:val="24"/>
          <w:szCs w:val="24"/>
        </w:rPr>
        <w:t>(3), 281-311.</w:t>
      </w:r>
      <w:r w:rsidRPr="00BB6978">
        <w:rPr>
          <w:rFonts w:asciiTheme="majorBidi" w:hAnsiTheme="majorBidi" w:cstheme="majorBidi"/>
          <w:sz w:val="24"/>
          <w:szCs w:val="24"/>
          <w:rtl/>
        </w:rPr>
        <w:t>‏</w:t>
      </w:r>
    </w:p>
    <w:p w14:paraId="0C10790D" w14:textId="77777777" w:rsidR="00676834" w:rsidRPr="00BB6978" w:rsidRDefault="00676834" w:rsidP="00B14D43">
      <w:pPr>
        <w:spacing w:before="240" w:after="200" w:line="480" w:lineRule="auto"/>
        <w:ind w:left="709" w:hanging="709"/>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Ibrahim, A., &amp; Alhabbash, M. (2022). Teacher demoralization: A phenomenological study of triggers, development stages, and reactions. </w:t>
      </w:r>
      <w:r w:rsidRPr="00BB6978">
        <w:rPr>
          <w:rFonts w:asciiTheme="majorBidi" w:hAnsiTheme="majorBidi" w:cstheme="majorBidi"/>
          <w:i/>
          <w:iCs/>
          <w:sz w:val="24"/>
          <w:szCs w:val="24"/>
          <w:shd w:val="clear" w:color="auto" w:fill="FFFFFF"/>
        </w:rPr>
        <w:t>Teaching and Teacher Education</w:t>
      </w:r>
      <w:r w:rsidRPr="00BB6978">
        <w:rPr>
          <w:rFonts w:asciiTheme="majorBidi" w:hAnsiTheme="majorBidi" w:cstheme="majorBidi"/>
          <w:sz w:val="24"/>
          <w:szCs w:val="24"/>
          <w:shd w:val="clear" w:color="auto" w:fill="FFFFFF"/>
        </w:rPr>
        <w:t>, </w:t>
      </w:r>
      <w:r w:rsidRPr="00BB6978">
        <w:rPr>
          <w:rFonts w:asciiTheme="majorBidi" w:hAnsiTheme="majorBidi" w:cstheme="majorBidi"/>
          <w:i/>
          <w:iCs/>
          <w:sz w:val="24"/>
          <w:szCs w:val="24"/>
          <w:shd w:val="clear" w:color="auto" w:fill="FFFFFF"/>
        </w:rPr>
        <w:t>109</w:t>
      </w:r>
      <w:r w:rsidRPr="00BB6978">
        <w:rPr>
          <w:rFonts w:asciiTheme="majorBidi" w:hAnsiTheme="majorBidi" w:cstheme="majorBidi"/>
          <w:sz w:val="24"/>
          <w:szCs w:val="24"/>
          <w:shd w:val="clear" w:color="auto" w:fill="FFFFFF"/>
        </w:rPr>
        <w:t>, 103562.</w:t>
      </w:r>
    </w:p>
    <w:p w14:paraId="6F00A576"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Ilieva, J., Killingley, P., Tsiligiris, V., &amp; Peak, M. (2017). The shape of global higher education: international mobility of students, research and education provision. Volume 2.</w:t>
      </w:r>
      <w:r w:rsidRPr="00BB6978">
        <w:rPr>
          <w:rFonts w:asciiTheme="majorBidi" w:hAnsiTheme="majorBidi" w:cstheme="majorBidi"/>
          <w:sz w:val="24"/>
          <w:szCs w:val="24"/>
          <w:rtl/>
        </w:rPr>
        <w:t>‏</w:t>
      </w:r>
    </w:p>
    <w:p w14:paraId="483B02C7" w14:textId="77777777" w:rsidR="00570292" w:rsidRPr="00BB6978" w:rsidRDefault="00570292"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Irtiqaa Program. (2023). Irtiqaa Program - Improving Schools’ Performance. </w:t>
      </w:r>
      <w:hyperlink r:id="rId72" w:history="1">
        <w:r w:rsidRPr="00BB6978">
          <w:rPr>
            <w:rStyle w:val="Hyperlink"/>
            <w:rFonts w:asciiTheme="majorBidi" w:hAnsiTheme="majorBidi" w:cstheme="majorBidi"/>
            <w:color w:val="auto"/>
            <w:sz w:val="24"/>
            <w:szCs w:val="24"/>
          </w:rPr>
          <w:t>https://www.adek.gov.ae/Education-System/Private-Schools/Irtiqaa-Programme-Improving-Schools-performance</w:t>
        </w:r>
      </w:hyperlink>
    </w:p>
    <w:p w14:paraId="2A7E3EC6" w14:textId="77777777" w:rsidR="00570292" w:rsidRPr="00BB6978" w:rsidRDefault="00570292" w:rsidP="00B14D43">
      <w:pPr>
        <w:spacing w:line="480" w:lineRule="auto"/>
        <w:ind w:left="720" w:hanging="720"/>
        <w:rPr>
          <w:rFonts w:asciiTheme="majorBidi" w:hAnsiTheme="majorBidi" w:cstheme="majorBidi"/>
          <w:sz w:val="24"/>
          <w:szCs w:val="24"/>
        </w:rPr>
      </w:pPr>
    </w:p>
    <w:p w14:paraId="06D8937C" w14:textId="77777777" w:rsidR="00676834" w:rsidRPr="00BB6978" w:rsidRDefault="00676834" w:rsidP="00B14D43">
      <w:pPr>
        <w:spacing w:before="240" w:after="200" w:line="480" w:lineRule="auto"/>
        <w:ind w:left="709" w:hanging="709"/>
        <w:rPr>
          <w:rFonts w:asciiTheme="majorBidi" w:eastAsia="Times New Roman" w:hAnsiTheme="majorBidi" w:cstheme="majorBidi"/>
          <w:sz w:val="24"/>
          <w:szCs w:val="24"/>
        </w:rPr>
      </w:pPr>
      <w:r w:rsidRPr="00BB6978">
        <w:rPr>
          <w:rFonts w:asciiTheme="majorBidi" w:eastAsia="Times New Roman" w:hAnsiTheme="majorBidi" w:cstheme="majorBidi"/>
          <w:sz w:val="24"/>
          <w:szCs w:val="24"/>
        </w:rPr>
        <w:t>Ismail, A., Mohamad, M. H., Mohamed, H. A. B., Rafiuddin, N. M., &amp; Zhen, K. W. P. (2010). Transformational and Transactional Leadership Styles as a Predictor of Individual Outcomes. Theoretical &amp; Applied Economics, 17(6).</w:t>
      </w:r>
    </w:p>
    <w:p w14:paraId="3D9EBA03"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Ismail, Z. (2018). Benefits of internships for interns and host organizations.</w:t>
      </w:r>
      <w:r w:rsidRPr="00BB6978">
        <w:rPr>
          <w:rFonts w:asciiTheme="majorBidi" w:hAnsiTheme="majorBidi" w:cstheme="majorBidi"/>
          <w:sz w:val="24"/>
          <w:szCs w:val="24"/>
          <w:rtl/>
        </w:rPr>
        <w:t>‏</w:t>
      </w:r>
    </w:p>
    <w:p w14:paraId="0D52E740"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pacing w:val="-5"/>
          <w:sz w:val="24"/>
          <w:szCs w:val="24"/>
        </w:rPr>
        <w:t>Jackson, C. K. (2020). Does school spending matter? The new literature on an old question. In L. Tach, R. Dunifon, &amp; D. L. Miller (Eds.), Confronting inequality: How policies and practices shape children's opportunities (pp. 165–186). American Psychological Association</w:t>
      </w:r>
    </w:p>
    <w:p w14:paraId="407E33C7"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Jackson, C. K., Johnson, R. C., &amp; Persico, C. (2015). </w:t>
      </w:r>
      <w:r w:rsidRPr="00BB6978">
        <w:rPr>
          <w:rFonts w:asciiTheme="majorBidi" w:hAnsiTheme="majorBidi" w:cstheme="majorBidi"/>
          <w:i/>
          <w:iCs/>
          <w:sz w:val="24"/>
          <w:szCs w:val="24"/>
        </w:rPr>
        <w:t>The effects of school spending on educational and economic outcomes: Evidence from school finance reforms</w:t>
      </w:r>
      <w:r w:rsidRPr="00BB6978">
        <w:rPr>
          <w:rFonts w:asciiTheme="majorBidi" w:hAnsiTheme="majorBidi" w:cstheme="majorBidi"/>
          <w:sz w:val="24"/>
          <w:szCs w:val="24"/>
        </w:rPr>
        <w:t> (No. w20847). National Bureau of Economic Research.</w:t>
      </w:r>
      <w:r w:rsidRPr="00BB6978">
        <w:rPr>
          <w:rFonts w:asciiTheme="majorBidi" w:hAnsiTheme="majorBidi" w:cstheme="majorBidi"/>
          <w:sz w:val="24"/>
          <w:szCs w:val="24"/>
          <w:rtl/>
        </w:rPr>
        <w:t>‏</w:t>
      </w:r>
    </w:p>
    <w:p w14:paraId="4495359B" w14:textId="77777777" w:rsidR="00676834" w:rsidRPr="00BB6978" w:rsidRDefault="00676834" w:rsidP="00B14D43">
      <w:pPr>
        <w:spacing w:before="100" w:beforeAutospacing="1" w:after="100" w:afterAutospacing="1" w:line="480" w:lineRule="auto"/>
        <w:ind w:left="567" w:hanging="567"/>
        <w:rPr>
          <w:rFonts w:asciiTheme="majorBidi" w:eastAsia="Times New Roman" w:hAnsiTheme="majorBidi" w:cstheme="majorBidi"/>
          <w:sz w:val="24"/>
          <w:szCs w:val="24"/>
          <w:lang w:val="en-US"/>
        </w:rPr>
      </w:pPr>
      <w:r w:rsidRPr="00BB6978">
        <w:rPr>
          <w:rFonts w:asciiTheme="majorBidi" w:eastAsia="Times New Roman" w:hAnsiTheme="majorBidi" w:cstheme="majorBidi"/>
          <w:sz w:val="24"/>
          <w:szCs w:val="24"/>
          <w:lang w:val="en-US"/>
        </w:rPr>
        <w:t xml:space="preserve">Jeffery, S., Hancock, R., &amp; Marie, S. (2019). (rep.). </w:t>
      </w:r>
      <w:r w:rsidRPr="00BB6978">
        <w:rPr>
          <w:rFonts w:asciiTheme="majorBidi" w:eastAsia="Times New Roman" w:hAnsiTheme="majorBidi" w:cstheme="majorBidi"/>
          <w:i/>
          <w:iCs/>
          <w:sz w:val="24"/>
          <w:szCs w:val="24"/>
          <w:lang w:val="en-US"/>
        </w:rPr>
        <w:t>UAE Country Profile PwC Education and Skills Practice</w:t>
      </w:r>
      <w:r w:rsidRPr="00BB6978">
        <w:rPr>
          <w:rFonts w:asciiTheme="majorBidi" w:eastAsia="Times New Roman" w:hAnsiTheme="majorBidi" w:cstheme="majorBidi"/>
          <w:sz w:val="24"/>
          <w:szCs w:val="24"/>
          <w:lang w:val="en-US"/>
        </w:rPr>
        <w:t xml:space="preserve">. PWC. Retrieved 2020, from https://www.pwc.com/m1/en/industries/education/publications/understanding-middle-east-education.pdf. </w:t>
      </w:r>
    </w:p>
    <w:p w14:paraId="2B364CC2"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Jencks, C.S., Smith, M., Acland, H., Bane, M.J., Cohen, D., Gintis, H., Heyns, B., &amp; Michelson, S. (1972). Inequality: A reassessment of the effect of family and schooling in America. New York: Basic Books.</w:t>
      </w:r>
    </w:p>
    <w:p w14:paraId="025110F0" w14:textId="77777777" w:rsidR="00570292" w:rsidRPr="00BB6978" w:rsidRDefault="00570292" w:rsidP="00B14D43">
      <w:pPr>
        <w:spacing w:line="480" w:lineRule="auto"/>
        <w:ind w:left="720" w:hanging="720"/>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Jeynes, W. H. (2002). Examining the effects of parental absence on the academic achievement of adolescents: The challenge of controlling for family income. Journal of Family and Economic Issues, 23(2), 5665.</w:t>
      </w:r>
    </w:p>
    <w:p w14:paraId="7B037CAF" w14:textId="77777777" w:rsidR="00570292" w:rsidRPr="00BB6978" w:rsidRDefault="00570292" w:rsidP="00B14D43">
      <w:pPr>
        <w:spacing w:line="480" w:lineRule="auto"/>
        <w:ind w:left="709" w:hanging="709"/>
        <w:rPr>
          <w:rStyle w:val="contentpasted1"/>
          <w:rFonts w:asciiTheme="majorBidi" w:eastAsia="Times New Roman" w:hAnsiTheme="majorBidi"/>
          <w:sz w:val="24"/>
          <w:szCs w:val="24"/>
          <w:shd w:val="clear" w:color="auto" w:fill="FFFFFF"/>
        </w:rPr>
      </w:pPr>
      <w:bookmarkStart w:id="239" w:name="_Hlk137913020"/>
      <w:r w:rsidRPr="00BB6978">
        <w:rPr>
          <w:rStyle w:val="contentpasted1"/>
          <w:rFonts w:asciiTheme="majorBidi" w:eastAsia="Times New Roman" w:hAnsiTheme="majorBidi"/>
          <w:sz w:val="24"/>
          <w:szCs w:val="24"/>
          <w:shd w:val="clear" w:color="auto" w:fill="FFFFFF"/>
        </w:rPr>
        <w:t>Jeynes, W. H. (2005</w:t>
      </w:r>
      <w:bookmarkEnd w:id="239"/>
      <w:r w:rsidRPr="00BB6978">
        <w:rPr>
          <w:rStyle w:val="contentpasted1"/>
          <w:rFonts w:asciiTheme="majorBidi" w:eastAsia="Times New Roman" w:hAnsiTheme="majorBidi"/>
          <w:sz w:val="24"/>
          <w:szCs w:val="24"/>
          <w:shd w:val="clear" w:color="auto" w:fill="FFFFFF"/>
        </w:rPr>
        <w:t>). Effects of parental involvement and family structure on the academic achievement of adolescents. </w:t>
      </w:r>
      <w:r w:rsidRPr="00BB6978">
        <w:rPr>
          <w:rStyle w:val="contentpasted1"/>
          <w:rFonts w:asciiTheme="majorBidi" w:eastAsia="Times New Roman" w:hAnsiTheme="majorBidi"/>
          <w:i/>
          <w:iCs/>
          <w:sz w:val="24"/>
          <w:szCs w:val="24"/>
          <w:shd w:val="clear" w:color="auto" w:fill="FFFFFF"/>
        </w:rPr>
        <w:t>Marriage &amp; Family Review</w:t>
      </w:r>
      <w:r w:rsidRPr="00BB6978">
        <w:rPr>
          <w:rStyle w:val="contentpasted1"/>
          <w:rFonts w:asciiTheme="majorBidi" w:eastAsia="Times New Roman" w:hAnsiTheme="majorBidi"/>
          <w:sz w:val="24"/>
          <w:szCs w:val="24"/>
          <w:shd w:val="clear" w:color="auto" w:fill="FFFFFF"/>
        </w:rPr>
        <w:t>, </w:t>
      </w:r>
      <w:r w:rsidRPr="00BB6978">
        <w:rPr>
          <w:rStyle w:val="contentpasted1"/>
          <w:rFonts w:asciiTheme="majorBidi" w:eastAsia="Times New Roman" w:hAnsiTheme="majorBidi"/>
          <w:i/>
          <w:iCs/>
          <w:sz w:val="24"/>
          <w:szCs w:val="24"/>
          <w:shd w:val="clear" w:color="auto" w:fill="FFFFFF"/>
        </w:rPr>
        <w:t>37</w:t>
      </w:r>
      <w:r w:rsidRPr="00BB6978">
        <w:rPr>
          <w:rStyle w:val="contentpasted1"/>
          <w:rFonts w:asciiTheme="majorBidi" w:eastAsia="Times New Roman" w:hAnsiTheme="majorBidi"/>
          <w:sz w:val="24"/>
          <w:szCs w:val="24"/>
          <w:shd w:val="clear" w:color="auto" w:fill="FFFFFF"/>
        </w:rPr>
        <w:t>(3), 99-116.</w:t>
      </w:r>
      <w:r w:rsidRPr="00BB6978">
        <w:rPr>
          <w:rStyle w:val="contentpasted1"/>
          <w:rFonts w:asciiTheme="majorBidi" w:eastAsia="Times New Roman" w:hAnsiTheme="majorBidi"/>
          <w:sz w:val="24"/>
          <w:szCs w:val="24"/>
          <w:shd w:val="clear" w:color="auto" w:fill="FFFFFF"/>
          <w:rtl/>
        </w:rPr>
        <w:t>‏</w:t>
      </w:r>
    </w:p>
    <w:p w14:paraId="5D2B72F6"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Jia, X., Zeng, W., &amp; Zhang, Q. (2018). Combined administration of problem-and lecture-based learning teaching models in medical education in China: A meta-analysis of randomized controlled trials. </w:t>
      </w:r>
      <w:r w:rsidRPr="00BB6978">
        <w:rPr>
          <w:rFonts w:asciiTheme="majorBidi" w:hAnsiTheme="majorBidi" w:cstheme="majorBidi"/>
          <w:i/>
          <w:iCs/>
          <w:sz w:val="24"/>
          <w:szCs w:val="24"/>
        </w:rPr>
        <w:t>Medicine</w:t>
      </w:r>
      <w:r w:rsidRPr="00BB6978">
        <w:rPr>
          <w:rFonts w:asciiTheme="majorBidi" w:hAnsiTheme="majorBidi" w:cstheme="majorBidi"/>
          <w:sz w:val="24"/>
          <w:szCs w:val="24"/>
        </w:rPr>
        <w:t>, </w:t>
      </w:r>
      <w:r w:rsidRPr="00BB6978">
        <w:rPr>
          <w:rFonts w:asciiTheme="majorBidi" w:hAnsiTheme="majorBidi" w:cstheme="majorBidi"/>
          <w:i/>
          <w:iCs/>
          <w:sz w:val="24"/>
          <w:szCs w:val="24"/>
        </w:rPr>
        <w:t>97</w:t>
      </w:r>
      <w:r w:rsidRPr="00BB6978">
        <w:rPr>
          <w:rFonts w:asciiTheme="majorBidi" w:hAnsiTheme="majorBidi" w:cstheme="majorBidi"/>
          <w:sz w:val="24"/>
          <w:szCs w:val="24"/>
        </w:rPr>
        <w:t>(43).</w:t>
      </w:r>
      <w:r w:rsidRPr="00BB6978">
        <w:rPr>
          <w:rFonts w:asciiTheme="majorBidi" w:hAnsiTheme="majorBidi" w:cstheme="majorBidi"/>
          <w:sz w:val="24"/>
          <w:szCs w:val="24"/>
          <w:rtl/>
        </w:rPr>
        <w:t>‏</w:t>
      </w:r>
    </w:p>
    <w:p w14:paraId="66E621F4" w14:textId="77777777" w:rsidR="00676834" w:rsidRPr="00BB6978" w:rsidRDefault="00676834" w:rsidP="00B14D43">
      <w:pPr>
        <w:spacing w:before="240" w:after="200" w:line="480" w:lineRule="auto"/>
        <w:ind w:left="709" w:hanging="709"/>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Jin, Z., Wang, X., &amp; Huang, B. (2022) Impact of the Synchronous Enrolment Reform of Public and Private Schools on Housing Price: Empirical Evidence from Shanghai, China.</w:t>
      </w:r>
    </w:p>
    <w:p w14:paraId="25B17EA2" w14:textId="77777777" w:rsidR="00676834" w:rsidRPr="00BB6978" w:rsidRDefault="00676834" w:rsidP="00B14D43">
      <w:pPr>
        <w:spacing w:before="240" w:after="200" w:line="480" w:lineRule="auto"/>
        <w:ind w:left="709" w:hanging="709"/>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Jin, Z., Wang, X., &amp; Huang, B. Impact of the Synchronous Enrolment Reform of Public and Private Schools on Housing Price: Empirical Evidence from Shanghai, China.</w:t>
      </w:r>
    </w:p>
    <w:p w14:paraId="26B6A4D1" w14:textId="77777777" w:rsidR="00570292" w:rsidRPr="00BB6978" w:rsidRDefault="00570292" w:rsidP="00B14D43">
      <w:pPr>
        <w:spacing w:line="480" w:lineRule="auto"/>
        <w:ind w:left="720" w:hanging="720"/>
        <w:rPr>
          <w:rStyle w:val="contentpasted2"/>
          <w:rFonts w:asciiTheme="majorBidi" w:eastAsia="Times New Roman" w:hAnsiTheme="majorBidi" w:cstheme="majorBidi"/>
          <w:sz w:val="24"/>
          <w:szCs w:val="24"/>
          <w:shd w:val="clear" w:color="auto" w:fill="FFFFFF"/>
        </w:rPr>
      </w:pPr>
      <w:bookmarkStart w:id="240" w:name="_Hlk137913043"/>
      <w:r w:rsidRPr="00BB6978">
        <w:rPr>
          <w:rStyle w:val="contentpasted2"/>
          <w:rFonts w:asciiTheme="majorBidi" w:eastAsia="Times New Roman" w:hAnsiTheme="majorBidi" w:cstheme="majorBidi"/>
          <w:sz w:val="24"/>
          <w:szCs w:val="24"/>
          <w:shd w:val="clear" w:color="auto" w:fill="FFFFFF"/>
        </w:rPr>
        <w:t>Jones, S. A. (2019</w:t>
      </w:r>
      <w:bookmarkEnd w:id="240"/>
      <w:r w:rsidRPr="00BB6978">
        <w:rPr>
          <w:rStyle w:val="contentpasted2"/>
          <w:rFonts w:asciiTheme="majorBidi" w:eastAsia="Times New Roman" w:hAnsiTheme="majorBidi" w:cstheme="majorBidi"/>
          <w:sz w:val="24"/>
          <w:szCs w:val="24"/>
          <w:shd w:val="clear" w:color="auto" w:fill="FFFFFF"/>
        </w:rPr>
        <w:t>). Home school relations in Singaporean primary schools: teachers’, parents’ and children’s views. </w:t>
      </w:r>
      <w:r w:rsidRPr="00BB6978">
        <w:rPr>
          <w:rStyle w:val="contentpasted2"/>
          <w:rFonts w:asciiTheme="majorBidi" w:eastAsia="Times New Roman" w:hAnsiTheme="majorBidi" w:cstheme="majorBidi"/>
          <w:i/>
          <w:iCs/>
          <w:sz w:val="24"/>
          <w:szCs w:val="24"/>
          <w:shd w:val="clear" w:color="auto" w:fill="FFFFFF"/>
        </w:rPr>
        <w:t>Oxford Review of Education</w:t>
      </w:r>
      <w:r w:rsidRPr="00BB6978">
        <w:rPr>
          <w:rStyle w:val="contentpasted2"/>
          <w:rFonts w:asciiTheme="majorBidi" w:eastAsia="Times New Roman" w:hAnsiTheme="majorBidi" w:cstheme="majorBidi"/>
          <w:sz w:val="24"/>
          <w:szCs w:val="24"/>
          <w:shd w:val="clear" w:color="auto" w:fill="FFFFFF"/>
        </w:rPr>
        <w:t>, </w:t>
      </w:r>
      <w:r w:rsidRPr="00BB6978">
        <w:rPr>
          <w:rStyle w:val="contentpasted2"/>
          <w:rFonts w:asciiTheme="majorBidi" w:eastAsia="Times New Roman" w:hAnsiTheme="majorBidi" w:cstheme="majorBidi"/>
          <w:i/>
          <w:iCs/>
          <w:sz w:val="24"/>
          <w:szCs w:val="24"/>
          <w:shd w:val="clear" w:color="auto" w:fill="FFFFFF"/>
        </w:rPr>
        <w:t>45</w:t>
      </w:r>
      <w:r w:rsidRPr="00BB6978">
        <w:rPr>
          <w:rStyle w:val="contentpasted2"/>
          <w:rFonts w:asciiTheme="majorBidi" w:eastAsia="Times New Roman" w:hAnsiTheme="majorBidi" w:cstheme="majorBidi"/>
          <w:sz w:val="24"/>
          <w:szCs w:val="24"/>
          <w:shd w:val="clear" w:color="auto" w:fill="FFFFFF"/>
        </w:rPr>
        <w:t>(1), 32-49.</w:t>
      </w:r>
    </w:p>
    <w:p w14:paraId="2553E365"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Jöreskog, K. G. , and Sörbom, D. (1981), LISREL V: Analysis of Linear Structural Relationships by Maximum Likelihood and Least Squares Methods. Chicago: National Educational Resources.</w:t>
      </w:r>
    </w:p>
    <w:p w14:paraId="1E476BAA"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Kamal, K., &amp; Trines, S. (2018). Education in the United Arab Emirates. </w:t>
      </w:r>
      <w:r w:rsidRPr="00BB6978">
        <w:rPr>
          <w:rFonts w:asciiTheme="majorBidi" w:hAnsiTheme="majorBidi" w:cstheme="majorBidi"/>
          <w:i/>
          <w:iCs/>
          <w:sz w:val="24"/>
          <w:szCs w:val="24"/>
        </w:rPr>
        <w:t>Education System Profiles, World Education News &amp; Reviews, the United Arab Emirates</w:t>
      </w:r>
      <w:r w:rsidRPr="00BB6978">
        <w:rPr>
          <w:rFonts w:asciiTheme="majorBidi" w:hAnsiTheme="majorBidi" w:cstheme="majorBidi"/>
          <w:sz w:val="24"/>
          <w:szCs w:val="24"/>
        </w:rPr>
        <w:t>.</w:t>
      </w:r>
      <w:r w:rsidRPr="00BB6978">
        <w:rPr>
          <w:rFonts w:asciiTheme="majorBidi" w:hAnsiTheme="majorBidi" w:cstheme="majorBidi"/>
          <w:sz w:val="24"/>
          <w:szCs w:val="24"/>
          <w:rtl/>
        </w:rPr>
        <w:t>‏</w:t>
      </w:r>
    </w:p>
    <w:p w14:paraId="34FA27A9" w14:textId="77777777" w:rsidR="00676834" w:rsidRPr="00BB6978" w:rsidRDefault="00676834" w:rsidP="00B14D43">
      <w:pPr>
        <w:spacing w:line="480" w:lineRule="auto"/>
        <w:ind w:left="567" w:hanging="567"/>
        <w:jc w:val="both"/>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Kapinga, O. S. (2014). The impact of parental socioeconomic status on students' academic achievement in secondary schools in Tanzania. </w:t>
      </w:r>
      <w:r w:rsidRPr="00BB6978">
        <w:rPr>
          <w:rFonts w:asciiTheme="majorBidi" w:hAnsiTheme="majorBidi" w:cstheme="majorBidi"/>
          <w:i/>
          <w:iCs/>
          <w:sz w:val="24"/>
          <w:szCs w:val="24"/>
          <w:shd w:val="clear" w:color="auto" w:fill="FFFFFF"/>
        </w:rPr>
        <w:t>International Journal of education</w:t>
      </w:r>
      <w:r w:rsidRPr="00BB6978">
        <w:rPr>
          <w:rFonts w:asciiTheme="majorBidi" w:hAnsiTheme="majorBidi" w:cstheme="majorBidi"/>
          <w:sz w:val="24"/>
          <w:szCs w:val="24"/>
          <w:shd w:val="clear" w:color="auto" w:fill="FFFFFF"/>
        </w:rPr>
        <w:t>, </w:t>
      </w:r>
      <w:r w:rsidRPr="00BB6978">
        <w:rPr>
          <w:rFonts w:asciiTheme="majorBidi" w:hAnsiTheme="majorBidi" w:cstheme="majorBidi"/>
          <w:i/>
          <w:iCs/>
          <w:sz w:val="24"/>
          <w:szCs w:val="24"/>
          <w:shd w:val="clear" w:color="auto" w:fill="FFFFFF"/>
        </w:rPr>
        <w:t>6</w:t>
      </w:r>
      <w:r w:rsidRPr="00BB6978">
        <w:rPr>
          <w:rFonts w:asciiTheme="majorBidi" w:hAnsiTheme="majorBidi" w:cstheme="majorBidi"/>
          <w:sz w:val="24"/>
          <w:szCs w:val="24"/>
          <w:shd w:val="clear" w:color="auto" w:fill="FFFFFF"/>
        </w:rPr>
        <w:t>(4), 120.</w:t>
      </w:r>
    </w:p>
    <w:p w14:paraId="7BD03C22"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Khaleej Times. (2020). Retrieved from </w:t>
      </w:r>
      <w:hyperlink r:id="rId73" w:history="1">
        <w:r w:rsidRPr="00BB6978">
          <w:rPr>
            <w:rFonts w:asciiTheme="majorBidi" w:hAnsiTheme="majorBidi" w:cstheme="majorBidi"/>
            <w:sz w:val="24"/>
            <w:szCs w:val="24"/>
            <w:u w:val="single"/>
          </w:rPr>
          <w:t>Inspiring Excellence - News | Khaleej Times</w:t>
        </w:r>
      </w:hyperlink>
    </w:p>
    <w:p w14:paraId="7E9FD7F6" w14:textId="77777777" w:rsidR="00676834" w:rsidRPr="00BB6978" w:rsidRDefault="00676834" w:rsidP="00B14D43">
      <w:pPr>
        <w:pStyle w:val="NormalWeb"/>
        <w:spacing w:line="480" w:lineRule="auto"/>
        <w:ind w:left="567" w:hanging="567"/>
        <w:rPr>
          <w:rFonts w:asciiTheme="majorBidi" w:hAnsiTheme="majorBidi" w:cstheme="majorBidi"/>
        </w:rPr>
      </w:pPr>
      <w:r w:rsidRPr="00BB6978">
        <w:rPr>
          <w:rFonts w:asciiTheme="majorBidi" w:hAnsiTheme="majorBidi" w:cstheme="majorBidi"/>
        </w:rPr>
        <w:t xml:space="preserve">Kim, E. (n.d.). </w:t>
      </w:r>
      <w:r w:rsidRPr="00BB6978">
        <w:rPr>
          <w:rFonts w:asciiTheme="majorBidi" w:hAnsiTheme="majorBidi" w:cstheme="majorBidi"/>
          <w:i/>
          <w:iCs/>
        </w:rPr>
        <w:t>MCIEA School Quality Measures Reliability Analyses</w:t>
      </w:r>
      <w:r w:rsidRPr="00BB6978">
        <w:rPr>
          <w:rFonts w:asciiTheme="majorBidi" w:hAnsiTheme="majorBidi" w:cstheme="majorBidi"/>
        </w:rPr>
        <w:t xml:space="preserve">. MCIEA. Retrieved 2020, from https://www.mciea.org/uploads/1/2/0/7/120788330/school_quality_measures_reliability_analyses_2016_2017.pdf </w:t>
      </w:r>
    </w:p>
    <w:p w14:paraId="4DF6FEDD" w14:textId="03055363" w:rsidR="00B53A42" w:rsidRPr="00BB6978" w:rsidRDefault="00B53A42" w:rsidP="00A44219">
      <w:pPr>
        <w:spacing w:line="480" w:lineRule="auto"/>
        <w:ind w:left="720" w:hanging="720"/>
        <w:rPr>
          <w:rFonts w:asciiTheme="majorBidi" w:hAnsiTheme="majorBidi" w:cstheme="majorBidi"/>
          <w:sz w:val="24"/>
          <w:szCs w:val="24"/>
          <w:shd w:val="clear" w:color="auto" w:fill="FFFFFF"/>
        </w:rPr>
      </w:pPr>
      <w:bookmarkStart w:id="241" w:name="_Hlk138079607"/>
      <w:r w:rsidRPr="00BB6978">
        <w:rPr>
          <w:rFonts w:asciiTheme="majorBidi" w:hAnsiTheme="majorBidi" w:cstheme="majorBidi"/>
          <w:sz w:val="24"/>
          <w:szCs w:val="24"/>
          <w:shd w:val="clear" w:color="auto" w:fill="FFFFFF"/>
        </w:rPr>
        <w:t>Kippels, S., &amp; Ridge, N. (2019</w:t>
      </w:r>
      <w:bookmarkEnd w:id="241"/>
      <w:r w:rsidRPr="00BB6978">
        <w:rPr>
          <w:rFonts w:asciiTheme="majorBidi" w:hAnsiTheme="majorBidi" w:cstheme="majorBidi"/>
          <w:sz w:val="24"/>
          <w:szCs w:val="24"/>
          <w:shd w:val="clear" w:color="auto" w:fill="FFFFFF"/>
        </w:rPr>
        <w:t>). The growth and transformation of K–12 education in the UAE. </w:t>
      </w:r>
      <w:r w:rsidRPr="00BB6978">
        <w:rPr>
          <w:rFonts w:asciiTheme="majorBidi" w:hAnsiTheme="majorBidi" w:cstheme="majorBidi"/>
          <w:i/>
          <w:iCs/>
          <w:sz w:val="24"/>
          <w:szCs w:val="24"/>
          <w:shd w:val="clear" w:color="auto" w:fill="FFFFFF"/>
        </w:rPr>
        <w:t>Education in the United Arab Emirates: Innovation and transformation</w:t>
      </w:r>
      <w:r w:rsidRPr="00BB6978">
        <w:rPr>
          <w:rFonts w:asciiTheme="majorBidi" w:hAnsiTheme="majorBidi" w:cstheme="majorBidi"/>
          <w:sz w:val="24"/>
          <w:szCs w:val="24"/>
          <w:shd w:val="clear" w:color="auto" w:fill="FFFFFF"/>
        </w:rPr>
        <w:t>, 37-55.</w:t>
      </w:r>
    </w:p>
    <w:p w14:paraId="1740708C" w14:textId="7E5CB0F6" w:rsidR="00B53A42" w:rsidRPr="00BB6978" w:rsidRDefault="00676834" w:rsidP="00A44219">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KITAEV, I. (2007): “Education for all and private education in developing and transitional countries,” in Private Schooling in Less Developed Countries, chap. 5, pp. 89–110. Oxford, Symposium Books.</w:t>
      </w:r>
    </w:p>
    <w:p w14:paraId="3ADB38AE"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Kuroda, Y. (2018). The effect of school quality on housing rents: Evidence from Matsue city in Japan. </w:t>
      </w:r>
      <w:r w:rsidRPr="00BB6978">
        <w:rPr>
          <w:rFonts w:asciiTheme="majorBidi" w:hAnsiTheme="majorBidi" w:cstheme="majorBidi"/>
          <w:i/>
          <w:iCs/>
          <w:sz w:val="24"/>
          <w:szCs w:val="24"/>
        </w:rPr>
        <w:t>Journal of the Japanese and International Economies</w:t>
      </w:r>
      <w:r w:rsidRPr="00BB6978">
        <w:rPr>
          <w:rFonts w:asciiTheme="majorBidi" w:hAnsiTheme="majorBidi" w:cstheme="majorBidi"/>
          <w:sz w:val="24"/>
          <w:szCs w:val="24"/>
        </w:rPr>
        <w:t>, </w:t>
      </w:r>
      <w:r w:rsidRPr="00BB6978">
        <w:rPr>
          <w:rFonts w:asciiTheme="majorBidi" w:hAnsiTheme="majorBidi" w:cstheme="majorBidi"/>
          <w:i/>
          <w:iCs/>
          <w:sz w:val="24"/>
          <w:szCs w:val="24"/>
        </w:rPr>
        <w:t>50</w:t>
      </w:r>
      <w:r w:rsidRPr="00BB6978">
        <w:rPr>
          <w:rFonts w:asciiTheme="majorBidi" w:hAnsiTheme="majorBidi" w:cstheme="majorBidi"/>
          <w:sz w:val="24"/>
          <w:szCs w:val="24"/>
        </w:rPr>
        <w:t>, 16-25.</w:t>
      </w:r>
      <w:r w:rsidRPr="00BB6978">
        <w:rPr>
          <w:rFonts w:asciiTheme="majorBidi" w:hAnsiTheme="majorBidi" w:cstheme="majorBidi"/>
          <w:sz w:val="24"/>
          <w:szCs w:val="24"/>
          <w:rtl/>
        </w:rPr>
        <w:t>‏</w:t>
      </w:r>
    </w:p>
    <w:p w14:paraId="071A4A13"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Ladd, H. &amp; Loeb, S. (2013). The challenges of measuring school quality. Education, justice, and democracy. [Online]. 19. Available from: </w:t>
      </w:r>
      <w:hyperlink r:id="rId74" w:history="1">
        <w:r w:rsidRPr="00BB6978">
          <w:rPr>
            <w:rFonts w:asciiTheme="majorBidi" w:hAnsiTheme="majorBidi" w:cstheme="majorBidi"/>
            <w:sz w:val="24"/>
            <w:szCs w:val="24"/>
            <w:u w:val="single"/>
          </w:rPr>
          <w:t>https://books.google.com/books?hl=en&amp;lr=&amp;id=n85hOcorE1AC&amp;oi=fnd&amp;pg=PA19&amp;dq=(Ladd+and+Loeb,+2013)+school+quality&amp;ots=BjtEnuuuf3&amp;sig=9lM5cTsZNWkKHh6AwUsdUb7rx2U</w:t>
        </w:r>
      </w:hyperlink>
      <w:r w:rsidRPr="00BB6978">
        <w:rPr>
          <w:rFonts w:asciiTheme="majorBidi" w:hAnsiTheme="majorBidi" w:cstheme="majorBidi"/>
          <w:sz w:val="24"/>
          <w:szCs w:val="24"/>
        </w:rPr>
        <w:t>.</w:t>
      </w:r>
    </w:p>
    <w:p w14:paraId="16986CBC"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Leu, D. J. (2005). The role of teachers and community in quality education: A literature review. Retrieved from </w:t>
      </w:r>
      <w:hyperlink r:id="rId75" w:tgtFrame="_new" w:history="1">
        <w:r w:rsidRPr="00BB6978">
          <w:rPr>
            <w:rFonts w:asciiTheme="majorBidi" w:hAnsiTheme="majorBidi" w:cstheme="majorBidi"/>
            <w:sz w:val="24"/>
            <w:szCs w:val="24"/>
          </w:rPr>
          <w:t>https://people.umass.edu/educ870/teacher_education/Documents/Role%20of%20Tchrs%20&amp;%20Comm%20in%20Quality%20Ed%20-%20Lit%20Rev.%20Leu%202005.pdf</w:t>
        </w:r>
      </w:hyperlink>
    </w:p>
    <w:p w14:paraId="709013C1" w14:textId="77777777" w:rsidR="00676834" w:rsidRPr="00BB6978" w:rsidRDefault="00676834" w:rsidP="00B14D43">
      <w:pPr>
        <w:spacing w:line="480" w:lineRule="auto"/>
        <w:ind w:left="720" w:hanging="720"/>
        <w:rPr>
          <w:rFonts w:asciiTheme="majorBidi" w:hAnsiTheme="majorBidi" w:cstheme="majorBidi"/>
          <w:i/>
          <w:iCs/>
          <w:sz w:val="24"/>
          <w:szCs w:val="24"/>
        </w:rPr>
      </w:pPr>
      <w:r w:rsidRPr="00BB6978">
        <w:rPr>
          <w:rFonts w:asciiTheme="majorBidi" w:hAnsiTheme="majorBidi" w:cstheme="majorBidi"/>
          <w:sz w:val="24"/>
          <w:szCs w:val="24"/>
        </w:rPr>
        <w:t xml:space="preserve">Levin, H. (2000) A comprehensive framework for evaluating educational vouchers , Occasional PaperNo. 5. National Centre for the Study of Privatization in Education, Teachers College, Colum-bia University </w:t>
      </w:r>
    </w:p>
    <w:p w14:paraId="6252BA70" w14:textId="77777777" w:rsidR="00676834" w:rsidRPr="00BB6978" w:rsidRDefault="00676834" w:rsidP="00B14D43">
      <w:pPr>
        <w:spacing w:before="240" w:after="200" w:line="480" w:lineRule="auto"/>
        <w:ind w:left="709" w:hanging="709"/>
        <w:rPr>
          <w:rFonts w:asciiTheme="majorBidi" w:eastAsia="Times New Roman" w:hAnsiTheme="majorBidi" w:cstheme="majorBidi"/>
          <w:sz w:val="24"/>
          <w:szCs w:val="24"/>
        </w:rPr>
      </w:pPr>
      <w:r w:rsidRPr="00BB6978">
        <w:rPr>
          <w:rFonts w:asciiTheme="majorBidi" w:hAnsiTheme="majorBidi" w:cstheme="majorBidi"/>
          <w:sz w:val="24"/>
          <w:szCs w:val="24"/>
        </w:rPr>
        <w:t>Lewin, K. (2007). The limits to growth of non-government private schooling in sub-Saharan Africa. Research Monograph No. 5. Brighton: Consortium for Research on Educational Access, Transitions, and Equity.</w:t>
      </w:r>
    </w:p>
    <w:p w14:paraId="1AC7471D" w14:textId="77777777" w:rsidR="00676834" w:rsidRPr="00BB6978" w:rsidRDefault="00676834" w:rsidP="00B14D43">
      <w:pPr>
        <w:spacing w:line="480" w:lineRule="auto"/>
        <w:ind w:left="567" w:hanging="567"/>
        <w:jc w:val="both"/>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Lim, P., Gemici, S., &amp; Karmel, T. (2014). The impact of school academic quality on low socioeconomic status students. </w:t>
      </w:r>
      <w:r w:rsidRPr="00BB6978">
        <w:rPr>
          <w:rFonts w:asciiTheme="majorBidi" w:hAnsiTheme="majorBidi" w:cstheme="majorBidi"/>
          <w:i/>
          <w:iCs/>
          <w:sz w:val="24"/>
          <w:szCs w:val="24"/>
          <w:shd w:val="clear" w:color="auto" w:fill="FFFFFF"/>
        </w:rPr>
        <w:t>Australian Economic Review</w:t>
      </w:r>
      <w:r w:rsidRPr="00BB6978">
        <w:rPr>
          <w:rFonts w:asciiTheme="majorBidi" w:hAnsiTheme="majorBidi" w:cstheme="majorBidi"/>
          <w:sz w:val="24"/>
          <w:szCs w:val="24"/>
          <w:shd w:val="clear" w:color="auto" w:fill="FFFFFF"/>
        </w:rPr>
        <w:t>, </w:t>
      </w:r>
      <w:r w:rsidRPr="00BB6978">
        <w:rPr>
          <w:rFonts w:asciiTheme="majorBidi" w:hAnsiTheme="majorBidi" w:cstheme="majorBidi"/>
          <w:i/>
          <w:iCs/>
          <w:sz w:val="24"/>
          <w:szCs w:val="24"/>
          <w:shd w:val="clear" w:color="auto" w:fill="FFFFFF"/>
        </w:rPr>
        <w:t>47</w:t>
      </w:r>
      <w:r w:rsidRPr="00BB6978">
        <w:rPr>
          <w:rFonts w:asciiTheme="majorBidi" w:hAnsiTheme="majorBidi" w:cstheme="majorBidi"/>
          <w:sz w:val="24"/>
          <w:szCs w:val="24"/>
          <w:shd w:val="clear" w:color="auto" w:fill="FFFFFF"/>
        </w:rPr>
        <w:t>(1), 100-106.</w:t>
      </w:r>
    </w:p>
    <w:p w14:paraId="69FFD0A4"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Lin, J. W. (2019). The impact of team‐based learning on students with different self‐regulated learning abilities. </w:t>
      </w:r>
      <w:r w:rsidRPr="00BB6978">
        <w:rPr>
          <w:rFonts w:asciiTheme="majorBidi" w:hAnsiTheme="majorBidi" w:cstheme="majorBidi"/>
          <w:i/>
          <w:iCs/>
          <w:sz w:val="24"/>
          <w:szCs w:val="24"/>
        </w:rPr>
        <w:t>Journal of Computer Assisted Learning</w:t>
      </w:r>
      <w:r w:rsidRPr="00BB6978">
        <w:rPr>
          <w:rFonts w:asciiTheme="majorBidi" w:hAnsiTheme="majorBidi" w:cstheme="majorBidi"/>
          <w:sz w:val="24"/>
          <w:szCs w:val="24"/>
        </w:rPr>
        <w:t>, </w:t>
      </w:r>
      <w:r w:rsidRPr="00BB6978">
        <w:rPr>
          <w:rFonts w:asciiTheme="majorBidi" w:hAnsiTheme="majorBidi" w:cstheme="majorBidi"/>
          <w:i/>
          <w:iCs/>
          <w:sz w:val="24"/>
          <w:szCs w:val="24"/>
        </w:rPr>
        <w:t>35</w:t>
      </w:r>
      <w:r w:rsidRPr="00BB6978">
        <w:rPr>
          <w:rFonts w:asciiTheme="majorBidi" w:hAnsiTheme="majorBidi" w:cstheme="majorBidi"/>
          <w:sz w:val="24"/>
          <w:szCs w:val="24"/>
        </w:rPr>
        <w:t>(6), 758-768.</w:t>
      </w:r>
      <w:r w:rsidRPr="00BB6978">
        <w:rPr>
          <w:rFonts w:asciiTheme="majorBidi" w:hAnsiTheme="majorBidi" w:cstheme="majorBidi"/>
          <w:sz w:val="24"/>
          <w:szCs w:val="24"/>
          <w:rtl/>
        </w:rPr>
        <w:t>‏</w:t>
      </w:r>
    </w:p>
    <w:p w14:paraId="3903E673" w14:textId="581A7ED5" w:rsidR="00B53A42" w:rsidRPr="00BB6978" w:rsidRDefault="00B53A42" w:rsidP="00A44219">
      <w:pPr>
        <w:spacing w:line="480" w:lineRule="auto"/>
        <w:ind w:left="720" w:hanging="720"/>
        <w:rPr>
          <w:rFonts w:asciiTheme="majorBidi" w:eastAsia="Times New Roman" w:hAnsiTheme="majorBidi" w:cstheme="majorBidi"/>
          <w:sz w:val="24"/>
          <w:szCs w:val="24"/>
          <w:shd w:val="clear" w:color="auto" w:fill="FFFFFF"/>
        </w:rPr>
      </w:pPr>
      <w:bookmarkStart w:id="242" w:name="_Hlk137914565"/>
      <w:r w:rsidRPr="00BB6978">
        <w:rPr>
          <w:rStyle w:val="contentpasted0"/>
          <w:rFonts w:asciiTheme="majorBidi" w:eastAsia="Times New Roman" w:hAnsiTheme="majorBidi" w:cstheme="majorBidi"/>
          <w:sz w:val="24"/>
          <w:szCs w:val="24"/>
          <w:shd w:val="clear" w:color="auto" w:fill="FFFFFF"/>
        </w:rPr>
        <w:t xml:space="preserve">Liu, </w:t>
      </w:r>
      <w:bookmarkEnd w:id="242"/>
      <w:r w:rsidRPr="00BB6978">
        <w:rPr>
          <w:rStyle w:val="contentpasted0"/>
          <w:rFonts w:asciiTheme="majorBidi" w:eastAsia="Times New Roman" w:hAnsiTheme="majorBidi" w:cstheme="majorBidi"/>
          <w:sz w:val="24"/>
          <w:szCs w:val="24"/>
          <w:shd w:val="clear" w:color="auto" w:fill="FFFFFF"/>
        </w:rPr>
        <w:t>J., Peng, P., &amp; Luo, L. (2020). The relation between family socioeconomic status and academic achievement in China: A meta-analysis. </w:t>
      </w:r>
      <w:r w:rsidRPr="00BB6978">
        <w:rPr>
          <w:rStyle w:val="contentpasted0"/>
          <w:rFonts w:asciiTheme="majorBidi" w:eastAsia="Times New Roman" w:hAnsiTheme="majorBidi" w:cstheme="majorBidi"/>
          <w:i/>
          <w:iCs/>
          <w:sz w:val="24"/>
          <w:szCs w:val="24"/>
          <w:shd w:val="clear" w:color="auto" w:fill="FFFFFF"/>
        </w:rPr>
        <w:t>Educational Psychology Review</w:t>
      </w:r>
      <w:r w:rsidRPr="00BB6978">
        <w:rPr>
          <w:rStyle w:val="contentpasted0"/>
          <w:rFonts w:asciiTheme="majorBidi" w:eastAsia="Times New Roman" w:hAnsiTheme="majorBidi" w:cstheme="majorBidi"/>
          <w:sz w:val="24"/>
          <w:szCs w:val="24"/>
          <w:shd w:val="clear" w:color="auto" w:fill="FFFFFF"/>
        </w:rPr>
        <w:t>, </w:t>
      </w:r>
      <w:r w:rsidRPr="00BB6978">
        <w:rPr>
          <w:rStyle w:val="contentpasted0"/>
          <w:rFonts w:asciiTheme="majorBidi" w:eastAsia="Times New Roman" w:hAnsiTheme="majorBidi" w:cstheme="majorBidi"/>
          <w:i/>
          <w:iCs/>
          <w:sz w:val="24"/>
          <w:szCs w:val="24"/>
          <w:shd w:val="clear" w:color="auto" w:fill="FFFFFF"/>
        </w:rPr>
        <w:t>32</w:t>
      </w:r>
      <w:r w:rsidRPr="00BB6978">
        <w:rPr>
          <w:rStyle w:val="contentpasted0"/>
          <w:rFonts w:asciiTheme="majorBidi" w:eastAsia="Times New Roman" w:hAnsiTheme="majorBidi" w:cstheme="majorBidi"/>
          <w:sz w:val="24"/>
          <w:szCs w:val="24"/>
          <w:shd w:val="clear" w:color="auto" w:fill="FFFFFF"/>
        </w:rPr>
        <w:t>, 49-76.</w:t>
      </w:r>
      <w:r w:rsidRPr="00BB6978">
        <w:rPr>
          <w:rStyle w:val="contentpasted0"/>
          <w:rFonts w:asciiTheme="majorBidi" w:eastAsia="Times New Roman" w:hAnsiTheme="majorBidi" w:cstheme="majorBidi"/>
          <w:sz w:val="24"/>
          <w:szCs w:val="24"/>
          <w:shd w:val="clear" w:color="auto" w:fill="FFFFFF"/>
          <w:rtl/>
        </w:rPr>
        <w:t>‏</w:t>
      </w:r>
    </w:p>
    <w:p w14:paraId="15F40AC2" w14:textId="0B809F8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Lubienski, C. &amp; Lubienski, S. (2006). Charter, Private, Public Schools and Academic Achievement: New evidence from NAEP Mathematics Data 1. Public Choice. [Online]. (May). pp. 1–48. Available from: </w:t>
      </w:r>
      <w:hyperlink r:id="rId76" w:history="1">
        <w:r w:rsidRPr="00BB6978">
          <w:rPr>
            <w:rFonts w:asciiTheme="majorBidi" w:hAnsiTheme="majorBidi" w:cstheme="majorBidi"/>
            <w:sz w:val="24"/>
            <w:szCs w:val="24"/>
            <w:u w:val="single"/>
          </w:rPr>
          <w:t>https://www.sciencedirect.com/science/article/pii/S0736585317302769</w:t>
        </w:r>
      </w:hyperlink>
    </w:p>
    <w:p w14:paraId="24864DC9" w14:textId="77777777" w:rsidR="00B53A42" w:rsidRPr="00BB6978" w:rsidRDefault="00B53A42" w:rsidP="00B14D43">
      <w:pPr>
        <w:spacing w:line="480" w:lineRule="auto"/>
        <w:ind w:left="720" w:hanging="720"/>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Ma, X., &amp; Klinger, D. A. (2000). Hierarchical linear modeling of student and school effects on academic achievement. Canadian Journal of Education, 25(1), 41-55.</w:t>
      </w:r>
    </w:p>
    <w:p w14:paraId="4E4D6C86"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MacPhail-Wilcox, B., &amp; King, R. (1986). Production functions revisited in the context of educational reform. Journal of Educational Finance. 12, 191-222.</w:t>
      </w:r>
    </w:p>
    <w:p w14:paraId="163A9A06" w14:textId="6074B1F7" w:rsidR="00B53A42" w:rsidRPr="00BB6978" w:rsidRDefault="00B53A42" w:rsidP="00A44219">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Madani, R. A. (2019). Analysis of Educational Quality, a Goal of Education for All Policy. </w:t>
      </w:r>
      <w:r w:rsidRPr="00BB6978">
        <w:rPr>
          <w:rFonts w:asciiTheme="majorBidi" w:hAnsiTheme="majorBidi" w:cstheme="majorBidi"/>
          <w:i/>
          <w:iCs/>
          <w:sz w:val="24"/>
          <w:szCs w:val="24"/>
        </w:rPr>
        <w:t>Higher Education Studies</w:t>
      </w:r>
      <w:r w:rsidRPr="00BB6978">
        <w:rPr>
          <w:rFonts w:asciiTheme="majorBidi" w:hAnsiTheme="majorBidi" w:cstheme="majorBidi"/>
          <w:sz w:val="24"/>
          <w:szCs w:val="24"/>
        </w:rPr>
        <w:t>, </w:t>
      </w:r>
      <w:r w:rsidRPr="00BB6978">
        <w:rPr>
          <w:rFonts w:asciiTheme="majorBidi" w:hAnsiTheme="majorBidi" w:cstheme="majorBidi"/>
          <w:i/>
          <w:iCs/>
          <w:sz w:val="24"/>
          <w:szCs w:val="24"/>
        </w:rPr>
        <w:t>9</w:t>
      </w:r>
      <w:r w:rsidRPr="00BB6978">
        <w:rPr>
          <w:rFonts w:asciiTheme="majorBidi" w:hAnsiTheme="majorBidi" w:cstheme="majorBidi"/>
          <w:sz w:val="24"/>
          <w:szCs w:val="24"/>
        </w:rPr>
        <w:t>(1), 100-109.</w:t>
      </w:r>
      <w:r w:rsidRPr="00BB6978">
        <w:rPr>
          <w:rFonts w:asciiTheme="majorBidi" w:hAnsiTheme="majorBidi" w:cstheme="majorBidi"/>
          <w:sz w:val="24"/>
          <w:szCs w:val="24"/>
          <w:rtl/>
        </w:rPr>
        <w:t>‏</w:t>
      </w:r>
    </w:p>
    <w:p w14:paraId="0B49256D"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Mann, A., Denis, V., Schleicher, A., Ekhtiari, H., Forsyth, T., Liu, E., &amp; Chambers, N. (2020). Teenagers’ career aspirations and the future of work.</w:t>
      </w:r>
      <w:r w:rsidRPr="00BB6978">
        <w:rPr>
          <w:rFonts w:asciiTheme="majorBidi" w:hAnsiTheme="majorBidi" w:cstheme="majorBidi"/>
          <w:sz w:val="24"/>
          <w:szCs w:val="24"/>
          <w:rtl/>
        </w:rPr>
        <w:t>‏</w:t>
      </w:r>
    </w:p>
    <w:p w14:paraId="488A1115" w14:textId="77777777" w:rsidR="00B53A42" w:rsidRPr="00BB6978" w:rsidRDefault="00B53A42" w:rsidP="00B14D43">
      <w:pPr>
        <w:spacing w:line="480" w:lineRule="auto"/>
        <w:ind w:left="720" w:hanging="720"/>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Mann, M. (1985). Macmilan students encyclopedia of sociology.   England: Anchor Brendon Ltd.</w:t>
      </w:r>
    </w:p>
    <w:p w14:paraId="35E4DB6D" w14:textId="44FDCFD2" w:rsidR="00B53A42" w:rsidRPr="00BB6978" w:rsidRDefault="00B53A42" w:rsidP="00A44219">
      <w:pPr>
        <w:spacing w:line="480" w:lineRule="auto"/>
        <w:ind w:left="720" w:hanging="720"/>
        <w:rPr>
          <w:rFonts w:asciiTheme="majorBidi" w:hAnsiTheme="majorBidi" w:cstheme="majorBidi"/>
          <w:sz w:val="24"/>
          <w:szCs w:val="24"/>
          <w:shd w:val="clear" w:color="auto" w:fill="FFFFFF"/>
        </w:rPr>
      </w:pPr>
      <w:bookmarkStart w:id="243" w:name="_Hlk138087288"/>
      <w:r w:rsidRPr="00BB6978">
        <w:rPr>
          <w:rFonts w:asciiTheme="majorBidi" w:hAnsiTheme="majorBidi" w:cstheme="majorBidi"/>
          <w:sz w:val="24"/>
          <w:szCs w:val="24"/>
          <w:shd w:val="clear" w:color="auto" w:fill="FFFFFF"/>
        </w:rPr>
        <w:t>Malczewski, J., &amp; Jackson, M. (2000</w:t>
      </w:r>
      <w:bookmarkEnd w:id="243"/>
      <w:r w:rsidRPr="00BB6978">
        <w:rPr>
          <w:rFonts w:asciiTheme="majorBidi" w:hAnsiTheme="majorBidi" w:cstheme="majorBidi"/>
          <w:sz w:val="24"/>
          <w:szCs w:val="24"/>
          <w:shd w:val="clear" w:color="auto" w:fill="FFFFFF"/>
        </w:rPr>
        <w:t>). Multicriteria spatial allocation of educational resources: an overview. </w:t>
      </w:r>
      <w:r w:rsidRPr="00BB6978">
        <w:rPr>
          <w:rFonts w:asciiTheme="majorBidi" w:hAnsiTheme="majorBidi" w:cstheme="majorBidi"/>
          <w:i/>
          <w:iCs/>
          <w:sz w:val="24"/>
          <w:szCs w:val="24"/>
          <w:shd w:val="clear" w:color="auto" w:fill="FFFFFF"/>
        </w:rPr>
        <w:t>Socio-Economic Planning Sciences</w:t>
      </w:r>
      <w:r w:rsidRPr="00BB6978">
        <w:rPr>
          <w:rFonts w:asciiTheme="majorBidi" w:hAnsiTheme="majorBidi" w:cstheme="majorBidi"/>
          <w:sz w:val="24"/>
          <w:szCs w:val="24"/>
          <w:shd w:val="clear" w:color="auto" w:fill="FFFFFF"/>
        </w:rPr>
        <w:t>, </w:t>
      </w:r>
      <w:r w:rsidRPr="00BB6978">
        <w:rPr>
          <w:rFonts w:asciiTheme="majorBidi" w:hAnsiTheme="majorBidi" w:cstheme="majorBidi"/>
          <w:i/>
          <w:iCs/>
          <w:sz w:val="24"/>
          <w:szCs w:val="24"/>
          <w:shd w:val="clear" w:color="auto" w:fill="FFFFFF"/>
        </w:rPr>
        <w:t>34</w:t>
      </w:r>
      <w:r w:rsidRPr="00BB6978">
        <w:rPr>
          <w:rFonts w:asciiTheme="majorBidi" w:hAnsiTheme="majorBidi" w:cstheme="majorBidi"/>
          <w:sz w:val="24"/>
          <w:szCs w:val="24"/>
          <w:shd w:val="clear" w:color="auto" w:fill="FFFFFF"/>
        </w:rPr>
        <w:t>(3), 219-235.</w:t>
      </w:r>
    </w:p>
    <w:p w14:paraId="102D8AC9"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Margo, R.A. (1986). Educational achievement in segregated school systems: The effects of "separate-but-equal." American Economic Review, 21, 794-801.</w:t>
      </w:r>
    </w:p>
    <w:p w14:paraId="3E31FFBC"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Martin, M. O., Foy, P., Mullis, I. V. S., &amp; O’Dwyer, L. M. (2013). Effective schools in reading, mathematics, and science at the fourth grade. In M. O. Martin &amp; I. V. S. Mullis (Eds.), TIMSS and PIRLS 2011: Relationships among reading, mathematics, and science achievement at the fourth grade—implications for early learning (pp. 109–178). Chestnut Hill: TIMSS &amp; PIRLS International Study Center, Boston College.</w:t>
      </w:r>
    </w:p>
    <w:p w14:paraId="1F2CAA69"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Martin, R. E. (2005). </w:t>
      </w:r>
      <w:r w:rsidRPr="00BB6978">
        <w:rPr>
          <w:rFonts w:asciiTheme="majorBidi" w:hAnsiTheme="majorBidi" w:cstheme="majorBidi"/>
          <w:i/>
          <w:iCs/>
          <w:sz w:val="24"/>
          <w:szCs w:val="24"/>
        </w:rPr>
        <w:t>Cost control, college access, and competition in higher education</w:t>
      </w:r>
      <w:r w:rsidRPr="00BB6978">
        <w:rPr>
          <w:rFonts w:asciiTheme="majorBidi" w:hAnsiTheme="majorBidi" w:cstheme="majorBidi"/>
          <w:sz w:val="24"/>
          <w:szCs w:val="24"/>
        </w:rPr>
        <w:t>. Edward Elgar Publishing.</w:t>
      </w:r>
      <w:r w:rsidRPr="00BB6978">
        <w:rPr>
          <w:rFonts w:asciiTheme="majorBidi" w:hAnsiTheme="majorBidi" w:cstheme="majorBidi"/>
          <w:sz w:val="24"/>
          <w:szCs w:val="24"/>
          <w:rtl/>
        </w:rPr>
        <w:t>‏</w:t>
      </w:r>
    </w:p>
    <w:p w14:paraId="0F925331"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Martorell, P., Stange, K., &amp; McFarlin Jr, I. (2016). Investing in schools: capital spending, facility conditions, and student achievement. </w:t>
      </w:r>
      <w:r w:rsidRPr="00BB6978">
        <w:rPr>
          <w:rFonts w:asciiTheme="majorBidi" w:hAnsiTheme="majorBidi" w:cstheme="majorBidi"/>
          <w:i/>
          <w:iCs/>
          <w:sz w:val="24"/>
          <w:szCs w:val="24"/>
        </w:rPr>
        <w:t>Journal of Public Economics</w:t>
      </w:r>
      <w:r w:rsidRPr="00BB6978">
        <w:rPr>
          <w:rFonts w:asciiTheme="majorBidi" w:hAnsiTheme="majorBidi" w:cstheme="majorBidi"/>
          <w:sz w:val="24"/>
          <w:szCs w:val="24"/>
        </w:rPr>
        <w:t>, </w:t>
      </w:r>
      <w:r w:rsidRPr="00BB6978">
        <w:rPr>
          <w:rFonts w:asciiTheme="majorBidi" w:hAnsiTheme="majorBidi" w:cstheme="majorBidi"/>
          <w:i/>
          <w:iCs/>
          <w:sz w:val="24"/>
          <w:szCs w:val="24"/>
        </w:rPr>
        <w:t>140</w:t>
      </w:r>
      <w:r w:rsidRPr="00BB6978">
        <w:rPr>
          <w:rFonts w:asciiTheme="majorBidi" w:hAnsiTheme="majorBidi" w:cstheme="majorBidi"/>
          <w:sz w:val="24"/>
          <w:szCs w:val="24"/>
        </w:rPr>
        <w:t>, 13-29.</w:t>
      </w:r>
      <w:r w:rsidRPr="00BB6978">
        <w:rPr>
          <w:rFonts w:asciiTheme="majorBidi" w:hAnsiTheme="majorBidi" w:cstheme="majorBidi"/>
          <w:sz w:val="24"/>
          <w:szCs w:val="24"/>
          <w:rtl/>
        </w:rPr>
        <w:t>‏</w:t>
      </w:r>
    </w:p>
    <w:p w14:paraId="7B8E387E"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Matsuura, K. (2004). </w:t>
      </w:r>
      <w:r w:rsidRPr="00BB6978">
        <w:rPr>
          <w:rFonts w:asciiTheme="majorBidi" w:hAnsiTheme="majorBidi" w:cstheme="majorBidi"/>
          <w:i/>
          <w:iCs/>
          <w:sz w:val="24"/>
          <w:szCs w:val="24"/>
        </w:rPr>
        <w:t>Education for all: the quality imperative</w:t>
      </w:r>
      <w:r w:rsidRPr="00BB6978">
        <w:rPr>
          <w:rFonts w:asciiTheme="majorBidi" w:hAnsiTheme="majorBidi" w:cstheme="majorBidi"/>
          <w:sz w:val="24"/>
          <w:szCs w:val="24"/>
        </w:rPr>
        <w:t>. United Nations Educational.</w:t>
      </w:r>
      <w:r w:rsidRPr="00BB6978">
        <w:rPr>
          <w:rFonts w:asciiTheme="majorBidi" w:hAnsiTheme="majorBidi" w:cstheme="majorBidi"/>
          <w:sz w:val="24"/>
          <w:szCs w:val="24"/>
          <w:rtl/>
        </w:rPr>
        <w:t>‏</w:t>
      </w:r>
      <w:r w:rsidRPr="00BB6978">
        <w:rPr>
          <w:rFonts w:asciiTheme="majorBidi" w:hAnsiTheme="majorBidi" w:cstheme="majorBidi"/>
          <w:sz w:val="24"/>
          <w:szCs w:val="24"/>
        </w:rPr>
        <w:t xml:space="preserve"> </w:t>
      </w:r>
      <w:hyperlink r:id="rId77" w:history="1">
        <w:r w:rsidRPr="00BB6978">
          <w:rPr>
            <w:rStyle w:val="Hyperlink"/>
            <w:rFonts w:asciiTheme="majorBidi" w:hAnsiTheme="majorBidi" w:cstheme="majorBidi"/>
            <w:color w:val="auto"/>
            <w:sz w:val="24"/>
            <w:szCs w:val="24"/>
          </w:rPr>
          <w:t>https://unesdoc.unesco.org/ark:/48223/pf0000137333</w:t>
        </w:r>
      </w:hyperlink>
    </w:p>
    <w:p w14:paraId="1A1A34BC"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Maxwell, S. E., Delaney, H. D., &amp; Kelley, K. (2017). </w:t>
      </w:r>
      <w:r w:rsidRPr="00BB6978">
        <w:rPr>
          <w:rFonts w:asciiTheme="majorBidi" w:hAnsiTheme="majorBidi" w:cstheme="majorBidi"/>
          <w:i/>
          <w:iCs/>
          <w:sz w:val="24"/>
          <w:szCs w:val="24"/>
        </w:rPr>
        <w:t>Designing experiments and analyzing data: A model comparison perspective</w:t>
      </w:r>
      <w:r w:rsidRPr="00BB6978">
        <w:rPr>
          <w:rFonts w:asciiTheme="majorBidi" w:hAnsiTheme="majorBidi" w:cstheme="majorBidi"/>
          <w:sz w:val="24"/>
          <w:szCs w:val="24"/>
        </w:rPr>
        <w:t>. Routledge.</w:t>
      </w:r>
      <w:r w:rsidRPr="00BB6978">
        <w:rPr>
          <w:rFonts w:asciiTheme="majorBidi" w:hAnsiTheme="majorBidi" w:cstheme="majorBidi"/>
          <w:sz w:val="24"/>
          <w:szCs w:val="24"/>
          <w:rtl/>
        </w:rPr>
        <w:t>‏</w:t>
      </w:r>
    </w:p>
    <w:p w14:paraId="7A65C69E"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McDermott, J. E., &amp; Klein, S. P. (1974). Texas: The Cost-Quality Debate in School Finance Litigation: Do Dollars Make a Difference?. </w:t>
      </w:r>
      <w:r w:rsidRPr="00BB6978">
        <w:rPr>
          <w:rFonts w:asciiTheme="majorBidi" w:hAnsiTheme="majorBidi" w:cstheme="majorBidi"/>
          <w:i/>
          <w:iCs/>
          <w:sz w:val="24"/>
          <w:szCs w:val="24"/>
        </w:rPr>
        <w:t>Law and Contemporary Problems</w:t>
      </w:r>
      <w:r w:rsidRPr="00BB6978">
        <w:rPr>
          <w:rFonts w:asciiTheme="majorBidi" w:hAnsiTheme="majorBidi" w:cstheme="majorBidi"/>
          <w:sz w:val="24"/>
          <w:szCs w:val="24"/>
        </w:rPr>
        <w:t>, </w:t>
      </w:r>
      <w:r w:rsidRPr="00BB6978">
        <w:rPr>
          <w:rFonts w:asciiTheme="majorBidi" w:hAnsiTheme="majorBidi" w:cstheme="majorBidi"/>
          <w:i/>
          <w:iCs/>
          <w:sz w:val="24"/>
          <w:szCs w:val="24"/>
        </w:rPr>
        <w:t>38</w:t>
      </w:r>
      <w:r w:rsidRPr="00BB6978">
        <w:rPr>
          <w:rFonts w:asciiTheme="majorBidi" w:hAnsiTheme="majorBidi" w:cstheme="majorBidi"/>
          <w:sz w:val="24"/>
          <w:szCs w:val="24"/>
        </w:rPr>
        <w:t>(3), 415-435.</w:t>
      </w:r>
      <w:r w:rsidRPr="00BB6978">
        <w:rPr>
          <w:rFonts w:asciiTheme="majorBidi" w:hAnsiTheme="majorBidi" w:cstheme="majorBidi"/>
          <w:sz w:val="24"/>
          <w:szCs w:val="24"/>
          <w:rtl/>
        </w:rPr>
        <w:t>‏</w:t>
      </w:r>
    </w:p>
    <w:p w14:paraId="2D818FB0" w14:textId="77777777" w:rsidR="00676834" w:rsidRPr="00BB6978" w:rsidRDefault="00676834" w:rsidP="00B14D43">
      <w:pPr>
        <w:spacing w:before="240" w:after="200" w:line="480" w:lineRule="auto"/>
        <w:ind w:left="709" w:hanging="709"/>
        <w:rPr>
          <w:rFonts w:asciiTheme="majorBidi" w:hAnsiTheme="majorBidi" w:cstheme="majorBidi"/>
          <w:sz w:val="24"/>
          <w:szCs w:val="24"/>
          <w:shd w:val="clear" w:color="auto" w:fill="FFFFFF"/>
        </w:rPr>
      </w:pPr>
      <w:bookmarkStart w:id="244" w:name="_Hlk134048964"/>
      <w:r w:rsidRPr="00BB6978">
        <w:rPr>
          <w:rFonts w:asciiTheme="majorBidi" w:hAnsiTheme="majorBidi" w:cstheme="majorBidi"/>
          <w:sz w:val="24"/>
          <w:szCs w:val="24"/>
          <w:shd w:val="clear" w:color="auto" w:fill="FFFFFF"/>
        </w:rPr>
        <w:t>Meier, C., &amp; Lemmer, E. (2019</w:t>
      </w:r>
      <w:bookmarkEnd w:id="244"/>
      <w:r w:rsidRPr="00BB6978">
        <w:rPr>
          <w:rFonts w:asciiTheme="majorBidi" w:hAnsiTheme="majorBidi" w:cstheme="majorBidi"/>
          <w:sz w:val="24"/>
          <w:szCs w:val="24"/>
          <w:shd w:val="clear" w:color="auto" w:fill="FFFFFF"/>
        </w:rPr>
        <w:t>). Parents as consumers: A case study of parent satisfaction with the quality of schooling. Educational review, 71(5), 617-630.</w:t>
      </w:r>
    </w:p>
    <w:p w14:paraId="5E72292E"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Ministry of Education, (2019). Open Data School Statistics. Retrieved from, </w:t>
      </w:r>
      <w:hyperlink r:id="rId78" w:history="1">
        <w:r w:rsidRPr="00BB6978">
          <w:rPr>
            <w:rStyle w:val="Hyperlink"/>
            <w:rFonts w:asciiTheme="majorBidi" w:hAnsiTheme="majorBidi" w:cstheme="majorBidi"/>
            <w:color w:val="auto"/>
            <w:sz w:val="24"/>
            <w:szCs w:val="24"/>
          </w:rPr>
          <w:t>https://www.moe.gov.ae/En/OpenData/pages/home.aspx</w:t>
        </w:r>
      </w:hyperlink>
      <w:r w:rsidRPr="00BB6978">
        <w:rPr>
          <w:rFonts w:asciiTheme="majorBidi" w:hAnsiTheme="majorBidi" w:cstheme="majorBidi"/>
          <w:sz w:val="24"/>
          <w:szCs w:val="24"/>
        </w:rPr>
        <w:t xml:space="preserve"> </w:t>
      </w:r>
    </w:p>
    <w:p w14:paraId="5CA2A62C"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Ministry of Education, (2021). Quality Education in the UAE. Retrieved from, </w:t>
      </w:r>
      <w:hyperlink r:id="rId79" w:history="1">
        <w:r w:rsidRPr="00BB6978">
          <w:rPr>
            <w:rStyle w:val="Hyperlink"/>
            <w:rFonts w:asciiTheme="majorBidi" w:hAnsiTheme="majorBidi" w:cstheme="majorBidi"/>
            <w:color w:val="auto"/>
            <w:sz w:val="24"/>
            <w:szCs w:val="24"/>
          </w:rPr>
          <w:t>https://www.moe.gov.ae/En/AboutTheMinistry/Pages/QUALITYEDUCATION.aspx</w:t>
        </w:r>
      </w:hyperlink>
      <w:r w:rsidRPr="00BB6978">
        <w:rPr>
          <w:rFonts w:asciiTheme="majorBidi" w:hAnsiTheme="majorBidi" w:cstheme="majorBidi"/>
          <w:sz w:val="24"/>
          <w:szCs w:val="24"/>
        </w:rPr>
        <w:t xml:space="preserve"> </w:t>
      </w:r>
    </w:p>
    <w:p w14:paraId="5383B21F" w14:textId="77DC4C36" w:rsidR="00B53A42" w:rsidRPr="00BB6978" w:rsidRDefault="00B53A42" w:rsidP="00A44219">
      <w:pPr>
        <w:spacing w:line="480" w:lineRule="auto"/>
        <w:ind w:left="720" w:hanging="720"/>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Mitchell, D. E., &amp; Collom, E. (2001). The determinants of student achievement at the academy for Academic Excellence. CA: School of Education University of California.</w:t>
      </w:r>
    </w:p>
    <w:p w14:paraId="66CDC55E"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Monk, D.H. (1989). The education production function: Its evolving role in policy analysis. Educational Evaluation and Policy Analysis, H , 31-45.</w:t>
      </w:r>
    </w:p>
    <w:p w14:paraId="7F1989C0" w14:textId="77777777" w:rsidR="00FA39FA" w:rsidRPr="00BB6978" w:rsidRDefault="00FA39FA" w:rsidP="00B14D43">
      <w:pPr>
        <w:spacing w:line="480" w:lineRule="auto"/>
        <w:rPr>
          <w:rFonts w:asciiTheme="majorBidi" w:hAnsiTheme="majorBidi" w:cstheme="majorBidi"/>
          <w:lang w:val="en-US"/>
        </w:rPr>
      </w:pPr>
      <w:r w:rsidRPr="00BB6978">
        <w:rPr>
          <w:rFonts w:asciiTheme="majorBidi" w:hAnsiTheme="majorBidi" w:cstheme="majorBidi"/>
          <w:sz w:val="24"/>
          <w:szCs w:val="24"/>
        </w:rPr>
        <w:t>Morgan, H. (2018). Why do parents send their children to high-cost but low-ranking schools? Retrieved from</w:t>
      </w:r>
      <w:r w:rsidRPr="00BB6978">
        <w:rPr>
          <w:rFonts w:asciiTheme="majorBidi" w:hAnsiTheme="majorBidi" w:cstheme="majorBidi"/>
          <w:lang w:val="en-US"/>
        </w:rPr>
        <w:t xml:space="preserve"> </w:t>
      </w:r>
      <w:hyperlink r:id="rId80" w:history="1">
        <w:r w:rsidRPr="00BB6978">
          <w:rPr>
            <w:rStyle w:val="Hyperlink"/>
            <w:rFonts w:asciiTheme="majorBidi" w:hAnsiTheme="majorBidi" w:cstheme="majorBidi"/>
            <w:color w:val="auto"/>
            <w:sz w:val="24"/>
            <w:szCs w:val="24"/>
          </w:rPr>
          <w:t>https://www.theguardian.com/education/2018/jun/12/why-do-parents-send-their-children-to-high-cost-but-low-ranking-schools</w:t>
        </w:r>
      </w:hyperlink>
    </w:p>
    <w:p w14:paraId="11C68C74"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Mosteller, F. (1995). The Tennessee study of class size in the early school grades. The Future of Children, 5, 2, 113- 127.</w:t>
      </w:r>
    </w:p>
    <w:p w14:paraId="090701CE"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Moujaes, C., Hoteit, L. and Hiltunen, J., 2011. A Decade of Opportunity: The Coming Expansion of the Private-school Market in the GCC. Booz &amp; Company. Retrieved from: </w:t>
      </w:r>
      <w:hyperlink r:id="rId81" w:history="1">
        <w:r w:rsidRPr="00BB6978">
          <w:rPr>
            <w:rFonts w:asciiTheme="majorBidi" w:hAnsiTheme="majorBidi" w:cstheme="majorBidi"/>
            <w:sz w:val="24"/>
            <w:szCs w:val="24"/>
          </w:rPr>
          <w:t>http://www.strategyand.pwc.com/media/file/Strategyand-Private-School-Expansion-GCC</w:t>
        </w:r>
      </w:hyperlink>
    </w:p>
    <w:p w14:paraId="6CDCF022"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Mueller, C. W., &amp; Parcel, T. L. (1981). Measures of socioeconomic status: Alternatives and recommendations. </w:t>
      </w:r>
      <w:r w:rsidRPr="00BB6978">
        <w:rPr>
          <w:rFonts w:asciiTheme="majorBidi" w:hAnsiTheme="majorBidi" w:cstheme="majorBidi"/>
          <w:i/>
          <w:iCs/>
          <w:sz w:val="24"/>
          <w:szCs w:val="24"/>
        </w:rPr>
        <w:t>Child development</w:t>
      </w:r>
      <w:r w:rsidRPr="00BB6978">
        <w:rPr>
          <w:rFonts w:asciiTheme="majorBidi" w:hAnsiTheme="majorBidi" w:cstheme="majorBidi"/>
          <w:sz w:val="24"/>
          <w:szCs w:val="24"/>
        </w:rPr>
        <w:t>, 13-30.</w:t>
      </w:r>
      <w:r w:rsidRPr="00BB6978">
        <w:rPr>
          <w:rFonts w:asciiTheme="majorBidi" w:hAnsiTheme="majorBidi" w:cstheme="majorBidi"/>
          <w:sz w:val="24"/>
          <w:szCs w:val="24"/>
          <w:rtl/>
        </w:rPr>
        <w:t>‏</w:t>
      </w:r>
    </w:p>
    <w:p w14:paraId="72F5404F"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shd w:val="clear" w:color="auto" w:fill="FFFFFF"/>
        </w:rPr>
        <w:t>Mullis, I. V. S., Martin, M. O., Foy, P., Kelly, D. L., &amp; Fishbein, B. (2020). </w:t>
      </w:r>
      <w:r w:rsidRPr="00BB6978">
        <w:rPr>
          <w:rFonts w:asciiTheme="majorBidi" w:hAnsiTheme="majorBidi" w:cstheme="majorBidi"/>
          <w:i/>
          <w:iCs/>
          <w:sz w:val="24"/>
          <w:szCs w:val="24"/>
          <w:shd w:val="clear" w:color="auto" w:fill="FFFFFF"/>
        </w:rPr>
        <w:t>TIMSS 2019 International Results in Mathematics and Science.</w:t>
      </w:r>
      <w:r w:rsidRPr="00BB6978">
        <w:rPr>
          <w:rFonts w:asciiTheme="majorBidi" w:hAnsiTheme="majorBidi" w:cstheme="majorBidi"/>
          <w:sz w:val="24"/>
          <w:szCs w:val="24"/>
          <w:shd w:val="clear" w:color="auto" w:fill="FFFFFF"/>
        </w:rPr>
        <w:t> Retrieved from Boston College, TIMSS &amp; PIRLS International Study Center website: </w:t>
      </w:r>
      <w:hyperlink r:id="rId82" w:history="1">
        <w:r w:rsidRPr="00BB6978">
          <w:rPr>
            <w:rStyle w:val="Hyperlink"/>
            <w:rFonts w:asciiTheme="majorBidi" w:hAnsiTheme="majorBidi" w:cstheme="majorBidi"/>
            <w:color w:val="auto"/>
            <w:sz w:val="24"/>
            <w:szCs w:val="24"/>
            <w:shd w:val="clear" w:color="auto" w:fill="FFFFFF"/>
          </w:rPr>
          <w:t>https://timssandpirls.bc.edu/timss2019/international-results/</w:t>
        </w:r>
      </w:hyperlink>
    </w:p>
    <w:p w14:paraId="45B10F8F"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Muriel, A., &amp; Smith, J. (2011). On educational performance measures. </w:t>
      </w:r>
      <w:r w:rsidRPr="00BB6978">
        <w:rPr>
          <w:rFonts w:asciiTheme="majorBidi" w:hAnsiTheme="majorBidi" w:cstheme="majorBidi"/>
          <w:i/>
          <w:iCs/>
          <w:sz w:val="24"/>
          <w:szCs w:val="24"/>
        </w:rPr>
        <w:t>Fiscal Studies</w:t>
      </w:r>
      <w:r w:rsidRPr="00BB6978">
        <w:rPr>
          <w:rFonts w:asciiTheme="majorBidi" w:hAnsiTheme="majorBidi" w:cstheme="majorBidi"/>
          <w:sz w:val="24"/>
          <w:szCs w:val="24"/>
        </w:rPr>
        <w:t>, </w:t>
      </w:r>
      <w:r w:rsidRPr="00BB6978">
        <w:rPr>
          <w:rFonts w:asciiTheme="majorBidi" w:hAnsiTheme="majorBidi" w:cstheme="majorBidi"/>
          <w:i/>
          <w:iCs/>
          <w:sz w:val="24"/>
          <w:szCs w:val="24"/>
        </w:rPr>
        <w:t>32</w:t>
      </w:r>
      <w:r w:rsidRPr="00BB6978">
        <w:rPr>
          <w:rFonts w:asciiTheme="majorBidi" w:hAnsiTheme="majorBidi" w:cstheme="majorBidi"/>
          <w:sz w:val="24"/>
          <w:szCs w:val="24"/>
        </w:rPr>
        <w:t>(2), 187-206.</w:t>
      </w:r>
      <w:r w:rsidRPr="00BB6978">
        <w:rPr>
          <w:rFonts w:asciiTheme="majorBidi" w:hAnsiTheme="majorBidi" w:cstheme="majorBidi"/>
          <w:sz w:val="24"/>
          <w:szCs w:val="24"/>
          <w:rtl/>
        </w:rPr>
        <w:t>‏</w:t>
      </w:r>
    </w:p>
    <w:p w14:paraId="34AEBA57"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Murnane, R.J. (1975). The impact of school resources on the learning of inner city children. Cambridge, MA: Ballinger.</w:t>
      </w:r>
    </w:p>
    <w:p w14:paraId="2E2F69D5"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Murphy, S. (2018). School Location and Socio-Economic Status and Patterns of Participation and Achievement in Year 12 Enabling Mathematics. </w:t>
      </w:r>
      <w:r w:rsidRPr="00BB6978">
        <w:rPr>
          <w:rFonts w:asciiTheme="majorBidi" w:hAnsiTheme="majorBidi" w:cstheme="majorBidi"/>
          <w:i/>
          <w:iCs/>
          <w:sz w:val="24"/>
          <w:szCs w:val="24"/>
        </w:rPr>
        <w:t>Mathematics Education Research Group of Australasia</w:t>
      </w:r>
      <w:r w:rsidRPr="00BB6978">
        <w:rPr>
          <w:rFonts w:asciiTheme="majorBidi" w:hAnsiTheme="majorBidi" w:cstheme="majorBidi"/>
          <w:sz w:val="24"/>
          <w:szCs w:val="24"/>
        </w:rPr>
        <w:t>.</w:t>
      </w:r>
      <w:r w:rsidRPr="00BB6978">
        <w:rPr>
          <w:rFonts w:asciiTheme="majorBidi" w:hAnsiTheme="majorBidi" w:cstheme="majorBidi"/>
          <w:sz w:val="24"/>
          <w:szCs w:val="24"/>
          <w:rtl/>
        </w:rPr>
        <w:t>‏</w:t>
      </w:r>
    </w:p>
    <w:p w14:paraId="3523586B" w14:textId="59649AA4" w:rsidR="00B53A42" w:rsidRPr="00BB6978" w:rsidRDefault="00B53A42" w:rsidP="00A44219">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Namoun, A., &amp; Alshanqiti, A. (2020). Predicting student performance using data mining and learning analytics techniques: A systematic literature review. </w:t>
      </w:r>
      <w:r w:rsidRPr="00BB6978">
        <w:rPr>
          <w:rFonts w:asciiTheme="majorBidi" w:hAnsiTheme="majorBidi" w:cstheme="majorBidi"/>
          <w:i/>
          <w:iCs/>
          <w:sz w:val="24"/>
          <w:szCs w:val="24"/>
        </w:rPr>
        <w:t>Applied Sciences</w:t>
      </w:r>
      <w:r w:rsidRPr="00BB6978">
        <w:rPr>
          <w:rFonts w:asciiTheme="majorBidi" w:hAnsiTheme="majorBidi" w:cstheme="majorBidi"/>
          <w:sz w:val="24"/>
          <w:szCs w:val="24"/>
        </w:rPr>
        <w:t>, </w:t>
      </w:r>
      <w:r w:rsidRPr="00BB6978">
        <w:rPr>
          <w:rFonts w:asciiTheme="majorBidi" w:hAnsiTheme="majorBidi" w:cstheme="majorBidi"/>
          <w:i/>
          <w:iCs/>
          <w:sz w:val="24"/>
          <w:szCs w:val="24"/>
        </w:rPr>
        <w:t>11</w:t>
      </w:r>
      <w:r w:rsidRPr="00BB6978">
        <w:rPr>
          <w:rFonts w:asciiTheme="majorBidi" w:hAnsiTheme="majorBidi" w:cstheme="majorBidi"/>
          <w:sz w:val="24"/>
          <w:szCs w:val="24"/>
        </w:rPr>
        <w:t>(1), 237.</w:t>
      </w:r>
      <w:r w:rsidRPr="00BB6978">
        <w:rPr>
          <w:rFonts w:asciiTheme="majorBidi" w:hAnsiTheme="majorBidi" w:cstheme="majorBidi"/>
          <w:sz w:val="24"/>
          <w:szCs w:val="24"/>
          <w:rtl/>
        </w:rPr>
        <w:t>‏</w:t>
      </w:r>
    </w:p>
    <w:p w14:paraId="6BFBDC21"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Nazzal, N., 2013. Parents question why school fees are so high. Retrieved from: </w:t>
      </w:r>
      <w:hyperlink r:id="rId83" w:history="1">
        <w:r w:rsidRPr="00BB6978">
          <w:rPr>
            <w:rFonts w:asciiTheme="majorBidi" w:hAnsiTheme="majorBidi" w:cstheme="majorBidi"/>
            <w:sz w:val="24"/>
            <w:szCs w:val="24"/>
          </w:rPr>
          <w:t>http://gulfnews.com/news/uae/education/parents-question-why-school-fees-are-so-high-1.122498</w:t>
        </w:r>
      </w:hyperlink>
    </w:p>
    <w:p w14:paraId="3838D054"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Neilson, C. A., &amp; Zimmerman, S. D. (2014). The effect of school construction on test scores, school enrollment, and home prices. </w:t>
      </w:r>
      <w:r w:rsidRPr="00BB6978">
        <w:rPr>
          <w:rFonts w:asciiTheme="majorBidi" w:hAnsiTheme="majorBidi" w:cstheme="majorBidi"/>
          <w:i/>
          <w:iCs/>
          <w:sz w:val="24"/>
          <w:szCs w:val="24"/>
        </w:rPr>
        <w:t>Journal of Public Economics</w:t>
      </w:r>
      <w:r w:rsidRPr="00BB6978">
        <w:rPr>
          <w:rFonts w:asciiTheme="majorBidi" w:hAnsiTheme="majorBidi" w:cstheme="majorBidi"/>
          <w:sz w:val="24"/>
          <w:szCs w:val="24"/>
        </w:rPr>
        <w:t>, </w:t>
      </w:r>
      <w:r w:rsidRPr="00BB6978">
        <w:rPr>
          <w:rFonts w:asciiTheme="majorBidi" w:hAnsiTheme="majorBidi" w:cstheme="majorBidi"/>
          <w:i/>
          <w:iCs/>
          <w:sz w:val="24"/>
          <w:szCs w:val="24"/>
        </w:rPr>
        <w:t>120</w:t>
      </w:r>
      <w:r w:rsidRPr="00BB6978">
        <w:rPr>
          <w:rFonts w:asciiTheme="majorBidi" w:hAnsiTheme="majorBidi" w:cstheme="majorBidi"/>
          <w:sz w:val="24"/>
          <w:szCs w:val="24"/>
        </w:rPr>
        <w:t>, 18-31.</w:t>
      </w:r>
      <w:r w:rsidRPr="00BB6978">
        <w:rPr>
          <w:rFonts w:asciiTheme="majorBidi" w:hAnsiTheme="majorBidi" w:cstheme="majorBidi"/>
          <w:sz w:val="24"/>
          <w:szCs w:val="24"/>
          <w:rtl/>
        </w:rPr>
        <w:t>‏</w:t>
      </w:r>
    </w:p>
    <w:p w14:paraId="769D078B" w14:textId="77777777" w:rsidR="00676834" w:rsidRPr="00BB6978" w:rsidRDefault="00676834" w:rsidP="00B14D43">
      <w:pPr>
        <w:spacing w:before="240" w:after="200" w:line="480" w:lineRule="auto"/>
        <w:ind w:left="709" w:hanging="709"/>
        <w:rPr>
          <w:rFonts w:asciiTheme="majorBidi" w:eastAsia="Times New Roman" w:hAnsiTheme="majorBidi" w:cstheme="majorBidi"/>
          <w:sz w:val="24"/>
          <w:szCs w:val="24"/>
        </w:rPr>
      </w:pPr>
      <w:r w:rsidRPr="00BB6978">
        <w:rPr>
          <w:rFonts w:asciiTheme="majorBidi" w:hAnsiTheme="majorBidi" w:cstheme="majorBidi"/>
          <w:sz w:val="24"/>
          <w:szCs w:val="24"/>
          <w:shd w:val="clear" w:color="auto" w:fill="FFFFFF"/>
        </w:rPr>
        <w:t>Ngware, M. W., Oketch, M., &amp; Ezeh, A. C. (2011). Quality of primary education inputs in urban schools: Evidence from Nairobi. </w:t>
      </w:r>
      <w:r w:rsidRPr="00BB6978">
        <w:rPr>
          <w:rFonts w:asciiTheme="majorBidi" w:hAnsiTheme="majorBidi" w:cstheme="majorBidi"/>
          <w:i/>
          <w:iCs/>
          <w:sz w:val="24"/>
          <w:szCs w:val="24"/>
          <w:shd w:val="clear" w:color="auto" w:fill="FFFFFF"/>
        </w:rPr>
        <w:t>Education and Urban Society</w:t>
      </w:r>
      <w:r w:rsidRPr="00BB6978">
        <w:rPr>
          <w:rFonts w:asciiTheme="majorBidi" w:hAnsiTheme="majorBidi" w:cstheme="majorBidi"/>
          <w:sz w:val="24"/>
          <w:szCs w:val="24"/>
          <w:shd w:val="clear" w:color="auto" w:fill="FFFFFF"/>
        </w:rPr>
        <w:t>, </w:t>
      </w:r>
      <w:r w:rsidRPr="00BB6978">
        <w:rPr>
          <w:rFonts w:asciiTheme="majorBidi" w:hAnsiTheme="majorBidi" w:cstheme="majorBidi"/>
          <w:i/>
          <w:iCs/>
          <w:sz w:val="24"/>
          <w:szCs w:val="24"/>
          <w:shd w:val="clear" w:color="auto" w:fill="FFFFFF"/>
        </w:rPr>
        <w:t>43</w:t>
      </w:r>
      <w:r w:rsidRPr="00BB6978">
        <w:rPr>
          <w:rFonts w:asciiTheme="majorBidi" w:hAnsiTheme="majorBidi" w:cstheme="majorBidi"/>
          <w:sz w:val="24"/>
          <w:szCs w:val="24"/>
          <w:shd w:val="clear" w:color="auto" w:fill="FFFFFF"/>
        </w:rPr>
        <w:t>(1), 91-116.</w:t>
      </w:r>
    </w:p>
    <w:p w14:paraId="01376852" w14:textId="77777777" w:rsidR="00676834" w:rsidRPr="00BB6978" w:rsidRDefault="00676834" w:rsidP="00B14D43">
      <w:pPr>
        <w:spacing w:before="240" w:after="200" w:line="480" w:lineRule="auto"/>
        <w:ind w:left="709" w:hanging="709"/>
        <w:rPr>
          <w:rFonts w:asciiTheme="majorBidi" w:eastAsia="Times New Roman" w:hAnsiTheme="majorBidi" w:cstheme="majorBidi"/>
          <w:sz w:val="24"/>
          <w:szCs w:val="24"/>
        </w:rPr>
      </w:pPr>
      <w:r w:rsidRPr="00BB6978">
        <w:rPr>
          <w:rFonts w:asciiTheme="majorBidi" w:hAnsiTheme="majorBidi" w:cstheme="majorBidi"/>
          <w:sz w:val="24"/>
          <w:szCs w:val="24"/>
        </w:rPr>
        <w:t xml:space="preserve">Nishimura, M., &amp; Yamano, T. (2013). Emerging private education in Africa: Determinants of school choice in rural Kenya. </w:t>
      </w:r>
      <w:r w:rsidRPr="00BB6978">
        <w:rPr>
          <w:rFonts w:asciiTheme="majorBidi" w:hAnsiTheme="majorBidi" w:cstheme="majorBidi"/>
          <w:i/>
          <w:iCs/>
          <w:sz w:val="24"/>
          <w:szCs w:val="24"/>
        </w:rPr>
        <w:t>World Development, 43</w:t>
      </w:r>
      <w:r w:rsidRPr="00BB6978">
        <w:rPr>
          <w:rFonts w:asciiTheme="majorBidi" w:hAnsiTheme="majorBidi" w:cstheme="majorBidi"/>
          <w:sz w:val="24"/>
          <w:szCs w:val="24"/>
        </w:rPr>
        <w:t>, 266–275.</w:t>
      </w:r>
    </w:p>
    <w:p w14:paraId="45A9B8FA"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NISHIMURA, M., AND T. YAMANO (2013): “Emerging Private Education in Africa: Determinants of School Choice in Rural Kenya,” World Development, 43(0), 266 – 275.</w:t>
      </w:r>
    </w:p>
    <w:p w14:paraId="6A7623D2" w14:textId="77777777" w:rsidR="00B53A42" w:rsidRPr="00BB6978" w:rsidRDefault="00B53A42" w:rsidP="00B14D43">
      <w:pPr>
        <w:spacing w:line="480" w:lineRule="auto"/>
        <w:ind w:left="720" w:hanging="720"/>
        <w:rPr>
          <w:rFonts w:asciiTheme="majorBidi" w:hAnsiTheme="majorBidi" w:cstheme="majorBidi"/>
          <w:sz w:val="24"/>
          <w:szCs w:val="24"/>
        </w:rPr>
      </w:pPr>
    </w:p>
    <w:p w14:paraId="1B2A2897"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Noel, J. 2018. What Is SPSS and Its Importance in Research &amp; Data Analysis? Retrieved from </w:t>
      </w:r>
      <w:hyperlink r:id="rId84" w:history="1">
        <w:r w:rsidRPr="00BB6978">
          <w:rPr>
            <w:rFonts w:asciiTheme="majorBidi" w:hAnsiTheme="majorBidi" w:cstheme="majorBidi"/>
            <w:sz w:val="24"/>
            <w:szCs w:val="24"/>
          </w:rPr>
          <w:t>https://johnnoels.medium.com/what-is-spss-and-its-importance-in-research-data-analysis-5f109ab90da1</w:t>
        </w:r>
      </w:hyperlink>
    </w:p>
    <w:p w14:paraId="3B63D8A9"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Nordenbo, S. E., Holm, A., Elstad, E., Scheerens, J., Larsen, M. S., Uljens, M., ... &amp; Hauge, T. E. (2010). Input, Process, and Learning in primary and lower secondary schools: A systematic review carried out for The Nordic Indicator Workgroup (DNI). </w:t>
      </w:r>
      <w:r w:rsidRPr="00BB6978">
        <w:rPr>
          <w:rFonts w:asciiTheme="majorBidi" w:hAnsiTheme="majorBidi" w:cstheme="majorBidi"/>
          <w:i/>
          <w:iCs/>
          <w:sz w:val="24"/>
          <w:szCs w:val="24"/>
        </w:rPr>
        <w:t>Clearinghouse–Research Series</w:t>
      </w:r>
      <w:r w:rsidRPr="00BB6978">
        <w:rPr>
          <w:rFonts w:asciiTheme="majorBidi" w:hAnsiTheme="majorBidi" w:cstheme="majorBidi"/>
          <w:sz w:val="24"/>
          <w:szCs w:val="24"/>
        </w:rPr>
        <w:t>, </w:t>
      </w:r>
      <w:r w:rsidRPr="00BB6978">
        <w:rPr>
          <w:rFonts w:asciiTheme="majorBidi" w:hAnsiTheme="majorBidi" w:cstheme="majorBidi"/>
          <w:i/>
          <w:iCs/>
          <w:sz w:val="24"/>
          <w:szCs w:val="24"/>
        </w:rPr>
        <w:t>2010</w:t>
      </w:r>
      <w:r w:rsidRPr="00BB6978">
        <w:rPr>
          <w:rFonts w:asciiTheme="majorBidi" w:hAnsiTheme="majorBidi" w:cstheme="majorBidi"/>
          <w:sz w:val="24"/>
          <w:szCs w:val="24"/>
        </w:rPr>
        <w:t>(2010-06).</w:t>
      </w:r>
      <w:r w:rsidRPr="00BB6978">
        <w:rPr>
          <w:rFonts w:asciiTheme="majorBidi" w:hAnsiTheme="majorBidi" w:cstheme="majorBidi"/>
          <w:sz w:val="24"/>
          <w:szCs w:val="24"/>
          <w:rtl/>
        </w:rPr>
        <w:t>‏</w:t>
      </w:r>
    </w:p>
    <w:p w14:paraId="007BA0E4" w14:textId="77777777" w:rsidR="00676834" w:rsidRPr="00BB6978" w:rsidRDefault="00676834" w:rsidP="00B14D43">
      <w:pPr>
        <w:spacing w:before="240" w:after="200" w:line="480" w:lineRule="auto"/>
        <w:ind w:left="709" w:hanging="709"/>
        <w:rPr>
          <w:rFonts w:asciiTheme="majorBidi" w:eastAsia="Times New Roman" w:hAnsiTheme="majorBidi" w:cstheme="majorBidi"/>
          <w:sz w:val="24"/>
          <w:szCs w:val="24"/>
        </w:rPr>
      </w:pPr>
      <w:r w:rsidRPr="00BB6978">
        <w:rPr>
          <w:rFonts w:asciiTheme="majorBidi" w:eastAsia="Times New Roman" w:hAnsiTheme="majorBidi" w:cstheme="majorBidi"/>
          <w:sz w:val="24"/>
          <w:szCs w:val="24"/>
        </w:rPr>
        <w:t xml:space="preserve">Obeidat, B. Y., Al-Suradi, M. M., Masa’deh, R. E., &amp; Tarhini, A. (2016). The impact of knowledgement on innovation: An emprical study on Jordanian consultancy firms. </w:t>
      </w:r>
      <w:r w:rsidRPr="00BB6978">
        <w:rPr>
          <w:rFonts w:asciiTheme="majorBidi" w:eastAsia="Times New Roman" w:hAnsiTheme="majorBidi" w:cstheme="majorBidi"/>
          <w:i/>
          <w:iCs/>
          <w:sz w:val="24"/>
          <w:szCs w:val="24"/>
        </w:rPr>
        <w:t>Management Research Review, 39</w:t>
      </w:r>
      <w:r w:rsidRPr="00BB6978">
        <w:rPr>
          <w:rFonts w:asciiTheme="majorBidi" w:eastAsia="Times New Roman" w:hAnsiTheme="majorBidi" w:cstheme="majorBidi"/>
          <w:sz w:val="24"/>
          <w:szCs w:val="24"/>
        </w:rPr>
        <w:t>(10), 1214-1238.</w:t>
      </w:r>
    </w:p>
    <w:p w14:paraId="21D807F9" w14:textId="5263237F"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OECD (2019). Programme for international student assessment (PISA) Results from PISA, 2018. Country note, United Arab Emirates. Retrieved from </w:t>
      </w:r>
      <w:hyperlink r:id="rId85" w:history="1">
        <w:r w:rsidR="00B53A42" w:rsidRPr="00BB6978">
          <w:rPr>
            <w:rStyle w:val="Hyperlink"/>
            <w:rFonts w:asciiTheme="majorBidi" w:hAnsiTheme="majorBidi" w:cstheme="majorBidi"/>
            <w:color w:val="auto"/>
            <w:sz w:val="24"/>
            <w:szCs w:val="24"/>
          </w:rPr>
          <w:t>https://www.oecd.org/pisa/publications/PISA2018_CN_ARE.pdf</w:t>
        </w:r>
      </w:hyperlink>
    </w:p>
    <w:p w14:paraId="77B69753"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O'leary, Z. (2017). The essential guide to doing your research project. Sage.</w:t>
      </w:r>
      <w:r w:rsidRPr="00BB6978">
        <w:rPr>
          <w:rFonts w:asciiTheme="majorBidi" w:hAnsiTheme="majorBidi" w:cstheme="majorBidi"/>
          <w:sz w:val="24"/>
          <w:szCs w:val="24"/>
          <w:rtl/>
        </w:rPr>
        <w:t>‏</w:t>
      </w:r>
    </w:p>
    <w:p w14:paraId="480CA7ED" w14:textId="77777777" w:rsidR="00B53A42" w:rsidRPr="00BB6978" w:rsidRDefault="00B53A42" w:rsidP="00B14D43">
      <w:pPr>
        <w:spacing w:line="480" w:lineRule="auto"/>
        <w:ind w:left="720" w:hanging="720"/>
        <w:rPr>
          <w:rFonts w:asciiTheme="majorBidi" w:hAnsiTheme="majorBidi" w:cstheme="majorBidi"/>
          <w:sz w:val="24"/>
          <w:szCs w:val="24"/>
          <w:shd w:val="clear" w:color="auto" w:fill="FFFFFF"/>
        </w:rPr>
      </w:pPr>
      <w:bookmarkStart w:id="245" w:name="_Hlk138080017"/>
      <w:r w:rsidRPr="00BB6978">
        <w:rPr>
          <w:rFonts w:asciiTheme="majorBidi" w:hAnsiTheme="majorBidi" w:cstheme="majorBidi"/>
          <w:sz w:val="24"/>
          <w:szCs w:val="24"/>
          <w:shd w:val="clear" w:color="auto" w:fill="FFFFFF"/>
        </w:rPr>
        <w:t>O’Sullivan, K. (2015</w:t>
      </w:r>
      <w:bookmarkEnd w:id="245"/>
      <w:r w:rsidRPr="00BB6978">
        <w:rPr>
          <w:rFonts w:asciiTheme="majorBidi" w:hAnsiTheme="majorBidi" w:cstheme="majorBidi"/>
          <w:sz w:val="24"/>
          <w:szCs w:val="24"/>
          <w:shd w:val="clear" w:color="auto" w:fill="FFFFFF"/>
        </w:rPr>
        <w:t>). Education reform in the UAE–Bringing private schools into the fold. </w:t>
      </w:r>
      <w:r w:rsidRPr="00BB6978">
        <w:rPr>
          <w:rFonts w:asciiTheme="majorBidi" w:hAnsiTheme="majorBidi" w:cstheme="majorBidi"/>
          <w:i/>
          <w:iCs/>
          <w:sz w:val="24"/>
          <w:szCs w:val="24"/>
          <w:shd w:val="clear" w:color="auto" w:fill="FFFFFF"/>
        </w:rPr>
        <w:t>Journal of Teaching and Education</w:t>
      </w:r>
      <w:r w:rsidRPr="00BB6978">
        <w:rPr>
          <w:rFonts w:asciiTheme="majorBidi" w:hAnsiTheme="majorBidi" w:cstheme="majorBidi"/>
          <w:sz w:val="24"/>
          <w:szCs w:val="24"/>
          <w:shd w:val="clear" w:color="auto" w:fill="FFFFFF"/>
        </w:rPr>
        <w:t>, </w:t>
      </w:r>
      <w:r w:rsidRPr="00BB6978">
        <w:rPr>
          <w:rFonts w:asciiTheme="majorBidi" w:hAnsiTheme="majorBidi" w:cstheme="majorBidi"/>
          <w:i/>
          <w:iCs/>
          <w:sz w:val="24"/>
          <w:szCs w:val="24"/>
          <w:shd w:val="clear" w:color="auto" w:fill="FFFFFF"/>
        </w:rPr>
        <w:t>4</w:t>
      </w:r>
      <w:r w:rsidRPr="00BB6978">
        <w:rPr>
          <w:rFonts w:asciiTheme="majorBidi" w:hAnsiTheme="majorBidi" w:cstheme="majorBidi"/>
          <w:sz w:val="24"/>
          <w:szCs w:val="24"/>
          <w:shd w:val="clear" w:color="auto" w:fill="FFFFFF"/>
        </w:rPr>
        <w:t>(01), 311-320.</w:t>
      </w:r>
    </w:p>
    <w:p w14:paraId="2641DECA" w14:textId="77777777" w:rsidR="00B53A42" w:rsidRPr="00BB6978" w:rsidRDefault="00B53A42" w:rsidP="00B14D43">
      <w:pPr>
        <w:spacing w:line="480" w:lineRule="auto"/>
        <w:ind w:left="720" w:hanging="720"/>
        <w:rPr>
          <w:rFonts w:asciiTheme="majorBidi" w:hAnsiTheme="majorBidi" w:cstheme="majorBidi"/>
          <w:sz w:val="24"/>
          <w:szCs w:val="24"/>
        </w:rPr>
      </w:pPr>
    </w:p>
    <w:p w14:paraId="32D83584"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pacing w:val="-5"/>
          <w:sz w:val="24"/>
          <w:szCs w:val="24"/>
        </w:rPr>
        <w:t xml:space="preserve">Organisation for Economic Co-operation and Development (OECD). (2018). School: The story so far. Retrieved from </w:t>
      </w:r>
      <w:hyperlink r:id="rId86" w:history="1">
        <w:r w:rsidRPr="00BB6978">
          <w:rPr>
            <w:rStyle w:val="Hyperlink"/>
            <w:rFonts w:asciiTheme="majorBidi" w:hAnsiTheme="majorBidi" w:cstheme="majorBidi"/>
            <w:color w:val="auto"/>
            <w:sz w:val="24"/>
            <w:szCs w:val="24"/>
          </w:rPr>
          <w:t>Equity and Quality in Education (oecd.org)</w:t>
        </w:r>
      </w:hyperlink>
    </w:p>
    <w:p w14:paraId="2B89C978"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Othman, R., &amp; Abd Rauf, F. (2009). Implementing school performance index (SPIn) in Malaysian primary schools. </w:t>
      </w:r>
      <w:r w:rsidRPr="00BB6978">
        <w:rPr>
          <w:rFonts w:asciiTheme="majorBidi" w:hAnsiTheme="majorBidi" w:cstheme="majorBidi"/>
          <w:i/>
          <w:iCs/>
          <w:sz w:val="24"/>
          <w:szCs w:val="24"/>
        </w:rPr>
        <w:t>International Journal of Educational Management</w:t>
      </w:r>
      <w:r w:rsidRPr="00BB6978">
        <w:rPr>
          <w:rFonts w:asciiTheme="majorBidi" w:hAnsiTheme="majorBidi" w:cstheme="majorBidi"/>
          <w:sz w:val="24"/>
          <w:szCs w:val="24"/>
        </w:rPr>
        <w:t>.</w:t>
      </w:r>
      <w:r w:rsidRPr="00BB6978">
        <w:rPr>
          <w:rFonts w:asciiTheme="majorBidi" w:hAnsiTheme="majorBidi" w:cstheme="majorBidi"/>
          <w:sz w:val="24"/>
          <w:szCs w:val="24"/>
          <w:rtl/>
        </w:rPr>
        <w:t>‏</w:t>
      </w:r>
    </w:p>
    <w:p w14:paraId="6002C321"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Ouda, J. B., Opiyo, R. A., &amp; Wambiya, P. (2015). Quality Education for the Pastoralist in Public Primary Schools in Kajiado County, Kenya: Case Study of Dupoto-E-Maa Education Project in Kajiado Central District. </w:t>
      </w:r>
      <w:r w:rsidRPr="00BB6978">
        <w:rPr>
          <w:rFonts w:asciiTheme="majorBidi" w:hAnsiTheme="majorBidi" w:cstheme="majorBidi"/>
          <w:i/>
          <w:iCs/>
          <w:sz w:val="24"/>
          <w:szCs w:val="24"/>
        </w:rPr>
        <w:t>Journal of Education and Practice</w:t>
      </w:r>
      <w:r w:rsidRPr="00BB6978">
        <w:rPr>
          <w:rFonts w:asciiTheme="majorBidi" w:hAnsiTheme="majorBidi" w:cstheme="majorBidi"/>
          <w:sz w:val="24"/>
          <w:szCs w:val="24"/>
        </w:rPr>
        <w:t>, </w:t>
      </w:r>
      <w:r w:rsidRPr="00BB6978">
        <w:rPr>
          <w:rFonts w:asciiTheme="majorBidi" w:hAnsiTheme="majorBidi" w:cstheme="majorBidi"/>
          <w:i/>
          <w:iCs/>
          <w:sz w:val="24"/>
          <w:szCs w:val="24"/>
        </w:rPr>
        <w:t>6</w:t>
      </w:r>
      <w:r w:rsidRPr="00BB6978">
        <w:rPr>
          <w:rFonts w:asciiTheme="majorBidi" w:hAnsiTheme="majorBidi" w:cstheme="majorBidi"/>
          <w:sz w:val="24"/>
          <w:szCs w:val="24"/>
        </w:rPr>
        <w:t>(34), 45-53.</w:t>
      </w:r>
      <w:r w:rsidRPr="00BB6978">
        <w:rPr>
          <w:rFonts w:asciiTheme="majorBidi" w:hAnsiTheme="majorBidi" w:cstheme="majorBidi"/>
          <w:sz w:val="24"/>
          <w:szCs w:val="24"/>
          <w:rtl/>
        </w:rPr>
        <w:t>‏</w:t>
      </w:r>
    </w:p>
    <w:p w14:paraId="2718EC63" w14:textId="77777777" w:rsidR="00B53A42" w:rsidRPr="00BB6978" w:rsidRDefault="00B53A42" w:rsidP="00B14D43">
      <w:pPr>
        <w:spacing w:line="480" w:lineRule="auto"/>
        <w:ind w:left="720" w:hanging="720"/>
        <w:rPr>
          <w:rFonts w:asciiTheme="majorBidi" w:hAnsiTheme="majorBidi" w:cstheme="majorBidi"/>
          <w:sz w:val="24"/>
          <w:szCs w:val="24"/>
          <w:shd w:val="clear" w:color="auto" w:fill="FFFFFF"/>
        </w:rPr>
      </w:pPr>
      <w:bookmarkStart w:id="246" w:name="_Hlk138081578"/>
      <w:r w:rsidRPr="00BB6978">
        <w:rPr>
          <w:rFonts w:asciiTheme="majorBidi" w:hAnsiTheme="majorBidi" w:cstheme="majorBidi"/>
          <w:sz w:val="24"/>
          <w:szCs w:val="24"/>
          <w:shd w:val="clear" w:color="auto" w:fill="FFFFFF"/>
        </w:rPr>
        <w:t>Parcero, O. J., &amp; Ryan, J. C. (2017</w:t>
      </w:r>
      <w:bookmarkEnd w:id="246"/>
      <w:r w:rsidRPr="00BB6978">
        <w:rPr>
          <w:rFonts w:asciiTheme="majorBidi" w:hAnsiTheme="majorBidi" w:cstheme="majorBidi"/>
          <w:sz w:val="24"/>
          <w:szCs w:val="24"/>
          <w:shd w:val="clear" w:color="auto" w:fill="FFFFFF"/>
        </w:rPr>
        <w:t>). Becoming a knowledge economy: the case of Qatar, UAE, and 17 benchmark countries. </w:t>
      </w:r>
      <w:r w:rsidRPr="00BB6978">
        <w:rPr>
          <w:rFonts w:asciiTheme="majorBidi" w:hAnsiTheme="majorBidi" w:cstheme="majorBidi"/>
          <w:i/>
          <w:iCs/>
          <w:sz w:val="24"/>
          <w:szCs w:val="24"/>
          <w:shd w:val="clear" w:color="auto" w:fill="FFFFFF"/>
        </w:rPr>
        <w:t>Journal of the knowledge economy</w:t>
      </w:r>
      <w:r w:rsidRPr="00BB6978">
        <w:rPr>
          <w:rFonts w:asciiTheme="majorBidi" w:hAnsiTheme="majorBidi" w:cstheme="majorBidi"/>
          <w:sz w:val="24"/>
          <w:szCs w:val="24"/>
          <w:shd w:val="clear" w:color="auto" w:fill="FFFFFF"/>
        </w:rPr>
        <w:t>, </w:t>
      </w:r>
      <w:r w:rsidRPr="00BB6978">
        <w:rPr>
          <w:rFonts w:asciiTheme="majorBidi" w:hAnsiTheme="majorBidi" w:cstheme="majorBidi"/>
          <w:i/>
          <w:iCs/>
          <w:sz w:val="24"/>
          <w:szCs w:val="24"/>
          <w:shd w:val="clear" w:color="auto" w:fill="FFFFFF"/>
        </w:rPr>
        <w:t>8</w:t>
      </w:r>
      <w:r w:rsidRPr="00BB6978">
        <w:rPr>
          <w:rFonts w:asciiTheme="majorBidi" w:hAnsiTheme="majorBidi" w:cstheme="majorBidi"/>
          <w:sz w:val="24"/>
          <w:szCs w:val="24"/>
          <w:shd w:val="clear" w:color="auto" w:fill="FFFFFF"/>
        </w:rPr>
        <w:t>, 1146-1173.</w:t>
      </w:r>
    </w:p>
    <w:p w14:paraId="786ED477" w14:textId="17EFD835" w:rsidR="00B53A42" w:rsidRPr="00BB6978" w:rsidRDefault="00B53A42" w:rsidP="00B14D43">
      <w:pPr>
        <w:spacing w:line="480" w:lineRule="auto"/>
        <w:ind w:left="720" w:hanging="720"/>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Parelius, R. J., &amp; Parelius, A. N. (1987). Sociology of education. USA: Prentice Hall International.</w:t>
      </w:r>
    </w:p>
    <w:p w14:paraId="6504AE37" w14:textId="77777777" w:rsidR="00676834" w:rsidRPr="00BB6978" w:rsidRDefault="00676834" w:rsidP="00B14D43">
      <w:pPr>
        <w:spacing w:before="240" w:after="200" w:line="480" w:lineRule="auto"/>
        <w:ind w:left="709" w:hanging="709"/>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 xml:space="preserve">Parji, F., &amp; Prasetya, A. (2020). Community participation in developing educational quality for primary school in Madiun City. </w:t>
      </w:r>
      <w:r w:rsidRPr="00BB6978">
        <w:rPr>
          <w:rFonts w:asciiTheme="majorBidi" w:hAnsiTheme="majorBidi" w:cstheme="majorBidi"/>
          <w:i/>
          <w:iCs/>
          <w:sz w:val="24"/>
          <w:szCs w:val="24"/>
          <w:shd w:val="clear" w:color="auto" w:fill="FFFFFF"/>
        </w:rPr>
        <w:t>Utopía y praxis latinoamericana: revista internacional de filosofía iberoamericana y teoría social,</w:t>
      </w:r>
      <w:r w:rsidRPr="00BB6978">
        <w:rPr>
          <w:rFonts w:asciiTheme="majorBidi" w:hAnsiTheme="majorBidi" w:cstheme="majorBidi"/>
          <w:sz w:val="24"/>
          <w:szCs w:val="24"/>
          <w:shd w:val="clear" w:color="auto" w:fill="FFFFFF"/>
        </w:rPr>
        <w:t xml:space="preserve"> (6), 189-196.</w:t>
      </w:r>
    </w:p>
    <w:p w14:paraId="41F50B7E" w14:textId="77777777" w:rsidR="00B53A42" w:rsidRPr="00BB6978" w:rsidRDefault="00B53A42"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Penuel, W. R., Riedy, R., Barber, M. S., Peurach, D. J., LeBouef, W. A., &amp; Clark, T. (2020). Principles of collaborative education research with stakeholders: Toward requirements for a new research and development infrastructure. </w:t>
      </w:r>
      <w:r w:rsidRPr="00BB6978">
        <w:rPr>
          <w:rFonts w:asciiTheme="majorBidi" w:hAnsiTheme="majorBidi" w:cstheme="majorBidi"/>
          <w:i/>
          <w:iCs/>
          <w:sz w:val="24"/>
          <w:szCs w:val="24"/>
        </w:rPr>
        <w:t>Review of Educational Research</w:t>
      </w:r>
      <w:r w:rsidRPr="00BB6978">
        <w:rPr>
          <w:rFonts w:asciiTheme="majorBidi" w:hAnsiTheme="majorBidi" w:cstheme="majorBidi"/>
          <w:sz w:val="24"/>
          <w:szCs w:val="24"/>
        </w:rPr>
        <w:t>, </w:t>
      </w:r>
      <w:r w:rsidRPr="00BB6978">
        <w:rPr>
          <w:rFonts w:asciiTheme="majorBidi" w:hAnsiTheme="majorBidi" w:cstheme="majorBidi"/>
          <w:i/>
          <w:iCs/>
          <w:sz w:val="24"/>
          <w:szCs w:val="24"/>
        </w:rPr>
        <w:t>90</w:t>
      </w:r>
      <w:r w:rsidRPr="00BB6978">
        <w:rPr>
          <w:rFonts w:asciiTheme="majorBidi" w:hAnsiTheme="majorBidi" w:cstheme="majorBidi"/>
          <w:sz w:val="24"/>
          <w:szCs w:val="24"/>
        </w:rPr>
        <w:t>(5), 627-674.</w:t>
      </w:r>
      <w:r w:rsidRPr="00BB6978">
        <w:rPr>
          <w:rFonts w:asciiTheme="majorBidi" w:hAnsiTheme="majorBidi" w:cstheme="majorBidi"/>
          <w:sz w:val="24"/>
          <w:szCs w:val="24"/>
          <w:rtl/>
        </w:rPr>
        <w:t>‏</w:t>
      </w:r>
    </w:p>
    <w:p w14:paraId="7F9C5D07" w14:textId="77777777" w:rsidR="00676834" w:rsidRPr="00BB6978" w:rsidRDefault="00676834" w:rsidP="00B14D43">
      <w:pPr>
        <w:spacing w:line="480" w:lineRule="auto"/>
        <w:ind w:left="567" w:hanging="567"/>
        <w:jc w:val="both"/>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Perry, L., &amp; McConney, A. (2010). School socio-economic composition and student outcomes in Australia: Implications for educational policy. </w:t>
      </w:r>
      <w:r w:rsidRPr="00BB6978">
        <w:rPr>
          <w:rFonts w:asciiTheme="majorBidi" w:hAnsiTheme="majorBidi" w:cstheme="majorBidi"/>
          <w:i/>
          <w:iCs/>
          <w:sz w:val="24"/>
          <w:szCs w:val="24"/>
          <w:shd w:val="clear" w:color="auto" w:fill="FFFFFF"/>
        </w:rPr>
        <w:t>Australian Journal of Education</w:t>
      </w:r>
      <w:r w:rsidRPr="00BB6978">
        <w:rPr>
          <w:rFonts w:asciiTheme="majorBidi" w:hAnsiTheme="majorBidi" w:cstheme="majorBidi"/>
          <w:sz w:val="24"/>
          <w:szCs w:val="24"/>
          <w:shd w:val="clear" w:color="auto" w:fill="FFFFFF"/>
        </w:rPr>
        <w:t>, </w:t>
      </w:r>
      <w:r w:rsidRPr="00BB6978">
        <w:rPr>
          <w:rFonts w:asciiTheme="majorBidi" w:hAnsiTheme="majorBidi" w:cstheme="majorBidi"/>
          <w:i/>
          <w:iCs/>
          <w:sz w:val="24"/>
          <w:szCs w:val="24"/>
          <w:shd w:val="clear" w:color="auto" w:fill="FFFFFF"/>
        </w:rPr>
        <w:t>54</w:t>
      </w:r>
      <w:r w:rsidRPr="00BB6978">
        <w:rPr>
          <w:rFonts w:asciiTheme="majorBidi" w:hAnsiTheme="majorBidi" w:cstheme="majorBidi"/>
          <w:sz w:val="24"/>
          <w:szCs w:val="24"/>
          <w:shd w:val="clear" w:color="auto" w:fill="FFFFFF"/>
        </w:rPr>
        <w:t>(1), 72-85.</w:t>
      </w:r>
    </w:p>
    <w:p w14:paraId="2CA9C8B6"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Pianta, R., Downer, J., &amp; Hamre, B. (2016). Quality in early education classrooms: Definitions, gaps, and systems. </w:t>
      </w:r>
      <w:r w:rsidRPr="00BB6978">
        <w:rPr>
          <w:rFonts w:asciiTheme="majorBidi" w:hAnsiTheme="majorBidi" w:cstheme="majorBidi"/>
          <w:i/>
          <w:iCs/>
          <w:sz w:val="24"/>
          <w:szCs w:val="24"/>
        </w:rPr>
        <w:t>The Future of Children</w:t>
      </w:r>
      <w:r w:rsidRPr="00BB6978">
        <w:rPr>
          <w:rFonts w:asciiTheme="majorBidi" w:hAnsiTheme="majorBidi" w:cstheme="majorBidi"/>
          <w:sz w:val="24"/>
          <w:szCs w:val="24"/>
        </w:rPr>
        <w:t>, 119-137.</w:t>
      </w:r>
      <w:r w:rsidRPr="00BB6978">
        <w:rPr>
          <w:rFonts w:asciiTheme="majorBidi" w:hAnsiTheme="majorBidi" w:cstheme="majorBidi"/>
          <w:sz w:val="24"/>
          <w:szCs w:val="24"/>
          <w:rtl/>
        </w:rPr>
        <w:t>‏</w:t>
      </w:r>
    </w:p>
    <w:p w14:paraId="0885A8A4"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Pigozzi, M. J. (2009). Quality education: A UNESCO perspective. In </w:t>
      </w:r>
      <w:r w:rsidRPr="00BB6978">
        <w:rPr>
          <w:rFonts w:asciiTheme="majorBidi" w:hAnsiTheme="majorBidi" w:cstheme="majorBidi"/>
          <w:i/>
          <w:iCs/>
          <w:sz w:val="24"/>
          <w:szCs w:val="24"/>
        </w:rPr>
        <w:t>International perspectives on the goals of universal basic and secondary education</w:t>
      </w:r>
      <w:r w:rsidRPr="00BB6978">
        <w:rPr>
          <w:rFonts w:asciiTheme="majorBidi" w:hAnsiTheme="majorBidi" w:cstheme="majorBidi"/>
          <w:sz w:val="24"/>
          <w:szCs w:val="24"/>
        </w:rPr>
        <w:t> (pp. 249-259). Routledge.</w:t>
      </w:r>
      <w:r w:rsidRPr="00BB6978">
        <w:rPr>
          <w:rFonts w:asciiTheme="majorBidi" w:hAnsiTheme="majorBidi" w:cstheme="majorBidi"/>
          <w:sz w:val="24"/>
          <w:szCs w:val="24"/>
          <w:rtl/>
        </w:rPr>
        <w:t>‏</w:t>
      </w:r>
    </w:p>
    <w:p w14:paraId="0AA349BD"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Pinquart, M., &amp; Ebeling, M. (2020). Parental educational expectations and academic achievement in children and adolescents—a meta-analysis. </w:t>
      </w:r>
      <w:r w:rsidRPr="00BB6978">
        <w:rPr>
          <w:rFonts w:asciiTheme="majorBidi" w:hAnsiTheme="majorBidi" w:cstheme="majorBidi"/>
          <w:i/>
          <w:iCs/>
          <w:sz w:val="24"/>
          <w:szCs w:val="24"/>
        </w:rPr>
        <w:t>Educational Psychology Review</w:t>
      </w:r>
      <w:r w:rsidRPr="00BB6978">
        <w:rPr>
          <w:rFonts w:asciiTheme="majorBidi" w:hAnsiTheme="majorBidi" w:cstheme="majorBidi"/>
          <w:sz w:val="24"/>
          <w:szCs w:val="24"/>
        </w:rPr>
        <w:t>, </w:t>
      </w:r>
      <w:r w:rsidRPr="00BB6978">
        <w:rPr>
          <w:rFonts w:asciiTheme="majorBidi" w:hAnsiTheme="majorBidi" w:cstheme="majorBidi"/>
          <w:i/>
          <w:iCs/>
          <w:sz w:val="24"/>
          <w:szCs w:val="24"/>
        </w:rPr>
        <w:t>32</w:t>
      </w:r>
      <w:r w:rsidRPr="00BB6978">
        <w:rPr>
          <w:rFonts w:asciiTheme="majorBidi" w:hAnsiTheme="majorBidi" w:cstheme="majorBidi"/>
          <w:sz w:val="24"/>
          <w:szCs w:val="24"/>
        </w:rPr>
        <w:t>(2), 463-480.</w:t>
      </w:r>
      <w:r w:rsidRPr="00BB6978">
        <w:rPr>
          <w:rFonts w:asciiTheme="majorBidi" w:hAnsiTheme="majorBidi" w:cstheme="majorBidi"/>
          <w:sz w:val="24"/>
          <w:szCs w:val="24"/>
          <w:rtl/>
        </w:rPr>
        <w:t>‏</w:t>
      </w:r>
    </w:p>
    <w:p w14:paraId="214177E7" w14:textId="65EDAB5D" w:rsidR="00B53A42" w:rsidRPr="00BB6978" w:rsidRDefault="00B53A42" w:rsidP="00A44219">
      <w:pPr>
        <w:spacing w:line="480" w:lineRule="auto"/>
        <w:ind w:left="720" w:hanging="720"/>
        <w:rPr>
          <w:rFonts w:asciiTheme="majorBidi" w:hAnsiTheme="majorBidi" w:cstheme="majorBidi"/>
          <w:sz w:val="24"/>
          <w:szCs w:val="24"/>
          <w:shd w:val="clear" w:color="auto" w:fill="FFFFFF"/>
        </w:rPr>
      </w:pPr>
      <w:bookmarkStart w:id="247" w:name="_Hlk138087434"/>
      <w:r w:rsidRPr="00BB6978">
        <w:rPr>
          <w:rFonts w:asciiTheme="majorBidi" w:hAnsiTheme="majorBidi" w:cstheme="majorBidi"/>
          <w:sz w:val="24"/>
          <w:szCs w:val="24"/>
          <w:shd w:val="clear" w:color="auto" w:fill="FFFFFF"/>
        </w:rPr>
        <w:t>Porter, M. E. (2011). </w:t>
      </w:r>
      <w:bookmarkEnd w:id="247"/>
      <w:r w:rsidRPr="00BB6978">
        <w:rPr>
          <w:rFonts w:asciiTheme="majorBidi" w:hAnsiTheme="majorBidi" w:cstheme="majorBidi"/>
          <w:i/>
          <w:iCs/>
          <w:sz w:val="24"/>
          <w:szCs w:val="24"/>
          <w:shd w:val="clear" w:color="auto" w:fill="FFFFFF"/>
        </w:rPr>
        <w:t>Competitive advantage of nations: creating and sustaining superior performance</w:t>
      </w:r>
      <w:r w:rsidRPr="00BB6978">
        <w:rPr>
          <w:rFonts w:asciiTheme="majorBidi" w:hAnsiTheme="majorBidi" w:cstheme="majorBidi"/>
          <w:sz w:val="24"/>
          <w:szCs w:val="24"/>
          <w:shd w:val="clear" w:color="auto" w:fill="FFFFFF"/>
        </w:rPr>
        <w:t>. simon and schuster.</w:t>
      </w:r>
    </w:p>
    <w:p w14:paraId="1CFC47FB" w14:textId="038D7C7E" w:rsidR="00B53A42" w:rsidRPr="00BB6978" w:rsidRDefault="00676834" w:rsidP="00A44219">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Productivity Commission. (2019). </w:t>
      </w:r>
      <w:r w:rsidRPr="00BB6978">
        <w:rPr>
          <w:rFonts w:asciiTheme="majorBidi" w:hAnsiTheme="majorBidi" w:cstheme="majorBidi"/>
          <w:i/>
          <w:iCs/>
          <w:sz w:val="24"/>
          <w:szCs w:val="24"/>
        </w:rPr>
        <w:t>Expenditure on Children in the Northern Territory. Draft Report</w:t>
      </w:r>
      <w:r w:rsidRPr="00BB6978">
        <w:rPr>
          <w:rFonts w:asciiTheme="majorBidi" w:hAnsiTheme="majorBidi" w:cstheme="majorBidi"/>
          <w:sz w:val="24"/>
          <w:szCs w:val="24"/>
        </w:rPr>
        <w:t xml:space="preserve">. Retrieved 2021, from https://occ.nt.gov.au/__data/assets/pdf_file/0008/759968/pc-nt-children-draft-report.pdf. </w:t>
      </w:r>
    </w:p>
    <w:p w14:paraId="6D5596A0"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Qandeel, A., (2014). Private schools in the UAE: Sky high prices and low educations. Elaph.com. Retrieved from: </w:t>
      </w:r>
      <w:hyperlink r:id="rId87" w:history="1">
        <w:r w:rsidRPr="00BB6978">
          <w:rPr>
            <w:rStyle w:val="Hyperlink"/>
            <w:rFonts w:asciiTheme="majorBidi" w:hAnsiTheme="majorBidi" w:cstheme="majorBidi"/>
            <w:color w:val="auto"/>
            <w:sz w:val="24"/>
            <w:szCs w:val="24"/>
          </w:rPr>
          <w:t>http://www.elaph.com/Web/News/2014/6/918301.html</w:t>
        </w:r>
      </w:hyperlink>
    </w:p>
    <w:p w14:paraId="0780787B" w14:textId="77777777" w:rsidR="00676834" w:rsidRPr="00BB6978" w:rsidRDefault="00676834" w:rsidP="00B14D43">
      <w:pPr>
        <w:spacing w:line="480" w:lineRule="auto"/>
        <w:ind w:left="720" w:hanging="720"/>
        <w:rPr>
          <w:rFonts w:asciiTheme="majorBidi" w:hAnsiTheme="majorBidi" w:cstheme="majorBidi"/>
          <w:sz w:val="24"/>
          <w:szCs w:val="24"/>
          <w:lang w:val="en-US"/>
        </w:rPr>
      </w:pPr>
      <w:r w:rsidRPr="00BB6978">
        <w:rPr>
          <w:rFonts w:asciiTheme="majorBidi" w:hAnsiTheme="majorBidi" w:cstheme="majorBidi"/>
          <w:sz w:val="24"/>
          <w:szCs w:val="24"/>
          <w:lang w:val="en-US"/>
        </w:rPr>
        <w:t xml:space="preserve">Radcliffe, B., Boyle, M., and Kvilhaug, S., (June, 2022). How Education and Training Affect the Economy. Retrieved from Investopedia </w:t>
      </w:r>
      <w:hyperlink r:id="rId88" w:history="1">
        <w:r w:rsidRPr="00BB6978">
          <w:rPr>
            <w:rStyle w:val="Hyperlink"/>
            <w:rFonts w:asciiTheme="majorBidi" w:hAnsiTheme="majorBidi" w:cstheme="majorBidi"/>
            <w:color w:val="auto"/>
            <w:sz w:val="24"/>
            <w:szCs w:val="24"/>
            <w:lang w:val="en-US"/>
          </w:rPr>
          <w:t>https://www.investopedia.com/articles/economics/09/education-training-advantages.asp</w:t>
        </w:r>
      </w:hyperlink>
    </w:p>
    <w:p w14:paraId="669AC000"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Repton. (2020). Repton Community. Retrieved from </w:t>
      </w:r>
      <w:hyperlink r:id="rId89" w:history="1">
        <w:r w:rsidRPr="00BB6978">
          <w:rPr>
            <w:rFonts w:asciiTheme="majorBidi" w:hAnsiTheme="majorBidi" w:cstheme="majorBidi"/>
            <w:sz w:val="24"/>
            <w:szCs w:val="24"/>
            <w:u w:val="single"/>
          </w:rPr>
          <w:t>Repton Community - Repton Abu Dhabi</w:t>
        </w:r>
      </w:hyperlink>
    </w:p>
    <w:p w14:paraId="59C4BE7A"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Revilla, M., &amp; Ochoa, C. (2017). Ideal and maximum length for a web survey. </w:t>
      </w:r>
      <w:r w:rsidRPr="00BB6978">
        <w:rPr>
          <w:rFonts w:asciiTheme="majorBidi" w:hAnsiTheme="majorBidi" w:cstheme="majorBidi"/>
          <w:i/>
          <w:iCs/>
          <w:sz w:val="24"/>
          <w:szCs w:val="24"/>
        </w:rPr>
        <w:t>International Journal of Market Research</w:t>
      </w:r>
      <w:r w:rsidRPr="00BB6978">
        <w:rPr>
          <w:rFonts w:asciiTheme="majorBidi" w:hAnsiTheme="majorBidi" w:cstheme="majorBidi"/>
          <w:sz w:val="24"/>
          <w:szCs w:val="24"/>
        </w:rPr>
        <w:t>, </w:t>
      </w:r>
      <w:r w:rsidRPr="00BB6978">
        <w:rPr>
          <w:rFonts w:asciiTheme="majorBidi" w:hAnsiTheme="majorBidi" w:cstheme="majorBidi"/>
          <w:i/>
          <w:iCs/>
          <w:sz w:val="24"/>
          <w:szCs w:val="24"/>
        </w:rPr>
        <w:t>59</w:t>
      </w:r>
      <w:r w:rsidRPr="00BB6978">
        <w:rPr>
          <w:rFonts w:asciiTheme="majorBidi" w:hAnsiTheme="majorBidi" w:cstheme="majorBidi"/>
          <w:sz w:val="24"/>
          <w:szCs w:val="24"/>
        </w:rPr>
        <w:t>(5), 557-565.</w:t>
      </w:r>
      <w:r w:rsidRPr="00BB6978">
        <w:rPr>
          <w:rFonts w:asciiTheme="majorBidi" w:hAnsiTheme="majorBidi" w:cstheme="majorBidi"/>
          <w:sz w:val="24"/>
          <w:szCs w:val="24"/>
          <w:rtl/>
        </w:rPr>
        <w:t>‏</w:t>
      </w:r>
    </w:p>
    <w:p w14:paraId="24D3AAC8" w14:textId="69D3F476" w:rsidR="00B53A42" w:rsidRPr="00BB6978" w:rsidRDefault="00B53A42" w:rsidP="00A44219">
      <w:pPr>
        <w:spacing w:line="480" w:lineRule="auto"/>
        <w:ind w:left="720" w:hanging="720"/>
        <w:rPr>
          <w:rFonts w:asciiTheme="majorBidi" w:hAnsiTheme="majorBidi" w:cstheme="majorBidi"/>
          <w:sz w:val="24"/>
          <w:szCs w:val="24"/>
          <w:shd w:val="clear" w:color="auto" w:fill="FFFFFF"/>
        </w:rPr>
      </w:pPr>
      <w:bookmarkStart w:id="248" w:name="_Hlk138083872"/>
      <w:r w:rsidRPr="00BB6978">
        <w:rPr>
          <w:rFonts w:asciiTheme="majorBidi" w:hAnsiTheme="majorBidi" w:cstheme="majorBidi"/>
          <w:sz w:val="24"/>
          <w:szCs w:val="24"/>
          <w:shd w:val="clear" w:color="auto" w:fill="FFFFFF"/>
        </w:rPr>
        <w:t xml:space="preserve">Rhinesmith, </w:t>
      </w:r>
      <w:bookmarkEnd w:id="248"/>
      <w:r w:rsidRPr="00BB6978">
        <w:rPr>
          <w:rFonts w:asciiTheme="majorBidi" w:hAnsiTheme="majorBidi" w:cstheme="majorBidi"/>
          <w:sz w:val="24"/>
          <w:szCs w:val="24"/>
          <w:shd w:val="clear" w:color="auto" w:fill="FFFFFF"/>
        </w:rPr>
        <w:t>E. (2017). A review of the research on parent satisfaction in private school choice programs. </w:t>
      </w:r>
      <w:r w:rsidRPr="00BB6978">
        <w:rPr>
          <w:rFonts w:asciiTheme="majorBidi" w:hAnsiTheme="majorBidi" w:cstheme="majorBidi"/>
          <w:i/>
          <w:iCs/>
          <w:sz w:val="24"/>
          <w:szCs w:val="24"/>
          <w:shd w:val="clear" w:color="auto" w:fill="FFFFFF"/>
        </w:rPr>
        <w:t>Journal of School Choice</w:t>
      </w:r>
      <w:r w:rsidRPr="00BB6978">
        <w:rPr>
          <w:rFonts w:asciiTheme="majorBidi" w:hAnsiTheme="majorBidi" w:cstheme="majorBidi"/>
          <w:sz w:val="24"/>
          <w:szCs w:val="24"/>
          <w:shd w:val="clear" w:color="auto" w:fill="FFFFFF"/>
        </w:rPr>
        <w:t>, </w:t>
      </w:r>
      <w:r w:rsidRPr="00BB6978">
        <w:rPr>
          <w:rFonts w:asciiTheme="majorBidi" w:hAnsiTheme="majorBidi" w:cstheme="majorBidi"/>
          <w:i/>
          <w:iCs/>
          <w:sz w:val="24"/>
          <w:szCs w:val="24"/>
          <w:shd w:val="clear" w:color="auto" w:fill="FFFFFF"/>
        </w:rPr>
        <w:t>11</w:t>
      </w:r>
      <w:r w:rsidRPr="00BB6978">
        <w:rPr>
          <w:rFonts w:asciiTheme="majorBidi" w:hAnsiTheme="majorBidi" w:cstheme="majorBidi"/>
          <w:sz w:val="24"/>
          <w:szCs w:val="24"/>
          <w:shd w:val="clear" w:color="auto" w:fill="FFFFFF"/>
        </w:rPr>
        <w:t>(4), 585-603.</w:t>
      </w:r>
    </w:p>
    <w:p w14:paraId="6BCC3F89"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Ridge, N.Y., Shami, S. &amp; Kippels, S.M. (2018). Private Education in the Absence of a Public Option: The Cases of the United Arab Emirates and Qatar. FIRE: Forum for International Research in Education. 3 (2).</w:t>
      </w:r>
    </w:p>
    <w:p w14:paraId="15AE5638"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Ritchie, J., Lewis, J., &amp; Elam, G. (2003). Designing and selecting samples. </w:t>
      </w:r>
      <w:r w:rsidRPr="00BB6978">
        <w:rPr>
          <w:rFonts w:asciiTheme="majorBidi" w:hAnsiTheme="majorBidi" w:cstheme="majorBidi"/>
          <w:i/>
          <w:iCs/>
          <w:sz w:val="24"/>
          <w:szCs w:val="24"/>
        </w:rPr>
        <w:t>Qualitative research methods</w:t>
      </w:r>
      <w:r w:rsidRPr="00BB6978">
        <w:rPr>
          <w:rFonts w:asciiTheme="majorBidi" w:hAnsiTheme="majorBidi" w:cstheme="majorBidi"/>
          <w:sz w:val="24"/>
          <w:szCs w:val="24"/>
        </w:rPr>
        <w:t>, 77-108.</w:t>
      </w:r>
      <w:r w:rsidRPr="00BB6978">
        <w:rPr>
          <w:rFonts w:asciiTheme="majorBidi" w:hAnsiTheme="majorBidi" w:cstheme="majorBidi"/>
          <w:sz w:val="24"/>
          <w:szCs w:val="24"/>
          <w:rtl/>
        </w:rPr>
        <w:t>‏</w:t>
      </w:r>
    </w:p>
    <w:p w14:paraId="5C2E681A" w14:textId="77777777" w:rsidR="00676834" w:rsidRPr="00BB6978" w:rsidRDefault="00676834" w:rsidP="00B14D43">
      <w:pPr>
        <w:spacing w:before="240" w:after="200" w:line="480" w:lineRule="auto"/>
        <w:ind w:left="709" w:hanging="709"/>
        <w:rPr>
          <w:rFonts w:asciiTheme="majorBidi" w:eastAsia="Times New Roman" w:hAnsiTheme="majorBidi" w:cstheme="majorBidi"/>
          <w:sz w:val="24"/>
          <w:szCs w:val="24"/>
        </w:rPr>
      </w:pPr>
      <w:r w:rsidRPr="00BB6978">
        <w:rPr>
          <w:rFonts w:asciiTheme="majorBidi" w:hAnsiTheme="majorBidi" w:cstheme="majorBidi"/>
          <w:sz w:val="24"/>
          <w:szCs w:val="24"/>
        </w:rPr>
        <w:t xml:space="preserve">Rose, P. (2009). Non‐state provision of education: Evidence from Africa and Asia. Compare </w:t>
      </w:r>
      <w:r w:rsidRPr="00BB6978">
        <w:rPr>
          <w:rFonts w:asciiTheme="majorBidi" w:hAnsiTheme="majorBidi" w:cstheme="majorBidi"/>
          <w:i/>
          <w:iCs/>
          <w:sz w:val="24"/>
          <w:szCs w:val="24"/>
        </w:rPr>
        <w:t>A Journal of Comparative and International Education, 39</w:t>
      </w:r>
      <w:r w:rsidRPr="00BB6978">
        <w:rPr>
          <w:rFonts w:asciiTheme="majorBidi" w:hAnsiTheme="majorBidi" w:cstheme="majorBidi"/>
          <w:sz w:val="24"/>
          <w:szCs w:val="24"/>
        </w:rPr>
        <w:t>(2), 127–134.</w:t>
      </w:r>
    </w:p>
    <w:p w14:paraId="7B5C8B67"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Rothstein, B. (2000). Trust, social dilemmas and collective memories. </w:t>
      </w:r>
      <w:r w:rsidRPr="00BB6978">
        <w:rPr>
          <w:rFonts w:asciiTheme="majorBidi" w:hAnsiTheme="majorBidi" w:cstheme="majorBidi"/>
          <w:i/>
          <w:iCs/>
          <w:sz w:val="24"/>
          <w:szCs w:val="24"/>
        </w:rPr>
        <w:t>Journal of theoretical politics</w:t>
      </w:r>
      <w:r w:rsidRPr="00BB6978">
        <w:rPr>
          <w:rFonts w:asciiTheme="majorBidi" w:hAnsiTheme="majorBidi" w:cstheme="majorBidi"/>
          <w:sz w:val="24"/>
          <w:szCs w:val="24"/>
        </w:rPr>
        <w:t>, </w:t>
      </w:r>
      <w:r w:rsidRPr="00BB6978">
        <w:rPr>
          <w:rFonts w:asciiTheme="majorBidi" w:hAnsiTheme="majorBidi" w:cstheme="majorBidi"/>
          <w:i/>
          <w:iCs/>
          <w:sz w:val="24"/>
          <w:szCs w:val="24"/>
        </w:rPr>
        <w:t>12</w:t>
      </w:r>
      <w:r w:rsidRPr="00BB6978">
        <w:rPr>
          <w:rFonts w:asciiTheme="majorBidi" w:hAnsiTheme="majorBidi" w:cstheme="majorBidi"/>
          <w:sz w:val="24"/>
          <w:szCs w:val="24"/>
        </w:rPr>
        <w:t>(4), 477-501.</w:t>
      </w:r>
      <w:r w:rsidRPr="00BB6978">
        <w:rPr>
          <w:rFonts w:asciiTheme="majorBidi" w:hAnsiTheme="majorBidi" w:cstheme="majorBidi"/>
          <w:sz w:val="24"/>
          <w:szCs w:val="24"/>
          <w:rtl/>
        </w:rPr>
        <w:t>‏</w:t>
      </w:r>
    </w:p>
    <w:p w14:paraId="1AEAB31D" w14:textId="03563F5E" w:rsidR="00F077A3" w:rsidRPr="00BB6978" w:rsidRDefault="00F077A3" w:rsidP="00A44219">
      <w:pPr>
        <w:spacing w:line="480" w:lineRule="auto"/>
        <w:ind w:left="720" w:hanging="720"/>
        <w:rPr>
          <w:rFonts w:asciiTheme="majorBidi" w:hAnsiTheme="majorBidi" w:cstheme="majorBidi"/>
          <w:sz w:val="24"/>
          <w:szCs w:val="24"/>
          <w:shd w:val="clear" w:color="auto" w:fill="FFFFFF"/>
        </w:rPr>
      </w:pPr>
      <w:r w:rsidRPr="00BB6978">
        <w:rPr>
          <w:rStyle w:val="contentpasted0"/>
          <w:rFonts w:asciiTheme="majorBidi" w:eastAsia="Times New Roman" w:hAnsiTheme="majorBidi" w:cstheme="majorBidi"/>
          <w:sz w:val="24"/>
          <w:szCs w:val="24"/>
          <w:shd w:val="clear" w:color="auto" w:fill="FFFFFF"/>
        </w:rPr>
        <w:t>Rowe, E., &amp; Perry, L. B. (2020). Inequalities in the private funding of public schools: Parent financial contributions and school socioeconomic status. </w:t>
      </w:r>
      <w:r w:rsidRPr="00BB6978">
        <w:rPr>
          <w:rStyle w:val="contentpasted0"/>
          <w:rFonts w:asciiTheme="majorBidi" w:eastAsia="Times New Roman" w:hAnsiTheme="majorBidi" w:cstheme="majorBidi"/>
          <w:i/>
          <w:iCs/>
          <w:sz w:val="24"/>
          <w:szCs w:val="24"/>
          <w:shd w:val="clear" w:color="auto" w:fill="FFFFFF"/>
        </w:rPr>
        <w:t>Journal of Educational Administration and History</w:t>
      </w:r>
      <w:r w:rsidRPr="00BB6978">
        <w:rPr>
          <w:rStyle w:val="contentpasted0"/>
          <w:rFonts w:asciiTheme="majorBidi" w:eastAsia="Times New Roman" w:hAnsiTheme="majorBidi" w:cstheme="majorBidi"/>
          <w:sz w:val="24"/>
          <w:szCs w:val="24"/>
          <w:shd w:val="clear" w:color="auto" w:fill="FFFFFF"/>
        </w:rPr>
        <w:t>, </w:t>
      </w:r>
      <w:r w:rsidRPr="00BB6978">
        <w:rPr>
          <w:rStyle w:val="contentpasted0"/>
          <w:rFonts w:asciiTheme="majorBidi" w:eastAsia="Times New Roman" w:hAnsiTheme="majorBidi" w:cstheme="majorBidi"/>
          <w:i/>
          <w:iCs/>
          <w:sz w:val="24"/>
          <w:szCs w:val="24"/>
          <w:shd w:val="clear" w:color="auto" w:fill="FFFFFF"/>
        </w:rPr>
        <w:t>52</w:t>
      </w:r>
      <w:r w:rsidRPr="00BB6978">
        <w:rPr>
          <w:rStyle w:val="contentpasted0"/>
          <w:rFonts w:asciiTheme="majorBidi" w:eastAsia="Times New Roman" w:hAnsiTheme="majorBidi" w:cstheme="majorBidi"/>
          <w:sz w:val="24"/>
          <w:szCs w:val="24"/>
          <w:shd w:val="clear" w:color="auto" w:fill="FFFFFF"/>
        </w:rPr>
        <w:t>(1), 42-59.</w:t>
      </w:r>
    </w:p>
    <w:p w14:paraId="285CE615" w14:textId="77777777" w:rsidR="00676834" w:rsidRPr="00BB6978" w:rsidRDefault="00676834" w:rsidP="00B14D43">
      <w:pPr>
        <w:spacing w:before="240" w:after="200" w:line="480" w:lineRule="auto"/>
        <w:ind w:left="709" w:hanging="709"/>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 xml:space="preserve">Santoro, D. A. (2018). </w:t>
      </w:r>
      <w:r w:rsidRPr="00BB6978">
        <w:rPr>
          <w:rFonts w:asciiTheme="majorBidi" w:hAnsiTheme="majorBidi" w:cstheme="majorBidi"/>
          <w:i/>
          <w:iCs/>
          <w:sz w:val="24"/>
          <w:szCs w:val="24"/>
          <w:shd w:val="clear" w:color="auto" w:fill="FFFFFF"/>
        </w:rPr>
        <w:t>Demoralized: Why teachers leave the profession they love and how they can stay.</w:t>
      </w:r>
      <w:r w:rsidRPr="00BB6978">
        <w:rPr>
          <w:rFonts w:asciiTheme="majorBidi" w:hAnsiTheme="majorBidi" w:cstheme="majorBidi"/>
          <w:sz w:val="24"/>
          <w:szCs w:val="24"/>
          <w:shd w:val="clear" w:color="auto" w:fill="FFFFFF"/>
        </w:rPr>
        <w:t xml:space="preserve"> Cambridge, MA: Harvard Education Press.</w:t>
      </w:r>
    </w:p>
    <w:p w14:paraId="0EF36A41"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Schneider, J., Jacobsen, R., White, R. &amp; Gehlbach, H. (2017). Building a better measure of school quality. Phi Delta Kappan. [Online]. 98 (7). pp. 43–48. Available from: </w:t>
      </w:r>
      <w:hyperlink r:id="rId90" w:history="1">
        <w:r w:rsidRPr="00BB6978">
          <w:rPr>
            <w:rFonts w:asciiTheme="majorBidi" w:hAnsiTheme="majorBidi" w:cstheme="majorBidi"/>
            <w:sz w:val="24"/>
            <w:szCs w:val="24"/>
            <w:u w:val="single"/>
          </w:rPr>
          <w:t>https://journals.sagepub.com/doi/abs/10.1177/0031721717702631</w:t>
        </w:r>
      </w:hyperlink>
      <w:r w:rsidRPr="00BB6978">
        <w:rPr>
          <w:rFonts w:asciiTheme="majorBidi" w:hAnsiTheme="majorBidi" w:cstheme="majorBidi"/>
          <w:sz w:val="24"/>
          <w:szCs w:val="24"/>
        </w:rPr>
        <w:t>.</w:t>
      </w:r>
    </w:p>
    <w:p w14:paraId="2B40030D" w14:textId="1BD1D984"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Schneider, J., Jacobsen, R., White, R.S. &amp; Gehlbach, H. (2018). The (Mis) Measure of Schools: How Data Affect Stakeholder Knowledge and Perceptions of Quality. Teachers College Record. [Online]. 120 (6). pp. n6. Available from: </w:t>
      </w:r>
      <w:hyperlink r:id="rId91" w:history="1">
        <w:r w:rsidRPr="00BB6978">
          <w:rPr>
            <w:rFonts w:asciiTheme="majorBidi" w:hAnsiTheme="majorBidi" w:cstheme="majorBidi"/>
            <w:sz w:val="24"/>
            <w:szCs w:val="24"/>
            <w:u w:val="single"/>
          </w:rPr>
          <w:t>https://eric.ed.gov/?id=EJ1162839</w:t>
        </w:r>
      </w:hyperlink>
      <w:r w:rsidRPr="00BB6978">
        <w:rPr>
          <w:rFonts w:asciiTheme="majorBidi" w:hAnsiTheme="majorBidi" w:cstheme="majorBidi"/>
          <w:sz w:val="24"/>
          <w:szCs w:val="24"/>
        </w:rPr>
        <w:t>.</w:t>
      </w:r>
    </w:p>
    <w:p w14:paraId="51C1CF7B"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Schulz, K. F., &amp; Grimes, D. A. (2005). Sample size calculations in randomised trials: mandatory and mystical. </w:t>
      </w:r>
      <w:r w:rsidRPr="00BB6978">
        <w:rPr>
          <w:rFonts w:asciiTheme="majorBidi" w:hAnsiTheme="majorBidi" w:cstheme="majorBidi"/>
          <w:i/>
          <w:iCs/>
          <w:sz w:val="24"/>
          <w:szCs w:val="24"/>
        </w:rPr>
        <w:t>The Lancet</w:t>
      </w:r>
      <w:r w:rsidRPr="00BB6978">
        <w:rPr>
          <w:rFonts w:asciiTheme="majorBidi" w:hAnsiTheme="majorBidi" w:cstheme="majorBidi"/>
          <w:sz w:val="24"/>
          <w:szCs w:val="24"/>
        </w:rPr>
        <w:t>, </w:t>
      </w:r>
      <w:r w:rsidRPr="00BB6978">
        <w:rPr>
          <w:rFonts w:asciiTheme="majorBidi" w:hAnsiTheme="majorBidi" w:cstheme="majorBidi"/>
          <w:i/>
          <w:iCs/>
          <w:sz w:val="24"/>
          <w:szCs w:val="24"/>
        </w:rPr>
        <w:t>365</w:t>
      </w:r>
      <w:r w:rsidRPr="00BB6978">
        <w:rPr>
          <w:rFonts w:asciiTheme="majorBidi" w:hAnsiTheme="majorBidi" w:cstheme="majorBidi"/>
          <w:sz w:val="24"/>
          <w:szCs w:val="24"/>
        </w:rPr>
        <w:t>(9467), 1348-1353.</w:t>
      </w:r>
      <w:r w:rsidRPr="00BB6978">
        <w:rPr>
          <w:rFonts w:asciiTheme="majorBidi" w:hAnsiTheme="majorBidi" w:cstheme="majorBidi"/>
          <w:sz w:val="24"/>
          <w:szCs w:val="24"/>
          <w:rtl/>
        </w:rPr>
        <w:t>‏</w:t>
      </w:r>
    </w:p>
    <w:p w14:paraId="13417FA6"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Semer, C., &amp; Harmening, D. S. (2015). Exploring Significant Factors that Impact the Academic Success of Student Veterans in Higher Education. Journal of Higher Education Theory &amp; Practice, 15(7).</w:t>
      </w:r>
      <w:r w:rsidRPr="00BB6978">
        <w:rPr>
          <w:rFonts w:asciiTheme="majorBidi" w:hAnsiTheme="majorBidi" w:cstheme="majorBidi"/>
          <w:sz w:val="24"/>
          <w:szCs w:val="24"/>
          <w:rtl/>
        </w:rPr>
        <w:t>‏</w:t>
      </w:r>
    </w:p>
    <w:p w14:paraId="6548112D" w14:textId="77777777" w:rsidR="00F077A3" w:rsidRPr="00BB6978" w:rsidRDefault="00F077A3"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Shomotova, A., &amp; Karabchuk, T. (2022). Development of the higher education in the UAE: Challenges and current achievements. In </w:t>
      </w:r>
      <w:r w:rsidRPr="00BB6978">
        <w:rPr>
          <w:rFonts w:asciiTheme="majorBidi" w:hAnsiTheme="majorBidi" w:cstheme="majorBidi"/>
          <w:i/>
          <w:iCs/>
          <w:sz w:val="24"/>
          <w:szCs w:val="24"/>
        </w:rPr>
        <w:t>The Past, Present, and Future of Higher Education in the Arabian Gulf Region</w:t>
      </w:r>
      <w:r w:rsidRPr="00BB6978">
        <w:rPr>
          <w:rFonts w:asciiTheme="majorBidi" w:hAnsiTheme="majorBidi" w:cstheme="majorBidi"/>
          <w:sz w:val="24"/>
          <w:szCs w:val="24"/>
        </w:rPr>
        <w:t> (pp. 159-184). Routledge.</w:t>
      </w:r>
      <w:r w:rsidRPr="00BB6978">
        <w:rPr>
          <w:rFonts w:asciiTheme="majorBidi" w:hAnsiTheme="majorBidi" w:cstheme="majorBidi"/>
          <w:sz w:val="24"/>
          <w:szCs w:val="24"/>
          <w:rtl/>
        </w:rPr>
        <w:t>‏</w:t>
      </w:r>
    </w:p>
    <w:p w14:paraId="18C7DC6B" w14:textId="77777777" w:rsidR="00F077A3" w:rsidRPr="00BB6978" w:rsidRDefault="00F077A3" w:rsidP="00B14D43">
      <w:pPr>
        <w:spacing w:line="480" w:lineRule="auto"/>
        <w:ind w:left="720" w:hanging="720"/>
        <w:rPr>
          <w:rFonts w:asciiTheme="majorBidi" w:hAnsiTheme="majorBidi" w:cstheme="majorBidi"/>
          <w:sz w:val="24"/>
          <w:szCs w:val="24"/>
          <w14:ligatures w14:val="standardContextual"/>
        </w:rPr>
      </w:pPr>
      <w:r w:rsidRPr="00BB6978">
        <w:rPr>
          <w:rFonts w:asciiTheme="majorBidi" w:hAnsiTheme="majorBidi" w:cstheme="majorBidi"/>
          <w:sz w:val="24"/>
          <w:szCs w:val="24"/>
          <w14:ligatures w14:val="standardContextual"/>
        </w:rPr>
        <w:t xml:space="preserve">Siemund , P ., Al- Issa , A ., &amp; Leimgruber , J. R . (2021). Multilingualism and the role of English in the United Arab Emirates. </w:t>
      </w:r>
      <w:r w:rsidRPr="00BB6978">
        <w:rPr>
          <w:rFonts w:asciiTheme="majorBidi" w:hAnsiTheme="majorBidi" w:cstheme="majorBidi"/>
          <w:i/>
          <w:iCs/>
          <w:sz w:val="24"/>
          <w:szCs w:val="24"/>
          <w14:ligatures w14:val="standardContextual"/>
        </w:rPr>
        <w:t xml:space="preserve">World Englishes, 40 </w:t>
      </w:r>
      <w:r w:rsidRPr="00BB6978">
        <w:rPr>
          <w:rFonts w:asciiTheme="majorBidi" w:hAnsiTheme="majorBidi" w:cstheme="majorBidi"/>
          <w:sz w:val="24"/>
          <w:szCs w:val="24"/>
          <w14:ligatures w14:val="standardContextual"/>
        </w:rPr>
        <w:t>(2), 191-204.</w:t>
      </w:r>
    </w:p>
    <w:p w14:paraId="465FAC05" w14:textId="77777777" w:rsidR="00F077A3" w:rsidRPr="00BB6978" w:rsidRDefault="00F077A3"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Sirin, S. R. (2005). Socioeconomic status and academic achievement: a meta-analytic review of research. Review of Educational Research, 75(3), 417–453. </w:t>
      </w:r>
      <w:hyperlink r:id="rId92" w:history="1">
        <w:r w:rsidRPr="00BB6978">
          <w:rPr>
            <w:rStyle w:val="Hyperlink"/>
            <w:rFonts w:asciiTheme="majorBidi" w:hAnsiTheme="majorBidi" w:cstheme="majorBidi"/>
            <w:color w:val="auto"/>
            <w:sz w:val="24"/>
            <w:szCs w:val="24"/>
          </w:rPr>
          <w:t>https://doi.org/10.2307/3515987</w:t>
        </w:r>
      </w:hyperlink>
      <w:r w:rsidRPr="00BB6978">
        <w:rPr>
          <w:rFonts w:asciiTheme="majorBidi" w:hAnsiTheme="majorBidi" w:cstheme="majorBidi"/>
          <w:sz w:val="24"/>
          <w:szCs w:val="24"/>
        </w:rPr>
        <w:t>.</w:t>
      </w:r>
    </w:p>
    <w:p w14:paraId="448B3712" w14:textId="249CF9D1"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Snyder,T, Dillow,S., &amp; Hoffman, C. (2009). The Digest of Education Statistics 2008. Retrieved from </w:t>
      </w:r>
      <w:hyperlink r:id="rId93" w:history="1">
        <w:r w:rsidRPr="00BB6978">
          <w:rPr>
            <w:rFonts w:asciiTheme="majorBidi" w:hAnsiTheme="majorBidi" w:cstheme="majorBidi"/>
            <w:sz w:val="24"/>
            <w:szCs w:val="24"/>
            <w:u w:val="single"/>
          </w:rPr>
          <w:t>Digest of Education Statistics, 2008</w:t>
        </w:r>
      </w:hyperlink>
    </w:p>
    <w:p w14:paraId="2BCC905F"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Soeters, J., Shields, P. M., &amp; Rietjens, S. J. H. (Eds.). (2014). </w:t>
      </w:r>
      <w:r w:rsidRPr="00BB6978">
        <w:rPr>
          <w:rFonts w:asciiTheme="majorBidi" w:hAnsiTheme="majorBidi" w:cstheme="majorBidi"/>
          <w:i/>
          <w:iCs/>
          <w:sz w:val="24"/>
          <w:szCs w:val="24"/>
        </w:rPr>
        <w:t>Routledge handbook of research methods in military studies</w:t>
      </w:r>
      <w:r w:rsidRPr="00BB6978">
        <w:rPr>
          <w:rFonts w:asciiTheme="majorBidi" w:hAnsiTheme="majorBidi" w:cstheme="majorBidi"/>
          <w:sz w:val="24"/>
          <w:szCs w:val="24"/>
        </w:rPr>
        <w:t>. London: Routledge.</w:t>
      </w:r>
      <w:r w:rsidRPr="00BB6978">
        <w:rPr>
          <w:rFonts w:asciiTheme="majorBidi" w:hAnsiTheme="majorBidi" w:cstheme="majorBidi"/>
          <w:sz w:val="24"/>
          <w:szCs w:val="24"/>
          <w:rtl/>
        </w:rPr>
        <w:t>‏</w:t>
      </w:r>
    </w:p>
    <w:p w14:paraId="61CB5664" w14:textId="77777777" w:rsidR="00676834" w:rsidRPr="00BB6978" w:rsidRDefault="00676834" w:rsidP="00B14D43">
      <w:pPr>
        <w:spacing w:before="100" w:beforeAutospacing="1" w:after="100" w:afterAutospacing="1" w:line="480" w:lineRule="auto"/>
        <w:ind w:left="567" w:hanging="567"/>
        <w:rPr>
          <w:rFonts w:asciiTheme="majorBidi" w:eastAsia="Times New Roman" w:hAnsiTheme="majorBidi" w:cstheme="majorBidi"/>
          <w:sz w:val="24"/>
          <w:szCs w:val="24"/>
          <w:lang w:val="en-US"/>
        </w:rPr>
      </w:pPr>
      <w:r w:rsidRPr="00BB6978">
        <w:rPr>
          <w:rFonts w:asciiTheme="majorBidi" w:eastAsia="Times New Roman" w:hAnsiTheme="majorBidi" w:cstheme="majorBidi"/>
          <w:sz w:val="24"/>
          <w:szCs w:val="24"/>
          <w:lang w:val="en-US"/>
        </w:rPr>
        <w:t xml:space="preserve">Spies, M., &amp; Brothers, P. (2018). (rep.). </w:t>
      </w:r>
      <w:r w:rsidRPr="00BB6978">
        <w:rPr>
          <w:rFonts w:asciiTheme="majorBidi" w:eastAsia="Times New Roman" w:hAnsiTheme="majorBidi" w:cstheme="majorBidi"/>
          <w:i/>
          <w:iCs/>
          <w:sz w:val="24"/>
          <w:szCs w:val="24"/>
          <w:lang w:val="en-US"/>
        </w:rPr>
        <w:t>Education in 2030. The $10 Trillion dollar question</w:t>
      </w:r>
      <w:r w:rsidRPr="00BB6978">
        <w:rPr>
          <w:rFonts w:asciiTheme="majorBidi" w:eastAsia="Times New Roman" w:hAnsiTheme="majorBidi" w:cstheme="majorBidi"/>
          <w:sz w:val="24"/>
          <w:szCs w:val="24"/>
          <w:lang w:val="en-US"/>
        </w:rPr>
        <w:t xml:space="preserve">. Holoniq. Retrieved 2020, from https://www.holoniq.com/2030. </w:t>
      </w:r>
    </w:p>
    <w:p w14:paraId="50BE17EA"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SRIVASTAVA, P. (2007): “For philanthropy or profit? The management and operation of low-fee private schools in India,” in Private Schooling in Less Developed Countries, chap. 8, pp. 153–186. Oxford, Symposium Books.</w:t>
      </w:r>
    </w:p>
    <w:p w14:paraId="27A840D4"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Stariha, W.E. (1989). Productivity factors influencing the achievement and attitudes in mathematics of college-bound seniors. Unpublished doctoral dissertation. University of Illinois at Chicago.</w:t>
      </w:r>
    </w:p>
    <w:p w14:paraId="7CCBD02A"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Statistical Methods and Data Analytics. (2021). A Practical Introduction to Factor Analysis: Exploratory Factor Analysis. Retrieved from </w:t>
      </w:r>
      <w:hyperlink r:id="rId94" w:history="1">
        <w:r w:rsidRPr="00BB6978">
          <w:rPr>
            <w:rFonts w:asciiTheme="majorBidi" w:hAnsiTheme="majorBidi" w:cstheme="majorBidi"/>
            <w:sz w:val="24"/>
            <w:szCs w:val="24"/>
            <w:u w:val="single"/>
          </w:rPr>
          <w:t>A Practical Introduction to Factor Analysis: Exploratory Factor Analysis (ucla.edu)</w:t>
        </w:r>
      </w:hyperlink>
    </w:p>
    <w:p w14:paraId="31FDE294"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Steiger, J.H. (1989). EzPATH: Causal modeling. Evanston, IL: SYSTAT.</w:t>
      </w:r>
    </w:p>
    <w:p w14:paraId="73EA2366"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Stiles, K., Lee, S. S., &amp; Luthar, S. S. (2020). When parents seek perfection: Implications for psychological functioning among teens at high-achieving schools. </w:t>
      </w:r>
      <w:r w:rsidRPr="00BB6978">
        <w:rPr>
          <w:rFonts w:asciiTheme="majorBidi" w:hAnsiTheme="majorBidi" w:cstheme="majorBidi"/>
          <w:i/>
          <w:iCs/>
          <w:sz w:val="24"/>
          <w:szCs w:val="24"/>
        </w:rPr>
        <w:t>Journal of Child and Family Studies</w:t>
      </w:r>
      <w:r w:rsidRPr="00BB6978">
        <w:rPr>
          <w:rFonts w:asciiTheme="majorBidi" w:hAnsiTheme="majorBidi" w:cstheme="majorBidi"/>
          <w:sz w:val="24"/>
          <w:szCs w:val="24"/>
        </w:rPr>
        <w:t>, </w:t>
      </w:r>
      <w:r w:rsidRPr="00BB6978">
        <w:rPr>
          <w:rFonts w:asciiTheme="majorBidi" w:hAnsiTheme="majorBidi" w:cstheme="majorBidi"/>
          <w:i/>
          <w:iCs/>
          <w:sz w:val="24"/>
          <w:szCs w:val="24"/>
        </w:rPr>
        <w:t>29</w:t>
      </w:r>
      <w:r w:rsidRPr="00BB6978">
        <w:rPr>
          <w:rFonts w:asciiTheme="majorBidi" w:hAnsiTheme="majorBidi" w:cstheme="majorBidi"/>
          <w:sz w:val="24"/>
          <w:szCs w:val="24"/>
        </w:rPr>
        <w:t>(11), 3117-3128.</w:t>
      </w:r>
      <w:r w:rsidRPr="00BB6978">
        <w:rPr>
          <w:rFonts w:asciiTheme="majorBidi" w:hAnsiTheme="majorBidi" w:cstheme="majorBidi"/>
          <w:sz w:val="24"/>
          <w:szCs w:val="24"/>
          <w:rtl/>
        </w:rPr>
        <w:t>‏</w:t>
      </w:r>
    </w:p>
    <w:p w14:paraId="785D05E0" w14:textId="77777777" w:rsidR="00676834" w:rsidRPr="00BB6978" w:rsidRDefault="00676834" w:rsidP="00B14D43">
      <w:pPr>
        <w:pStyle w:val="NormalWeb"/>
        <w:spacing w:line="480" w:lineRule="auto"/>
        <w:ind w:left="567" w:hanging="567"/>
        <w:rPr>
          <w:rFonts w:asciiTheme="majorBidi" w:hAnsiTheme="majorBidi" w:cstheme="majorBidi"/>
        </w:rPr>
      </w:pPr>
      <w:r w:rsidRPr="00BB6978">
        <w:rPr>
          <w:rFonts w:asciiTheme="majorBidi" w:hAnsiTheme="majorBidi" w:cstheme="majorBidi"/>
        </w:rPr>
        <w:t xml:space="preserve">Strauss, V. (2013). Global education market reaches $4.4 trillion and is growing. </w:t>
      </w:r>
      <w:r w:rsidRPr="00BB6978">
        <w:rPr>
          <w:rFonts w:asciiTheme="majorBidi" w:hAnsiTheme="majorBidi" w:cstheme="majorBidi"/>
          <w:i/>
          <w:iCs/>
        </w:rPr>
        <w:t>Washington Post</w:t>
      </w:r>
      <w:r w:rsidRPr="00BB6978">
        <w:rPr>
          <w:rFonts w:asciiTheme="majorBidi" w:hAnsiTheme="majorBidi" w:cstheme="majorBidi"/>
        </w:rPr>
        <w:t xml:space="preserve">. Retrieved 2AD, from https://www.washingtonpost.com/news/answer-sheet/wp/2013/02/09/global-education-market-reaches-4-4-trillion-and-is-growing/. </w:t>
      </w:r>
    </w:p>
    <w:p w14:paraId="23B74C1A"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Strietholt, R., Hogrebe, N., &amp; Zachrisson, H. D. (2020). Do increases in national-level preschool enrollment increase student achievement? Evidence from international assessments. </w:t>
      </w:r>
      <w:r w:rsidRPr="00BB6978">
        <w:rPr>
          <w:rFonts w:asciiTheme="majorBidi" w:hAnsiTheme="majorBidi" w:cstheme="majorBidi"/>
          <w:i/>
          <w:iCs/>
          <w:sz w:val="24"/>
          <w:szCs w:val="24"/>
        </w:rPr>
        <w:t>International Journal of Educational Development</w:t>
      </w:r>
      <w:r w:rsidRPr="00BB6978">
        <w:rPr>
          <w:rFonts w:asciiTheme="majorBidi" w:hAnsiTheme="majorBidi" w:cstheme="majorBidi"/>
          <w:sz w:val="24"/>
          <w:szCs w:val="24"/>
        </w:rPr>
        <w:t>, </w:t>
      </w:r>
      <w:r w:rsidRPr="00BB6978">
        <w:rPr>
          <w:rFonts w:asciiTheme="majorBidi" w:hAnsiTheme="majorBidi" w:cstheme="majorBidi"/>
          <w:i/>
          <w:iCs/>
          <w:sz w:val="24"/>
          <w:szCs w:val="24"/>
        </w:rPr>
        <w:t>79</w:t>
      </w:r>
      <w:r w:rsidRPr="00BB6978">
        <w:rPr>
          <w:rFonts w:asciiTheme="majorBidi" w:hAnsiTheme="majorBidi" w:cstheme="majorBidi"/>
          <w:sz w:val="24"/>
          <w:szCs w:val="24"/>
        </w:rPr>
        <w:t>, 102287.</w:t>
      </w:r>
    </w:p>
    <w:p w14:paraId="49EF404F"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Summaries, (2019). PISA 2018 Results Analysis. I.</w:t>
      </w:r>
    </w:p>
    <w:p w14:paraId="3DB25550" w14:textId="77777777" w:rsidR="00594896" w:rsidRPr="00BB6978" w:rsidRDefault="00594896"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Surur, M., Wibawa, R. P., Jaya, F., Suparto, A. A., Harefa, D., Faidi, A., ... &amp; Purwanto, A. (2020). Effect Of Education Operational Cost On The Education Quality With The School Productivity As Moderating Variable. </w:t>
      </w:r>
      <w:r w:rsidRPr="00BB6978">
        <w:rPr>
          <w:rFonts w:asciiTheme="majorBidi" w:hAnsiTheme="majorBidi" w:cstheme="majorBidi"/>
          <w:i/>
          <w:iCs/>
          <w:sz w:val="24"/>
          <w:szCs w:val="24"/>
        </w:rPr>
        <w:t>PSYCHOLOGY AND EDUCATION</w:t>
      </w:r>
      <w:r w:rsidRPr="00BB6978">
        <w:rPr>
          <w:rFonts w:asciiTheme="majorBidi" w:hAnsiTheme="majorBidi" w:cstheme="majorBidi"/>
          <w:sz w:val="24"/>
          <w:szCs w:val="24"/>
        </w:rPr>
        <w:t>, </w:t>
      </w:r>
      <w:r w:rsidRPr="00BB6978">
        <w:rPr>
          <w:rFonts w:asciiTheme="majorBidi" w:hAnsiTheme="majorBidi" w:cstheme="majorBidi"/>
          <w:i/>
          <w:iCs/>
          <w:sz w:val="24"/>
          <w:szCs w:val="24"/>
        </w:rPr>
        <w:t>57</w:t>
      </w:r>
      <w:r w:rsidRPr="00BB6978">
        <w:rPr>
          <w:rFonts w:asciiTheme="majorBidi" w:hAnsiTheme="majorBidi" w:cstheme="majorBidi"/>
          <w:sz w:val="24"/>
          <w:szCs w:val="24"/>
        </w:rPr>
        <w:t>(9), 1196-1205.</w:t>
      </w:r>
      <w:r w:rsidRPr="00BB6978">
        <w:rPr>
          <w:rFonts w:asciiTheme="majorBidi" w:hAnsiTheme="majorBidi" w:cstheme="majorBidi"/>
          <w:sz w:val="24"/>
          <w:szCs w:val="24"/>
          <w:rtl/>
        </w:rPr>
        <w:t>‏</w:t>
      </w:r>
    </w:p>
    <w:p w14:paraId="7A82FFBF"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Sutriayu, S., Makhdalena, M., &amp; Sumarno, S.  (2020). Effect of Family Environment and Education Costs on Student Achievement with Interest in Reading as an Intervening Variable. </w:t>
      </w:r>
      <w:r w:rsidRPr="00BB6978">
        <w:rPr>
          <w:rFonts w:asciiTheme="majorBidi" w:hAnsiTheme="majorBidi" w:cstheme="majorBidi"/>
          <w:i/>
          <w:iCs/>
          <w:sz w:val="24"/>
          <w:szCs w:val="24"/>
        </w:rPr>
        <w:t>Journal of Educational Sciences</w:t>
      </w:r>
      <w:r w:rsidRPr="00BB6978">
        <w:rPr>
          <w:rFonts w:asciiTheme="majorBidi" w:hAnsiTheme="majorBidi" w:cstheme="majorBidi"/>
          <w:sz w:val="24"/>
          <w:szCs w:val="24"/>
        </w:rPr>
        <w:t>, </w:t>
      </w:r>
      <w:r w:rsidRPr="00BB6978">
        <w:rPr>
          <w:rFonts w:asciiTheme="majorBidi" w:hAnsiTheme="majorBidi" w:cstheme="majorBidi"/>
          <w:i/>
          <w:iCs/>
          <w:sz w:val="24"/>
          <w:szCs w:val="24"/>
        </w:rPr>
        <w:t>4</w:t>
      </w:r>
      <w:r w:rsidRPr="00BB6978">
        <w:rPr>
          <w:rFonts w:asciiTheme="majorBidi" w:hAnsiTheme="majorBidi" w:cstheme="majorBidi"/>
          <w:sz w:val="24"/>
          <w:szCs w:val="24"/>
        </w:rPr>
        <w:t>(1), 164-175.</w:t>
      </w:r>
      <w:r w:rsidRPr="00BB6978">
        <w:rPr>
          <w:rFonts w:asciiTheme="majorBidi" w:hAnsiTheme="majorBidi" w:cstheme="majorBidi"/>
          <w:sz w:val="24"/>
          <w:szCs w:val="24"/>
          <w:rtl/>
        </w:rPr>
        <w:t>‏</w:t>
      </w:r>
    </w:p>
    <w:p w14:paraId="7C2D4F90" w14:textId="1EC9AD3A" w:rsidR="00594896" w:rsidRPr="00BB6978" w:rsidRDefault="00594896" w:rsidP="00A44219">
      <w:pPr>
        <w:spacing w:line="480" w:lineRule="auto"/>
        <w:ind w:left="720" w:hanging="720"/>
        <w:rPr>
          <w:rFonts w:asciiTheme="majorBidi" w:eastAsia="Times New Roman" w:hAnsiTheme="majorBidi" w:cstheme="majorBidi"/>
          <w:sz w:val="24"/>
          <w:szCs w:val="24"/>
          <w:shd w:val="clear" w:color="auto" w:fill="FFFFFF"/>
        </w:rPr>
      </w:pPr>
      <w:r w:rsidRPr="00BB6978">
        <w:rPr>
          <w:rStyle w:val="contentpasted0"/>
          <w:rFonts w:asciiTheme="majorBidi" w:eastAsia="Times New Roman" w:hAnsiTheme="majorBidi" w:cstheme="majorBidi"/>
          <w:sz w:val="24"/>
          <w:szCs w:val="24"/>
          <w:shd w:val="clear" w:color="auto" w:fill="FFFFFF"/>
        </w:rPr>
        <w:t>Spaull, N. (2019). Equity: A price too high to pay?. </w:t>
      </w:r>
      <w:r w:rsidRPr="00BB6978">
        <w:rPr>
          <w:rStyle w:val="contentpasted0"/>
          <w:rFonts w:asciiTheme="majorBidi" w:eastAsia="Times New Roman" w:hAnsiTheme="majorBidi" w:cstheme="majorBidi"/>
          <w:i/>
          <w:iCs/>
          <w:sz w:val="24"/>
          <w:szCs w:val="24"/>
          <w:shd w:val="clear" w:color="auto" w:fill="FFFFFF"/>
        </w:rPr>
        <w:t>South African schooling: The Enigma of inequality: A study of the present situation and future possibilities</w:t>
      </w:r>
      <w:r w:rsidRPr="00BB6978">
        <w:rPr>
          <w:rStyle w:val="contentpasted0"/>
          <w:rFonts w:asciiTheme="majorBidi" w:eastAsia="Times New Roman" w:hAnsiTheme="majorBidi" w:cstheme="majorBidi"/>
          <w:sz w:val="24"/>
          <w:szCs w:val="24"/>
          <w:shd w:val="clear" w:color="auto" w:fill="FFFFFF"/>
        </w:rPr>
        <w:t>, 1-24.</w:t>
      </w:r>
      <w:r w:rsidRPr="00BB6978">
        <w:rPr>
          <w:rStyle w:val="contentpasted0"/>
          <w:rFonts w:asciiTheme="majorBidi" w:eastAsia="Times New Roman" w:hAnsiTheme="majorBidi" w:cstheme="majorBidi"/>
          <w:sz w:val="24"/>
          <w:szCs w:val="24"/>
          <w:shd w:val="clear" w:color="auto" w:fill="FFFFFF"/>
          <w:rtl/>
        </w:rPr>
        <w:t>‏</w:t>
      </w:r>
    </w:p>
    <w:p w14:paraId="4F813FAA" w14:textId="77777777" w:rsidR="00594896" w:rsidRPr="00BB6978" w:rsidRDefault="00594896" w:rsidP="00B14D43">
      <w:pPr>
        <w:spacing w:line="480" w:lineRule="auto"/>
        <w:ind w:left="720" w:hanging="720"/>
        <w:rPr>
          <w:rFonts w:asciiTheme="majorBidi" w:hAnsiTheme="majorBidi" w:cstheme="majorBidi"/>
          <w:sz w:val="24"/>
          <w:szCs w:val="24"/>
          <w:shd w:val="clear" w:color="auto" w:fill="FFFFFF"/>
        </w:rPr>
      </w:pPr>
      <w:bookmarkStart w:id="249" w:name="_Hlk138085230"/>
      <w:r w:rsidRPr="00BB6978">
        <w:rPr>
          <w:rFonts w:asciiTheme="majorBidi" w:hAnsiTheme="majorBidi" w:cstheme="majorBidi"/>
          <w:sz w:val="24"/>
          <w:szCs w:val="24"/>
          <w:shd w:val="clear" w:color="auto" w:fill="FFFFFF"/>
        </w:rPr>
        <w:t>Tamim, R. M., &amp; Colburn, L. K. (2019</w:t>
      </w:r>
      <w:bookmarkEnd w:id="249"/>
      <w:r w:rsidRPr="00BB6978">
        <w:rPr>
          <w:rFonts w:asciiTheme="majorBidi" w:hAnsiTheme="majorBidi" w:cstheme="majorBidi"/>
          <w:sz w:val="24"/>
          <w:szCs w:val="24"/>
          <w:shd w:val="clear" w:color="auto" w:fill="FFFFFF"/>
        </w:rPr>
        <w:t>). In Quest of educational quality in the UAE. </w:t>
      </w:r>
      <w:r w:rsidRPr="00BB6978">
        <w:rPr>
          <w:rFonts w:asciiTheme="majorBidi" w:hAnsiTheme="majorBidi" w:cstheme="majorBidi"/>
          <w:i/>
          <w:iCs/>
          <w:sz w:val="24"/>
          <w:szCs w:val="24"/>
          <w:shd w:val="clear" w:color="auto" w:fill="FFFFFF"/>
        </w:rPr>
        <w:t>Education in the United Arab Emirates: Innovation and Transformation</w:t>
      </w:r>
      <w:r w:rsidRPr="00BB6978">
        <w:rPr>
          <w:rFonts w:asciiTheme="majorBidi" w:hAnsiTheme="majorBidi" w:cstheme="majorBidi"/>
          <w:sz w:val="24"/>
          <w:szCs w:val="24"/>
          <w:shd w:val="clear" w:color="auto" w:fill="FFFFFF"/>
        </w:rPr>
        <w:t>, 161-179.</w:t>
      </w:r>
    </w:p>
    <w:p w14:paraId="40BD8C13" w14:textId="3A0746C3" w:rsidR="00594896" w:rsidRPr="00BB6978" w:rsidRDefault="00594896" w:rsidP="00A44219">
      <w:pPr>
        <w:spacing w:line="480" w:lineRule="auto"/>
        <w:ind w:left="720" w:hanging="720"/>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 xml:space="preserve">Teach Away. (2023, March). Abu Dhabi FAQs: Most asked questions about living and working in Abu Dhabi. </w:t>
      </w:r>
      <w:hyperlink r:id="rId95" w:history="1">
        <w:r w:rsidRPr="00BB6978">
          <w:rPr>
            <w:rStyle w:val="Hyperlink"/>
            <w:rFonts w:asciiTheme="majorBidi" w:hAnsiTheme="majorBidi" w:cstheme="majorBidi"/>
            <w:color w:val="auto"/>
            <w:sz w:val="24"/>
            <w:szCs w:val="24"/>
            <w:shd w:val="clear" w:color="auto" w:fill="FFFFFF"/>
          </w:rPr>
          <w:t>https://www.teachaway.com/blog/abu-dhabi-faqs</w:t>
        </w:r>
      </w:hyperlink>
    </w:p>
    <w:p w14:paraId="0E9A358E"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Tekwe, C. D., Carter, R. L., Ma, C. X., Algina, J., Lucas, M. E., Roth, J., ... &amp; Resnick, M. B. (2004). An empirical comparison of statistical models for value-added assessment of school performance. </w:t>
      </w:r>
      <w:r w:rsidRPr="00BB6978">
        <w:rPr>
          <w:rFonts w:asciiTheme="majorBidi" w:hAnsiTheme="majorBidi" w:cstheme="majorBidi"/>
          <w:i/>
          <w:iCs/>
          <w:sz w:val="24"/>
          <w:szCs w:val="24"/>
        </w:rPr>
        <w:t>Journal of Educational and Behavioral Statistics</w:t>
      </w:r>
      <w:r w:rsidRPr="00BB6978">
        <w:rPr>
          <w:rFonts w:asciiTheme="majorBidi" w:hAnsiTheme="majorBidi" w:cstheme="majorBidi"/>
          <w:sz w:val="24"/>
          <w:szCs w:val="24"/>
        </w:rPr>
        <w:t>, </w:t>
      </w:r>
      <w:r w:rsidRPr="00BB6978">
        <w:rPr>
          <w:rFonts w:asciiTheme="majorBidi" w:hAnsiTheme="majorBidi" w:cstheme="majorBidi"/>
          <w:i/>
          <w:iCs/>
          <w:sz w:val="24"/>
          <w:szCs w:val="24"/>
        </w:rPr>
        <w:t>29</w:t>
      </w:r>
      <w:r w:rsidRPr="00BB6978">
        <w:rPr>
          <w:rFonts w:asciiTheme="majorBidi" w:hAnsiTheme="majorBidi" w:cstheme="majorBidi"/>
          <w:sz w:val="24"/>
          <w:szCs w:val="24"/>
        </w:rPr>
        <w:t>(1), 11-36.</w:t>
      </w:r>
      <w:r w:rsidRPr="00BB6978">
        <w:rPr>
          <w:rFonts w:asciiTheme="majorBidi" w:hAnsiTheme="majorBidi" w:cstheme="majorBidi"/>
          <w:sz w:val="24"/>
          <w:szCs w:val="24"/>
          <w:rtl/>
        </w:rPr>
        <w:t>‏</w:t>
      </w:r>
    </w:p>
    <w:p w14:paraId="2A529F64" w14:textId="443285A0" w:rsidR="00594896" w:rsidRPr="00BB6978" w:rsidRDefault="00676834" w:rsidP="00A44219">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Test, F. (1992). What’s wrong with standardized tests. Cambridge, MA: National Center for Fair and Open Testing.(ERIC Document Reproduction Services No. ED 296 813).</w:t>
      </w:r>
      <w:r w:rsidRPr="00BB6978">
        <w:rPr>
          <w:rFonts w:asciiTheme="majorBidi" w:hAnsiTheme="majorBidi" w:cstheme="majorBidi"/>
          <w:sz w:val="24"/>
          <w:szCs w:val="24"/>
          <w:rtl/>
        </w:rPr>
        <w:t>‏</w:t>
      </w:r>
    </w:p>
    <w:p w14:paraId="5DEC3754"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Thacker, S. and Cuadra, E., 2014. The Road Traveled: Dubai's Journey towards Improving Private Education. A World Bank Review. World Bank. Retrieved from: </w:t>
      </w:r>
      <w:hyperlink r:id="rId96" w:history="1">
        <w:r w:rsidRPr="00BB6978">
          <w:rPr>
            <w:rFonts w:asciiTheme="majorBidi" w:hAnsiTheme="majorBidi" w:cstheme="majorBidi"/>
            <w:sz w:val="24"/>
            <w:szCs w:val="24"/>
          </w:rPr>
          <w:t>http://www.worldbank.org/en/region/mena/publication/the-road-traveled-dubais-journey-towards-improving-private-education</w:t>
        </w:r>
      </w:hyperlink>
    </w:p>
    <w:p w14:paraId="4A136729"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Thapa, A., Cohen, J., Guffey, S., &amp; Higgins-D’Alessandro, A. (2013). A review of school climate research. </w:t>
      </w:r>
      <w:r w:rsidRPr="00BB6978">
        <w:rPr>
          <w:rFonts w:asciiTheme="majorBidi" w:hAnsiTheme="majorBidi" w:cstheme="majorBidi"/>
          <w:i/>
          <w:iCs/>
          <w:sz w:val="24"/>
          <w:szCs w:val="24"/>
        </w:rPr>
        <w:t>Review of educational research</w:t>
      </w:r>
      <w:r w:rsidRPr="00BB6978">
        <w:rPr>
          <w:rFonts w:asciiTheme="majorBidi" w:hAnsiTheme="majorBidi" w:cstheme="majorBidi"/>
          <w:sz w:val="24"/>
          <w:szCs w:val="24"/>
        </w:rPr>
        <w:t>, </w:t>
      </w:r>
      <w:r w:rsidRPr="00BB6978">
        <w:rPr>
          <w:rFonts w:asciiTheme="majorBidi" w:hAnsiTheme="majorBidi" w:cstheme="majorBidi"/>
          <w:i/>
          <w:iCs/>
          <w:sz w:val="24"/>
          <w:szCs w:val="24"/>
        </w:rPr>
        <w:t>83</w:t>
      </w:r>
      <w:r w:rsidRPr="00BB6978">
        <w:rPr>
          <w:rFonts w:asciiTheme="majorBidi" w:hAnsiTheme="majorBidi" w:cstheme="majorBidi"/>
          <w:sz w:val="24"/>
          <w:szCs w:val="24"/>
        </w:rPr>
        <w:t>(3), 357-385.</w:t>
      </w:r>
      <w:r w:rsidRPr="00BB6978">
        <w:rPr>
          <w:rFonts w:asciiTheme="majorBidi" w:hAnsiTheme="majorBidi" w:cstheme="majorBidi"/>
          <w:sz w:val="24"/>
          <w:szCs w:val="24"/>
          <w:rtl/>
        </w:rPr>
        <w:t>‏</w:t>
      </w:r>
    </w:p>
    <w:p w14:paraId="65695AF9"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The National. (2016). Student assessment program introduced to Abu Dhabi public schools. Retrieved from </w:t>
      </w:r>
      <w:hyperlink r:id="rId97" w:history="1">
        <w:r w:rsidRPr="00BB6978">
          <w:rPr>
            <w:rFonts w:asciiTheme="majorBidi" w:hAnsiTheme="majorBidi" w:cstheme="majorBidi"/>
            <w:sz w:val="24"/>
            <w:szCs w:val="24"/>
            <w:u w:val="single"/>
          </w:rPr>
          <w:t>Student assessment programme introduced to Abu Dhabi public schools (thenationalnews.com)</w:t>
        </w:r>
      </w:hyperlink>
    </w:p>
    <w:p w14:paraId="52C32B88" w14:textId="613D1C58" w:rsidR="00594896" w:rsidRPr="00BB6978" w:rsidRDefault="00676834" w:rsidP="00A44219">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The World Bank, (2021). United Arab Emirates Data. Retrieved from </w:t>
      </w:r>
      <w:hyperlink r:id="rId98" w:history="1">
        <w:r w:rsidRPr="00BB6978">
          <w:rPr>
            <w:rFonts w:asciiTheme="majorBidi" w:hAnsiTheme="majorBidi" w:cstheme="majorBidi"/>
            <w:sz w:val="24"/>
            <w:szCs w:val="24"/>
            <w:u w:val="single"/>
          </w:rPr>
          <w:t>United Arab Emirates | Data (worldbank.org)</w:t>
        </w:r>
      </w:hyperlink>
    </w:p>
    <w:p w14:paraId="3FF71F9E" w14:textId="77777777" w:rsidR="00594896" w:rsidRPr="00BB6978" w:rsidRDefault="00594896" w:rsidP="00B14D43">
      <w:pPr>
        <w:spacing w:line="480" w:lineRule="auto"/>
        <w:ind w:left="720" w:hanging="720"/>
        <w:rPr>
          <w:rStyle w:val="contentpasted4"/>
          <w:rFonts w:asciiTheme="majorBidi" w:eastAsia="Times New Roman" w:hAnsiTheme="majorBidi"/>
          <w:sz w:val="24"/>
          <w:szCs w:val="24"/>
          <w:shd w:val="clear" w:color="auto" w:fill="FFFFFF"/>
        </w:rPr>
      </w:pPr>
      <w:bookmarkStart w:id="250" w:name="_Hlk137913069"/>
      <w:r w:rsidRPr="00BB6978">
        <w:rPr>
          <w:rStyle w:val="contentpasted4"/>
          <w:rFonts w:asciiTheme="majorBidi" w:eastAsia="Times New Roman" w:hAnsiTheme="majorBidi"/>
          <w:sz w:val="24"/>
          <w:szCs w:val="24"/>
          <w:shd w:val="clear" w:color="auto" w:fill="FFFFFF"/>
        </w:rPr>
        <w:t>Thomas</w:t>
      </w:r>
      <w:bookmarkEnd w:id="250"/>
      <w:r w:rsidRPr="00BB6978">
        <w:rPr>
          <w:rStyle w:val="contentpasted4"/>
          <w:rFonts w:asciiTheme="majorBidi" w:eastAsia="Times New Roman" w:hAnsiTheme="majorBidi"/>
          <w:sz w:val="24"/>
          <w:szCs w:val="24"/>
          <w:shd w:val="clear" w:color="auto" w:fill="FFFFFF"/>
        </w:rPr>
        <w:t>, V., Muls, J., De Backer, F., &amp; Lombaerts, K. (2020). Middle school student and parent perceptions of parental involvement: Unravelling the associations with school achievement and wellbeing. </w:t>
      </w:r>
      <w:r w:rsidRPr="00BB6978">
        <w:rPr>
          <w:rStyle w:val="contentpasted4"/>
          <w:rFonts w:asciiTheme="majorBidi" w:eastAsia="Times New Roman" w:hAnsiTheme="majorBidi"/>
          <w:i/>
          <w:iCs/>
          <w:sz w:val="24"/>
          <w:szCs w:val="24"/>
          <w:shd w:val="clear" w:color="auto" w:fill="FFFFFF"/>
        </w:rPr>
        <w:t>Educational Studies</w:t>
      </w:r>
      <w:r w:rsidRPr="00BB6978">
        <w:rPr>
          <w:rStyle w:val="contentpasted4"/>
          <w:rFonts w:asciiTheme="majorBidi" w:eastAsia="Times New Roman" w:hAnsiTheme="majorBidi"/>
          <w:sz w:val="24"/>
          <w:szCs w:val="24"/>
          <w:shd w:val="clear" w:color="auto" w:fill="FFFFFF"/>
        </w:rPr>
        <w:t>, </w:t>
      </w:r>
      <w:r w:rsidRPr="00BB6978">
        <w:rPr>
          <w:rStyle w:val="contentpasted4"/>
          <w:rFonts w:asciiTheme="majorBidi" w:eastAsia="Times New Roman" w:hAnsiTheme="majorBidi"/>
          <w:i/>
          <w:iCs/>
          <w:sz w:val="24"/>
          <w:szCs w:val="24"/>
          <w:shd w:val="clear" w:color="auto" w:fill="FFFFFF"/>
        </w:rPr>
        <w:t>46</w:t>
      </w:r>
      <w:r w:rsidRPr="00BB6978">
        <w:rPr>
          <w:rStyle w:val="contentpasted4"/>
          <w:rFonts w:asciiTheme="majorBidi" w:eastAsia="Times New Roman" w:hAnsiTheme="majorBidi"/>
          <w:sz w:val="24"/>
          <w:szCs w:val="24"/>
          <w:shd w:val="clear" w:color="auto" w:fill="FFFFFF"/>
        </w:rPr>
        <w:t>(4), 404-421.</w:t>
      </w:r>
      <w:r w:rsidRPr="00BB6978">
        <w:rPr>
          <w:rStyle w:val="contentpasted4"/>
          <w:rFonts w:asciiTheme="majorBidi" w:eastAsia="Times New Roman" w:hAnsiTheme="majorBidi"/>
          <w:sz w:val="24"/>
          <w:szCs w:val="24"/>
          <w:shd w:val="clear" w:color="auto" w:fill="FFFFFF"/>
          <w:rtl/>
        </w:rPr>
        <w:t>‏</w:t>
      </w:r>
    </w:p>
    <w:p w14:paraId="0FC627F2" w14:textId="77777777" w:rsidR="00594896" w:rsidRPr="00BB6978" w:rsidRDefault="00594896" w:rsidP="00B14D43">
      <w:pPr>
        <w:spacing w:line="480" w:lineRule="auto"/>
        <w:ind w:left="720" w:hanging="720"/>
        <w:rPr>
          <w:rFonts w:asciiTheme="majorBidi" w:hAnsiTheme="majorBidi" w:cstheme="majorBidi"/>
          <w:sz w:val="24"/>
          <w:szCs w:val="24"/>
        </w:rPr>
      </w:pPr>
    </w:p>
    <w:p w14:paraId="48A318D0" w14:textId="00755847" w:rsidR="00594896" w:rsidRPr="00BB6978" w:rsidRDefault="00676834" w:rsidP="00A44219">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Thomson, S. (2018). Achievement at school and socioeconomic background—an educational perspective. npj Science of Learning, 3(1), 1-2.</w:t>
      </w:r>
      <w:r w:rsidRPr="00BB6978">
        <w:rPr>
          <w:rFonts w:asciiTheme="majorBidi" w:hAnsiTheme="majorBidi" w:cstheme="majorBidi"/>
          <w:sz w:val="24"/>
          <w:szCs w:val="24"/>
          <w:rtl/>
        </w:rPr>
        <w:t>‏</w:t>
      </w:r>
    </w:p>
    <w:p w14:paraId="18117454"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Thornton, B., &amp; Arbogast, G. (2014). Factors Affecting School Quality in Florida. </w:t>
      </w:r>
      <w:r w:rsidRPr="00BB6978">
        <w:rPr>
          <w:rFonts w:asciiTheme="majorBidi" w:hAnsiTheme="majorBidi" w:cstheme="majorBidi"/>
          <w:i/>
          <w:iCs/>
          <w:sz w:val="24"/>
          <w:szCs w:val="24"/>
        </w:rPr>
        <w:t>Contemporary Issues in Education Research</w:t>
      </w:r>
      <w:r w:rsidRPr="00BB6978">
        <w:rPr>
          <w:rFonts w:asciiTheme="majorBidi" w:hAnsiTheme="majorBidi" w:cstheme="majorBidi"/>
          <w:sz w:val="24"/>
          <w:szCs w:val="24"/>
        </w:rPr>
        <w:t>, </w:t>
      </w:r>
      <w:r w:rsidRPr="00BB6978">
        <w:rPr>
          <w:rFonts w:asciiTheme="majorBidi" w:hAnsiTheme="majorBidi" w:cstheme="majorBidi"/>
          <w:i/>
          <w:iCs/>
          <w:sz w:val="24"/>
          <w:szCs w:val="24"/>
        </w:rPr>
        <w:t>7</w:t>
      </w:r>
      <w:r w:rsidRPr="00BB6978">
        <w:rPr>
          <w:rFonts w:asciiTheme="majorBidi" w:hAnsiTheme="majorBidi" w:cstheme="majorBidi"/>
          <w:sz w:val="24"/>
          <w:szCs w:val="24"/>
        </w:rPr>
        <w:t>(2), 69-74.</w:t>
      </w:r>
      <w:r w:rsidRPr="00BB6978">
        <w:rPr>
          <w:rFonts w:asciiTheme="majorBidi" w:hAnsiTheme="majorBidi" w:cstheme="majorBidi"/>
          <w:sz w:val="24"/>
          <w:szCs w:val="24"/>
          <w:rtl/>
        </w:rPr>
        <w:t>‏</w:t>
      </w:r>
    </w:p>
    <w:p w14:paraId="70A88990"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Tong, Y. (2010). Place of education, gender disparity, and assimilation of immigrant scientists and engineers earnings. </w:t>
      </w:r>
      <w:r w:rsidRPr="00BB6978">
        <w:rPr>
          <w:rFonts w:asciiTheme="majorBidi" w:hAnsiTheme="majorBidi" w:cstheme="majorBidi"/>
          <w:i/>
          <w:iCs/>
          <w:sz w:val="24"/>
          <w:szCs w:val="24"/>
        </w:rPr>
        <w:t>Social Science Research</w:t>
      </w:r>
      <w:r w:rsidRPr="00BB6978">
        <w:rPr>
          <w:rFonts w:asciiTheme="majorBidi" w:hAnsiTheme="majorBidi" w:cstheme="majorBidi"/>
          <w:sz w:val="24"/>
          <w:szCs w:val="24"/>
        </w:rPr>
        <w:t>, </w:t>
      </w:r>
      <w:r w:rsidRPr="00BB6978">
        <w:rPr>
          <w:rFonts w:asciiTheme="majorBidi" w:hAnsiTheme="majorBidi" w:cstheme="majorBidi"/>
          <w:i/>
          <w:iCs/>
          <w:sz w:val="24"/>
          <w:szCs w:val="24"/>
        </w:rPr>
        <w:t>39</w:t>
      </w:r>
      <w:r w:rsidRPr="00BB6978">
        <w:rPr>
          <w:rFonts w:asciiTheme="majorBidi" w:hAnsiTheme="majorBidi" w:cstheme="majorBidi"/>
          <w:sz w:val="24"/>
          <w:szCs w:val="24"/>
        </w:rPr>
        <w:t>(4), 610-626.</w:t>
      </w:r>
      <w:r w:rsidRPr="00BB6978">
        <w:rPr>
          <w:rFonts w:asciiTheme="majorBidi" w:hAnsiTheme="majorBidi" w:cstheme="majorBidi"/>
          <w:sz w:val="24"/>
          <w:szCs w:val="24"/>
          <w:rtl/>
        </w:rPr>
        <w:t>‏</w:t>
      </w:r>
    </w:p>
    <w:p w14:paraId="0CB24B5B"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Tooley, J., Dixon, P., Shamsan, Y. &amp; Schagen, I. (2010). The relative quality and cost-effectiveness of private and public schools for low-income families: A case study in a developing country. School Effectiveness and School Improvement. 21 (2). pp. 117–144.</w:t>
      </w:r>
    </w:p>
    <w:p w14:paraId="2F01A738"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TOOLEY, J., Y. BAO, P. DIXON, AND J. MERRIFIELD (2011): “School choice and academic performance: Some evidence from developing countries,” Journal of School Choice, 5(1), 1–39.</w:t>
      </w:r>
    </w:p>
    <w:p w14:paraId="6D78DBEB" w14:textId="77777777" w:rsidR="00676834" w:rsidRPr="00BB6978" w:rsidRDefault="00676834" w:rsidP="00B14D43">
      <w:pPr>
        <w:spacing w:line="480" w:lineRule="auto"/>
        <w:ind w:left="567" w:hanging="567"/>
        <w:jc w:val="both"/>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Udayakumar, K., Rajendran, S., &amp; Rani, A. S. (2022). SOCIO-ECONOMIC STATUS IMPACT ON ACADEMIC PERFORMANCE OF HIGHER SECONDARY STUDENTS–A REGRESSION ANALYSIS. </w:t>
      </w:r>
      <w:r w:rsidRPr="00BB6978">
        <w:rPr>
          <w:rFonts w:asciiTheme="majorBidi" w:hAnsiTheme="majorBidi" w:cstheme="majorBidi"/>
          <w:i/>
          <w:iCs/>
          <w:sz w:val="24"/>
          <w:szCs w:val="24"/>
          <w:shd w:val="clear" w:color="auto" w:fill="FFFFFF"/>
        </w:rPr>
        <w:t>Journal of Positive School Psychology</w:t>
      </w:r>
      <w:r w:rsidRPr="00BB6978">
        <w:rPr>
          <w:rFonts w:asciiTheme="majorBidi" w:hAnsiTheme="majorBidi" w:cstheme="majorBidi"/>
          <w:sz w:val="24"/>
          <w:szCs w:val="24"/>
          <w:shd w:val="clear" w:color="auto" w:fill="FFFFFF"/>
        </w:rPr>
        <w:t>, 5612-5626.</w:t>
      </w:r>
    </w:p>
    <w:p w14:paraId="5099B8A3" w14:textId="77777777" w:rsidR="00676834" w:rsidRPr="00BB6978" w:rsidRDefault="00676834" w:rsidP="00B14D43">
      <w:pPr>
        <w:spacing w:line="480" w:lineRule="auto"/>
        <w:ind w:left="720" w:hanging="720"/>
        <w:rPr>
          <w:rFonts w:asciiTheme="majorBidi" w:hAnsiTheme="majorBidi" w:cstheme="majorBidi"/>
          <w:sz w:val="24"/>
          <w:szCs w:val="24"/>
          <w:u w:val="single"/>
        </w:rPr>
      </w:pPr>
      <w:r w:rsidRPr="00BB6978">
        <w:rPr>
          <w:rFonts w:asciiTheme="majorBidi" w:hAnsiTheme="majorBidi" w:cstheme="majorBidi"/>
          <w:sz w:val="24"/>
          <w:szCs w:val="24"/>
        </w:rPr>
        <w:t xml:space="preserve">UNICEF annual report, (2000). United Nations Digital Library. Retrieved from </w:t>
      </w:r>
      <w:hyperlink r:id="rId99" w:history="1">
        <w:r w:rsidRPr="00BB6978">
          <w:rPr>
            <w:rFonts w:asciiTheme="majorBidi" w:hAnsiTheme="majorBidi" w:cstheme="majorBidi"/>
            <w:sz w:val="24"/>
            <w:szCs w:val="24"/>
            <w:u w:val="single"/>
          </w:rPr>
          <w:t>UNICEF annual report. 2000</w:t>
        </w:r>
      </w:hyperlink>
    </w:p>
    <w:p w14:paraId="344D1F34"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Van Ewijk, R., &amp; Sleegers, P. (2010). The effect of peer socioeconomic status on student achievement: A meta-analysis. </w:t>
      </w:r>
      <w:r w:rsidRPr="00BB6978">
        <w:rPr>
          <w:rFonts w:asciiTheme="majorBidi" w:hAnsiTheme="majorBidi" w:cstheme="majorBidi"/>
          <w:i/>
          <w:iCs/>
          <w:sz w:val="24"/>
          <w:szCs w:val="24"/>
        </w:rPr>
        <w:t>Educational research review</w:t>
      </w:r>
      <w:r w:rsidRPr="00BB6978">
        <w:rPr>
          <w:rFonts w:asciiTheme="majorBidi" w:hAnsiTheme="majorBidi" w:cstheme="majorBidi"/>
          <w:sz w:val="24"/>
          <w:szCs w:val="24"/>
        </w:rPr>
        <w:t>, </w:t>
      </w:r>
      <w:r w:rsidRPr="00BB6978">
        <w:rPr>
          <w:rFonts w:asciiTheme="majorBidi" w:hAnsiTheme="majorBidi" w:cstheme="majorBidi"/>
          <w:i/>
          <w:iCs/>
          <w:sz w:val="24"/>
          <w:szCs w:val="24"/>
        </w:rPr>
        <w:t>5</w:t>
      </w:r>
      <w:r w:rsidRPr="00BB6978">
        <w:rPr>
          <w:rFonts w:asciiTheme="majorBidi" w:hAnsiTheme="majorBidi" w:cstheme="majorBidi"/>
          <w:sz w:val="24"/>
          <w:szCs w:val="24"/>
        </w:rPr>
        <w:t>(2), 134-150.</w:t>
      </w:r>
      <w:r w:rsidRPr="00BB6978">
        <w:rPr>
          <w:rFonts w:asciiTheme="majorBidi" w:hAnsiTheme="majorBidi" w:cstheme="majorBidi"/>
          <w:sz w:val="24"/>
          <w:szCs w:val="24"/>
          <w:rtl/>
        </w:rPr>
        <w:t>‏</w:t>
      </w:r>
    </w:p>
    <w:p w14:paraId="0DB2ED81"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Vance, R. (2006). Employee Engagement and Commitment, SHRM.</w:t>
      </w:r>
      <w:r w:rsidRPr="00BB6978">
        <w:rPr>
          <w:rFonts w:asciiTheme="majorBidi" w:hAnsiTheme="majorBidi" w:cstheme="majorBidi"/>
          <w:sz w:val="24"/>
          <w:szCs w:val="24"/>
          <w:rtl/>
        </w:rPr>
        <w:t>‏</w:t>
      </w:r>
    </w:p>
    <w:p w14:paraId="244E18A6"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pacing w:val="-5"/>
          <w:sz w:val="24"/>
          <w:szCs w:val="24"/>
        </w:rPr>
        <w:t>Verstegen, D. A., &amp; King, R. A. (1998). The Relationship Between School Spending and Student Achievement: A Review and Analysis of 35 Years of Production Function Research. Journal of Education Finance, 24(2), 243–262.</w:t>
      </w:r>
    </w:p>
    <w:p w14:paraId="63146747"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Wang, M. T., Degol, J. L., Amemiya, J., Parr, A., &amp; Guo, J. (2020). Classroom climate and children’s academic and psychological wellbeing: A systematic review and meta-analysis. </w:t>
      </w:r>
      <w:r w:rsidRPr="00BB6978">
        <w:rPr>
          <w:rFonts w:asciiTheme="majorBidi" w:hAnsiTheme="majorBidi" w:cstheme="majorBidi"/>
          <w:i/>
          <w:iCs/>
          <w:sz w:val="24"/>
          <w:szCs w:val="24"/>
        </w:rPr>
        <w:t>Developmental Review</w:t>
      </w:r>
      <w:r w:rsidRPr="00BB6978">
        <w:rPr>
          <w:rFonts w:asciiTheme="majorBidi" w:hAnsiTheme="majorBidi" w:cstheme="majorBidi"/>
          <w:sz w:val="24"/>
          <w:szCs w:val="24"/>
        </w:rPr>
        <w:t>, </w:t>
      </w:r>
      <w:r w:rsidRPr="00BB6978">
        <w:rPr>
          <w:rFonts w:asciiTheme="majorBidi" w:hAnsiTheme="majorBidi" w:cstheme="majorBidi"/>
          <w:i/>
          <w:iCs/>
          <w:sz w:val="24"/>
          <w:szCs w:val="24"/>
        </w:rPr>
        <w:t>57</w:t>
      </w:r>
      <w:r w:rsidRPr="00BB6978">
        <w:rPr>
          <w:rFonts w:asciiTheme="majorBidi" w:hAnsiTheme="majorBidi" w:cstheme="majorBidi"/>
          <w:sz w:val="24"/>
          <w:szCs w:val="24"/>
        </w:rPr>
        <w:t>, 100912.</w:t>
      </w:r>
      <w:r w:rsidRPr="00BB6978">
        <w:rPr>
          <w:rFonts w:asciiTheme="majorBidi" w:hAnsiTheme="majorBidi" w:cstheme="majorBidi"/>
          <w:sz w:val="24"/>
          <w:szCs w:val="24"/>
          <w:rtl/>
        </w:rPr>
        <w:t>‏</w:t>
      </w:r>
    </w:p>
    <w:p w14:paraId="20CAF9DE" w14:textId="77777777" w:rsidR="00E12B10" w:rsidRPr="00BB6978" w:rsidRDefault="00E12B10" w:rsidP="00B14D43">
      <w:pPr>
        <w:spacing w:line="480" w:lineRule="auto"/>
        <w:rPr>
          <w:rFonts w:asciiTheme="majorBidi" w:hAnsiTheme="majorBidi" w:cstheme="majorBidi"/>
          <w:sz w:val="24"/>
          <w:szCs w:val="24"/>
          <w:lang w:val="en-US"/>
        </w:rPr>
      </w:pPr>
      <w:r w:rsidRPr="00BB6978">
        <w:rPr>
          <w:rFonts w:asciiTheme="majorBidi" w:hAnsiTheme="majorBidi" w:cstheme="majorBidi"/>
          <w:sz w:val="24"/>
          <w:szCs w:val="24"/>
          <w:lang w:val="en-US"/>
        </w:rPr>
        <w:t>Wang, M. T., &amp; Degol, J. L. (2016). School climate: A review of the construct, measurement, and impact on student outcomes. Educational Psychology Review, 28(2), 315-352.</w:t>
      </w:r>
    </w:p>
    <w:p w14:paraId="25E082C8"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Waters, J. T., &amp; Marzano, R. J. (2007). The primacy of superintendent leadership. </w:t>
      </w:r>
      <w:r w:rsidRPr="00BB6978">
        <w:rPr>
          <w:rFonts w:asciiTheme="majorBidi" w:hAnsiTheme="majorBidi" w:cstheme="majorBidi"/>
          <w:i/>
          <w:iCs/>
          <w:sz w:val="24"/>
          <w:szCs w:val="24"/>
        </w:rPr>
        <w:t>Noteworthy</w:t>
      </w:r>
      <w:r w:rsidRPr="00BB6978">
        <w:rPr>
          <w:rFonts w:asciiTheme="majorBidi" w:hAnsiTheme="majorBidi" w:cstheme="majorBidi"/>
          <w:sz w:val="24"/>
          <w:szCs w:val="24"/>
        </w:rPr>
        <w:t>, 16.</w:t>
      </w:r>
      <w:r w:rsidRPr="00BB6978">
        <w:rPr>
          <w:rFonts w:asciiTheme="majorBidi" w:hAnsiTheme="majorBidi" w:cstheme="majorBidi"/>
          <w:sz w:val="24"/>
          <w:szCs w:val="24"/>
          <w:rtl/>
        </w:rPr>
        <w:t>‏</w:t>
      </w:r>
    </w:p>
    <w:p w14:paraId="3105F0EC" w14:textId="77777777" w:rsidR="00676834" w:rsidRPr="00BB6978" w:rsidRDefault="00676834" w:rsidP="00B14D43">
      <w:pPr>
        <w:spacing w:line="480" w:lineRule="auto"/>
        <w:ind w:left="567" w:hanging="567"/>
        <w:jc w:val="both"/>
        <w:rPr>
          <w:rFonts w:asciiTheme="majorBidi" w:hAnsiTheme="majorBidi" w:cstheme="majorBidi"/>
          <w:sz w:val="24"/>
          <w:szCs w:val="24"/>
          <w:shd w:val="clear" w:color="auto" w:fill="FFFFFF"/>
        </w:rPr>
      </w:pPr>
      <w:r w:rsidRPr="00BB6978">
        <w:rPr>
          <w:rFonts w:asciiTheme="majorBidi" w:hAnsiTheme="majorBidi" w:cstheme="majorBidi"/>
          <w:sz w:val="24"/>
          <w:szCs w:val="24"/>
          <w:shd w:val="clear" w:color="auto" w:fill="FFFFFF"/>
        </w:rPr>
        <w:t>Watson, L., &amp; Ryan, C. (2010). Choosers and losers: The impact of government subsidies on Australian secondary schools. </w:t>
      </w:r>
      <w:r w:rsidRPr="00BB6978">
        <w:rPr>
          <w:rFonts w:asciiTheme="majorBidi" w:hAnsiTheme="majorBidi" w:cstheme="majorBidi"/>
          <w:i/>
          <w:iCs/>
          <w:sz w:val="24"/>
          <w:szCs w:val="24"/>
          <w:shd w:val="clear" w:color="auto" w:fill="FFFFFF"/>
        </w:rPr>
        <w:t>Australian Journal of Education</w:t>
      </w:r>
      <w:r w:rsidRPr="00BB6978">
        <w:rPr>
          <w:rFonts w:asciiTheme="majorBidi" w:hAnsiTheme="majorBidi" w:cstheme="majorBidi"/>
          <w:sz w:val="24"/>
          <w:szCs w:val="24"/>
          <w:shd w:val="clear" w:color="auto" w:fill="FFFFFF"/>
        </w:rPr>
        <w:t>, </w:t>
      </w:r>
      <w:r w:rsidRPr="00BB6978">
        <w:rPr>
          <w:rFonts w:asciiTheme="majorBidi" w:hAnsiTheme="majorBidi" w:cstheme="majorBidi"/>
          <w:i/>
          <w:iCs/>
          <w:sz w:val="24"/>
          <w:szCs w:val="24"/>
          <w:shd w:val="clear" w:color="auto" w:fill="FFFFFF"/>
        </w:rPr>
        <w:t>54</w:t>
      </w:r>
      <w:r w:rsidRPr="00BB6978">
        <w:rPr>
          <w:rFonts w:asciiTheme="majorBidi" w:hAnsiTheme="majorBidi" w:cstheme="majorBidi"/>
          <w:sz w:val="24"/>
          <w:szCs w:val="24"/>
          <w:shd w:val="clear" w:color="auto" w:fill="FFFFFF"/>
        </w:rPr>
        <w:t>(1), 86-107.</w:t>
      </w:r>
    </w:p>
    <w:p w14:paraId="4BF86566"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WENR (2018): Education in the United Arab Emirates, World Education News Plus Reviews, Retrieved from https://wenr.wes.org/2018/08/education-in-the-united-arabemirates</w:t>
      </w:r>
    </w:p>
    <w:p w14:paraId="1356E7D4"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 xml:space="preserve">Which school advisor. (2020). Best Schools in Abu Dhabi, and Why?. </w:t>
      </w:r>
      <w:hyperlink r:id="rId100" w:history="1">
        <w:r w:rsidRPr="00BB6978">
          <w:rPr>
            <w:rFonts w:asciiTheme="majorBidi" w:hAnsiTheme="majorBidi" w:cstheme="majorBidi"/>
            <w:sz w:val="24"/>
            <w:szCs w:val="24"/>
          </w:rPr>
          <w:t>Best Schools in Abu Dhabi, and Why? (whichschooladvisor.com)</w:t>
        </w:r>
      </w:hyperlink>
    </w:p>
    <w:p w14:paraId="08086777"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Williams, J. H. (2001). On school quality and attainment. </w:t>
      </w:r>
      <w:r w:rsidRPr="00BB6978">
        <w:rPr>
          <w:rFonts w:asciiTheme="majorBidi" w:hAnsiTheme="majorBidi" w:cstheme="majorBidi"/>
          <w:i/>
          <w:iCs/>
          <w:sz w:val="24"/>
          <w:szCs w:val="24"/>
        </w:rPr>
        <w:t>Learning for a future: Refugee education in developing countries</w:t>
      </w:r>
      <w:r w:rsidRPr="00BB6978">
        <w:rPr>
          <w:rFonts w:asciiTheme="majorBidi" w:hAnsiTheme="majorBidi" w:cstheme="majorBidi"/>
          <w:sz w:val="24"/>
          <w:szCs w:val="24"/>
        </w:rPr>
        <w:t>, 85-108.</w:t>
      </w:r>
      <w:r w:rsidRPr="00BB6978">
        <w:rPr>
          <w:rFonts w:asciiTheme="majorBidi" w:hAnsiTheme="majorBidi" w:cstheme="majorBidi"/>
          <w:sz w:val="24"/>
          <w:szCs w:val="24"/>
          <w:rtl/>
        </w:rPr>
        <w:t>‏</w:t>
      </w:r>
    </w:p>
    <w:p w14:paraId="45760397"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Woessmann, L. (2016). The importance of school systems: Evidence from international differences in student achievement. </w:t>
      </w:r>
      <w:r w:rsidRPr="00BB6978">
        <w:rPr>
          <w:rFonts w:asciiTheme="majorBidi" w:hAnsiTheme="majorBidi" w:cstheme="majorBidi"/>
          <w:i/>
          <w:iCs/>
          <w:sz w:val="24"/>
          <w:szCs w:val="24"/>
        </w:rPr>
        <w:t>Journal of Economic Perspectives</w:t>
      </w:r>
      <w:r w:rsidRPr="00BB6978">
        <w:rPr>
          <w:rFonts w:asciiTheme="majorBidi" w:hAnsiTheme="majorBidi" w:cstheme="majorBidi"/>
          <w:sz w:val="24"/>
          <w:szCs w:val="24"/>
        </w:rPr>
        <w:t>, </w:t>
      </w:r>
      <w:r w:rsidRPr="00BB6978">
        <w:rPr>
          <w:rFonts w:asciiTheme="majorBidi" w:hAnsiTheme="majorBidi" w:cstheme="majorBidi"/>
          <w:i/>
          <w:iCs/>
          <w:sz w:val="24"/>
          <w:szCs w:val="24"/>
        </w:rPr>
        <w:t>30</w:t>
      </w:r>
      <w:r w:rsidRPr="00BB6978">
        <w:rPr>
          <w:rFonts w:asciiTheme="majorBidi" w:hAnsiTheme="majorBidi" w:cstheme="majorBidi"/>
          <w:sz w:val="24"/>
          <w:szCs w:val="24"/>
        </w:rPr>
        <w:t>(3), 3-32.</w:t>
      </w:r>
      <w:r w:rsidRPr="00BB6978">
        <w:rPr>
          <w:rFonts w:asciiTheme="majorBidi" w:hAnsiTheme="majorBidi" w:cstheme="majorBidi"/>
          <w:sz w:val="24"/>
          <w:szCs w:val="24"/>
          <w:rtl/>
        </w:rPr>
        <w:t>‏</w:t>
      </w:r>
    </w:p>
    <w:p w14:paraId="5B749D02" w14:textId="77777777" w:rsidR="00676834" w:rsidRPr="00BB6978" w:rsidRDefault="00676834" w:rsidP="00B14D43">
      <w:pPr>
        <w:spacing w:before="240" w:after="200" w:line="480" w:lineRule="auto"/>
        <w:ind w:left="709" w:hanging="709"/>
        <w:rPr>
          <w:rFonts w:asciiTheme="majorBidi" w:eastAsia="Times New Roman" w:hAnsiTheme="majorBidi" w:cstheme="majorBidi"/>
          <w:sz w:val="24"/>
          <w:szCs w:val="24"/>
        </w:rPr>
      </w:pPr>
      <w:r w:rsidRPr="00BB6978">
        <w:rPr>
          <w:rFonts w:asciiTheme="majorBidi" w:hAnsiTheme="majorBidi" w:cstheme="majorBidi"/>
          <w:sz w:val="24"/>
          <w:szCs w:val="24"/>
        </w:rPr>
        <w:t xml:space="preserve">Woodhead, M., Frost, M., &amp; James, Z. (2013). Does growth in private schooling contribute to education for all? Evidence from a longitudinal, two-cohort study in Andhra Pradesh, India. </w:t>
      </w:r>
      <w:r w:rsidRPr="00BB6978">
        <w:rPr>
          <w:rFonts w:asciiTheme="majorBidi" w:hAnsiTheme="majorBidi" w:cstheme="majorBidi"/>
          <w:i/>
          <w:iCs/>
          <w:sz w:val="24"/>
          <w:szCs w:val="24"/>
        </w:rPr>
        <w:t>International Journal of Educational Development, 33</w:t>
      </w:r>
      <w:r w:rsidRPr="00BB6978">
        <w:rPr>
          <w:rFonts w:asciiTheme="majorBidi" w:hAnsiTheme="majorBidi" w:cstheme="majorBidi"/>
          <w:sz w:val="24"/>
          <w:szCs w:val="24"/>
        </w:rPr>
        <w:t>(1), 65–73.</w:t>
      </w:r>
    </w:p>
    <w:p w14:paraId="23B837CF"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Xhaferi, B. (2017). The impact of quality teaching on student achievement. Contemporary Educational Researches Journal. 7 (4). pp. 150–157.</w:t>
      </w:r>
    </w:p>
    <w:p w14:paraId="6D41D11F"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Yaacob, N. A., Osman, M. M., &amp; Bachok, S. (2014). Factors influencing parents’ decision in choosing private schools. </w:t>
      </w:r>
      <w:r w:rsidRPr="00BB6978">
        <w:rPr>
          <w:rFonts w:asciiTheme="majorBidi" w:hAnsiTheme="majorBidi" w:cstheme="majorBidi"/>
          <w:i/>
          <w:iCs/>
          <w:sz w:val="24"/>
          <w:szCs w:val="24"/>
        </w:rPr>
        <w:t>Procedia-Social and Behavioral Sciences</w:t>
      </w:r>
      <w:r w:rsidRPr="00BB6978">
        <w:rPr>
          <w:rFonts w:asciiTheme="majorBidi" w:hAnsiTheme="majorBidi" w:cstheme="majorBidi"/>
          <w:sz w:val="24"/>
          <w:szCs w:val="24"/>
        </w:rPr>
        <w:t>, </w:t>
      </w:r>
      <w:r w:rsidRPr="00BB6978">
        <w:rPr>
          <w:rFonts w:asciiTheme="majorBidi" w:hAnsiTheme="majorBidi" w:cstheme="majorBidi"/>
          <w:i/>
          <w:iCs/>
          <w:sz w:val="24"/>
          <w:szCs w:val="24"/>
        </w:rPr>
        <w:t>153</w:t>
      </w:r>
      <w:r w:rsidRPr="00BB6978">
        <w:rPr>
          <w:rFonts w:asciiTheme="majorBidi" w:hAnsiTheme="majorBidi" w:cstheme="majorBidi"/>
          <w:sz w:val="24"/>
          <w:szCs w:val="24"/>
        </w:rPr>
        <w:t>, 242-253.</w:t>
      </w:r>
      <w:r w:rsidRPr="00BB6978">
        <w:rPr>
          <w:rFonts w:asciiTheme="majorBidi" w:hAnsiTheme="majorBidi" w:cstheme="majorBidi"/>
          <w:sz w:val="24"/>
          <w:szCs w:val="24"/>
          <w:rtl/>
        </w:rPr>
        <w:t>‏</w:t>
      </w:r>
    </w:p>
    <w:p w14:paraId="110072B3" w14:textId="77777777"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Yang, C., Bear, G. G., &amp; May, H. (2018). Multilevel associations between school-wide social–emotional learning approach and student engagement across elementary, middle, and high schools. </w:t>
      </w:r>
      <w:r w:rsidRPr="00BB6978">
        <w:rPr>
          <w:rFonts w:asciiTheme="majorBidi" w:hAnsiTheme="majorBidi" w:cstheme="majorBidi"/>
          <w:i/>
          <w:iCs/>
          <w:sz w:val="24"/>
          <w:szCs w:val="24"/>
        </w:rPr>
        <w:t>School Psychology Review</w:t>
      </w:r>
      <w:r w:rsidRPr="00BB6978">
        <w:rPr>
          <w:rFonts w:asciiTheme="majorBidi" w:hAnsiTheme="majorBidi" w:cstheme="majorBidi"/>
          <w:sz w:val="24"/>
          <w:szCs w:val="24"/>
        </w:rPr>
        <w:t>, </w:t>
      </w:r>
      <w:r w:rsidRPr="00BB6978">
        <w:rPr>
          <w:rFonts w:asciiTheme="majorBidi" w:hAnsiTheme="majorBidi" w:cstheme="majorBidi"/>
          <w:i/>
          <w:iCs/>
          <w:sz w:val="24"/>
          <w:szCs w:val="24"/>
        </w:rPr>
        <w:t>47</w:t>
      </w:r>
      <w:r w:rsidRPr="00BB6978">
        <w:rPr>
          <w:rFonts w:asciiTheme="majorBidi" w:hAnsiTheme="majorBidi" w:cstheme="majorBidi"/>
          <w:sz w:val="24"/>
          <w:szCs w:val="24"/>
        </w:rPr>
        <w:t>(1), 45-61.</w:t>
      </w:r>
      <w:r w:rsidRPr="00BB6978">
        <w:rPr>
          <w:rFonts w:asciiTheme="majorBidi" w:hAnsiTheme="majorBidi" w:cstheme="majorBidi"/>
          <w:sz w:val="24"/>
          <w:szCs w:val="24"/>
          <w:rtl/>
        </w:rPr>
        <w:t>‏</w:t>
      </w:r>
    </w:p>
    <w:p w14:paraId="7ADADE4B" w14:textId="30C85C62" w:rsidR="00594896" w:rsidRPr="00BB6978" w:rsidRDefault="00594896" w:rsidP="00A44219">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Zhang, W., &amp; Bray, M. (2020). Comparative research on shadow education: Achievements, challenges, and the agenda ahead. </w:t>
      </w:r>
      <w:r w:rsidRPr="00BB6978">
        <w:rPr>
          <w:rFonts w:asciiTheme="majorBidi" w:hAnsiTheme="majorBidi" w:cstheme="majorBidi"/>
          <w:i/>
          <w:iCs/>
          <w:sz w:val="24"/>
          <w:szCs w:val="24"/>
        </w:rPr>
        <w:t>European Journal of Education</w:t>
      </w:r>
      <w:r w:rsidRPr="00BB6978">
        <w:rPr>
          <w:rFonts w:asciiTheme="majorBidi" w:hAnsiTheme="majorBidi" w:cstheme="majorBidi"/>
          <w:sz w:val="24"/>
          <w:szCs w:val="24"/>
        </w:rPr>
        <w:t>, </w:t>
      </w:r>
      <w:r w:rsidRPr="00BB6978">
        <w:rPr>
          <w:rFonts w:asciiTheme="majorBidi" w:hAnsiTheme="majorBidi" w:cstheme="majorBidi"/>
          <w:i/>
          <w:iCs/>
          <w:sz w:val="24"/>
          <w:szCs w:val="24"/>
        </w:rPr>
        <w:t>55</w:t>
      </w:r>
      <w:r w:rsidRPr="00BB6978">
        <w:rPr>
          <w:rFonts w:asciiTheme="majorBidi" w:hAnsiTheme="majorBidi" w:cstheme="majorBidi"/>
          <w:sz w:val="24"/>
          <w:szCs w:val="24"/>
        </w:rPr>
        <w:t>(3), 322-341.</w:t>
      </w:r>
      <w:r w:rsidRPr="00BB6978">
        <w:rPr>
          <w:rFonts w:asciiTheme="majorBidi" w:hAnsiTheme="majorBidi" w:cstheme="majorBidi"/>
          <w:sz w:val="24"/>
          <w:szCs w:val="24"/>
          <w:rtl/>
        </w:rPr>
        <w:t>‏</w:t>
      </w:r>
    </w:p>
    <w:p w14:paraId="593CE7CF" w14:textId="3743700D" w:rsidR="00676834" w:rsidRPr="00BB6978" w:rsidRDefault="00676834" w:rsidP="00B14D43">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Zikmund, W. G., &amp; Babin, B. J. (2007). Exploring marketing research: Thomson-South Western.</w:t>
      </w:r>
      <w:r w:rsidRPr="00BB6978">
        <w:rPr>
          <w:rFonts w:asciiTheme="majorBidi" w:hAnsiTheme="majorBidi" w:cstheme="majorBidi"/>
          <w:sz w:val="24"/>
          <w:szCs w:val="24"/>
          <w:rtl/>
        </w:rPr>
        <w:t>‏</w:t>
      </w:r>
    </w:p>
    <w:p w14:paraId="78015E98" w14:textId="35058496" w:rsidR="00B72745" w:rsidRPr="00BB6978" w:rsidRDefault="00676834" w:rsidP="00A44219">
      <w:pPr>
        <w:spacing w:line="480" w:lineRule="auto"/>
        <w:ind w:left="720" w:hanging="720"/>
        <w:rPr>
          <w:rFonts w:asciiTheme="majorBidi" w:hAnsiTheme="majorBidi" w:cstheme="majorBidi"/>
          <w:sz w:val="24"/>
          <w:szCs w:val="24"/>
        </w:rPr>
      </w:pPr>
      <w:r w:rsidRPr="00BB6978">
        <w:rPr>
          <w:rFonts w:asciiTheme="majorBidi" w:hAnsiTheme="majorBidi" w:cstheme="majorBidi"/>
          <w:sz w:val="24"/>
          <w:szCs w:val="24"/>
        </w:rPr>
        <w:t>Zuilkowski, S. S., Piper, B., Ong’ele, S., &amp; Kiminza, O. (2018). Parents, quality, and school choice: Why parents in Nairobi choose low-cost private schools over public schools in Kenya’s free primary education era. </w:t>
      </w:r>
      <w:r w:rsidRPr="00BB6978">
        <w:rPr>
          <w:rFonts w:asciiTheme="majorBidi" w:hAnsiTheme="majorBidi" w:cstheme="majorBidi"/>
          <w:i/>
          <w:iCs/>
          <w:sz w:val="24"/>
          <w:szCs w:val="24"/>
        </w:rPr>
        <w:t>Oxford Review of Education</w:t>
      </w:r>
      <w:r w:rsidRPr="00BB6978">
        <w:rPr>
          <w:rFonts w:asciiTheme="majorBidi" w:hAnsiTheme="majorBidi" w:cstheme="majorBidi"/>
          <w:sz w:val="24"/>
          <w:szCs w:val="24"/>
        </w:rPr>
        <w:t>, </w:t>
      </w:r>
      <w:r w:rsidRPr="00BB6978">
        <w:rPr>
          <w:rFonts w:asciiTheme="majorBidi" w:hAnsiTheme="majorBidi" w:cstheme="majorBidi"/>
          <w:i/>
          <w:iCs/>
          <w:sz w:val="24"/>
          <w:szCs w:val="24"/>
        </w:rPr>
        <w:t>44</w:t>
      </w:r>
      <w:r w:rsidRPr="00BB6978">
        <w:rPr>
          <w:rFonts w:asciiTheme="majorBidi" w:hAnsiTheme="majorBidi" w:cstheme="majorBidi"/>
          <w:sz w:val="24"/>
          <w:szCs w:val="24"/>
        </w:rPr>
        <w:t>(2), 258-274.</w:t>
      </w:r>
      <w:r w:rsidRPr="00BB6978">
        <w:rPr>
          <w:rFonts w:asciiTheme="majorBidi" w:hAnsiTheme="majorBidi" w:cstheme="majorBidi"/>
          <w:sz w:val="24"/>
          <w:szCs w:val="24"/>
          <w:rtl/>
        </w:rPr>
        <w:t>‏</w:t>
      </w:r>
    </w:p>
    <w:p w14:paraId="2FBC4A95" w14:textId="6585F2AB" w:rsidR="008D5FD6" w:rsidRPr="00BB6978" w:rsidRDefault="008D5FD6" w:rsidP="00A44219">
      <w:pPr>
        <w:spacing w:line="480" w:lineRule="auto"/>
        <w:ind w:left="720" w:hanging="720"/>
        <w:rPr>
          <w:rFonts w:asciiTheme="majorBidi" w:hAnsiTheme="majorBidi" w:cstheme="majorBidi"/>
          <w:sz w:val="24"/>
          <w:szCs w:val="24"/>
        </w:rPr>
      </w:pPr>
    </w:p>
    <w:p w14:paraId="5EBB8155" w14:textId="5A5D7358" w:rsidR="008D5FD6" w:rsidRPr="00BB6978" w:rsidRDefault="008D5FD6" w:rsidP="00A44219">
      <w:pPr>
        <w:spacing w:line="480" w:lineRule="auto"/>
        <w:ind w:left="720" w:hanging="720"/>
        <w:rPr>
          <w:rFonts w:asciiTheme="majorBidi" w:hAnsiTheme="majorBidi" w:cstheme="majorBidi"/>
          <w:sz w:val="24"/>
          <w:szCs w:val="24"/>
        </w:rPr>
      </w:pPr>
    </w:p>
    <w:p w14:paraId="4E1ECC29" w14:textId="0E8B2EE5" w:rsidR="008D5FD6" w:rsidRPr="00BB6978" w:rsidRDefault="008D5FD6" w:rsidP="00A44219">
      <w:pPr>
        <w:spacing w:line="480" w:lineRule="auto"/>
        <w:ind w:left="720" w:hanging="720"/>
        <w:rPr>
          <w:rFonts w:asciiTheme="majorBidi" w:hAnsiTheme="majorBidi" w:cstheme="majorBidi"/>
          <w:sz w:val="24"/>
          <w:szCs w:val="24"/>
        </w:rPr>
      </w:pPr>
    </w:p>
    <w:p w14:paraId="0C92AD2F" w14:textId="720A9B12" w:rsidR="008D5FD6" w:rsidRPr="00BB6978" w:rsidRDefault="008D5FD6" w:rsidP="00A44219">
      <w:pPr>
        <w:spacing w:line="480" w:lineRule="auto"/>
        <w:ind w:left="720" w:hanging="720"/>
        <w:rPr>
          <w:rFonts w:asciiTheme="majorBidi" w:hAnsiTheme="majorBidi" w:cstheme="majorBidi"/>
          <w:sz w:val="24"/>
          <w:szCs w:val="24"/>
        </w:rPr>
      </w:pPr>
    </w:p>
    <w:p w14:paraId="1BEBE7D2" w14:textId="44291484" w:rsidR="008D5FD6" w:rsidRPr="00BB6978" w:rsidRDefault="008D5FD6" w:rsidP="00A44219">
      <w:pPr>
        <w:spacing w:line="480" w:lineRule="auto"/>
        <w:ind w:left="720" w:hanging="720"/>
        <w:rPr>
          <w:rFonts w:asciiTheme="majorBidi" w:hAnsiTheme="majorBidi" w:cstheme="majorBidi"/>
          <w:sz w:val="24"/>
          <w:szCs w:val="24"/>
        </w:rPr>
      </w:pPr>
    </w:p>
    <w:p w14:paraId="7704F2C0" w14:textId="13E1B80C" w:rsidR="008D5FD6" w:rsidRPr="00BB6978" w:rsidRDefault="008D5FD6" w:rsidP="00A44219">
      <w:pPr>
        <w:spacing w:line="480" w:lineRule="auto"/>
        <w:ind w:left="720" w:hanging="720"/>
        <w:rPr>
          <w:rFonts w:asciiTheme="majorBidi" w:hAnsiTheme="majorBidi" w:cstheme="majorBidi"/>
          <w:sz w:val="24"/>
          <w:szCs w:val="24"/>
        </w:rPr>
      </w:pPr>
    </w:p>
    <w:p w14:paraId="555E676B" w14:textId="21B26384" w:rsidR="008D5FD6" w:rsidRPr="00BB6978" w:rsidRDefault="008D5FD6" w:rsidP="00A44219">
      <w:pPr>
        <w:spacing w:line="480" w:lineRule="auto"/>
        <w:ind w:left="720" w:hanging="720"/>
        <w:rPr>
          <w:rFonts w:asciiTheme="majorBidi" w:hAnsiTheme="majorBidi" w:cstheme="majorBidi"/>
          <w:sz w:val="24"/>
          <w:szCs w:val="24"/>
        </w:rPr>
      </w:pPr>
    </w:p>
    <w:p w14:paraId="53A08B28" w14:textId="51074CF4" w:rsidR="008D5FD6" w:rsidRPr="00BB6978" w:rsidRDefault="008D5FD6" w:rsidP="00A44219">
      <w:pPr>
        <w:spacing w:line="480" w:lineRule="auto"/>
        <w:ind w:left="720" w:hanging="720"/>
        <w:rPr>
          <w:rFonts w:asciiTheme="majorBidi" w:hAnsiTheme="majorBidi" w:cstheme="majorBidi"/>
          <w:sz w:val="24"/>
          <w:szCs w:val="24"/>
        </w:rPr>
      </w:pPr>
    </w:p>
    <w:p w14:paraId="20201B2A" w14:textId="0ABECAAA" w:rsidR="008D5FD6" w:rsidRPr="00BB6978" w:rsidRDefault="008D5FD6" w:rsidP="00A44219">
      <w:pPr>
        <w:spacing w:line="480" w:lineRule="auto"/>
        <w:ind w:left="720" w:hanging="720"/>
        <w:rPr>
          <w:rFonts w:asciiTheme="majorBidi" w:hAnsiTheme="majorBidi" w:cstheme="majorBidi"/>
          <w:sz w:val="24"/>
          <w:szCs w:val="24"/>
        </w:rPr>
      </w:pPr>
    </w:p>
    <w:p w14:paraId="5DF3AF35" w14:textId="7D77D755" w:rsidR="008D5FD6" w:rsidRPr="00BB6978" w:rsidRDefault="008D5FD6" w:rsidP="008D5FD6">
      <w:pPr>
        <w:pStyle w:val="Heading1"/>
        <w:rPr>
          <w:rFonts w:asciiTheme="majorBidi" w:hAnsiTheme="majorBidi"/>
          <w:color w:val="auto"/>
          <w:sz w:val="24"/>
          <w:szCs w:val="24"/>
        </w:rPr>
      </w:pPr>
      <w:bookmarkStart w:id="251" w:name="_Toc138239831"/>
      <w:r w:rsidRPr="00BB6978">
        <w:rPr>
          <w:rFonts w:asciiTheme="majorBidi" w:hAnsiTheme="majorBidi"/>
          <w:color w:val="auto"/>
          <w:sz w:val="24"/>
          <w:szCs w:val="24"/>
        </w:rPr>
        <w:t>IRB Form</w:t>
      </w:r>
      <w:bookmarkEnd w:id="251"/>
    </w:p>
    <w:p w14:paraId="54719C45" w14:textId="54DCFDD3" w:rsidR="008D5FD6" w:rsidRPr="00BB6978" w:rsidRDefault="008D5FD6" w:rsidP="008D5FD6">
      <w:pPr>
        <w:spacing w:line="480" w:lineRule="auto"/>
        <w:ind w:left="720" w:hanging="720"/>
        <w:rPr>
          <w:rFonts w:asciiTheme="majorBidi" w:hAnsiTheme="majorBidi" w:cstheme="majorBidi"/>
          <w:sz w:val="24"/>
          <w:szCs w:val="24"/>
        </w:rPr>
      </w:pPr>
      <w:bookmarkStart w:id="252" w:name="_GoBack"/>
      <w:bookmarkEnd w:id="252"/>
      <w:r w:rsidRPr="00BB6978">
        <w:rPr>
          <w:noProof/>
          <w:lang w:val="en-US"/>
        </w:rPr>
        <w:drawing>
          <wp:anchor distT="0" distB="0" distL="114300" distR="114300" simplePos="0" relativeHeight="251669504" behindDoc="0" locked="0" layoutInCell="1" allowOverlap="1" wp14:anchorId="3D025A13" wp14:editId="7A1DA299">
            <wp:simplePos x="0" y="0"/>
            <wp:positionH relativeFrom="margin">
              <wp:align>left</wp:align>
            </wp:positionH>
            <wp:positionV relativeFrom="paragraph">
              <wp:posOffset>666750</wp:posOffset>
            </wp:positionV>
            <wp:extent cx="4890770" cy="6311265"/>
            <wp:effectExtent l="0" t="0" r="508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1">
                      <a:extLst>
                        <a:ext uri="{28A0092B-C50C-407E-A947-70E740481C1C}">
                          <a14:useLocalDpi xmlns:a14="http://schemas.microsoft.com/office/drawing/2010/main" val="0"/>
                        </a:ext>
                      </a:extLst>
                    </a:blip>
                    <a:srcRect l="31768" t="16405" r="36462" b="10711"/>
                    <a:stretch/>
                  </pic:blipFill>
                  <pic:spPr bwMode="auto">
                    <a:xfrm>
                      <a:off x="0" y="0"/>
                      <a:ext cx="4890770" cy="63112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sectPr w:rsidR="008D5FD6" w:rsidRPr="00BB6978" w:rsidSect="00440AC0">
      <w:footerReference w:type="default" r:id="rId102"/>
      <w:pgSz w:w="11906" w:h="16838"/>
      <w:pgMar w:top="1800" w:right="2160" w:bottom="1800" w:left="2160" w:header="706" w:footer="706"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AD90C6" w14:textId="77777777" w:rsidR="006671B9" w:rsidRDefault="006671B9" w:rsidP="00B37D7A">
      <w:pPr>
        <w:spacing w:after="0" w:line="240" w:lineRule="auto"/>
      </w:pPr>
      <w:r>
        <w:separator/>
      </w:r>
    </w:p>
  </w:endnote>
  <w:endnote w:type="continuationSeparator" w:id="0">
    <w:p w14:paraId="70221891" w14:textId="77777777" w:rsidR="006671B9" w:rsidRDefault="006671B9" w:rsidP="00B37D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Söhne">
    <w:altName w:val="Cambria"/>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Roboto">
    <w:altName w:val="Times New Roman"/>
    <w:charset w:val="00"/>
    <w:family w:val="auto"/>
    <w:pitch w:val="variable"/>
    <w:sig w:usb0="E0000AFF" w:usb1="5000217F" w:usb2="00000021" w:usb3="00000000" w:csb0="000001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92192223"/>
      <w:docPartObj>
        <w:docPartGallery w:val="Page Numbers (Bottom of Page)"/>
        <w:docPartUnique/>
      </w:docPartObj>
    </w:sdtPr>
    <w:sdtEndPr>
      <w:rPr>
        <w:rFonts w:asciiTheme="majorBidi" w:hAnsiTheme="majorBidi" w:cstheme="majorBidi"/>
        <w:noProof/>
        <w:sz w:val="24"/>
        <w:szCs w:val="24"/>
      </w:rPr>
    </w:sdtEndPr>
    <w:sdtContent>
      <w:p w14:paraId="7D7CB747" w14:textId="37814CB8" w:rsidR="00F53395" w:rsidRPr="007803AF" w:rsidRDefault="00F53395">
        <w:pPr>
          <w:pStyle w:val="Footer"/>
          <w:jc w:val="center"/>
          <w:rPr>
            <w:rFonts w:asciiTheme="majorBidi" w:hAnsiTheme="majorBidi" w:cstheme="majorBidi"/>
            <w:sz w:val="24"/>
            <w:szCs w:val="24"/>
          </w:rPr>
        </w:pPr>
        <w:r w:rsidRPr="007803AF">
          <w:rPr>
            <w:rFonts w:asciiTheme="majorBidi" w:hAnsiTheme="majorBidi" w:cstheme="majorBidi"/>
            <w:sz w:val="24"/>
            <w:szCs w:val="24"/>
          </w:rPr>
          <w:fldChar w:fldCharType="begin"/>
        </w:r>
        <w:r w:rsidRPr="007803AF">
          <w:rPr>
            <w:rFonts w:asciiTheme="majorBidi" w:hAnsiTheme="majorBidi" w:cstheme="majorBidi"/>
            <w:sz w:val="24"/>
            <w:szCs w:val="24"/>
          </w:rPr>
          <w:instrText xml:space="preserve"> PAGE   \* MERGEFORMAT </w:instrText>
        </w:r>
        <w:r w:rsidRPr="007803AF">
          <w:rPr>
            <w:rFonts w:asciiTheme="majorBidi" w:hAnsiTheme="majorBidi" w:cstheme="majorBidi"/>
            <w:sz w:val="24"/>
            <w:szCs w:val="24"/>
          </w:rPr>
          <w:fldChar w:fldCharType="separate"/>
        </w:r>
        <w:r w:rsidR="006671B9">
          <w:rPr>
            <w:rFonts w:asciiTheme="majorBidi" w:hAnsiTheme="majorBidi" w:cstheme="majorBidi"/>
            <w:noProof/>
            <w:sz w:val="24"/>
            <w:szCs w:val="24"/>
          </w:rPr>
          <w:t>i</w:t>
        </w:r>
        <w:r w:rsidRPr="007803AF">
          <w:rPr>
            <w:rFonts w:asciiTheme="majorBidi" w:hAnsiTheme="majorBidi" w:cstheme="majorBidi"/>
            <w:noProof/>
            <w:sz w:val="24"/>
            <w:szCs w:val="24"/>
          </w:rPr>
          <w:fldChar w:fldCharType="end"/>
        </w:r>
      </w:p>
    </w:sdtContent>
  </w:sdt>
  <w:p w14:paraId="34900E23" w14:textId="77777777" w:rsidR="00F53395" w:rsidRDefault="00F5339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86867721"/>
      <w:docPartObj>
        <w:docPartGallery w:val="Page Numbers (Bottom of Page)"/>
        <w:docPartUnique/>
      </w:docPartObj>
    </w:sdtPr>
    <w:sdtEndPr>
      <w:rPr>
        <w:noProof/>
      </w:rPr>
    </w:sdtEndPr>
    <w:sdtContent>
      <w:p w14:paraId="3142D46F" w14:textId="05A460CB" w:rsidR="00F53395" w:rsidRDefault="00F53395">
        <w:pPr>
          <w:pStyle w:val="Footer"/>
          <w:jc w:val="center"/>
        </w:pPr>
        <w:r>
          <w:fldChar w:fldCharType="begin"/>
        </w:r>
        <w:r>
          <w:instrText xml:space="preserve"> PAGE   \* MERGEFORMAT </w:instrText>
        </w:r>
        <w:r>
          <w:fldChar w:fldCharType="separate"/>
        </w:r>
        <w:r w:rsidR="00E4174B">
          <w:rPr>
            <w:noProof/>
          </w:rPr>
          <w:t>2</w:t>
        </w:r>
        <w:r>
          <w:rPr>
            <w:noProof/>
          </w:rPr>
          <w:fldChar w:fldCharType="end"/>
        </w:r>
      </w:p>
    </w:sdtContent>
  </w:sdt>
  <w:p w14:paraId="6BDC64BD" w14:textId="77777777" w:rsidR="00F53395" w:rsidRPr="00B37D7A" w:rsidRDefault="00F53395" w:rsidP="00B37D7A">
    <w:pPr>
      <w:pStyle w:val="Footer"/>
      <w:jc w:val="right"/>
      <w:rPr>
        <w:rFonts w:ascii="Times New Roman" w:hAnsi="Times New Roman" w:cs="Times New Roman"/>
        <w:b/>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CEA1E9" w14:textId="77777777" w:rsidR="006671B9" w:rsidRDefault="006671B9" w:rsidP="00B37D7A">
      <w:pPr>
        <w:spacing w:after="0" w:line="240" w:lineRule="auto"/>
      </w:pPr>
      <w:r>
        <w:separator/>
      </w:r>
    </w:p>
  </w:footnote>
  <w:footnote w:type="continuationSeparator" w:id="0">
    <w:p w14:paraId="209560D6" w14:textId="77777777" w:rsidR="006671B9" w:rsidRDefault="006671B9" w:rsidP="00B37D7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D03380"/>
    <w:multiLevelType w:val="multilevel"/>
    <w:tmpl w:val="5C72D840"/>
    <w:lvl w:ilvl="0">
      <w:start w:val="1"/>
      <w:numFmt w:val="decimal"/>
      <w:lvlText w:val="%1."/>
      <w:lvlJc w:val="left"/>
      <w:pPr>
        <w:ind w:left="1080" w:hanging="360"/>
      </w:pPr>
    </w:lvl>
    <w:lvl w:ilvl="1">
      <w:start w:val="3"/>
      <w:numFmt w:val="decimal"/>
      <w:isLgl/>
      <w:lvlText w:val="%1.%2"/>
      <w:lvlJc w:val="left"/>
      <w:pPr>
        <w:ind w:left="36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1" w15:restartNumberingAfterBreak="0">
    <w:nsid w:val="0D344533"/>
    <w:multiLevelType w:val="hybridMultilevel"/>
    <w:tmpl w:val="0024D11A"/>
    <w:lvl w:ilvl="0" w:tplc="04090005">
      <w:start w:val="1"/>
      <w:numFmt w:val="bullet"/>
      <w:lvlText w:val=""/>
      <w:lvlJc w:val="left"/>
      <w:pPr>
        <w:ind w:left="1080" w:hanging="360"/>
      </w:pPr>
      <w:rPr>
        <w:rFonts w:ascii="Wingdings" w:hAnsi="Wingdings" w:cs="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28404762"/>
    <w:multiLevelType w:val="hybridMultilevel"/>
    <w:tmpl w:val="7F1014DC"/>
    <w:lvl w:ilvl="0" w:tplc="A48C28D4">
      <w:start w:val="1"/>
      <w:numFmt w:val="bullet"/>
      <w:lvlText w:val="•"/>
      <w:lvlJc w:val="left"/>
      <w:pPr>
        <w:tabs>
          <w:tab w:val="num" w:pos="720"/>
        </w:tabs>
        <w:ind w:left="720" w:hanging="360"/>
      </w:pPr>
      <w:rPr>
        <w:rFonts w:ascii="Arial" w:hAnsi="Arial" w:hint="default"/>
      </w:rPr>
    </w:lvl>
    <w:lvl w:ilvl="1" w:tplc="A7E6D640" w:tentative="1">
      <w:start w:val="1"/>
      <w:numFmt w:val="bullet"/>
      <w:lvlText w:val="•"/>
      <w:lvlJc w:val="left"/>
      <w:pPr>
        <w:tabs>
          <w:tab w:val="num" w:pos="1440"/>
        </w:tabs>
        <w:ind w:left="1440" w:hanging="360"/>
      </w:pPr>
      <w:rPr>
        <w:rFonts w:ascii="Arial" w:hAnsi="Arial" w:hint="default"/>
      </w:rPr>
    </w:lvl>
    <w:lvl w:ilvl="2" w:tplc="0BF88EAA" w:tentative="1">
      <w:start w:val="1"/>
      <w:numFmt w:val="bullet"/>
      <w:lvlText w:val="•"/>
      <w:lvlJc w:val="left"/>
      <w:pPr>
        <w:tabs>
          <w:tab w:val="num" w:pos="2160"/>
        </w:tabs>
        <w:ind w:left="2160" w:hanging="360"/>
      </w:pPr>
      <w:rPr>
        <w:rFonts w:ascii="Arial" w:hAnsi="Arial" w:hint="default"/>
      </w:rPr>
    </w:lvl>
    <w:lvl w:ilvl="3" w:tplc="9AFC3C3A" w:tentative="1">
      <w:start w:val="1"/>
      <w:numFmt w:val="bullet"/>
      <w:lvlText w:val="•"/>
      <w:lvlJc w:val="left"/>
      <w:pPr>
        <w:tabs>
          <w:tab w:val="num" w:pos="2880"/>
        </w:tabs>
        <w:ind w:left="2880" w:hanging="360"/>
      </w:pPr>
      <w:rPr>
        <w:rFonts w:ascii="Arial" w:hAnsi="Arial" w:hint="default"/>
      </w:rPr>
    </w:lvl>
    <w:lvl w:ilvl="4" w:tplc="D80250A2" w:tentative="1">
      <w:start w:val="1"/>
      <w:numFmt w:val="bullet"/>
      <w:lvlText w:val="•"/>
      <w:lvlJc w:val="left"/>
      <w:pPr>
        <w:tabs>
          <w:tab w:val="num" w:pos="3600"/>
        </w:tabs>
        <w:ind w:left="3600" w:hanging="360"/>
      </w:pPr>
      <w:rPr>
        <w:rFonts w:ascii="Arial" w:hAnsi="Arial" w:hint="default"/>
      </w:rPr>
    </w:lvl>
    <w:lvl w:ilvl="5" w:tplc="B284012A" w:tentative="1">
      <w:start w:val="1"/>
      <w:numFmt w:val="bullet"/>
      <w:lvlText w:val="•"/>
      <w:lvlJc w:val="left"/>
      <w:pPr>
        <w:tabs>
          <w:tab w:val="num" w:pos="4320"/>
        </w:tabs>
        <w:ind w:left="4320" w:hanging="360"/>
      </w:pPr>
      <w:rPr>
        <w:rFonts w:ascii="Arial" w:hAnsi="Arial" w:hint="default"/>
      </w:rPr>
    </w:lvl>
    <w:lvl w:ilvl="6" w:tplc="067869E4" w:tentative="1">
      <w:start w:val="1"/>
      <w:numFmt w:val="bullet"/>
      <w:lvlText w:val="•"/>
      <w:lvlJc w:val="left"/>
      <w:pPr>
        <w:tabs>
          <w:tab w:val="num" w:pos="5040"/>
        </w:tabs>
        <w:ind w:left="5040" w:hanging="360"/>
      </w:pPr>
      <w:rPr>
        <w:rFonts w:ascii="Arial" w:hAnsi="Arial" w:hint="default"/>
      </w:rPr>
    </w:lvl>
    <w:lvl w:ilvl="7" w:tplc="EF4AA55E" w:tentative="1">
      <w:start w:val="1"/>
      <w:numFmt w:val="bullet"/>
      <w:lvlText w:val="•"/>
      <w:lvlJc w:val="left"/>
      <w:pPr>
        <w:tabs>
          <w:tab w:val="num" w:pos="5760"/>
        </w:tabs>
        <w:ind w:left="5760" w:hanging="360"/>
      </w:pPr>
      <w:rPr>
        <w:rFonts w:ascii="Arial" w:hAnsi="Arial" w:hint="default"/>
      </w:rPr>
    </w:lvl>
    <w:lvl w:ilvl="8" w:tplc="8EBAF29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55C2411C"/>
    <w:multiLevelType w:val="multilevel"/>
    <w:tmpl w:val="36FA7990"/>
    <w:lvl w:ilvl="0">
      <w:start w:val="1"/>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5ADC6817"/>
    <w:multiLevelType w:val="multilevel"/>
    <w:tmpl w:val="FED26F0E"/>
    <w:lvl w:ilvl="0">
      <w:start w:val="1"/>
      <w:numFmt w:val="decimal"/>
      <w:lvlText w:val="%1"/>
      <w:lvlJc w:val="left"/>
      <w:pPr>
        <w:ind w:left="360" w:hanging="360"/>
      </w:pPr>
      <w:rPr>
        <w:rFonts w:hint="default"/>
      </w:rPr>
    </w:lvl>
    <w:lvl w:ilvl="1">
      <w:start w:val="1"/>
      <w:numFmt w:val="decimal"/>
      <w:pStyle w:val="Headingresearch"/>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65C209D5"/>
    <w:multiLevelType w:val="multilevel"/>
    <w:tmpl w:val="AA309FFA"/>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6" w15:restartNumberingAfterBreak="0">
    <w:nsid w:val="6AE04F2B"/>
    <w:multiLevelType w:val="hybridMultilevel"/>
    <w:tmpl w:val="B8D681D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E824411"/>
    <w:multiLevelType w:val="hybridMultilevel"/>
    <w:tmpl w:val="6240CDFA"/>
    <w:lvl w:ilvl="0" w:tplc="760E90E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70B94852"/>
    <w:multiLevelType w:val="hybridMultilevel"/>
    <w:tmpl w:val="4B98543C"/>
    <w:lvl w:ilvl="0" w:tplc="FFFFFFFF">
      <w:start w:val="1"/>
      <w:numFmt w:val="decimal"/>
      <w:lvlText w:val="%1."/>
      <w:lvlJc w:val="left"/>
      <w:pPr>
        <w:ind w:left="720" w:hanging="360"/>
      </w:pPr>
      <w:rPr>
        <w:rFonts w:hint="default"/>
      </w:rPr>
    </w:lvl>
    <w:lvl w:ilvl="1" w:tplc="FFFFFFFF">
      <w:numFmt w:val="bullet"/>
      <w:lvlText w:val="•"/>
      <w:lvlJc w:val="left"/>
      <w:pPr>
        <w:ind w:left="1440" w:hanging="360"/>
      </w:pPr>
      <w:rPr>
        <w:rFonts w:ascii="Times New Roman" w:eastAsiaTheme="minorHAnsi" w:hAnsi="Times New Roman"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796A1A3F"/>
    <w:multiLevelType w:val="multilevel"/>
    <w:tmpl w:val="3BCED5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7C732294"/>
    <w:multiLevelType w:val="hybridMultilevel"/>
    <w:tmpl w:val="4B98543C"/>
    <w:lvl w:ilvl="0" w:tplc="0409000F">
      <w:start w:val="1"/>
      <w:numFmt w:val="decimal"/>
      <w:lvlText w:val="%1."/>
      <w:lvlJc w:val="left"/>
      <w:pPr>
        <w:ind w:left="720" w:hanging="360"/>
      </w:pPr>
      <w:rPr>
        <w:rFonts w:hint="default"/>
      </w:rPr>
    </w:lvl>
    <w:lvl w:ilvl="1" w:tplc="E68888A2">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7"/>
  </w:num>
  <w:num w:numId="4">
    <w:abstractNumId w:val="10"/>
  </w:num>
  <w:num w:numId="5">
    <w:abstractNumId w:val="5"/>
  </w:num>
  <w:num w:numId="6">
    <w:abstractNumId w:val="6"/>
  </w:num>
  <w:num w:numId="7">
    <w:abstractNumId w:val="2"/>
  </w:num>
  <w:num w:numId="8">
    <w:abstractNumId w:val="8"/>
  </w:num>
  <w:num w:numId="9">
    <w:abstractNumId w:val="3"/>
  </w:num>
  <w:num w:numId="10">
    <w:abstractNumId w:val="9"/>
  </w:num>
  <w:num w:numId="11">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3CE3"/>
    <w:rsid w:val="00004E03"/>
    <w:rsid w:val="00007CBF"/>
    <w:rsid w:val="00016620"/>
    <w:rsid w:val="00020326"/>
    <w:rsid w:val="00026499"/>
    <w:rsid w:val="00037342"/>
    <w:rsid w:val="0004333B"/>
    <w:rsid w:val="00043EBE"/>
    <w:rsid w:val="000507EE"/>
    <w:rsid w:val="00054007"/>
    <w:rsid w:val="000633B7"/>
    <w:rsid w:val="00064030"/>
    <w:rsid w:val="00066907"/>
    <w:rsid w:val="00073A16"/>
    <w:rsid w:val="000842BA"/>
    <w:rsid w:val="00094D76"/>
    <w:rsid w:val="0009591C"/>
    <w:rsid w:val="000978C0"/>
    <w:rsid w:val="000A39F4"/>
    <w:rsid w:val="000A4045"/>
    <w:rsid w:val="000B2CD2"/>
    <w:rsid w:val="000B2D76"/>
    <w:rsid w:val="000B3476"/>
    <w:rsid w:val="000B733D"/>
    <w:rsid w:val="000B7B57"/>
    <w:rsid w:val="000B7E2F"/>
    <w:rsid w:val="000C1E2A"/>
    <w:rsid w:val="000C7E27"/>
    <w:rsid w:val="000D010B"/>
    <w:rsid w:val="000D1875"/>
    <w:rsid w:val="000D2012"/>
    <w:rsid w:val="000E41B7"/>
    <w:rsid w:val="000F036D"/>
    <w:rsid w:val="000F16B0"/>
    <w:rsid w:val="000F1A1A"/>
    <w:rsid w:val="000F2C73"/>
    <w:rsid w:val="000F568B"/>
    <w:rsid w:val="00101D92"/>
    <w:rsid w:val="00102443"/>
    <w:rsid w:val="00105FAF"/>
    <w:rsid w:val="00106F36"/>
    <w:rsid w:val="001111D7"/>
    <w:rsid w:val="00117C2E"/>
    <w:rsid w:val="00117CA3"/>
    <w:rsid w:val="00120957"/>
    <w:rsid w:val="00123E77"/>
    <w:rsid w:val="00125577"/>
    <w:rsid w:val="00125E4F"/>
    <w:rsid w:val="00131282"/>
    <w:rsid w:val="00131651"/>
    <w:rsid w:val="00133077"/>
    <w:rsid w:val="00134A26"/>
    <w:rsid w:val="00141658"/>
    <w:rsid w:val="00141CB0"/>
    <w:rsid w:val="00141F6D"/>
    <w:rsid w:val="00151526"/>
    <w:rsid w:val="00155FE2"/>
    <w:rsid w:val="00157126"/>
    <w:rsid w:val="00160D59"/>
    <w:rsid w:val="00161F8B"/>
    <w:rsid w:val="00165438"/>
    <w:rsid w:val="001709D8"/>
    <w:rsid w:val="00171010"/>
    <w:rsid w:val="001768EC"/>
    <w:rsid w:val="00176BE5"/>
    <w:rsid w:val="001803E3"/>
    <w:rsid w:val="00180CD3"/>
    <w:rsid w:val="00186C6C"/>
    <w:rsid w:val="001911E0"/>
    <w:rsid w:val="00191B69"/>
    <w:rsid w:val="001A092E"/>
    <w:rsid w:val="001A4D6B"/>
    <w:rsid w:val="001A5941"/>
    <w:rsid w:val="001B286A"/>
    <w:rsid w:val="001B313B"/>
    <w:rsid w:val="001B453A"/>
    <w:rsid w:val="001B70A5"/>
    <w:rsid w:val="001C03EB"/>
    <w:rsid w:val="001C1700"/>
    <w:rsid w:val="001C5BCF"/>
    <w:rsid w:val="001C711D"/>
    <w:rsid w:val="001D00C3"/>
    <w:rsid w:val="001D4906"/>
    <w:rsid w:val="001D6182"/>
    <w:rsid w:val="001D6A30"/>
    <w:rsid w:val="001D7F14"/>
    <w:rsid w:val="001E46A8"/>
    <w:rsid w:val="001F021F"/>
    <w:rsid w:val="00200465"/>
    <w:rsid w:val="0020390A"/>
    <w:rsid w:val="00204EA1"/>
    <w:rsid w:val="0020506F"/>
    <w:rsid w:val="002076C3"/>
    <w:rsid w:val="00211B79"/>
    <w:rsid w:val="00212788"/>
    <w:rsid w:val="00215D74"/>
    <w:rsid w:val="0021671C"/>
    <w:rsid w:val="002243F0"/>
    <w:rsid w:val="00224C49"/>
    <w:rsid w:val="002257D5"/>
    <w:rsid w:val="00226DC0"/>
    <w:rsid w:val="00232C05"/>
    <w:rsid w:val="00233D87"/>
    <w:rsid w:val="00240C87"/>
    <w:rsid w:val="00252752"/>
    <w:rsid w:val="00253655"/>
    <w:rsid w:val="00260103"/>
    <w:rsid w:val="0026145E"/>
    <w:rsid w:val="00265FAD"/>
    <w:rsid w:val="00267DEC"/>
    <w:rsid w:val="00267FFC"/>
    <w:rsid w:val="00271056"/>
    <w:rsid w:val="00271AB8"/>
    <w:rsid w:val="00273D94"/>
    <w:rsid w:val="00276808"/>
    <w:rsid w:val="00276B94"/>
    <w:rsid w:val="0028708D"/>
    <w:rsid w:val="002908D5"/>
    <w:rsid w:val="00296827"/>
    <w:rsid w:val="00297288"/>
    <w:rsid w:val="002A0D47"/>
    <w:rsid w:val="002B0E27"/>
    <w:rsid w:val="002B27E7"/>
    <w:rsid w:val="002B73CA"/>
    <w:rsid w:val="002C1073"/>
    <w:rsid w:val="002C69C4"/>
    <w:rsid w:val="002D0259"/>
    <w:rsid w:val="002D3A2A"/>
    <w:rsid w:val="002D550B"/>
    <w:rsid w:val="002D64A8"/>
    <w:rsid w:val="002D6554"/>
    <w:rsid w:val="002D7FDF"/>
    <w:rsid w:val="002E0E96"/>
    <w:rsid w:val="002E1D34"/>
    <w:rsid w:val="002E613E"/>
    <w:rsid w:val="002E6211"/>
    <w:rsid w:val="002E7B37"/>
    <w:rsid w:val="002F2926"/>
    <w:rsid w:val="002F6CF2"/>
    <w:rsid w:val="00304A70"/>
    <w:rsid w:val="00310BF7"/>
    <w:rsid w:val="00322A4D"/>
    <w:rsid w:val="00326BB3"/>
    <w:rsid w:val="00326F5E"/>
    <w:rsid w:val="003327BD"/>
    <w:rsid w:val="00332F48"/>
    <w:rsid w:val="0033586B"/>
    <w:rsid w:val="00340982"/>
    <w:rsid w:val="0034320A"/>
    <w:rsid w:val="00343F73"/>
    <w:rsid w:val="00343FCA"/>
    <w:rsid w:val="00344643"/>
    <w:rsid w:val="00345656"/>
    <w:rsid w:val="003501F9"/>
    <w:rsid w:val="00366669"/>
    <w:rsid w:val="003671AE"/>
    <w:rsid w:val="00372D27"/>
    <w:rsid w:val="00377A31"/>
    <w:rsid w:val="00382F35"/>
    <w:rsid w:val="003918DE"/>
    <w:rsid w:val="00391CE1"/>
    <w:rsid w:val="003A2B72"/>
    <w:rsid w:val="003A4DC2"/>
    <w:rsid w:val="003A63BB"/>
    <w:rsid w:val="003B34F3"/>
    <w:rsid w:val="003B7187"/>
    <w:rsid w:val="003C3699"/>
    <w:rsid w:val="003D1C68"/>
    <w:rsid w:val="003D6B65"/>
    <w:rsid w:val="003E77C6"/>
    <w:rsid w:val="003F1267"/>
    <w:rsid w:val="003F149C"/>
    <w:rsid w:val="003F3E26"/>
    <w:rsid w:val="00407E88"/>
    <w:rsid w:val="00410086"/>
    <w:rsid w:val="004173B2"/>
    <w:rsid w:val="00417F86"/>
    <w:rsid w:val="00421426"/>
    <w:rsid w:val="00440AC0"/>
    <w:rsid w:val="00442750"/>
    <w:rsid w:val="00450335"/>
    <w:rsid w:val="004522B7"/>
    <w:rsid w:val="004536B7"/>
    <w:rsid w:val="00453C90"/>
    <w:rsid w:val="00454CE9"/>
    <w:rsid w:val="00454FFD"/>
    <w:rsid w:val="00462503"/>
    <w:rsid w:val="00466A10"/>
    <w:rsid w:val="00471CC1"/>
    <w:rsid w:val="00476E5F"/>
    <w:rsid w:val="00477E91"/>
    <w:rsid w:val="00481E22"/>
    <w:rsid w:val="0048535E"/>
    <w:rsid w:val="00486434"/>
    <w:rsid w:val="004900A1"/>
    <w:rsid w:val="00491730"/>
    <w:rsid w:val="00491911"/>
    <w:rsid w:val="004A3883"/>
    <w:rsid w:val="004B001B"/>
    <w:rsid w:val="004B466B"/>
    <w:rsid w:val="004B6AEE"/>
    <w:rsid w:val="004C36EC"/>
    <w:rsid w:val="004C3BBE"/>
    <w:rsid w:val="004C6168"/>
    <w:rsid w:val="004D5A0F"/>
    <w:rsid w:val="004D7D90"/>
    <w:rsid w:val="004E4D68"/>
    <w:rsid w:val="004E5D28"/>
    <w:rsid w:val="004F4256"/>
    <w:rsid w:val="004F6902"/>
    <w:rsid w:val="00501C21"/>
    <w:rsid w:val="00504111"/>
    <w:rsid w:val="00510805"/>
    <w:rsid w:val="00512F6E"/>
    <w:rsid w:val="00522489"/>
    <w:rsid w:val="00523933"/>
    <w:rsid w:val="0052651A"/>
    <w:rsid w:val="00533D66"/>
    <w:rsid w:val="005354B7"/>
    <w:rsid w:val="00537FCE"/>
    <w:rsid w:val="005401E1"/>
    <w:rsid w:val="0054784E"/>
    <w:rsid w:val="0055611B"/>
    <w:rsid w:val="00560AA1"/>
    <w:rsid w:val="00561619"/>
    <w:rsid w:val="005679D9"/>
    <w:rsid w:val="00570292"/>
    <w:rsid w:val="00571EDD"/>
    <w:rsid w:val="00576412"/>
    <w:rsid w:val="00576572"/>
    <w:rsid w:val="00580AF5"/>
    <w:rsid w:val="00580BDE"/>
    <w:rsid w:val="00580E87"/>
    <w:rsid w:val="00584D6A"/>
    <w:rsid w:val="0058694B"/>
    <w:rsid w:val="0059114F"/>
    <w:rsid w:val="00594896"/>
    <w:rsid w:val="00594CAD"/>
    <w:rsid w:val="005951E3"/>
    <w:rsid w:val="005A35F7"/>
    <w:rsid w:val="005A3C61"/>
    <w:rsid w:val="005A5C25"/>
    <w:rsid w:val="005A5CBD"/>
    <w:rsid w:val="005A6675"/>
    <w:rsid w:val="005A6872"/>
    <w:rsid w:val="005B0B6D"/>
    <w:rsid w:val="005C2C8C"/>
    <w:rsid w:val="005C2D53"/>
    <w:rsid w:val="005C72E5"/>
    <w:rsid w:val="005D0213"/>
    <w:rsid w:val="005D2C22"/>
    <w:rsid w:val="005D590C"/>
    <w:rsid w:val="005D7BF2"/>
    <w:rsid w:val="005E4D0C"/>
    <w:rsid w:val="005E7975"/>
    <w:rsid w:val="005F2ED2"/>
    <w:rsid w:val="00601718"/>
    <w:rsid w:val="00601B35"/>
    <w:rsid w:val="00601C25"/>
    <w:rsid w:val="006036E1"/>
    <w:rsid w:val="0060531B"/>
    <w:rsid w:val="006062A9"/>
    <w:rsid w:val="00611F74"/>
    <w:rsid w:val="00613343"/>
    <w:rsid w:val="006152E1"/>
    <w:rsid w:val="00616D8A"/>
    <w:rsid w:val="00617EC6"/>
    <w:rsid w:val="006205C2"/>
    <w:rsid w:val="006227BD"/>
    <w:rsid w:val="00626F3C"/>
    <w:rsid w:val="006371EF"/>
    <w:rsid w:val="006455E2"/>
    <w:rsid w:val="006459F0"/>
    <w:rsid w:val="00645BCD"/>
    <w:rsid w:val="00646868"/>
    <w:rsid w:val="00646A43"/>
    <w:rsid w:val="00647C2B"/>
    <w:rsid w:val="0065145D"/>
    <w:rsid w:val="006608F8"/>
    <w:rsid w:val="006671B9"/>
    <w:rsid w:val="00671FC8"/>
    <w:rsid w:val="00672233"/>
    <w:rsid w:val="00676834"/>
    <w:rsid w:val="00680FE5"/>
    <w:rsid w:val="006856A3"/>
    <w:rsid w:val="006921BE"/>
    <w:rsid w:val="006938AF"/>
    <w:rsid w:val="006A6126"/>
    <w:rsid w:val="006A6F3D"/>
    <w:rsid w:val="006B6D31"/>
    <w:rsid w:val="006C1AE2"/>
    <w:rsid w:val="006C1E76"/>
    <w:rsid w:val="006D00B2"/>
    <w:rsid w:val="006D3CE3"/>
    <w:rsid w:val="006D75C6"/>
    <w:rsid w:val="006E3964"/>
    <w:rsid w:val="00701002"/>
    <w:rsid w:val="007048CD"/>
    <w:rsid w:val="00706361"/>
    <w:rsid w:val="00710A9E"/>
    <w:rsid w:val="00710F96"/>
    <w:rsid w:val="0071166D"/>
    <w:rsid w:val="00712A10"/>
    <w:rsid w:val="007144E0"/>
    <w:rsid w:val="00716777"/>
    <w:rsid w:val="00722A67"/>
    <w:rsid w:val="0072305E"/>
    <w:rsid w:val="0073604D"/>
    <w:rsid w:val="00737185"/>
    <w:rsid w:val="00740D5B"/>
    <w:rsid w:val="00742D31"/>
    <w:rsid w:val="0074683B"/>
    <w:rsid w:val="00747873"/>
    <w:rsid w:val="00752BED"/>
    <w:rsid w:val="00754837"/>
    <w:rsid w:val="00760D37"/>
    <w:rsid w:val="00762F25"/>
    <w:rsid w:val="00763FE8"/>
    <w:rsid w:val="0076510B"/>
    <w:rsid w:val="00765F50"/>
    <w:rsid w:val="00771626"/>
    <w:rsid w:val="00780594"/>
    <w:rsid w:val="00781630"/>
    <w:rsid w:val="0078268D"/>
    <w:rsid w:val="00785035"/>
    <w:rsid w:val="00785762"/>
    <w:rsid w:val="00793367"/>
    <w:rsid w:val="00793A80"/>
    <w:rsid w:val="007A102A"/>
    <w:rsid w:val="007A4563"/>
    <w:rsid w:val="007A4E9A"/>
    <w:rsid w:val="007B1784"/>
    <w:rsid w:val="007B658F"/>
    <w:rsid w:val="007B72CE"/>
    <w:rsid w:val="007C1F70"/>
    <w:rsid w:val="007C1FFD"/>
    <w:rsid w:val="007C7CE9"/>
    <w:rsid w:val="007F2219"/>
    <w:rsid w:val="007F3BB4"/>
    <w:rsid w:val="007F4D06"/>
    <w:rsid w:val="007F58DC"/>
    <w:rsid w:val="00803654"/>
    <w:rsid w:val="00815721"/>
    <w:rsid w:val="00815B7C"/>
    <w:rsid w:val="00817ADA"/>
    <w:rsid w:val="00820F09"/>
    <w:rsid w:val="00822E6B"/>
    <w:rsid w:val="00831975"/>
    <w:rsid w:val="00834997"/>
    <w:rsid w:val="0084252C"/>
    <w:rsid w:val="00846A94"/>
    <w:rsid w:val="008471C8"/>
    <w:rsid w:val="008564CF"/>
    <w:rsid w:val="00856D1A"/>
    <w:rsid w:val="00865197"/>
    <w:rsid w:val="0087264D"/>
    <w:rsid w:val="0087581E"/>
    <w:rsid w:val="00875969"/>
    <w:rsid w:val="00877B09"/>
    <w:rsid w:val="00880C6A"/>
    <w:rsid w:val="00883445"/>
    <w:rsid w:val="0088538B"/>
    <w:rsid w:val="00887468"/>
    <w:rsid w:val="00887AD3"/>
    <w:rsid w:val="00896B01"/>
    <w:rsid w:val="008A4627"/>
    <w:rsid w:val="008A65EA"/>
    <w:rsid w:val="008B0441"/>
    <w:rsid w:val="008B0770"/>
    <w:rsid w:val="008B3C7B"/>
    <w:rsid w:val="008C10EB"/>
    <w:rsid w:val="008C32B9"/>
    <w:rsid w:val="008C69CB"/>
    <w:rsid w:val="008D0CC0"/>
    <w:rsid w:val="008D5FD6"/>
    <w:rsid w:val="008E2FDF"/>
    <w:rsid w:val="008F3F8D"/>
    <w:rsid w:val="008F5D9E"/>
    <w:rsid w:val="008F6342"/>
    <w:rsid w:val="00903BE1"/>
    <w:rsid w:val="0090495D"/>
    <w:rsid w:val="00904F17"/>
    <w:rsid w:val="00912193"/>
    <w:rsid w:val="00913EDD"/>
    <w:rsid w:val="009210E8"/>
    <w:rsid w:val="00927C73"/>
    <w:rsid w:val="00932FB2"/>
    <w:rsid w:val="00944A37"/>
    <w:rsid w:val="00945EB8"/>
    <w:rsid w:val="00947F40"/>
    <w:rsid w:val="00950008"/>
    <w:rsid w:val="009502A7"/>
    <w:rsid w:val="00956E0A"/>
    <w:rsid w:val="009576CA"/>
    <w:rsid w:val="009600C9"/>
    <w:rsid w:val="00961D93"/>
    <w:rsid w:val="00965918"/>
    <w:rsid w:val="00971FBE"/>
    <w:rsid w:val="009756ED"/>
    <w:rsid w:val="00976BE5"/>
    <w:rsid w:val="00980328"/>
    <w:rsid w:val="009809FB"/>
    <w:rsid w:val="00983BB7"/>
    <w:rsid w:val="009850C3"/>
    <w:rsid w:val="009855B5"/>
    <w:rsid w:val="0098567F"/>
    <w:rsid w:val="00991440"/>
    <w:rsid w:val="009917B8"/>
    <w:rsid w:val="009976D8"/>
    <w:rsid w:val="009A2E8E"/>
    <w:rsid w:val="009A6028"/>
    <w:rsid w:val="009A7977"/>
    <w:rsid w:val="009B502B"/>
    <w:rsid w:val="009B66B5"/>
    <w:rsid w:val="009C37AF"/>
    <w:rsid w:val="009D0044"/>
    <w:rsid w:val="009D086E"/>
    <w:rsid w:val="009D0D35"/>
    <w:rsid w:val="009E0341"/>
    <w:rsid w:val="009E0A83"/>
    <w:rsid w:val="009E27AF"/>
    <w:rsid w:val="009F330E"/>
    <w:rsid w:val="009F3EBD"/>
    <w:rsid w:val="009F3EF4"/>
    <w:rsid w:val="009F4607"/>
    <w:rsid w:val="009F78D8"/>
    <w:rsid w:val="00A0384F"/>
    <w:rsid w:val="00A12942"/>
    <w:rsid w:val="00A12F0B"/>
    <w:rsid w:val="00A15CA0"/>
    <w:rsid w:val="00A161B1"/>
    <w:rsid w:val="00A27843"/>
    <w:rsid w:val="00A305EA"/>
    <w:rsid w:val="00A37460"/>
    <w:rsid w:val="00A44219"/>
    <w:rsid w:val="00A50E31"/>
    <w:rsid w:val="00A54DA5"/>
    <w:rsid w:val="00A602D6"/>
    <w:rsid w:val="00A6266D"/>
    <w:rsid w:val="00A64FA3"/>
    <w:rsid w:val="00A65C25"/>
    <w:rsid w:val="00A66FE6"/>
    <w:rsid w:val="00A74086"/>
    <w:rsid w:val="00A7572B"/>
    <w:rsid w:val="00A75A41"/>
    <w:rsid w:val="00A75F0B"/>
    <w:rsid w:val="00A807F1"/>
    <w:rsid w:val="00A8276B"/>
    <w:rsid w:val="00A82AC4"/>
    <w:rsid w:val="00A83A20"/>
    <w:rsid w:val="00AB0D12"/>
    <w:rsid w:val="00AB31B2"/>
    <w:rsid w:val="00AB3428"/>
    <w:rsid w:val="00AB5B25"/>
    <w:rsid w:val="00AB5BCA"/>
    <w:rsid w:val="00AC255C"/>
    <w:rsid w:val="00AC3574"/>
    <w:rsid w:val="00AC499C"/>
    <w:rsid w:val="00AC5F28"/>
    <w:rsid w:val="00AD65B8"/>
    <w:rsid w:val="00AE10CF"/>
    <w:rsid w:val="00AE2E49"/>
    <w:rsid w:val="00AE3962"/>
    <w:rsid w:val="00AE71E3"/>
    <w:rsid w:val="00AF2A71"/>
    <w:rsid w:val="00AF63EE"/>
    <w:rsid w:val="00B0188E"/>
    <w:rsid w:val="00B02DE2"/>
    <w:rsid w:val="00B0759B"/>
    <w:rsid w:val="00B1033C"/>
    <w:rsid w:val="00B106BF"/>
    <w:rsid w:val="00B12352"/>
    <w:rsid w:val="00B12859"/>
    <w:rsid w:val="00B14D43"/>
    <w:rsid w:val="00B22B24"/>
    <w:rsid w:val="00B2479D"/>
    <w:rsid w:val="00B250C9"/>
    <w:rsid w:val="00B27FCF"/>
    <w:rsid w:val="00B30590"/>
    <w:rsid w:val="00B323A5"/>
    <w:rsid w:val="00B37D7A"/>
    <w:rsid w:val="00B40930"/>
    <w:rsid w:val="00B43E58"/>
    <w:rsid w:val="00B44AD6"/>
    <w:rsid w:val="00B53A42"/>
    <w:rsid w:val="00B551CC"/>
    <w:rsid w:val="00B63E2E"/>
    <w:rsid w:val="00B6408E"/>
    <w:rsid w:val="00B70D12"/>
    <w:rsid w:val="00B70F83"/>
    <w:rsid w:val="00B72745"/>
    <w:rsid w:val="00B76F7C"/>
    <w:rsid w:val="00B817C4"/>
    <w:rsid w:val="00B819BA"/>
    <w:rsid w:val="00B87E51"/>
    <w:rsid w:val="00B91029"/>
    <w:rsid w:val="00B96B54"/>
    <w:rsid w:val="00BA0BED"/>
    <w:rsid w:val="00BA3096"/>
    <w:rsid w:val="00BB1B69"/>
    <w:rsid w:val="00BB6978"/>
    <w:rsid w:val="00BC048C"/>
    <w:rsid w:val="00BC2ADC"/>
    <w:rsid w:val="00BD162D"/>
    <w:rsid w:val="00BD4B16"/>
    <w:rsid w:val="00BD7839"/>
    <w:rsid w:val="00BE1A89"/>
    <w:rsid w:val="00BE1C62"/>
    <w:rsid w:val="00BE1CF8"/>
    <w:rsid w:val="00BE2153"/>
    <w:rsid w:val="00BE69D4"/>
    <w:rsid w:val="00BE7390"/>
    <w:rsid w:val="00BF2300"/>
    <w:rsid w:val="00BF2B80"/>
    <w:rsid w:val="00BF6163"/>
    <w:rsid w:val="00BF6F51"/>
    <w:rsid w:val="00BF7E99"/>
    <w:rsid w:val="00C03682"/>
    <w:rsid w:val="00C03D30"/>
    <w:rsid w:val="00C11720"/>
    <w:rsid w:val="00C134C7"/>
    <w:rsid w:val="00C1720C"/>
    <w:rsid w:val="00C246E7"/>
    <w:rsid w:val="00C26F27"/>
    <w:rsid w:val="00C27B4B"/>
    <w:rsid w:val="00C3187A"/>
    <w:rsid w:val="00C326C9"/>
    <w:rsid w:val="00C32BA9"/>
    <w:rsid w:val="00C43489"/>
    <w:rsid w:val="00C457E3"/>
    <w:rsid w:val="00C52EF0"/>
    <w:rsid w:val="00C5379D"/>
    <w:rsid w:val="00C55857"/>
    <w:rsid w:val="00C56ECB"/>
    <w:rsid w:val="00C57B07"/>
    <w:rsid w:val="00C61C21"/>
    <w:rsid w:val="00C628AC"/>
    <w:rsid w:val="00C62B3B"/>
    <w:rsid w:val="00C64543"/>
    <w:rsid w:val="00C6465C"/>
    <w:rsid w:val="00C66017"/>
    <w:rsid w:val="00C719D9"/>
    <w:rsid w:val="00C76A57"/>
    <w:rsid w:val="00C80C00"/>
    <w:rsid w:val="00C81248"/>
    <w:rsid w:val="00C82011"/>
    <w:rsid w:val="00C83E4D"/>
    <w:rsid w:val="00C908F1"/>
    <w:rsid w:val="00C9247C"/>
    <w:rsid w:val="00C9414C"/>
    <w:rsid w:val="00C96B9E"/>
    <w:rsid w:val="00CA479D"/>
    <w:rsid w:val="00CA529C"/>
    <w:rsid w:val="00CA61F8"/>
    <w:rsid w:val="00CA7E88"/>
    <w:rsid w:val="00CB05B6"/>
    <w:rsid w:val="00CB1B22"/>
    <w:rsid w:val="00CC0AFE"/>
    <w:rsid w:val="00CD4088"/>
    <w:rsid w:val="00CD4B65"/>
    <w:rsid w:val="00CE66D1"/>
    <w:rsid w:val="00CE7FAB"/>
    <w:rsid w:val="00CF3FCF"/>
    <w:rsid w:val="00CF54F1"/>
    <w:rsid w:val="00D06AC0"/>
    <w:rsid w:val="00D14970"/>
    <w:rsid w:val="00D20627"/>
    <w:rsid w:val="00D2276E"/>
    <w:rsid w:val="00D22B89"/>
    <w:rsid w:val="00D25DFC"/>
    <w:rsid w:val="00D25F56"/>
    <w:rsid w:val="00D273BC"/>
    <w:rsid w:val="00D3005E"/>
    <w:rsid w:val="00D35529"/>
    <w:rsid w:val="00D363DA"/>
    <w:rsid w:val="00D40ABF"/>
    <w:rsid w:val="00D41A9D"/>
    <w:rsid w:val="00D41F78"/>
    <w:rsid w:val="00D516B6"/>
    <w:rsid w:val="00D53728"/>
    <w:rsid w:val="00D54704"/>
    <w:rsid w:val="00D5483F"/>
    <w:rsid w:val="00D5484F"/>
    <w:rsid w:val="00D55466"/>
    <w:rsid w:val="00D579DE"/>
    <w:rsid w:val="00D637C1"/>
    <w:rsid w:val="00D7717A"/>
    <w:rsid w:val="00D81E3C"/>
    <w:rsid w:val="00D83C96"/>
    <w:rsid w:val="00D8751E"/>
    <w:rsid w:val="00D90751"/>
    <w:rsid w:val="00D90C10"/>
    <w:rsid w:val="00D94EB3"/>
    <w:rsid w:val="00D95840"/>
    <w:rsid w:val="00DA35EA"/>
    <w:rsid w:val="00DA4B5E"/>
    <w:rsid w:val="00DA711E"/>
    <w:rsid w:val="00DB1F74"/>
    <w:rsid w:val="00DB5FE7"/>
    <w:rsid w:val="00DC01B6"/>
    <w:rsid w:val="00DC0595"/>
    <w:rsid w:val="00DC4DC8"/>
    <w:rsid w:val="00DD09B1"/>
    <w:rsid w:val="00DE0E17"/>
    <w:rsid w:val="00DF06A2"/>
    <w:rsid w:val="00DF0744"/>
    <w:rsid w:val="00DF7076"/>
    <w:rsid w:val="00E0463B"/>
    <w:rsid w:val="00E0545D"/>
    <w:rsid w:val="00E10634"/>
    <w:rsid w:val="00E1133A"/>
    <w:rsid w:val="00E12B10"/>
    <w:rsid w:val="00E140A6"/>
    <w:rsid w:val="00E20E34"/>
    <w:rsid w:val="00E23639"/>
    <w:rsid w:val="00E2462E"/>
    <w:rsid w:val="00E30C43"/>
    <w:rsid w:val="00E331A2"/>
    <w:rsid w:val="00E34267"/>
    <w:rsid w:val="00E37E62"/>
    <w:rsid w:val="00E4174B"/>
    <w:rsid w:val="00E419C9"/>
    <w:rsid w:val="00E41CA3"/>
    <w:rsid w:val="00E424A2"/>
    <w:rsid w:val="00E471AC"/>
    <w:rsid w:val="00E505CB"/>
    <w:rsid w:val="00E50866"/>
    <w:rsid w:val="00E50EEF"/>
    <w:rsid w:val="00E613E9"/>
    <w:rsid w:val="00E625F9"/>
    <w:rsid w:val="00E62ECB"/>
    <w:rsid w:val="00E638AB"/>
    <w:rsid w:val="00E66F22"/>
    <w:rsid w:val="00E67CC3"/>
    <w:rsid w:val="00E7366D"/>
    <w:rsid w:val="00E75780"/>
    <w:rsid w:val="00E76EB6"/>
    <w:rsid w:val="00E80963"/>
    <w:rsid w:val="00E83FEA"/>
    <w:rsid w:val="00E91324"/>
    <w:rsid w:val="00E932A7"/>
    <w:rsid w:val="00E93AA3"/>
    <w:rsid w:val="00EA2E66"/>
    <w:rsid w:val="00EA5861"/>
    <w:rsid w:val="00EA5C18"/>
    <w:rsid w:val="00EA61ED"/>
    <w:rsid w:val="00EB1ED4"/>
    <w:rsid w:val="00EB46D3"/>
    <w:rsid w:val="00EB49CC"/>
    <w:rsid w:val="00EB6867"/>
    <w:rsid w:val="00EC0FD3"/>
    <w:rsid w:val="00EC1562"/>
    <w:rsid w:val="00EC23F5"/>
    <w:rsid w:val="00EC430A"/>
    <w:rsid w:val="00EC5AFF"/>
    <w:rsid w:val="00ED6237"/>
    <w:rsid w:val="00ED64F6"/>
    <w:rsid w:val="00EE7EFD"/>
    <w:rsid w:val="00EF20F5"/>
    <w:rsid w:val="00EF549C"/>
    <w:rsid w:val="00EF7B0C"/>
    <w:rsid w:val="00F04422"/>
    <w:rsid w:val="00F06A6F"/>
    <w:rsid w:val="00F077A3"/>
    <w:rsid w:val="00F114E6"/>
    <w:rsid w:val="00F17083"/>
    <w:rsid w:val="00F2285D"/>
    <w:rsid w:val="00F23894"/>
    <w:rsid w:val="00F2451E"/>
    <w:rsid w:val="00F2458C"/>
    <w:rsid w:val="00F3171D"/>
    <w:rsid w:val="00F321DD"/>
    <w:rsid w:val="00F3623F"/>
    <w:rsid w:val="00F37478"/>
    <w:rsid w:val="00F37C86"/>
    <w:rsid w:val="00F41E02"/>
    <w:rsid w:val="00F53395"/>
    <w:rsid w:val="00F53F8B"/>
    <w:rsid w:val="00F575DD"/>
    <w:rsid w:val="00F60CF3"/>
    <w:rsid w:val="00F631DF"/>
    <w:rsid w:val="00F63687"/>
    <w:rsid w:val="00F643C7"/>
    <w:rsid w:val="00F65BCC"/>
    <w:rsid w:val="00F6759E"/>
    <w:rsid w:val="00F70306"/>
    <w:rsid w:val="00F7595D"/>
    <w:rsid w:val="00F77EBE"/>
    <w:rsid w:val="00F81B16"/>
    <w:rsid w:val="00F87BF3"/>
    <w:rsid w:val="00F9262F"/>
    <w:rsid w:val="00F93EE4"/>
    <w:rsid w:val="00FA240E"/>
    <w:rsid w:val="00FA39FA"/>
    <w:rsid w:val="00FB0276"/>
    <w:rsid w:val="00FB3F76"/>
    <w:rsid w:val="00FB49AE"/>
    <w:rsid w:val="00FC3B2A"/>
    <w:rsid w:val="00FC5FFF"/>
    <w:rsid w:val="00FD07E2"/>
    <w:rsid w:val="00FD710C"/>
    <w:rsid w:val="00FE16E9"/>
    <w:rsid w:val="00FE3584"/>
    <w:rsid w:val="00FE4FB4"/>
    <w:rsid w:val="00FE7157"/>
    <w:rsid w:val="00FF0869"/>
    <w:rsid w:val="00FF39C5"/>
    <w:rsid w:val="00FF61FC"/>
    <w:rsid w:val="00FF7D94"/>
    <w:rsid w:val="00FF7E5E"/>
  </w:rsids>
  <m:mathPr>
    <m:mathFont m:val="Cambria Math"/>
    <m:brkBin m:val="before"/>
    <m:brkBinSub m:val="--"/>
    <m:smallFrac m:val="0"/>
    <m:dispDef/>
    <m:lMargin m:val="0"/>
    <m:rMargin m:val="0"/>
    <m:defJc m:val="centerGroup"/>
    <m:wrapIndent m:val="1440"/>
    <m:intLim m:val="subSup"/>
    <m:naryLim m:val="undOvr"/>
  </m:mathPr>
  <w:themeFontLang w:val="en-I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35F96F"/>
  <w15:docId w15:val="{9B5385EB-B68C-4B7E-BDDD-BA7A569326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paragraph" w:styleId="Heading1">
    <w:name w:val="heading 1"/>
    <w:basedOn w:val="Normal"/>
    <w:next w:val="Normal"/>
    <w:link w:val="Heading1Char"/>
    <w:uiPriority w:val="9"/>
    <w:qFormat/>
    <w:rsid w:val="006938AF"/>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Heading2">
    <w:name w:val="heading 2"/>
    <w:basedOn w:val="Normal"/>
    <w:next w:val="Normal"/>
    <w:link w:val="Heading2Char"/>
    <w:uiPriority w:val="9"/>
    <w:unhideWhenUsed/>
    <w:qFormat/>
    <w:rsid w:val="006938AF"/>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Heading3">
    <w:name w:val="heading 3"/>
    <w:basedOn w:val="Normal"/>
    <w:next w:val="Normal"/>
    <w:link w:val="Heading3Char"/>
    <w:uiPriority w:val="9"/>
    <w:semiHidden/>
    <w:unhideWhenUsed/>
    <w:qFormat/>
    <w:rsid w:val="002E1D34"/>
    <w:pPr>
      <w:keepNext/>
      <w:keepLines/>
      <w:spacing w:before="200" w:after="0"/>
      <w:outlineLvl w:val="2"/>
    </w:pPr>
    <w:rPr>
      <w:rFonts w:asciiTheme="majorHAnsi" w:eastAsiaTheme="majorEastAsia" w:hAnsiTheme="majorHAnsi" w:cstheme="majorBidi"/>
      <w:b/>
      <w:bCs/>
      <w:color w:val="4472C4" w:themeColor="accent1"/>
    </w:rPr>
  </w:style>
  <w:style w:type="paragraph" w:styleId="Heading4">
    <w:name w:val="heading 4"/>
    <w:basedOn w:val="Normal"/>
    <w:next w:val="Normal"/>
    <w:link w:val="Heading4Char"/>
    <w:uiPriority w:val="9"/>
    <w:semiHidden/>
    <w:unhideWhenUsed/>
    <w:qFormat/>
    <w:rsid w:val="002E1D34"/>
    <w:pPr>
      <w:keepNext/>
      <w:keepLines/>
      <w:spacing w:before="200" w:after="0"/>
      <w:outlineLvl w:val="3"/>
    </w:pPr>
    <w:rPr>
      <w:rFonts w:asciiTheme="majorHAnsi" w:eastAsiaTheme="majorEastAsia" w:hAnsiTheme="majorHAnsi" w:cstheme="majorBidi"/>
      <w:b/>
      <w:bCs/>
      <w:i/>
      <w:iCs/>
      <w:color w:val="4472C4" w:themeColor="accent1"/>
    </w:rPr>
  </w:style>
  <w:style w:type="paragraph" w:styleId="Heading5">
    <w:name w:val="heading 5"/>
    <w:basedOn w:val="Normal"/>
    <w:next w:val="Normal"/>
    <w:link w:val="Heading5Char"/>
    <w:uiPriority w:val="9"/>
    <w:semiHidden/>
    <w:unhideWhenUsed/>
    <w:qFormat/>
    <w:rsid w:val="00C9414C"/>
    <w:pPr>
      <w:keepNext/>
      <w:keepLines/>
      <w:spacing w:before="40" w:after="0"/>
      <w:outlineLvl w:val="4"/>
    </w:pPr>
    <w:rPr>
      <w:rFonts w:asciiTheme="majorHAnsi" w:eastAsiaTheme="majorEastAsia" w:hAnsiTheme="majorHAnsi" w:cstheme="majorBidi"/>
      <w:color w:val="2F5496" w:themeColor="accent1" w:themeShade="BF"/>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EA5C18"/>
    <w:pPr>
      <w:ind w:left="720"/>
      <w:contextualSpacing/>
    </w:pPr>
  </w:style>
  <w:style w:type="paragraph" w:customStyle="1" w:styleId="HSMXP1J15">
    <w:name w:val="H S MX P1 J 1.5"/>
    <w:basedOn w:val="Normal"/>
    <w:link w:val="HSMXP1J15Char"/>
    <w:qFormat/>
    <w:rsid w:val="006938AF"/>
    <w:pPr>
      <w:spacing w:before="240" w:after="200" w:line="360" w:lineRule="auto"/>
      <w:ind w:firstLine="720"/>
      <w:jc w:val="both"/>
    </w:pPr>
    <w:rPr>
      <w:rFonts w:ascii="Times New Roman" w:hAnsi="Times New Roman" w:cs="Times New Roman"/>
      <w:sz w:val="24"/>
      <w:szCs w:val="24"/>
      <w:lang w:val="en-US"/>
    </w:rPr>
  </w:style>
  <w:style w:type="character" w:customStyle="1" w:styleId="HSMXP1J15Char">
    <w:name w:val="H S MX P1 J 1.5 Char"/>
    <w:basedOn w:val="DefaultParagraphFont"/>
    <w:link w:val="HSMXP1J15"/>
    <w:rsid w:val="006938AF"/>
    <w:rPr>
      <w:rFonts w:ascii="Times New Roman" w:hAnsi="Times New Roman" w:cs="Times New Roman"/>
      <w:sz w:val="24"/>
      <w:szCs w:val="24"/>
      <w:lang w:val="en-US"/>
    </w:rPr>
  </w:style>
  <w:style w:type="paragraph" w:customStyle="1" w:styleId="HSMXH1">
    <w:name w:val="H S MX H1"/>
    <w:basedOn w:val="Heading1"/>
    <w:link w:val="HSMXH1Char"/>
    <w:qFormat/>
    <w:rsid w:val="006938AF"/>
    <w:pPr>
      <w:keepNext w:val="0"/>
      <w:keepLines w:val="0"/>
      <w:spacing w:before="240" w:line="480" w:lineRule="auto"/>
    </w:pPr>
    <w:rPr>
      <w:rFonts w:ascii="Times New Roman" w:hAnsi="Times New Roman" w:cs="Times New Roman"/>
      <w:bCs w:val="0"/>
      <w:color w:val="auto"/>
      <w:lang w:eastAsia="en-GB" w:bidi="en-GB"/>
    </w:rPr>
  </w:style>
  <w:style w:type="character" w:customStyle="1" w:styleId="HSMXH1Char">
    <w:name w:val="H S MX H1 Char"/>
    <w:basedOn w:val="Heading1Char"/>
    <w:link w:val="HSMXH1"/>
    <w:rsid w:val="006938AF"/>
    <w:rPr>
      <w:rFonts w:ascii="Times New Roman" w:eastAsiaTheme="majorEastAsia" w:hAnsi="Times New Roman" w:cs="Times New Roman"/>
      <w:b/>
      <w:bCs w:val="0"/>
      <w:color w:val="2F5496" w:themeColor="accent1" w:themeShade="BF"/>
      <w:sz w:val="28"/>
      <w:szCs w:val="28"/>
      <w:lang w:val="en-GB" w:eastAsia="en-GB" w:bidi="en-GB"/>
    </w:rPr>
  </w:style>
  <w:style w:type="character" w:customStyle="1" w:styleId="Heading1Char">
    <w:name w:val="Heading 1 Char"/>
    <w:basedOn w:val="DefaultParagraphFont"/>
    <w:link w:val="Heading1"/>
    <w:uiPriority w:val="9"/>
    <w:rsid w:val="006938AF"/>
    <w:rPr>
      <w:rFonts w:asciiTheme="majorHAnsi" w:eastAsiaTheme="majorEastAsia" w:hAnsiTheme="majorHAnsi" w:cstheme="majorBidi"/>
      <w:b/>
      <w:bCs/>
      <w:color w:val="2F5496" w:themeColor="accent1" w:themeShade="BF"/>
      <w:sz w:val="28"/>
      <w:szCs w:val="28"/>
    </w:rPr>
  </w:style>
  <w:style w:type="paragraph" w:customStyle="1" w:styleId="HSMXH2">
    <w:name w:val="H S MX H2"/>
    <w:basedOn w:val="Heading2"/>
    <w:link w:val="HSMXH2Char"/>
    <w:qFormat/>
    <w:rsid w:val="006938AF"/>
    <w:pPr>
      <w:keepNext w:val="0"/>
      <w:keepLines w:val="0"/>
      <w:spacing w:before="240" w:line="360" w:lineRule="auto"/>
      <w:jc w:val="both"/>
    </w:pPr>
    <w:rPr>
      <w:rFonts w:ascii="Times New Roman" w:hAnsi="Times New Roman" w:cs="Times New Roman"/>
      <w:bCs w:val="0"/>
      <w:color w:val="auto"/>
      <w:sz w:val="24"/>
    </w:rPr>
  </w:style>
  <w:style w:type="character" w:customStyle="1" w:styleId="HSMXH2Char">
    <w:name w:val="H S MX H2 Char"/>
    <w:basedOn w:val="Heading2Char"/>
    <w:link w:val="HSMXH2"/>
    <w:rsid w:val="006938AF"/>
    <w:rPr>
      <w:rFonts w:ascii="Times New Roman" w:eastAsiaTheme="majorEastAsia" w:hAnsi="Times New Roman" w:cs="Times New Roman"/>
      <w:b/>
      <w:bCs w:val="0"/>
      <w:color w:val="4472C4" w:themeColor="accent1"/>
      <w:sz w:val="24"/>
      <w:szCs w:val="26"/>
      <w:lang w:val="en-GB"/>
    </w:rPr>
  </w:style>
  <w:style w:type="character" w:customStyle="1" w:styleId="Heading2Char">
    <w:name w:val="Heading 2 Char"/>
    <w:basedOn w:val="DefaultParagraphFont"/>
    <w:link w:val="Heading2"/>
    <w:uiPriority w:val="9"/>
    <w:rsid w:val="006938AF"/>
    <w:rPr>
      <w:rFonts w:asciiTheme="majorHAnsi" w:eastAsiaTheme="majorEastAsia" w:hAnsiTheme="majorHAnsi" w:cstheme="majorBidi"/>
      <w:b/>
      <w:bCs/>
      <w:color w:val="4472C4" w:themeColor="accent1"/>
      <w:sz w:val="26"/>
      <w:szCs w:val="26"/>
    </w:rPr>
  </w:style>
  <w:style w:type="paragraph" w:styleId="Header">
    <w:name w:val="header"/>
    <w:basedOn w:val="Normal"/>
    <w:link w:val="HeaderChar"/>
    <w:uiPriority w:val="99"/>
    <w:unhideWhenUsed/>
    <w:rsid w:val="00B37D7A"/>
    <w:pPr>
      <w:tabs>
        <w:tab w:val="center" w:pos="4680"/>
        <w:tab w:val="right" w:pos="9360"/>
      </w:tabs>
      <w:spacing w:after="0" w:line="240" w:lineRule="auto"/>
    </w:pPr>
  </w:style>
  <w:style w:type="character" w:customStyle="1" w:styleId="HeaderChar">
    <w:name w:val="Header Char"/>
    <w:basedOn w:val="DefaultParagraphFont"/>
    <w:link w:val="Header"/>
    <w:uiPriority w:val="99"/>
    <w:rsid w:val="00B37D7A"/>
  </w:style>
  <w:style w:type="paragraph" w:styleId="Footer">
    <w:name w:val="footer"/>
    <w:basedOn w:val="Normal"/>
    <w:link w:val="FooterChar"/>
    <w:uiPriority w:val="99"/>
    <w:unhideWhenUsed/>
    <w:rsid w:val="00B37D7A"/>
    <w:pPr>
      <w:tabs>
        <w:tab w:val="center" w:pos="4680"/>
        <w:tab w:val="right" w:pos="9360"/>
      </w:tabs>
      <w:spacing w:after="0" w:line="240" w:lineRule="auto"/>
    </w:pPr>
  </w:style>
  <w:style w:type="character" w:customStyle="1" w:styleId="FooterChar">
    <w:name w:val="Footer Char"/>
    <w:basedOn w:val="DefaultParagraphFont"/>
    <w:link w:val="Footer"/>
    <w:uiPriority w:val="99"/>
    <w:rsid w:val="00B37D7A"/>
  </w:style>
  <w:style w:type="paragraph" w:styleId="Title">
    <w:name w:val="Title"/>
    <w:basedOn w:val="Normal"/>
    <w:next w:val="Normal"/>
    <w:link w:val="TitleChar"/>
    <w:uiPriority w:val="10"/>
    <w:qFormat/>
    <w:rsid w:val="00BC048C"/>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BC048C"/>
    <w:rPr>
      <w:rFonts w:asciiTheme="majorHAnsi" w:eastAsiaTheme="majorEastAsia" w:hAnsiTheme="majorHAnsi" w:cstheme="majorBidi"/>
      <w:color w:val="323E4F" w:themeColor="text2" w:themeShade="BF"/>
      <w:spacing w:val="5"/>
      <w:kern w:val="28"/>
      <w:sz w:val="52"/>
      <w:szCs w:val="52"/>
    </w:rPr>
  </w:style>
  <w:style w:type="paragraph" w:customStyle="1" w:styleId="HSMXTitle">
    <w:name w:val="H S MX Title"/>
    <w:basedOn w:val="Normal"/>
    <w:link w:val="HSMXTitleChar"/>
    <w:qFormat/>
    <w:rsid w:val="00F17083"/>
    <w:pPr>
      <w:spacing w:before="240" w:after="200" w:line="360" w:lineRule="auto"/>
      <w:jc w:val="center"/>
    </w:pPr>
    <w:rPr>
      <w:rFonts w:ascii="Times New Roman" w:eastAsia="Times New Roman" w:hAnsi="Times New Roman" w:cs="Times New Roman"/>
      <w:b/>
      <w:color w:val="000000" w:themeColor="text1"/>
      <w:spacing w:val="5"/>
      <w:kern w:val="28"/>
      <w:sz w:val="28"/>
      <w:szCs w:val="24"/>
    </w:rPr>
  </w:style>
  <w:style w:type="character" w:customStyle="1" w:styleId="HSMXTitleChar">
    <w:name w:val="H S MX Title Char"/>
    <w:basedOn w:val="DefaultParagraphFont"/>
    <w:link w:val="HSMXTitle"/>
    <w:rsid w:val="00F17083"/>
    <w:rPr>
      <w:rFonts w:ascii="Times New Roman" w:eastAsia="Times New Roman" w:hAnsi="Times New Roman" w:cs="Times New Roman"/>
      <w:b/>
      <w:color w:val="000000" w:themeColor="text1"/>
      <w:spacing w:val="5"/>
      <w:kern w:val="28"/>
      <w:sz w:val="28"/>
      <w:szCs w:val="24"/>
      <w:lang w:val="en-GB"/>
    </w:rPr>
  </w:style>
  <w:style w:type="paragraph" w:styleId="TOCHeading">
    <w:name w:val="TOC Heading"/>
    <w:basedOn w:val="Heading1"/>
    <w:next w:val="Normal"/>
    <w:uiPriority w:val="39"/>
    <w:unhideWhenUsed/>
    <w:qFormat/>
    <w:rsid w:val="00BE69D4"/>
    <w:pPr>
      <w:spacing w:line="276" w:lineRule="auto"/>
      <w:outlineLvl w:val="9"/>
    </w:pPr>
    <w:rPr>
      <w:lang w:val="en-US" w:eastAsia="ja-JP"/>
    </w:rPr>
  </w:style>
  <w:style w:type="paragraph" w:styleId="TOC1">
    <w:name w:val="toc 1"/>
    <w:basedOn w:val="Normal"/>
    <w:next w:val="Normal"/>
    <w:autoRedefine/>
    <w:uiPriority w:val="39"/>
    <w:unhideWhenUsed/>
    <w:rsid w:val="00BE69D4"/>
    <w:pPr>
      <w:spacing w:after="100"/>
    </w:pPr>
  </w:style>
  <w:style w:type="paragraph" w:styleId="TOC2">
    <w:name w:val="toc 2"/>
    <w:basedOn w:val="Normal"/>
    <w:next w:val="Normal"/>
    <w:autoRedefine/>
    <w:uiPriority w:val="39"/>
    <w:unhideWhenUsed/>
    <w:rsid w:val="00BE69D4"/>
    <w:pPr>
      <w:spacing w:after="100"/>
      <w:ind w:left="220"/>
    </w:pPr>
  </w:style>
  <w:style w:type="character" w:styleId="Hyperlink">
    <w:name w:val="Hyperlink"/>
    <w:basedOn w:val="DefaultParagraphFont"/>
    <w:uiPriority w:val="99"/>
    <w:unhideWhenUsed/>
    <w:rsid w:val="00BE69D4"/>
    <w:rPr>
      <w:color w:val="0563C1" w:themeColor="hyperlink"/>
      <w:u w:val="single"/>
    </w:rPr>
  </w:style>
  <w:style w:type="paragraph" w:styleId="BalloonText">
    <w:name w:val="Balloon Text"/>
    <w:basedOn w:val="Normal"/>
    <w:link w:val="BalloonTextChar"/>
    <w:uiPriority w:val="99"/>
    <w:semiHidden/>
    <w:unhideWhenUsed/>
    <w:rsid w:val="00BE69D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E69D4"/>
    <w:rPr>
      <w:rFonts w:ascii="Tahoma" w:hAnsi="Tahoma" w:cs="Tahoma"/>
      <w:sz w:val="16"/>
      <w:szCs w:val="16"/>
    </w:rPr>
  </w:style>
  <w:style w:type="character" w:customStyle="1" w:styleId="Heading3Char">
    <w:name w:val="Heading 3 Char"/>
    <w:basedOn w:val="DefaultParagraphFont"/>
    <w:link w:val="Heading3"/>
    <w:uiPriority w:val="9"/>
    <w:semiHidden/>
    <w:rsid w:val="002E1D34"/>
    <w:rPr>
      <w:rFonts w:asciiTheme="majorHAnsi" w:eastAsiaTheme="majorEastAsia" w:hAnsiTheme="majorHAnsi" w:cstheme="majorBidi"/>
      <w:b/>
      <w:bCs/>
      <w:color w:val="4472C4" w:themeColor="accent1"/>
    </w:rPr>
  </w:style>
  <w:style w:type="character" w:customStyle="1" w:styleId="Heading4Char">
    <w:name w:val="Heading 4 Char"/>
    <w:basedOn w:val="DefaultParagraphFont"/>
    <w:link w:val="Heading4"/>
    <w:uiPriority w:val="9"/>
    <w:semiHidden/>
    <w:rsid w:val="002E1D34"/>
    <w:rPr>
      <w:rFonts w:asciiTheme="majorHAnsi" w:eastAsiaTheme="majorEastAsia" w:hAnsiTheme="majorHAnsi" w:cstheme="majorBidi"/>
      <w:b/>
      <w:bCs/>
      <w:i/>
      <w:iCs/>
      <w:color w:val="4472C4" w:themeColor="accent1"/>
    </w:rPr>
  </w:style>
  <w:style w:type="character" w:styleId="CommentReference">
    <w:name w:val="annotation reference"/>
    <w:basedOn w:val="DefaultParagraphFont"/>
    <w:uiPriority w:val="99"/>
    <w:semiHidden/>
    <w:unhideWhenUsed/>
    <w:rsid w:val="002E1D34"/>
    <w:rPr>
      <w:sz w:val="16"/>
      <w:szCs w:val="16"/>
    </w:rPr>
  </w:style>
  <w:style w:type="paragraph" w:styleId="CommentText">
    <w:name w:val="annotation text"/>
    <w:basedOn w:val="Normal"/>
    <w:link w:val="CommentTextChar"/>
    <w:uiPriority w:val="99"/>
    <w:semiHidden/>
    <w:unhideWhenUsed/>
    <w:rsid w:val="002E1D34"/>
    <w:pPr>
      <w:spacing w:line="240" w:lineRule="auto"/>
    </w:pPr>
    <w:rPr>
      <w:sz w:val="20"/>
      <w:szCs w:val="20"/>
    </w:rPr>
  </w:style>
  <w:style w:type="character" w:customStyle="1" w:styleId="CommentTextChar">
    <w:name w:val="Comment Text Char"/>
    <w:basedOn w:val="DefaultParagraphFont"/>
    <w:link w:val="CommentText"/>
    <w:uiPriority w:val="99"/>
    <w:semiHidden/>
    <w:rsid w:val="002E1D34"/>
    <w:rPr>
      <w:sz w:val="20"/>
      <w:szCs w:val="20"/>
    </w:rPr>
  </w:style>
  <w:style w:type="paragraph" w:styleId="CommentSubject">
    <w:name w:val="annotation subject"/>
    <w:basedOn w:val="CommentText"/>
    <w:next w:val="CommentText"/>
    <w:link w:val="CommentSubjectChar"/>
    <w:uiPriority w:val="99"/>
    <w:semiHidden/>
    <w:unhideWhenUsed/>
    <w:rsid w:val="002E1D34"/>
    <w:rPr>
      <w:b/>
      <w:bCs/>
    </w:rPr>
  </w:style>
  <w:style w:type="character" w:customStyle="1" w:styleId="CommentSubjectChar">
    <w:name w:val="Comment Subject Char"/>
    <w:basedOn w:val="CommentTextChar"/>
    <w:link w:val="CommentSubject"/>
    <w:uiPriority w:val="99"/>
    <w:semiHidden/>
    <w:rsid w:val="002E1D34"/>
    <w:rPr>
      <w:b/>
      <w:bCs/>
      <w:sz w:val="20"/>
      <w:szCs w:val="20"/>
    </w:rPr>
  </w:style>
  <w:style w:type="paragraph" w:customStyle="1" w:styleId="HSMXCapt">
    <w:name w:val="H S MX Capt"/>
    <w:basedOn w:val="Normal"/>
    <w:link w:val="HSMXCaptChar"/>
    <w:qFormat/>
    <w:rsid w:val="002E1D34"/>
    <w:pPr>
      <w:spacing w:before="240" w:line="360" w:lineRule="auto"/>
      <w:jc w:val="center"/>
    </w:pPr>
    <w:rPr>
      <w:rFonts w:ascii="Times New Roman" w:hAnsi="Times New Roman" w:cs="Times New Roman"/>
      <w:b/>
      <w:sz w:val="24"/>
      <w:szCs w:val="24"/>
    </w:rPr>
  </w:style>
  <w:style w:type="character" w:customStyle="1" w:styleId="HSMXCaptChar">
    <w:name w:val="H S MX Capt Char"/>
    <w:basedOn w:val="DefaultParagraphFont"/>
    <w:link w:val="HSMXCapt"/>
    <w:rsid w:val="002E1D34"/>
    <w:rPr>
      <w:rFonts w:ascii="Times New Roman" w:hAnsi="Times New Roman" w:cs="Times New Roman"/>
      <w:b/>
      <w:sz w:val="24"/>
      <w:szCs w:val="24"/>
      <w:lang w:val="en-GB"/>
    </w:rPr>
  </w:style>
  <w:style w:type="paragraph" w:customStyle="1" w:styleId="HSMXH3">
    <w:name w:val="H S MX H3"/>
    <w:basedOn w:val="Heading3"/>
    <w:link w:val="HSMXH3Char"/>
    <w:qFormat/>
    <w:rsid w:val="002E1D34"/>
    <w:pPr>
      <w:keepNext w:val="0"/>
      <w:keepLines w:val="0"/>
      <w:spacing w:before="240" w:after="160" w:line="480" w:lineRule="auto"/>
      <w:jc w:val="both"/>
    </w:pPr>
    <w:rPr>
      <w:rFonts w:ascii="Times New Roman" w:hAnsi="Times New Roman" w:cs="Times New Roman"/>
      <w:bCs w:val="0"/>
      <w:sz w:val="24"/>
      <w:szCs w:val="24"/>
    </w:rPr>
  </w:style>
  <w:style w:type="character" w:customStyle="1" w:styleId="HSMXH3Char">
    <w:name w:val="H S MX H3 Char"/>
    <w:basedOn w:val="Heading3Char"/>
    <w:link w:val="HSMXH3"/>
    <w:rsid w:val="002E1D34"/>
    <w:rPr>
      <w:rFonts w:ascii="Times New Roman" w:eastAsiaTheme="majorEastAsia" w:hAnsi="Times New Roman" w:cs="Times New Roman"/>
      <w:b/>
      <w:bCs w:val="0"/>
      <w:color w:val="4472C4" w:themeColor="accent1"/>
      <w:sz w:val="24"/>
      <w:szCs w:val="24"/>
      <w:lang w:val="en-GB"/>
    </w:rPr>
  </w:style>
  <w:style w:type="paragraph" w:customStyle="1" w:styleId="HSMXH4">
    <w:name w:val="H S MX H4"/>
    <w:basedOn w:val="Heading4"/>
    <w:link w:val="HSMXH4Char"/>
    <w:qFormat/>
    <w:rsid w:val="002E1D34"/>
    <w:pPr>
      <w:keepNext w:val="0"/>
      <w:keepLines w:val="0"/>
      <w:spacing w:before="240" w:after="160" w:line="360" w:lineRule="auto"/>
      <w:jc w:val="both"/>
    </w:pPr>
    <w:rPr>
      <w:rFonts w:ascii="Times New Roman" w:hAnsi="Times New Roman" w:cs="Times New Roman"/>
      <w:bCs w:val="0"/>
      <w:iCs w:val="0"/>
      <w:sz w:val="24"/>
      <w:szCs w:val="24"/>
    </w:rPr>
  </w:style>
  <w:style w:type="character" w:customStyle="1" w:styleId="HSMXH4Char">
    <w:name w:val="H S MX H4 Char"/>
    <w:basedOn w:val="Heading4Char"/>
    <w:link w:val="HSMXH4"/>
    <w:rsid w:val="002E1D34"/>
    <w:rPr>
      <w:rFonts w:ascii="Times New Roman" w:eastAsiaTheme="majorEastAsia" w:hAnsi="Times New Roman" w:cs="Times New Roman"/>
      <w:b/>
      <w:bCs w:val="0"/>
      <w:i/>
      <w:iCs w:val="0"/>
      <w:color w:val="4472C4" w:themeColor="accent1"/>
      <w:sz w:val="24"/>
      <w:szCs w:val="24"/>
      <w:lang w:val="en-GB"/>
    </w:rPr>
  </w:style>
  <w:style w:type="paragraph" w:styleId="Bibliography">
    <w:name w:val="Bibliography"/>
    <w:basedOn w:val="Normal"/>
    <w:next w:val="Normal"/>
    <w:uiPriority w:val="37"/>
    <w:unhideWhenUsed/>
    <w:rsid w:val="008564CF"/>
    <w:pPr>
      <w:spacing w:line="360" w:lineRule="auto"/>
      <w:jc w:val="both"/>
    </w:pPr>
    <w:rPr>
      <w:rFonts w:eastAsiaTheme="minorEastAsia"/>
      <w:sz w:val="24"/>
      <w:szCs w:val="24"/>
    </w:rPr>
  </w:style>
  <w:style w:type="character" w:customStyle="1" w:styleId="Heading5Char">
    <w:name w:val="Heading 5 Char"/>
    <w:basedOn w:val="DefaultParagraphFont"/>
    <w:link w:val="Heading5"/>
    <w:uiPriority w:val="9"/>
    <w:semiHidden/>
    <w:rsid w:val="00C9414C"/>
    <w:rPr>
      <w:rFonts w:asciiTheme="majorHAnsi" w:eastAsiaTheme="majorEastAsia" w:hAnsiTheme="majorHAnsi" w:cstheme="majorBidi"/>
      <w:color w:val="2F5496" w:themeColor="accent1" w:themeShade="BF"/>
      <w:lang w:val="en-US"/>
    </w:rPr>
  </w:style>
  <w:style w:type="character" w:customStyle="1" w:styleId="DefaultChar">
    <w:name w:val="Default Char"/>
    <w:basedOn w:val="DefaultParagraphFont"/>
    <w:link w:val="Default"/>
    <w:locked/>
    <w:rsid w:val="00C9414C"/>
    <w:rPr>
      <w:rFonts w:ascii="Times New Roman" w:eastAsiaTheme="minorEastAsia" w:hAnsi="Times New Roman" w:cs="Times New Roman"/>
      <w:color w:val="000000"/>
      <w:sz w:val="24"/>
      <w:szCs w:val="24"/>
    </w:rPr>
  </w:style>
  <w:style w:type="paragraph" w:customStyle="1" w:styleId="Default">
    <w:name w:val="Default"/>
    <w:link w:val="DefaultChar"/>
    <w:rsid w:val="00C9414C"/>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Caption">
    <w:name w:val="caption"/>
    <w:basedOn w:val="Normal"/>
    <w:next w:val="Normal"/>
    <w:uiPriority w:val="35"/>
    <w:unhideWhenUsed/>
    <w:qFormat/>
    <w:rsid w:val="007F58DC"/>
    <w:pPr>
      <w:keepNext/>
      <w:spacing w:after="200" w:line="240" w:lineRule="auto"/>
      <w:jc w:val="both"/>
    </w:pPr>
    <w:rPr>
      <w:rFonts w:asciiTheme="majorBidi" w:hAnsiTheme="majorBidi" w:cstheme="majorBidi"/>
      <w:b/>
      <w:bCs/>
      <w:sz w:val="24"/>
      <w:szCs w:val="24"/>
      <w:lang w:val="en-US"/>
    </w:rPr>
  </w:style>
  <w:style w:type="table" w:styleId="TableGrid">
    <w:name w:val="Table Grid"/>
    <w:basedOn w:val="TableNormal"/>
    <w:uiPriority w:val="39"/>
    <w:rsid w:val="00C9414C"/>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Normal"/>
    <w:next w:val="Normal"/>
    <w:autoRedefine/>
    <w:uiPriority w:val="39"/>
    <w:unhideWhenUsed/>
    <w:rsid w:val="00601B35"/>
    <w:pPr>
      <w:spacing w:after="100"/>
      <w:ind w:left="440"/>
    </w:pPr>
  </w:style>
  <w:style w:type="paragraph" w:customStyle="1" w:styleId="Headingresearch">
    <w:name w:val="Heading research"/>
    <w:basedOn w:val="Default"/>
    <w:link w:val="HeadingresearchChar"/>
    <w:qFormat/>
    <w:rsid w:val="00510805"/>
    <w:pPr>
      <w:numPr>
        <w:ilvl w:val="1"/>
        <w:numId w:val="1"/>
      </w:numPr>
      <w:spacing w:after="68" w:line="480" w:lineRule="auto"/>
    </w:pPr>
    <w:rPr>
      <w:rFonts w:asciiTheme="majorBidi" w:hAnsiTheme="majorBidi" w:cstheme="majorBidi"/>
      <w:b/>
      <w:bCs/>
      <w:lang w:val="en-US"/>
    </w:rPr>
  </w:style>
  <w:style w:type="character" w:customStyle="1" w:styleId="HeadingresearchChar">
    <w:name w:val="Heading research Char"/>
    <w:basedOn w:val="DefaultChar"/>
    <w:link w:val="Headingresearch"/>
    <w:rsid w:val="00510805"/>
    <w:rPr>
      <w:rFonts w:asciiTheme="majorBidi" w:eastAsiaTheme="minorEastAsia" w:hAnsiTheme="majorBidi" w:cstheme="majorBidi"/>
      <w:b/>
      <w:bCs/>
      <w:color w:val="000000"/>
      <w:sz w:val="24"/>
      <w:szCs w:val="24"/>
      <w:lang w:val="en-US"/>
    </w:rPr>
  </w:style>
  <w:style w:type="paragraph" w:customStyle="1" w:styleId="Uni">
    <w:name w:val="Uni"/>
    <w:basedOn w:val="Normal"/>
    <w:link w:val="UniChar"/>
    <w:qFormat/>
    <w:rsid w:val="00712A10"/>
    <w:rPr>
      <w:rFonts w:asciiTheme="majorBidi" w:hAnsiTheme="majorBidi"/>
      <w:color w:val="000000" w:themeColor="text1"/>
      <w:lang w:val="en-US"/>
    </w:rPr>
  </w:style>
  <w:style w:type="character" w:customStyle="1" w:styleId="UniChar">
    <w:name w:val="Uni Char"/>
    <w:basedOn w:val="DefaultParagraphFont"/>
    <w:link w:val="Uni"/>
    <w:rsid w:val="00712A10"/>
    <w:rPr>
      <w:rFonts w:asciiTheme="majorBidi" w:hAnsiTheme="majorBidi"/>
      <w:color w:val="000000" w:themeColor="text1"/>
      <w:lang w:val="en-US"/>
    </w:rPr>
  </w:style>
  <w:style w:type="paragraph" w:styleId="Revision">
    <w:name w:val="Revision"/>
    <w:hidden/>
    <w:uiPriority w:val="99"/>
    <w:semiHidden/>
    <w:rsid w:val="00BF6163"/>
    <w:pPr>
      <w:spacing w:after="0" w:line="240" w:lineRule="auto"/>
    </w:pPr>
  </w:style>
  <w:style w:type="character" w:styleId="Emphasis">
    <w:name w:val="Emphasis"/>
    <w:basedOn w:val="DefaultParagraphFont"/>
    <w:uiPriority w:val="20"/>
    <w:qFormat/>
    <w:rsid w:val="006152E1"/>
    <w:rPr>
      <w:i/>
      <w:iCs/>
    </w:rPr>
  </w:style>
  <w:style w:type="table" w:styleId="GridTable6Colorful">
    <w:name w:val="Grid Table 6 Colorful"/>
    <w:basedOn w:val="TableNormal"/>
    <w:uiPriority w:val="51"/>
    <w:rsid w:val="00E34267"/>
    <w:pPr>
      <w:spacing w:after="0" w:line="240" w:lineRule="auto"/>
    </w:pPr>
    <w:rPr>
      <w:color w:val="000000" w:themeColor="text1"/>
      <w:lang w:val="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Simple1">
    <w:name w:val="Table Simple 1"/>
    <w:basedOn w:val="TableNormal"/>
    <w:uiPriority w:val="99"/>
    <w:semiHidden/>
    <w:unhideWhenUsed/>
    <w:rsid w:val="00161F8B"/>
    <w:rPr>
      <w:lang w:val="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Style1">
    <w:name w:val="Style1"/>
    <w:basedOn w:val="TableSimple1"/>
    <w:uiPriority w:val="99"/>
    <w:rsid w:val="00161F8B"/>
    <w:pPr>
      <w:spacing w:after="0" w:line="240" w:lineRule="auto"/>
    </w:pP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ListParagraphChar">
    <w:name w:val="List Paragraph Char"/>
    <w:basedOn w:val="DefaultParagraphFont"/>
    <w:link w:val="ListParagraph"/>
    <w:uiPriority w:val="34"/>
    <w:rsid w:val="00161F8B"/>
  </w:style>
  <w:style w:type="character" w:customStyle="1" w:styleId="Heading1Char1">
    <w:name w:val="Heading 1 Char1"/>
    <w:basedOn w:val="DefaultParagraphFont"/>
    <w:uiPriority w:val="9"/>
    <w:rsid w:val="00161F8B"/>
    <w:rPr>
      <w:rFonts w:asciiTheme="majorHAnsi" w:eastAsiaTheme="majorEastAsia" w:hAnsiTheme="majorHAnsi" w:cstheme="majorBidi"/>
      <w:color w:val="2F5496" w:themeColor="accent1" w:themeShade="BF"/>
      <w:sz w:val="32"/>
      <w:szCs w:val="32"/>
    </w:rPr>
  </w:style>
  <w:style w:type="paragraph" w:customStyle="1" w:styleId="Heading11">
    <w:name w:val="Heading 11"/>
    <w:basedOn w:val="Normal"/>
    <w:next w:val="Normal"/>
    <w:uiPriority w:val="9"/>
    <w:qFormat/>
    <w:rsid w:val="00161F8B"/>
    <w:pPr>
      <w:keepNext/>
      <w:keepLines/>
      <w:spacing w:before="480" w:after="0"/>
      <w:outlineLvl w:val="0"/>
    </w:pPr>
    <w:rPr>
      <w:rFonts w:ascii="Calibri Light" w:eastAsia="Times New Roman" w:hAnsi="Calibri Light" w:cs="Times New Roman"/>
      <w:b/>
      <w:bCs/>
      <w:color w:val="2F5496"/>
      <w:sz w:val="28"/>
      <w:szCs w:val="28"/>
      <w:lang w:val="en-US"/>
    </w:rPr>
  </w:style>
  <w:style w:type="paragraph" w:customStyle="1" w:styleId="Heading21">
    <w:name w:val="Heading 21"/>
    <w:basedOn w:val="Normal"/>
    <w:next w:val="Normal"/>
    <w:uiPriority w:val="9"/>
    <w:unhideWhenUsed/>
    <w:qFormat/>
    <w:rsid w:val="00161F8B"/>
    <w:pPr>
      <w:keepNext/>
      <w:keepLines/>
      <w:spacing w:before="200" w:after="0"/>
      <w:outlineLvl w:val="1"/>
    </w:pPr>
    <w:rPr>
      <w:rFonts w:ascii="Calibri Light" w:eastAsia="Times New Roman" w:hAnsi="Calibri Light" w:cs="Times New Roman"/>
      <w:b/>
      <w:bCs/>
      <w:color w:val="4472C4"/>
      <w:sz w:val="26"/>
      <w:szCs w:val="26"/>
      <w:lang w:val="en-US"/>
    </w:rPr>
  </w:style>
  <w:style w:type="paragraph" w:customStyle="1" w:styleId="Title1">
    <w:name w:val="Title1"/>
    <w:basedOn w:val="Normal"/>
    <w:next w:val="Normal"/>
    <w:uiPriority w:val="10"/>
    <w:qFormat/>
    <w:rsid w:val="00161F8B"/>
    <w:pPr>
      <w:pBdr>
        <w:bottom w:val="single" w:sz="8" w:space="4" w:color="4472C4"/>
      </w:pBdr>
      <w:spacing w:after="300" w:line="240" w:lineRule="auto"/>
      <w:contextualSpacing/>
    </w:pPr>
    <w:rPr>
      <w:rFonts w:ascii="Calibri Light" w:eastAsia="Times New Roman" w:hAnsi="Calibri Light" w:cs="Times New Roman"/>
      <w:color w:val="323E4F"/>
      <w:spacing w:val="5"/>
      <w:kern w:val="28"/>
      <w:sz w:val="52"/>
      <w:szCs w:val="52"/>
      <w:lang w:val="en-US"/>
    </w:rPr>
  </w:style>
  <w:style w:type="character" w:customStyle="1" w:styleId="TitleChar1">
    <w:name w:val="Title Char1"/>
    <w:basedOn w:val="DefaultParagraphFont"/>
    <w:uiPriority w:val="10"/>
    <w:rsid w:val="00161F8B"/>
    <w:rPr>
      <w:rFonts w:asciiTheme="majorHAnsi" w:eastAsiaTheme="majorEastAsia" w:hAnsiTheme="majorHAnsi" w:cstheme="majorBidi"/>
      <w:spacing w:val="-10"/>
      <w:kern w:val="28"/>
      <w:sz w:val="56"/>
      <w:szCs w:val="56"/>
    </w:rPr>
  </w:style>
  <w:style w:type="character" w:customStyle="1" w:styleId="Hyperlink1">
    <w:name w:val="Hyperlink1"/>
    <w:basedOn w:val="DefaultParagraphFont"/>
    <w:uiPriority w:val="99"/>
    <w:unhideWhenUsed/>
    <w:rsid w:val="00161F8B"/>
    <w:rPr>
      <w:color w:val="0563C1"/>
      <w:u w:val="single"/>
    </w:rPr>
  </w:style>
  <w:style w:type="paragraph" w:customStyle="1" w:styleId="Bibliography1">
    <w:name w:val="Bibliography1"/>
    <w:basedOn w:val="Normal"/>
    <w:next w:val="Normal"/>
    <w:uiPriority w:val="37"/>
    <w:unhideWhenUsed/>
    <w:rsid w:val="00161F8B"/>
    <w:pPr>
      <w:spacing w:line="360" w:lineRule="auto"/>
      <w:jc w:val="both"/>
    </w:pPr>
    <w:rPr>
      <w:rFonts w:eastAsia="Times New Roman"/>
      <w:sz w:val="24"/>
      <w:szCs w:val="24"/>
    </w:rPr>
  </w:style>
  <w:style w:type="paragraph" w:customStyle="1" w:styleId="Caption1">
    <w:name w:val="Caption1"/>
    <w:basedOn w:val="Normal"/>
    <w:next w:val="Normal"/>
    <w:uiPriority w:val="35"/>
    <w:unhideWhenUsed/>
    <w:qFormat/>
    <w:rsid w:val="00161F8B"/>
    <w:pPr>
      <w:spacing w:after="200" w:line="240" w:lineRule="auto"/>
    </w:pPr>
    <w:rPr>
      <w:i/>
      <w:iCs/>
      <w:color w:val="44546A"/>
      <w:sz w:val="18"/>
      <w:szCs w:val="18"/>
      <w:lang w:val="en-US"/>
    </w:rPr>
  </w:style>
  <w:style w:type="paragraph" w:styleId="NormalWeb">
    <w:name w:val="Normal (Web)"/>
    <w:basedOn w:val="Normal"/>
    <w:uiPriority w:val="99"/>
    <w:unhideWhenUsed/>
    <w:rsid w:val="00161F8B"/>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Strong">
    <w:name w:val="Strong"/>
    <w:basedOn w:val="DefaultParagraphFont"/>
    <w:uiPriority w:val="22"/>
    <w:qFormat/>
    <w:rsid w:val="00161F8B"/>
    <w:rPr>
      <w:b/>
      <w:bCs/>
    </w:rPr>
  </w:style>
  <w:style w:type="character" w:styleId="FollowedHyperlink">
    <w:name w:val="FollowedHyperlink"/>
    <w:basedOn w:val="DefaultParagraphFont"/>
    <w:uiPriority w:val="99"/>
    <w:semiHidden/>
    <w:unhideWhenUsed/>
    <w:rsid w:val="00161F8B"/>
    <w:rPr>
      <w:color w:val="954F72" w:themeColor="followedHyperlink"/>
      <w:u w:val="single"/>
    </w:rPr>
  </w:style>
  <w:style w:type="paragraph" w:styleId="TableofFigures">
    <w:name w:val="table of figures"/>
    <w:basedOn w:val="Normal"/>
    <w:next w:val="Normal"/>
    <w:uiPriority w:val="99"/>
    <w:unhideWhenUsed/>
    <w:rsid w:val="00161F8B"/>
    <w:pPr>
      <w:spacing w:after="0"/>
    </w:pPr>
    <w:rPr>
      <w:lang w:val="en-US"/>
    </w:rPr>
  </w:style>
  <w:style w:type="character" w:customStyle="1" w:styleId="UnresolvedMention1">
    <w:name w:val="Unresolved Mention1"/>
    <w:basedOn w:val="DefaultParagraphFont"/>
    <w:uiPriority w:val="99"/>
    <w:semiHidden/>
    <w:unhideWhenUsed/>
    <w:rsid w:val="00980328"/>
    <w:rPr>
      <w:color w:val="605E5C"/>
      <w:shd w:val="clear" w:color="auto" w:fill="E1DFDD"/>
    </w:rPr>
  </w:style>
  <w:style w:type="table" w:styleId="PlainTable4">
    <w:name w:val="Plain Table 4"/>
    <w:basedOn w:val="TableNormal"/>
    <w:uiPriority w:val="44"/>
    <w:rsid w:val="00983BB7"/>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2D64A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GridLight">
    <w:name w:val="Grid Table Light"/>
    <w:basedOn w:val="TableNormal"/>
    <w:uiPriority w:val="40"/>
    <w:rsid w:val="00D2062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GridTable1Light">
    <w:name w:val="Grid Table 1 Light"/>
    <w:basedOn w:val="TableNormal"/>
    <w:uiPriority w:val="46"/>
    <w:rsid w:val="00D2062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z-TopofForm">
    <w:name w:val="HTML Top of Form"/>
    <w:basedOn w:val="Normal"/>
    <w:next w:val="Normal"/>
    <w:link w:val="z-TopofFormChar"/>
    <w:hidden/>
    <w:uiPriority w:val="99"/>
    <w:semiHidden/>
    <w:unhideWhenUsed/>
    <w:rsid w:val="00C26F27"/>
    <w:pPr>
      <w:pBdr>
        <w:bottom w:val="single" w:sz="6" w:space="1" w:color="auto"/>
      </w:pBdr>
      <w:spacing w:after="0" w:line="240" w:lineRule="auto"/>
      <w:jc w:val="center"/>
    </w:pPr>
    <w:rPr>
      <w:rFonts w:ascii="Arial" w:eastAsia="Times New Roman" w:hAnsi="Arial" w:cs="Arial"/>
      <w:vanish/>
      <w:sz w:val="16"/>
      <w:szCs w:val="16"/>
      <w:lang w:val="en-US"/>
    </w:rPr>
  </w:style>
  <w:style w:type="character" w:customStyle="1" w:styleId="z-TopofFormChar">
    <w:name w:val="z-Top of Form Char"/>
    <w:basedOn w:val="DefaultParagraphFont"/>
    <w:link w:val="z-TopofForm"/>
    <w:uiPriority w:val="99"/>
    <w:semiHidden/>
    <w:rsid w:val="00C26F27"/>
    <w:rPr>
      <w:rFonts w:ascii="Arial" w:eastAsia="Times New Roman" w:hAnsi="Arial" w:cs="Arial"/>
      <w:vanish/>
      <w:sz w:val="16"/>
      <w:szCs w:val="16"/>
      <w:lang w:val="en-US"/>
    </w:rPr>
  </w:style>
  <w:style w:type="character" w:customStyle="1" w:styleId="UnresolvedMention2">
    <w:name w:val="Unresolved Mention2"/>
    <w:basedOn w:val="DefaultParagraphFont"/>
    <w:uiPriority w:val="99"/>
    <w:semiHidden/>
    <w:unhideWhenUsed/>
    <w:rsid w:val="00B72745"/>
    <w:rPr>
      <w:color w:val="605E5C"/>
      <w:shd w:val="clear" w:color="auto" w:fill="E1DFDD"/>
    </w:rPr>
  </w:style>
  <w:style w:type="character" w:customStyle="1" w:styleId="contentpasted6">
    <w:name w:val="contentpasted6"/>
    <w:basedOn w:val="DefaultParagraphFont"/>
    <w:rsid w:val="00F9262F"/>
  </w:style>
  <w:style w:type="character" w:customStyle="1" w:styleId="contentpasted5">
    <w:name w:val="contentpasted5"/>
    <w:basedOn w:val="DefaultParagraphFont"/>
    <w:rsid w:val="00F9262F"/>
  </w:style>
  <w:style w:type="character" w:customStyle="1" w:styleId="contentpasted3">
    <w:name w:val="contentpasted3"/>
    <w:basedOn w:val="DefaultParagraphFont"/>
    <w:rsid w:val="00F9262F"/>
  </w:style>
  <w:style w:type="character" w:customStyle="1" w:styleId="contentpasted0">
    <w:name w:val="contentpasted0"/>
    <w:basedOn w:val="DefaultParagraphFont"/>
    <w:rsid w:val="00F9262F"/>
  </w:style>
  <w:style w:type="character" w:customStyle="1" w:styleId="contentpasted1">
    <w:name w:val="contentpasted1"/>
    <w:basedOn w:val="DefaultParagraphFont"/>
    <w:rsid w:val="00F9262F"/>
  </w:style>
  <w:style w:type="character" w:customStyle="1" w:styleId="contentpasted2">
    <w:name w:val="contentpasted2"/>
    <w:basedOn w:val="DefaultParagraphFont"/>
    <w:rsid w:val="00F9262F"/>
  </w:style>
  <w:style w:type="character" w:customStyle="1" w:styleId="contentpasted4">
    <w:name w:val="contentpasted4"/>
    <w:basedOn w:val="DefaultParagraphFont"/>
    <w:rsid w:val="00F9262F"/>
  </w:style>
  <w:style w:type="character" w:customStyle="1" w:styleId="UnresolvedMention">
    <w:name w:val="Unresolved Mention"/>
    <w:basedOn w:val="DefaultParagraphFont"/>
    <w:uiPriority w:val="99"/>
    <w:semiHidden/>
    <w:unhideWhenUsed/>
    <w:rsid w:val="00B53A4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380550">
      <w:bodyDiv w:val="1"/>
      <w:marLeft w:val="0"/>
      <w:marRight w:val="0"/>
      <w:marTop w:val="0"/>
      <w:marBottom w:val="0"/>
      <w:divBdr>
        <w:top w:val="none" w:sz="0" w:space="0" w:color="auto"/>
        <w:left w:val="none" w:sz="0" w:space="0" w:color="auto"/>
        <w:bottom w:val="none" w:sz="0" w:space="0" w:color="auto"/>
        <w:right w:val="none" w:sz="0" w:space="0" w:color="auto"/>
      </w:divBdr>
    </w:div>
    <w:div w:id="65612359">
      <w:bodyDiv w:val="1"/>
      <w:marLeft w:val="0"/>
      <w:marRight w:val="0"/>
      <w:marTop w:val="0"/>
      <w:marBottom w:val="0"/>
      <w:divBdr>
        <w:top w:val="none" w:sz="0" w:space="0" w:color="auto"/>
        <w:left w:val="none" w:sz="0" w:space="0" w:color="auto"/>
        <w:bottom w:val="none" w:sz="0" w:space="0" w:color="auto"/>
        <w:right w:val="none" w:sz="0" w:space="0" w:color="auto"/>
      </w:divBdr>
      <w:divsChild>
        <w:div w:id="1372606543">
          <w:marLeft w:val="0"/>
          <w:marRight w:val="0"/>
          <w:marTop w:val="300"/>
          <w:marBottom w:val="300"/>
          <w:divBdr>
            <w:top w:val="none" w:sz="0" w:space="0" w:color="auto"/>
            <w:left w:val="none" w:sz="0" w:space="0" w:color="auto"/>
            <w:bottom w:val="none" w:sz="0" w:space="0" w:color="auto"/>
            <w:right w:val="none" w:sz="0" w:space="0" w:color="auto"/>
          </w:divBdr>
          <w:divsChild>
            <w:div w:id="1381128643">
              <w:marLeft w:val="0"/>
              <w:marRight w:val="0"/>
              <w:marTop w:val="120"/>
              <w:marBottom w:val="0"/>
              <w:divBdr>
                <w:top w:val="none" w:sz="0" w:space="0" w:color="auto"/>
                <w:left w:val="none" w:sz="0" w:space="0" w:color="auto"/>
                <w:bottom w:val="none" w:sz="0" w:space="0" w:color="auto"/>
                <w:right w:val="none" w:sz="0" w:space="0" w:color="auto"/>
              </w:divBdr>
            </w:div>
            <w:div w:id="1060131067">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 w:id="84809087">
      <w:bodyDiv w:val="1"/>
      <w:marLeft w:val="0"/>
      <w:marRight w:val="0"/>
      <w:marTop w:val="0"/>
      <w:marBottom w:val="0"/>
      <w:divBdr>
        <w:top w:val="none" w:sz="0" w:space="0" w:color="auto"/>
        <w:left w:val="none" w:sz="0" w:space="0" w:color="auto"/>
        <w:bottom w:val="none" w:sz="0" w:space="0" w:color="auto"/>
        <w:right w:val="none" w:sz="0" w:space="0" w:color="auto"/>
      </w:divBdr>
    </w:div>
    <w:div w:id="154492343">
      <w:bodyDiv w:val="1"/>
      <w:marLeft w:val="0"/>
      <w:marRight w:val="0"/>
      <w:marTop w:val="0"/>
      <w:marBottom w:val="0"/>
      <w:divBdr>
        <w:top w:val="none" w:sz="0" w:space="0" w:color="auto"/>
        <w:left w:val="none" w:sz="0" w:space="0" w:color="auto"/>
        <w:bottom w:val="none" w:sz="0" w:space="0" w:color="auto"/>
        <w:right w:val="none" w:sz="0" w:space="0" w:color="auto"/>
      </w:divBdr>
    </w:div>
    <w:div w:id="204103771">
      <w:bodyDiv w:val="1"/>
      <w:marLeft w:val="0"/>
      <w:marRight w:val="0"/>
      <w:marTop w:val="0"/>
      <w:marBottom w:val="0"/>
      <w:divBdr>
        <w:top w:val="none" w:sz="0" w:space="0" w:color="auto"/>
        <w:left w:val="none" w:sz="0" w:space="0" w:color="auto"/>
        <w:bottom w:val="none" w:sz="0" w:space="0" w:color="auto"/>
        <w:right w:val="none" w:sz="0" w:space="0" w:color="auto"/>
      </w:divBdr>
    </w:div>
    <w:div w:id="217084912">
      <w:bodyDiv w:val="1"/>
      <w:marLeft w:val="0"/>
      <w:marRight w:val="0"/>
      <w:marTop w:val="0"/>
      <w:marBottom w:val="0"/>
      <w:divBdr>
        <w:top w:val="none" w:sz="0" w:space="0" w:color="auto"/>
        <w:left w:val="none" w:sz="0" w:space="0" w:color="auto"/>
        <w:bottom w:val="none" w:sz="0" w:space="0" w:color="auto"/>
        <w:right w:val="none" w:sz="0" w:space="0" w:color="auto"/>
      </w:divBdr>
    </w:div>
    <w:div w:id="221988392">
      <w:bodyDiv w:val="1"/>
      <w:marLeft w:val="0"/>
      <w:marRight w:val="0"/>
      <w:marTop w:val="0"/>
      <w:marBottom w:val="0"/>
      <w:divBdr>
        <w:top w:val="none" w:sz="0" w:space="0" w:color="auto"/>
        <w:left w:val="none" w:sz="0" w:space="0" w:color="auto"/>
        <w:bottom w:val="none" w:sz="0" w:space="0" w:color="auto"/>
        <w:right w:val="none" w:sz="0" w:space="0" w:color="auto"/>
      </w:divBdr>
      <w:divsChild>
        <w:div w:id="1388803509">
          <w:marLeft w:val="360"/>
          <w:marRight w:val="0"/>
          <w:marTop w:val="200"/>
          <w:marBottom w:val="0"/>
          <w:divBdr>
            <w:top w:val="none" w:sz="0" w:space="0" w:color="auto"/>
            <w:left w:val="none" w:sz="0" w:space="0" w:color="auto"/>
            <w:bottom w:val="none" w:sz="0" w:space="0" w:color="auto"/>
            <w:right w:val="none" w:sz="0" w:space="0" w:color="auto"/>
          </w:divBdr>
        </w:div>
        <w:div w:id="1950702711">
          <w:marLeft w:val="360"/>
          <w:marRight w:val="0"/>
          <w:marTop w:val="200"/>
          <w:marBottom w:val="0"/>
          <w:divBdr>
            <w:top w:val="none" w:sz="0" w:space="0" w:color="auto"/>
            <w:left w:val="none" w:sz="0" w:space="0" w:color="auto"/>
            <w:bottom w:val="none" w:sz="0" w:space="0" w:color="auto"/>
            <w:right w:val="none" w:sz="0" w:space="0" w:color="auto"/>
          </w:divBdr>
        </w:div>
        <w:div w:id="450243817">
          <w:marLeft w:val="360"/>
          <w:marRight w:val="0"/>
          <w:marTop w:val="200"/>
          <w:marBottom w:val="0"/>
          <w:divBdr>
            <w:top w:val="none" w:sz="0" w:space="0" w:color="auto"/>
            <w:left w:val="none" w:sz="0" w:space="0" w:color="auto"/>
            <w:bottom w:val="none" w:sz="0" w:space="0" w:color="auto"/>
            <w:right w:val="none" w:sz="0" w:space="0" w:color="auto"/>
          </w:divBdr>
        </w:div>
        <w:div w:id="1991057719">
          <w:marLeft w:val="360"/>
          <w:marRight w:val="0"/>
          <w:marTop w:val="200"/>
          <w:marBottom w:val="0"/>
          <w:divBdr>
            <w:top w:val="none" w:sz="0" w:space="0" w:color="auto"/>
            <w:left w:val="none" w:sz="0" w:space="0" w:color="auto"/>
            <w:bottom w:val="none" w:sz="0" w:space="0" w:color="auto"/>
            <w:right w:val="none" w:sz="0" w:space="0" w:color="auto"/>
          </w:divBdr>
        </w:div>
        <w:div w:id="1012801615">
          <w:marLeft w:val="360"/>
          <w:marRight w:val="0"/>
          <w:marTop w:val="200"/>
          <w:marBottom w:val="0"/>
          <w:divBdr>
            <w:top w:val="none" w:sz="0" w:space="0" w:color="auto"/>
            <w:left w:val="none" w:sz="0" w:space="0" w:color="auto"/>
            <w:bottom w:val="none" w:sz="0" w:space="0" w:color="auto"/>
            <w:right w:val="none" w:sz="0" w:space="0" w:color="auto"/>
          </w:divBdr>
        </w:div>
      </w:divsChild>
    </w:div>
    <w:div w:id="246231112">
      <w:bodyDiv w:val="1"/>
      <w:marLeft w:val="0"/>
      <w:marRight w:val="0"/>
      <w:marTop w:val="0"/>
      <w:marBottom w:val="0"/>
      <w:divBdr>
        <w:top w:val="none" w:sz="0" w:space="0" w:color="auto"/>
        <w:left w:val="none" w:sz="0" w:space="0" w:color="auto"/>
        <w:bottom w:val="none" w:sz="0" w:space="0" w:color="auto"/>
        <w:right w:val="none" w:sz="0" w:space="0" w:color="auto"/>
      </w:divBdr>
    </w:div>
    <w:div w:id="285159477">
      <w:bodyDiv w:val="1"/>
      <w:marLeft w:val="0"/>
      <w:marRight w:val="0"/>
      <w:marTop w:val="0"/>
      <w:marBottom w:val="0"/>
      <w:divBdr>
        <w:top w:val="none" w:sz="0" w:space="0" w:color="auto"/>
        <w:left w:val="none" w:sz="0" w:space="0" w:color="auto"/>
        <w:bottom w:val="none" w:sz="0" w:space="0" w:color="auto"/>
        <w:right w:val="none" w:sz="0" w:space="0" w:color="auto"/>
      </w:divBdr>
    </w:div>
    <w:div w:id="294407858">
      <w:bodyDiv w:val="1"/>
      <w:marLeft w:val="0"/>
      <w:marRight w:val="0"/>
      <w:marTop w:val="0"/>
      <w:marBottom w:val="0"/>
      <w:divBdr>
        <w:top w:val="none" w:sz="0" w:space="0" w:color="auto"/>
        <w:left w:val="none" w:sz="0" w:space="0" w:color="auto"/>
        <w:bottom w:val="none" w:sz="0" w:space="0" w:color="auto"/>
        <w:right w:val="none" w:sz="0" w:space="0" w:color="auto"/>
      </w:divBdr>
      <w:divsChild>
        <w:div w:id="1279947996">
          <w:marLeft w:val="0"/>
          <w:marRight w:val="0"/>
          <w:marTop w:val="0"/>
          <w:marBottom w:val="0"/>
          <w:divBdr>
            <w:top w:val="single" w:sz="2" w:space="0" w:color="D9D9E3"/>
            <w:left w:val="single" w:sz="2" w:space="0" w:color="D9D9E3"/>
            <w:bottom w:val="single" w:sz="2" w:space="0" w:color="D9D9E3"/>
            <w:right w:val="single" w:sz="2" w:space="0" w:color="D9D9E3"/>
          </w:divBdr>
          <w:divsChild>
            <w:div w:id="932586157">
              <w:marLeft w:val="0"/>
              <w:marRight w:val="0"/>
              <w:marTop w:val="0"/>
              <w:marBottom w:val="0"/>
              <w:divBdr>
                <w:top w:val="single" w:sz="2" w:space="0" w:color="D9D9E3"/>
                <w:left w:val="single" w:sz="2" w:space="0" w:color="D9D9E3"/>
                <w:bottom w:val="single" w:sz="2" w:space="0" w:color="D9D9E3"/>
                <w:right w:val="single" w:sz="2" w:space="0" w:color="D9D9E3"/>
              </w:divBdr>
              <w:divsChild>
                <w:div w:id="1287854403">
                  <w:marLeft w:val="0"/>
                  <w:marRight w:val="0"/>
                  <w:marTop w:val="0"/>
                  <w:marBottom w:val="0"/>
                  <w:divBdr>
                    <w:top w:val="single" w:sz="2" w:space="0" w:color="D9D9E3"/>
                    <w:left w:val="single" w:sz="2" w:space="0" w:color="D9D9E3"/>
                    <w:bottom w:val="single" w:sz="2" w:space="0" w:color="D9D9E3"/>
                    <w:right w:val="single" w:sz="2" w:space="0" w:color="D9D9E3"/>
                  </w:divBdr>
                  <w:divsChild>
                    <w:div w:id="1874881385">
                      <w:marLeft w:val="0"/>
                      <w:marRight w:val="0"/>
                      <w:marTop w:val="0"/>
                      <w:marBottom w:val="0"/>
                      <w:divBdr>
                        <w:top w:val="single" w:sz="2" w:space="0" w:color="D9D9E3"/>
                        <w:left w:val="single" w:sz="2" w:space="0" w:color="D9D9E3"/>
                        <w:bottom w:val="single" w:sz="2" w:space="0" w:color="D9D9E3"/>
                        <w:right w:val="single" w:sz="2" w:space="0" w:color="D9D9E3"/>
                      </w:divBdr>
                      <w:divsChild>
                        <w:div w:id="640110747">
                          <w:marLeft w:val="0"/>
                          <w:marRight w:val="0"/>
                          <w:marTop w:val="0"/>
                          <w:marBottom w:val="0"/>
                          <w:divBdr>
                            <w:top w:val="single" w:sz="2" w:space="0" w:color="auto"/>
                            <w:left w:val="single" w:sz="2" w:space="0" w:color="auto"/>
                            <w:bottom w:val="single" w:sz="6" w:space="0" w:color="auto"/>
                            <w:right w:val="single" w:sz="2" w:space="0" w:color="auto"/>
                          </w:divBdr>
                          <w:divsChild>
                            <w:div w:id="774012674">
                              <w:marLeft w:val="0"/>
                              <w:marRight w:val="0"/>
                              <w:marTop w:val="100"/>
                              <w:marBottom w:val="100"/>
                              <w:divBdr>
                                <w:top w:val="single" w:sz="2" w:space="0" w:color="D9D9E3"/>
                                <w:left w:val="single" w:sz="2" w:space="0" w:color="D9D9E3"/>
                                <w:bottom w:val="single" w:sz="2" w:space="0" w:color="D9D9E3"/>
                                <w:right w:val="single" w:sz="2" w:space="0" w:color="D9D9E3"/>
                              </w:divBdr>
                              <w:divsChild>
                                <w:div w:id="750857767">
                                  <w:marLeft w:val="0"/>
                                  <w:marRight w:val="0"/>
                                  <w:marTop w:val="0"/>
                                  <w:marBottom w:val="0"/>
                                  <w:divBdr>
                                    <w:top w:val="single" w:sz="2" w:space="0" w:color="D9D9E3"/>
                                    <w:left w:val="single" w:sz="2" w:space="0" w:color="D9D9E3"/>
                                    <w:bottom w:val="single" w:sz="2" w:space="0" w:color="D9D9E3"/>
                                    <w:right w:val="single" w:sz="2" w:space="0" w:color="D9D9E3"/>
                                  </w:divBdr>
                                  <w:divsChild>
                                    <w:div w:id="636568578">
                                      <w:marLeft w:val="0"/>
                                      <w:marRight w:val="0"/>
                                      <w:marTop w:val="0"/>
                                      <w:marBottom w:val="0"/>
                                      <w:divBdr>
                                        <w:top w:val="single" w:sz="2" w:space="0" w:color="D9D9E3"/>
                                        <w:left w:val="single" w:sz="2" w:space="0" w:color="D9D9E3"/>
                                        <w:bottom w:val="single" w:sz="2" w:space="0" w:color="D9D9E3"/>
                                        <w:right w:val="single" w:sz="2" w:space="0" w:color="D9D9E3"/>
                                      </w:divBdr>
                                      <w:divsChild>
                                        <w:div w:id="1509909498">
                                          <w:marLeft w:val="0"/>
                                          <w:marRight w:val="0"/>
                                          <w:marTop w:val="0"/>
                                          <w:marBottom w:val="0"/>
                                          <w:divBdr>
                                            <w:top w:val="single" w:sz="2" w:space="0" w:color="D9D9E3"/>
                                            <w:left w:val="single" w:sz="2" w:space="0" w:color="D9D9E3"/>
                                            <w:bottom w:val="single" w:sz="2" w:space="0" w:color="D9D9E3"/>
                                            <w:right w:val="single" w:sz="2" w:space="0" w:color="D9D9E3"/>
                                          </w:divBdr>
                                          <w:divsChild>
                                            <w:div w:id="85854874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818261369">
          <w:marLeft w:val="0"/>
          <w:marRight w:val="0"/>
          <w:marTop w:val="0"/>
          <w:marBottom w:val="0"/>
          <w:divBdr>
            <w:top w:val="none" w:sz="0" w:space="0" w:color="auto"/>
            <w:left w:val="none" w:sz="0" w:space="0" w:color="auto"/>
            <w:bottom w:val="none" w:sz="0" w:space="0" w:color="auto"/>
            <w:right w:val="none" w:sz="0" w:space="0" w:color="auto"/>
          </w:divBdr>
        </w:div>
      </w:divsChild>
    </w:div>
    <w:div w:id="486480742">
      <w:bodyDiv w:val="1"/>
      <w:marLeft w:val="0"/>
      <w:marRight w:val="0"/>
      <w:marTop w:val="0"/>
      <w:marBottom w:val="0"/>
      <w:divBdr>
        <w:top w:val="none" w:sz="0" w:space="0" w:color="auto"/>
        <w:left w:val="none" w:sz="0" w:space="0" w:color="auto"/>
        <w:bottom w:val="none" w:sz="0" w:space="0" w:color="auto"/>
        <w:right w:val="none" w:sz="0" w:space="0" w:color="auto"/>
      </w:divBdr>
    </w:div>
    <w:div w:id="508953950">
      <w:bodyDiv w:val="1"/>
      <w:marLeft w:val="0"/>
      <w:marRight w:val="0"/>
      <w:marTop w:val="0"/>
      <w:marBottom w:val="0"/>
      <w:divBdr>
        <w:top w:val="none" w:sz="0" w:space="0" w:color="auto"/>
        <w:left w:val="none" w:sz="0" w:space="0" w:color="auto"/>
        <w:bottom w:val="none" w:sz="0" w:space="0" w:color="auto"/>
        <w:right w:val="none" w:sz="0" w:space="0" w:color="auto"/>
      </w:divBdr>
      <w:divsChild>
        <w:div w:id="1866013942">
          <w:marLeft w:val="360"/>
          <w:marRight w:val="0"/>
          <w:marTop w:val="200"/>
          <w:marBottom w:val="0"/>
          <w:divBdr>
            <w:top w:val="none" w:sz="0" w:space="0" w:color="auto"/>
            <w:left w:val="none" w:sz="0" w:space="0" w:color="auto"/>
            <w:bottom w:val="none" w:sz="0" w:space="0" w:color="auto"/>
            <w:right w:val="none" w:sz="0" w:space="0" w:color="auto"/>
          </w:divBdr>
        </w:div>
      </w:divsChild>
    </w:div>
    <w:div w:id="525093669">
      <w:bodyDiv w:val="1"/>
      <w:marLeft w:val="0"/>
      <w:marRight w:val="0"/>
      <w:marTop w:val="0"/>
      <w:marBottom w:val="0"/>
      <w:divBdr>
        <w:top w:val="none" w:sz="0" w:space="0" w:color="auto"/>
        <w:left w:val="none" w:sz="0" w:space="0" w:color="auto"/>
        <w:bottom w:val="none" w:sz="0" w:space="0" w:color="auto"/>
        <w:right w:val="none" w:sz="0" w:space="0" w:color="auto"/>
      </w:divBdr>
      <w:divsChild>
        <w:div w:id="481121280">
          <w:marLeft w:val="360"/>
          <w:marRight w:val="0"/>
          <w:marTop w:val="200"/>
          <w:marBottom w:val="0"/>
          <w:divBdr>
            <w:top w:val="none" w:sz="0" w:space="0" w:color="auto"/>
            <w:left w:val="none" w:sz="0" w:space="0" w:color="auto"/>
            <w:bottom w:val="none" w:sz="0" w:space="0" w:color="auto"/>
            <w:right w:val="none" w:sz="0" w:space="0" w:color="auto"/>
          </w:divBdr>
        </w:div>
      </w:divsChild>
    </w:div>
    <w:div w:id="618797285">
      <w:bodyDiv w:val="1"/>
      <w:marLeft w:val="0"/>
      <w:marRight w:val="0"/>
      <w:marTop w:val="0"/>
      <w:marBottom w:val="0"/>
      <w:divBdr>
        <w:top w:val="none" w:sz="0" w:space="0" w:color="auto"/>
        <w:left w:val="none" w:sz="0" w:space="0" w:color="auto"/>
        <w:bottom w:val="none" w:sz="0" w:space="0" w:color="auto"/>
        <w:right w:val="none" w:sz="0" w:space="0" w:color="auto"/>
      </w:divBdr>
    </w:div>
    <w:div w:id="665019412">
      <w:bodyDiv w:val="1"/>
      <w:marLeft w:val="0"/>
      <w:marRight w:val="0"/>
      <w:marTop w:val="0"/>
      <w:marBottom w:val="0"/>
      <w:divBdr>
        <w:top w:val="none" w:sz="0" w:space="0" w:color="auto"/>
        <w:left w:val="none" w:sz="0" w:space="0" w:color="auto"/>
        <w:bottom w:val="none" w:sz="0" w:space="0" w:color="auto"/>
        <w:right w:val="none" w:sz="0" w:space="0" w:color="auto"/>
      </w:divBdr>
      <w:divsChild>
        <w:div w:id="70665258">
          <w:marLeft w:val="360"/>
          <w:marRight w:val="0"/>
          <w:marTop w:val="200"/>
          <w:marBottom w:val="0"/>
          <w:divBdr>
            <w:top w:val="none" w:sz="0" w:space="0" w:color="auto"/>
            <w:left w:val="none" w:sz="0" w:space="0" w:color="auto"/>
            <w:bottom w:val="none" w:sz="0" w:space="0" w:color="auto"/>
            <w:right w:val="none" w:sz="0" w:space="0" w:color="auto"/>
          </w:divBdr>
        </w:div>
      </w:divsChild>
    </w:div>
    <w:div w:id="713773886">
      <w:bodyDiv w:val="1"/>
      <w:marLeft w:val="0"/>
      <w:marRight w:val="0"/>
      <w:marTop w:val="0"/>
      <w:marBottom w:val="0"/>
      <w:divBdr>
        <w:top w:val="none" w:sz="0" w:space="0" w:color="auto"/>
        <w:left w:val="none" w:sz="0" w:space="0" w:color="auto"/>
        <w:bottom w:val="none" w:sz="0" w:space="0" w:color="auto"/>
        <w:right w:val="none" w:sz="0" w:space="0" w:color="auto"/>
      </w:divBdr>
      <w:divsChild>
        <w:div w:id="812989902">
          <w:marLeft w:val="0"/>
          <w:marRight w:val="0"/>
          <w:marTop w:val="0"/>
          <w:marBottom w:val="0"/>
          <w:divBdr>
            <w:top w:val="single" w:sz="2" w:space="0" w:color="D9D9E3"/>
            <w:left w:val="single" w:sz="2" w:space="0" w:color="D9D9E3"/>
            <w:bottom w:val="single" w:sz="2" w:space="0" w:color="D9D9E3"/>
            <w:right w:val="single" w:sz="2" w:space="0" w:color="D9D9E3"/>
          </w:divBdr>
          <w:divsChild>
            <w:div w:id="1696536078">
              <w:marLeft w:val="0"/>
              <w:marRight w:val="0"/>
              <w:marTop w:val="0"/>
              <w:marBottom w:val="0"/>
              <w:divBdr>
                <w:top w:val="single" w:sz="2" w:space="0" w:color="D9D9E3"/>
                <w:left w:val="single" w:sz="2" w:space="0" w:color="D9D9E3"/>
                <w:bottom w:val="single" w:sz="2" w:space="0" w:color="D9D9E3"/>
                <w:right w:val="single" w:sz="2" w:space="0" w:color="D9D9E3"/>
              </w:divBdr>
              <w:divsChild>
                <w:div w:id="2038120882">
                  <w:marLeft w:val="0"/>
                  <w:marRight w:val="0"/>
                  <w:marTop w:val="0"/>
                  <w:marBottom w:val="0"/>
                  <w:divBdr>
                    <w:top w:val="single" w:sz="2" w:space="0" w:color="D9D9E3"/>
                    <w:left w:val="single" w:sz="2" w:space="0" w:color="D9D9E3"/>
                    <w:bottom w:val="single" w:sz="2" w:space="0" w:color="D9D9E3"/>
                    <w:right w:val="single" w:sz="2" w:space="0" w:color="D9D9E3"/>
                  </w:divBdr>
                  <w:divsChild>
                    <w:div w:id="1256085573">
                      <w:marLeft w:val="0"/>
                      <w:marRight w:val="0"/>
                      <w:marTop w:val="0"/>
                      <w:marBottom w:val="0"/>
                      <w:divBdr>
                        <w:top w:val="single" w:sz="2" w:space="0" w:color="D9D9E3"/>
                        <w:left w:val="single" w:sz="2" w:space="0" w:color="D9D9E3"/>
                        <w:bottom w:val="single" w:sz="2" w:space="0" w:color="D9D9E3"/>
                        <w:right w:val="single" w:sz="2" w:space="0" w:color="D9D9E3"/>
                      </w:divBdr>
                      <w:divsChild>
                        <w:div w:id="472328774">
                          <w:marLeft w:val="0"/>
                          <w:marRight w:val="0"/>
                          <w:marTop w:val="0"/>
                          <w:marBottom w:val="0"/>
                          <w:divBdr>
                            <w:top w:val="single" w:sz="2" w:space="0" w:color="auto"/>
                            <w:left w:val="single" w:sz="2" w:space="0" w:color="auto"/>
                            <w:bottom w:val="single" w:sz="6" w:space="0" w:color="auto"/>
                            <w:right w:val="single" w:sz="2" w:space="0" w:color="auto"/>
                          </w:divBdr>
                          <w:divsChild>
                            <w:div w:id="475529864">
                              <w:marLeft w:val="0"/>
                              <w:marRight w:val="0"/>
                              <w:marTop w:val="100"/>
                              <w:marBottom w:val="100"/>
                              <w:divBdr>
                                <w:top w:val="single" w:sz="2" w:space="0" w:color="D9D9E3"/>
                                <w:left w:val="single" w:sz="2" w:space="0" w:color="D9D9E3"/>
                                <w:bottom w:val="single" w:sz="2" w:space="0" w:color="D9D9E3"/>
                                <w:right w:val="single" w:sz="2" w:space="0" w:color="D9D9E3"/>
                              </w:divBdr>
                              <w:divsChild>
                                <w:div w:id="937445178">
                                  <w:marLeft w:val="0"/>
                                  <w:marRight w:val="0"/>
                                  <w:marTop w:val="0"/>
                                  <w:marBottom w:val="0"/>
                                  <w:divBdr>
                                    <w:top w:val="single" w:sz="2" w:space="0" w:color="D9D9E3"/>
                                    <w:left w:val="single" w:sz="2" w:space="0" w:color="D9D9E3"/>
                                    <w:bottom w:val="single" w:sz="2" w:space="0" w:color="D9D9E3"/>
                                    <w:right w:val="single" w:sz="2" w:space="0" w:color="D9D9E3"/>
                                  </w:divBdr>
                                  <w:divsChild>
                                    <w:div w:id="47807321">
                                      <w:marLeft w:val="0"/>
                                      <w:marRight w:val="0"/>
                                      <w:marTop w:val="0"/>
                                      <w:marBottom w:val="0"/>
                                      <w:divBdr>
                                        <w:top w:val="single" w:sz="2" w:space="0" w:color="D9D9E3"/>
                                        <w:left w:val="single" w:sz="2" w:space="0" w:color="D9D9E3"/>
                                        <w:bottom w:val="single" w:sz="2" w:space="0" w:color="D9D9E3"/>
                                        <w:right w:val="single" w:sz="2" w:space="0" w:color="D9D9E3"/>
                                      </w:divBdr>
                                      <w:divsChild>
                                        <w:div w:id="782310725">
                                          <w:marLeft w:val="0"/>
                                          <w:marRight w:val="0"/>
                                          <w:marTop w:val="0"/>
                                          <w:marBottom w:val="0"/>
                                          <w:divBdr>
                                            <w:top w:val="single" w:sz="2" w:space="0" w:color="D9D9E3"/>
                                            <w:left w:val="single" w:sz="2" w:space="0" w:color="D9D9E3"/>
                                            <w:bottom w:val="single" w:sz="2" w:space="0" w:color="D9D9E3"/>
                                            <w:right w:val="single" w:sz="2" w:space="0" w:color="D9D9E3"/>
                                          </w:divBdr>
                                          <w:divsChild>
                                            <w:div w:id="196866050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993410764">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749279559">
      <w:bodyDiv w:val="1"/>
      <w:marLeft w:val="0"/>
      <w:marRight w:val="0"/>
      <w:marTop w:val="0"/>
      <w:marBottom w:val="0"/>
      <w:divBdr>
        <w:top w:val="none" w:sz="0" w:space="0" w:color="auto"/>
        <w:left w:val="none" w:sz="0" w:space="0" w:color="auto"/>
        <w:bottom w:val="none" w:sz="0" w:space="0" w:color="auto"/>
        <w:right w:val="none" w:sz="0" w:space="0" w:color="auto"/>
      </w:divBdr>
    </w:div>
    <w:div w:id="763842778">
      <w:bodyDiv w:val="1"/>
      <w:marLeft w:val="0"/>
      <w:marRight w:val="0"/>
      <w:marTop w:val="0"/>
      <w:marBottom w:val="0"/>
      <w:divBdr>
        <w:top w:val="none" w:sz="0" w:space="0" w:color="auto"/>
        <w:left w:val="none" w:sz="0" w:space="0" w:color="auto"/>
        <w:bottom w:val="none" w:sz="0" w:space="0" w:color="auto"/>
        <w:right w:val="none" w:sz="0" w:space="0" w:color="auto"/>
      </w:divBdr>
      <w:divsChild>
        <w:div w:id="1767917936">
          <w:marLeft w:val="446"/>
          <w:marRight w:val="0"/>
          <w:marTop w:val="0"/>
          <w:marBottom w:val="0"/>
          <w:divBdr>
            <w:top w:val="none" w:sz="0" w:space="0" w:color="auto"/>
            <w:left w:val="none" w:sz="0" w:space="0" w:color="auto"/>
            <w:bottom w:val="none" w:sz="0" w:space="0" w:color="auto"/>
            <w:right w:val="none" w:sz="0" w:space="0" w:color="auto"/>
          </w:divBdr>
        </w:div>
        <w:div w:id="1959069377">
          <w:marLeft w:val="446"/>
          <w:marRight w:val="0"/>
          <w:marTop w:val="0"/>
          <w:marBottom w:val="0"/>
          <w:divBdr>
            <w:top w:val="none" w:sz="0" w:space="0" w:color="auto"/>
            <w:left w:val="none" w:sz="0" w:space="0" w:color="auto"/>
            <w:bottom w:val="none" w:sz="0" w:space="0" w:color="auto"/>
            <w:right w:val="none" w:sz="0" w:space="0" w:color="auto"/>
          </w:divBdr>
        </w:div>
      </w:divsChild>
    </w:div>
    <w:div w:id="842668087">
      <w:bodyDiv w:val="1"/>
      <w:marLeft w:val="0"/>
      <w:marRight w:val="0"/>
      <w:marTop w:val="0"/>
      <w:marBottom w:val="0"/>
      <w:divBdr>
        <w:top w:val="none" w:sz="0" w:space="0" w:color="auto"/>
        <w:left w:val="none" w:sz="0" w:space="0" w:color="auto"/>
        <w:bottom w:val="none" w:sz="0" w:space="0" w:color="auto"/>
        <w:right w:val="none" w:sz="0" w:space="0" w:color="auto"/>
      </w:divBdr>
    </w:div>
    <w:div w:id="882985878">
      <w:bodyDiv w:val="1"/>
      <w:marLeft w:val="0"/>
      <w:marRight w:val="0"/>
      <w:marTop w:val="0"/>
      <w:marBottom w:val="0"/>
      <w:divBdr>
        <w:top w:val="none" w:sz="0" w:space="0" w:color="auto"/>
        <w:left w:val="none" w:sz="0" w:space="0" w:color="auto"/>
        <w:bottom w:val="none" w:sz="0" w:space="0" w:color="auto"/>
        <w:right w:val="none" w:sz="0" w:space="0" w:color="auto"/>
      </w:divBdr>
      <w:divsChild>
        <w:div w:id="1012491817">
          <w:marLeft w:val="360"/>
          <w:marRight w:val="0"/>
          <w:marTop w:val="200"/>
          <w:marBottom w:val="0"/>
          <w:divBdr>
            <w:top w:val="none" w:sz="0" w:space="0" w:color="auto"/>
            <w:left w:val="none" w:sz="0" w:space="0" w:color="auto"/>
            <w:bottom w:val="none" w:sz="0" w:space="0" w:color="auto"/>
            <w:right w:val="none" w:sz="0" w:space="0" w:color="auto"/>
          </w:divBdr>
        </w:div>
        <w:div w:id="2102872611">
          <w:marLeft w:val="360"/>
          <w:marRight w:val="0"/>
          <w:marTop w:val="200"/>
          <w:marBottom w:val="0"/>
          <w:divBdr>
            <w:top w:val="none" w:sz="0" w:space="0" w:color="auto"/>
            <w:left w:val="none" w:sz="0" w:space="0" w:color="auto"/>
            <w:bottom w:val="none" w:sz="0" w:space="0" w:color="auto"/>
            <w:right w:val="none" w:sz="0" w:space="0" w:color="auto"/>
          </w:divBdr>
        </w:div>
        <w:div w:id="1144546880">
          <w:marLeft w:val="360"/>
          <w:marRight w:val="0"/>
          <w:marTop w:val="200"/>
          <w:marBottom w:val="0"/>
          <w:divBdr>
            <w:top w:val="none" w:sz="0" w:space="0" w:color="auto"/>
            <w:left w:val="none" w:sz="0" w:space="0" w:color="auto"/>
            <w:bottom w:val="none" w:sz="0" w:space="0" w:color="auto"/>
            <w:right w:val="none" w:sz="0" w:space="0" w:color="auto"/>
          </w:divBdr>
        </w:div>
        <w:div w:id="894894760">
          <w:marLeft w:val="360"/>
          <w:marRight w:val="0"/>
          <w:marTop w:val="200"/>
          <w:marBottom w:val="0"/>
          <w:divBdr>
            <w:top w:val="none" w:sz="0" w:space="0" w:color="auto"/>
            <w:left w:val="none" w:sz="0" w:space="0" w:color="auto"/>
            <w:bottom w:val="none" w:sz="0" w:space="0" w:color="auto"/>
            <w:right w:val="none" w:sz="0" w:space="0" w:color="auto"/>
          </w:divBdr>
        </w:div>
        <w:div w:id="540482959">
          <w:marLeft w:val="360"/>
          <w:marRight w:val="0"/>
          <w:marTop w:val="200"/>
          <w:marBottom w:val="0"/>
          <w:divBdr>
            <w:top w:val="none" w:sz="0" w:space="0" w:color="auto"/>
            <w:left w:val="none" w:sz="0" w:space="0" w:color="auto"/>
            <w:bottom w:val="none" w:sz="0" w:space="0" w:color="auto"/>
            <w:right w:val="none" w:sz="0" w:space="0" w:color="auto"/>
          </w:divBdr>
        </w:div>
        <w:div w:id="1624924426">
          <w:marLeft w:val="360"/>
          <w:marRight w:val="0"/>
          <w:marTop w:val="200"/>
          <w:marBottom w:val="0"/>
          <w:divBdr>
            <w:top w:val="none" w:sz="0" w:space="0" w:color="auto"/>
            <w:left w:val="none" w:sz="0" w:space="0" w:color="auto"/>
            <w:bottom w:val="none" w:sz="0" w:space="0" w:color="auto"/>
            <w:right w:val="none" w:sz="0" w:space="0" w:color="auto"/>
          </w:divBdr>
        </w:div>
        <w:div w:id="506671819">
          <w:marLeft w:val="360"/>
          <w:marRight w:val="0"/>
          <w:marTop w:val="200"/>
          <w:marBottom w:val="0"/>
          <w:divBdr>
            <w:top w:val="none" w:sz="0" w:space="0" w:color="auto"/>
            <w:left w:val="none" w:sz="0" w:space="0" w:color="auto"/>
            <w:bottom w:val="none" w:sz="0" w:space="0" w:color="auto"/>
            <w:right w:val="none" w:sz="0" w:space="0" w:color="auto"/>
          </w:divBdr>
        </w:div>
      </w:divsChild>
    </w:div>
    <w:div w:id="1025139141">
      <w:bodyDiv w:val="1"/>
      <w:marLeft w:val="0"/>
      <w:marRight w:val="0"/>
      <w:marTop w:val="0"/>
      <w:marBottom w:val="0"/>
      <w:divBdr>
        <w:top w:val="none" w:sz="0" w:space="0" w:color="auto"/>
        <w:left w:val="none" w:sz="0" w:space="0" w:color="auto"/>
        <w:bottom w:val="none" w:sz="0" w:space="0" w:color="auto"/>
        <w:right w:val="none" w:sz="0" w:space="0" w:color="auto"/>
      </w:divBdr>
      <w:divsChild>
        <w:div w:id="194390991">
          <w:marLeft w:val="0"/>
          <w:marRight w:val="0"/>
          <w:marTop w:val="0"/>
          <w:marBottom w:val="0"/>
          <w:divBdr>
            <w:top w:val="single" w:sz="2" w:space="0" w:color="D9D9E3"/>
            <w:left w:val="single" w:sz="2" w:space="0" w:color="D9D9E3"/>
            <w:bottom w:val="single" w:sz="2" w:space="0" w:color="D9D9E3"/>
            <w:right w:val="single" w:sz="2" w:space="0" w:color="D9D9E3"/>
          </w:divBdr>
          <w:divsChild>
            <w:div w:id="1854999480">
              <w:marLeft w:val="0"/>
              <w:marRight w:val="0"/>
              <w:marTop w:val="0"/>
              <w:marBottom w:val="0"/>
              <w:divBdr>
                <w:top w:val="single" w:sz="2" w:space="0" w:color="D9D9E3"/>
                <w:left w:val="single" w:sz="2" w:space="0" w:color="D9D9E3"/>
                <w:bottom w:val="single" w:sz="2" w:space="0" w:color="D9D9E3"/>
                <w:right w:val="single" w:sz="2" w:space="0" w:color="D9D9E3"/>
              </w:divBdr>
              <w:divsChild>
                <w:div w:id="763038970">
                  <w:marLeft w:val="0"/>
                  <w:marRight w:val="0"/>
                  <w:marTop w:val="0"/>
                  <w:marBottom w:val="0"/>
                  <w:divBdr>
                    <w:top w:val="single" w:sz="2" w:space="0" w:color="D9D9E3"/>
                    <w:left w:val="single" w:sz="2" w:space="0" w:color="D9D9E3"/>
                    <w:bottom w:val="single" w:sz="2" w:space="0" w:color="D9D9E3"/>
                    <w:right w:val="single" w:sz="2" w:space="0" w:color="D9D9E3"/>
                  </w:divBdr>
                  <w:divsChild>
                    <w:div w:id="959802840">
                      <w:marLeft w:val="0"/>
                      <w:marRight w:val="0"/>
                      <w:marTop w:val="0"/>
                      <w:marBottom w:val="0"/>
                      <w:divBdr>
                        <w:top w:val="single" w:sz="2" w:space="0" w:color="D9D9E3"/>
                        <w:left w:val="single" w:sz="2" w:space="0" w:color="D9D9E3"/>
                        <w:bottom w:val="single" w:sz="2" w:space="0" w:color="D9D9E3"/>
                        <w:right w:val="single" w:sz="2" w:space="0" w:color="D9D9E3"/>
                      </w:divBdr>
                      <w:divsChild>
                        <w:div w:id="2036692104">
                          <w:marLeft w:val="0"/>
                          <w:marRight w:val="0"/>
                          <w:marTop w:val="0"/>
                          <w:marBottom w:val="0"/>
                          <w:divBdr>
                            <w:top w:val="single" w:sz="2" w:space="0" w:color="auto"/>
                            <w:left w:val="single" w:sz="2" w:space="0" w:color="auto"/>
                            <w:bottom w:val="single" w:sz="6" w:space="0" w:color="auto"/>
                            <w:right w:val="single" w:sz="2" w:space="0" w:color="auto"/>
                          </w:divBdr>
                          <w:divsChild>
                            <w:div w:id="605888324">
                              <w:marLeft w:val="0"/>
                              <w:marRight w:val="0"/>
                              <w:marTop w:val="100"/>
                              <w:marBottom w:val="100"/>
                              <w:divBdr>
                                <w:top w:val="single" w:sz="2" w:space="0" w:color="D9D9E3"/>
                                <w:left w:val="single" w:sz="2" w:space="0" w:color="D9D9E3"/>
                                <w:bottom w:val="single" w:sz="2" w:space="0" w:color="D9D9E3"/>
                                <w:right w:val="single" w:sz="2" w:space="0" w:color="D9D9E3"/>
                              </w:divBdr>
                              <w:divsChild>
                                <w:div w:id="1739285478">
                                  <w:marLeft w:val="0"/>
                                  <w:marRight w:val="0"/>
                                  <w:marTop w:val="0"/>
                                  <w:marBottom w:val="0"/>
                                  <w:divBdr>
                                    <w:top w:val="single" w:sz="2" w:space="0" w:color="D9D9E3"/>
                                    <w:left w:val="single" w:sz="2" w:space="0" w:color="D9D9E3"/>
                                    <w:bottom w:val="single" w:sz="2" w:space="0" w:color="D9D9E3"/>
                                    <w:right w:val="single" w:sz="2" w:space="0" w:color="D9D9E3"/>
                                  </w:divBdr>
                                  <w:divsChild>
                                    <w:div w:id="271791954">
                                      <w:marLeft w:val="0"/>
                                      <w:marRight w:val="0"/>
                                      <w:marTop w:val="0"/>
                                      <w:marBottom w:val="0"/>
                                      <w:divBdr>
                                        <w:top w:val="single" w:sz="2" w:space="0" w:color="D9D9E3"/>
                                        <w:left w:val="single" w:sz="2" w:space="0" w:color="D9D9E3"/>
                                        <w:bottom w:val="single" w:sz="2" w:space="0" w:color="D9D9E3"/>
                                        <w:right w:val="single" w:sz="2" w:space="0" w:color="D9D9E3"/>
                                      </w:divBdr>
                                      <w:divsChild>
                                        <w:div w:id="427581183">
                                          <w:marLeft w:val="0"/>
                                          <w:marRight w:val="0"/>
                                          <w:marTop w:val="0"/>
                                          <w:marBottom w:val="0"/>
                                          <w:divBdr>
                                            <w:top w:val="single" w:sz="2" w:space="0" w:color="D9D9E3"/>
                                            <w:left w:val="single" w:sz="2" w:space="0" w:color="D9D9E3"/>
                                            <w:bottom w:val="single" w:sz="2" w:space="0" w:color="D9D9E3"/>
                                            <w:right w:val="single" w:sz="2" w:space="0" w:color="D9D9E3"/>
                                          </w:divBdr>
                                          <w:divsChild>
                                            <w:div w:id="7852246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322780908">
          <w:marLeft w:val="0"/>
          <w:marRight w:val="0"/>
          <w:marTop w:val="0"/>
          <w:marBottom w:val="0"/>
          <w:divBdr>
            <w:top w:val="none" w:sz="0" w:space="0" w:color="auto"/>
            <w:left w:val="none" w:sz="0" w:space="0" w:color="auto"/>
            <w:bottom w:val="none" w:sz="0" w:space="0" w:color="auto"/>
            <w:right w:val="none" w:sz="0" w:space="0" w:color="auto"/>
          </w:divBdr>
        </w:div>
      </w:divsChild>
    </w:div>
    <w:div w:id="1042825251">
      <w:bodyDiv w:val="1"/>
      <w:marLeft w:val="0"/>
      <w:marRight w:val="0"/>
      <w:marTop w:val="0"/>
      <w:marBottom w:val="0"/>
      <w:divBdr>
        <w:top w:val="none" w:sz="0" w:space="0" w:color="auto"/>
        <w:left w:val="none" w:sz="0" w:space="0" w:color="auto"/>
        <w:bottom w:val="none" w:sz="0" w:space="0" w:color="auto"/>
        <w:right w:val="none" w:sz="0" w:space="0" w:color="auto"/>
      </w:divBdr>
    </w:div>
    <w:div w:id="1046904017">
      <w:bodyDiv w:val="1"/>
      <w:marLeft w:val="0"/>
      <w:marRight w:val="0"/>
      <w:marTop w:val="0"/>
      <w:marBottom w:val="0"/>
      <w:divBdr>
        <w:top w:val="none" w:sz="0" w:space="0" w:color="auto"/>
        <w:left w:val="none" w:sz="0" w:space="0" w:color="auto"/>
        <w:bottom w:val="none" w:sz="0" w:space="0" w:color="auto"/>
        <w:right w:val="none" w:sz="0" w:space="0" w:color="auto"/>
      </w:divBdr>
    </w:div>
    <w:div w:id="1093403749">
      <w:bodyDiv w:val="1"/>
      <w:marLeft w:val="0"/>
      <w:marRight w:val="0"/>
      <w:marTop w:val="0"/>
      <w:marBottom w:val="0"/>
      <w:divBdr>
        <w:top w:val="none" w:sz="0" w:space="0" w:color="auto"/>
        <w:left w:val="none" w:sz="0" w:space="0" w:color="auto"/>
        <w:bottom w:val="none" w:sz="0" w:space="0" w:color="auto"/>
        <w:right w:val="none" w:sz="0" w:space="0" w:color="auto"/>
      </w:divBdr>
      <w:divsChild>
        <w:div w:id="464127267">
          <w:marLeft w:val="360"/>
          <w:marRight w:val="0"/>
          <w:marTop w:val="200"/>
          <w:marBottom w:val="0"/>
          <w:divBdr>
            <w:top w:val="none" w:sz="0" w:space="0" w:color="auto"/>
            <w:left w:val="none" w:sz="0" w:space="0" w:color="auto"/>
            <w:bottom w:val="none" w:sz="0" w:space="0" w:color="auto"/>
            <w:right w:val="none" w:sz="0" w:space="0" w:color="auto"/>
          </w:divBdr>
        </w:div>
        <w:div w:id="1926528397">
          <w:marLeft w:val="360"/>
          <w:marRight w:val="0"/>
          <w:marTop w:val="200"/>
          <w:marBottom w:val="0"/>
          <w:divBdr>
            <w:top w:val="none" w:sz="0" w:space="0" w:color="auto"/>
            <w:left w:val="none" w:sz="0" w:space="0" w:color="auto"/>
            <w:bottom w:val="none" w:sz="0" w:space="0" w:color="auto"/>
            <w:right w:val="none" w:sz="0" w:space="0" w:color="auto"/>
          </w:divBdr>
        </w:div>
      </w:divsChild>
    </w:div>
    <w:div w:id="1176261618">
      <w:bodyDiv w:val="1"/>
      <w:marLeft w:val="0"/>
      <w:marRight w:val="0"/>
      <w:marTop w:val="0"/>
      <w:marBottom w:val="0"/>
      <w:divBdr>
        <w:top w:val="none" w:sz="0" w:space="0" w:color="auto"/>
        <w:left w:val="none" w:sz="0" w:space="0" w:color="auto"/>
        <w:bottom w:val="none" w:sz="0" w:space="0" w:color="auto"/>
        <w:right w:val="none" w:sz="0" w:space="0" w:color="auto"/>
      </w:divBdr>
    </w:div>
    <w:div w:id="1246453778">
      <w:bodyDiv w:val="1"/>
      <w:marLeft w:val="0"/>
      <w:marRight w:val="0"/>
      <w:marTop w:val="0"/>
      <w:marBottom w:val="0"/>
      <w:divBdr>
        <w:top w:val="none" w:sz="0" w:space="0" w:color="auto"/>
        <w:left w:val="none" w:sz="0" w:space="0" w:color="auto"/>
        <w:bottom w:val="none" w:sz="0" w:space="0" w:color="auto"/>
        <w:right w:val="none" w:sz="0" w:space="0" w:color="auto"/>
      </w:divBdr>
      <w:divsChild>
        <w:div w:id="450515094">
          <w:marLeft w:val="360"/>
          <w:marRight w:val="0"/>
          <w:marTop w:val="200"/>
          <w:marBottom w:val="0"/>
          <w:divBdr>
            <w:top w:val="none" w:sz="0" w:space="0" w:color="auto"/>
            <w:left w:val="none" w:sz="0" w:space="0" w:color="auto"/>
            <w:bottom w:val="none" w:sz="0" w:space="0" w:color="auto"/>
            <w:right w:val="none" w:sz="0" w:space="0" w:color="auto"/>
          </w:divBdr>
        </w:div>
        <w:div w:id="1145272112">
          <w:marLeft w:val="360"/>
          <w:marRight w:val="0"/>
          <w:marTop w:val="200"/>
          <w:marBottom w:val="0"/>
          <w:divBdr>
            <w:top w:val="none" w:sz="0" w:space="0" w:color="auto"/>
            <w:left w:val="none" w:sz="0" w:space="0" w:color="auto"/>
            <w:bottom w:val="none" w:sz="0" w:space="0" w:color="auto"/>
            <w:right w:val="none" w:sz="0" w:space="0" w:color="auto"/>
          </w:divBdr>
        </w:div>
        <w:div w:id="409429856">
          <w:marLeft w:val="360"/>
          <w:marRight w:val="0"/>
          <w:marTop w:val="200"/>
          <w:marBottom w:val="0"/>
          <w:divBdr>
            <w:top w:val="none" w:sz="0" w:space="0" w:color="auto"/>
            <w:left w:val="none" w:sz="0" w:space="0" w:color="auto"/>
            <w:bottom w:val="none" w:sz="0" w:space="0" w:color="auto"/>
            <w:right w:val="none" w:sz="0" w:space="0" w:color="auto"/>
          </w:divBdr>
        </w:div>
        <w:div w:id="291132184">
          <w:marLeft w:val="360"/>
          <w:marRight w:val="0"/>
          <w:marTop w:val="200"/>
          <w:marBottom w:val="0"/>
          <w:divBdr>
            <w:top w:val="none" w:sz="0" w:space="0" w:color="auto"/>
            <w:left w:val="none" w:sz="0" w:space="0" w:color="auto"/>
            <w:bottom w:val="none" w:sz="0" w:space="0" w:color="auto"/>
            <w:right w:val="none" w:sz="0" w:space="0" w:color="auto"/>
          </w:divBdr>
        </w:div>
        <w:div w:id="2033221212">
          <w:marLeft w:val="360"/>
          <w:marRight w:val="0"/>
          <w:marTop w:val="200"/>
          <w:marBottom w:val="0"/>
          <w:divBdr>
            <w:top w:val="none" w:sz="0" w:space="0" w:color="auto"/>
            <w:left w:val="none" w:sz="0" w:space="0" w:color="auto"/>
            <w:bottom w:val="none" w:sz="0" w:space="0" w:color="auto"/>
            <w:right w:val="none" w:sz="0" w:space="0" w:color="auto"/>
          </w:divBdr>
        </w:div>
        <w:div w:id="2037196075">
          <w:marLeft w:val="360"/>
          <w:marRight w:val="0"/>
          <w:marTop w:val="200"/>
          <w:marBottom w:val="0"/>
          <w:divBdr>
            <w:top w:val="none" w:sz="0" w:space="0" w:color="auto"/>
            <w:left w:val="none" w:sz="0" w:space="0" w:color="auto"/>
            <w:bottom w:val="none" w:sz="0" w:space="0" w:color="auto"/>
            <w:right w:val="none" w:sz="0" w:space="0" w:color="auto"/>
          </w:divBdr>
        </w:div>
        <w:div w:id="1241869703">
          <w:marLeft w:val="360"/>
          <w:marRight w:val="0"/>
          <w:marTop w:val="200"/>
          <w:marBottom w:val="0"/>
          <w:divBdr>
            <w:top w:val="none" w:sz="0" w:space="0" w:color="auto"/>
            <w:left w:val="none" w:sz="0" w:space="0" w:color="auto"/>
            <w:bottom w:val="none" w:sz="0" w:space="0" w:color="auto"/>
            <w:right w:val="none" w:sz="0" w:space="0" w:color="auto"/>
          </w:divBdr>
        </w:div>
        <w:div w:id="1195650620">
          <w:marLeft w:val="360"/>
          <w:marRight w:val="0"/>
          <w:marTop w:val="200"/>
          <w:marBottom w:val="0"/>
          <w:divBdr>
            <w:top w:val="none" w:sz="0" w:space="0" w:color="auto"/>
            <w:left w:val="none" w:sz="0" w:space="0" w:color="auto"/>
            <w:bottom w:val="none" w:sz="0" w:space="0" w:color="auto"/>
            <w:right w:val="none" w:sz="0" w:space="0" w:color="auto"/>
          </w:divBdr>
        </w:div>
        <w:div w:id="1110315400">
          <w:marLeft w:val="360"/>
          <w:marRight w:val="0"/>
          <w:marTop w:val="200"/>
          <w:marBottom w:val="0"/>
          <w:divBdr>
            <w:top w:val="none" w:sz="0" w:space="0" w:color="auto"/>
            <w:left w:val="none" w:sz="0" w:space="0" w:color="auto"/>
            <w:bottom w:val="none" w:sz="0" w:space="0" w:color="auto"/>
            <w:right w:val="none" w:sz="0" w:space="0" w:color="auto"/>
          </w:divBdr>
        </w:div>
        <w:div w:id="1251768779">
          <w:marLeft w:val="360"/>
          <w:marRight w:val="0"/>
          <w:marTop w:val="200"/>
          <w:marBottom w:val="0"/>
          <w:divBdr>
            <w:top w:val="none" w:sz="0" w:space="0" w:color="auto"/>
            <w:left w:val="none" w:sz="0" w:space="0" w:color="auto"/>
            <w:bottom w:val="none" w:sz="0" w:space="0" w:color="auto"/>
            <w:right w:val="none" w:sz="0" w:space="0" w:color="auto"/>
          </w:divBdr>
        </w:div>
        <w:div w:id="173303808">
          <w:marLeft w:val="360"/>
          <w:marRight w:val="0"/>
          <w:marTop w:val="200"/>
          <w:marBottom w:val="0"/>
          <w:divBdr>
            <w:top w:val="none" w:sz="0" w:space="0" w:color="auto"/>
            <w:left w:val="none" w:sz="0" w:space="0" w:color="auto"/>
            <w:bottom w:val="none" w:sz="0" w:space="0" w:color="auto"/>
            <w:right w:val="none" w:sz="0" w:space="0" w:color="auto"/>
          </w:divBdr>
        </w:div>
        <w:div w:id="1377317606">
          <w:marLeft w:val="360"/>
          <w:marRight w:val="0"/>
          <w:marTop w:val="200"/>
          <w:marBottom w:val="0"/>
          <w:divBdr>
            <w:top w:val="none" w:sz="0" w:space="0" w:color="auto"/>
            <w:left w:val="none" w:sz="0" w:space="0" w:color="auto"/>
            <w:bottom w:val="none" w:sz="0" w:space="0" w:color="auto"/>
            <w:right w:val="none" w:sz="0" w:space="0" w:color="auto"/>
          </w:divBdr>
        </w:div>
      </w:divsChild>
    </w:div>
    <w:div w:id="1260484634">
      <w:bodyDiv w:val="1"/>
      <w:marLeft w:val="0"/>
      <w:marRight w:val="0"/>
      <w:marTop w:val="0"/>
      <w:marBottom w:val="0"/>
      <w:divBdr>
        <w:top w:val="none" w:sz="0" w:space="0" w:color="auto"/>
        <w:left w:val="none" w:sz="0" w:space="0" w:color="auto"/>
        <w:bottom w:val="none" w:sz="0" w:space="0" w:color="auto"/>
        <w:right w:val="none" w:sz="0" w:space="0" w:color="auto"/>
      </w:divBdr>
    </w:div>
    <w:div w:id="1305425693">
      <w:bodyDiv w:val="1"/>
      <w:marLeft w:val="0"/>
      <w:marRight w:val="0"/>
      <w:marTop w:val="0"/>
      <w:marBottom w:val="0"/>
      <w:divBdr>
        <w:top w:val="none" w:sz="0" w:space="0" w:color="auto"/>
        <w:left w:val="none" w:sz="0" w:space="0" w:color="auto"/>
        <w:bottom w:val="none" w:sz="0" w:space="0" w:color="auto"/>
        <w:right w:val="none" w:sz="0" w:space="0" w:color="auto"/>
      </w:divBdr>
    </w:div>
    <w:div w:id="1327904772">
      <w:bodyDiv w:val="1"/>
      <w:marLeft w:val="0"/>
      <w:marRight w:val="0"/>
      <w:marTop w:val="0"/>
      <w:marBottom w:val="0"/>
      <w:divBdr>
        <w:top w:val="none" w:sz="0" w:space="0" w:color="auto"/>
        <w:left w:val="none" w:sz="0" w:space="0" w:color="auto"/>
        <w:bottom w:val="none" w:sz="0" w:space="0" w:color="auto"/>
        <w:right w:val="none" w:sz="0" w:space="0" w:color="auto"/>
      </w:divBdr>
      <w:divsChild>
        <w:div w:id="422187447">
          <w:marLeft w:val="360"/>
          <w:marRight w:val="0"/>
          <w:marTop w:val="200"/>
          <w:marBottom w:val="0"/>
          <w:divBdr>
            <w:top w:val="none" w:sz="0" w:space="0" w:color="auto"/>
            <w:left w:val="none" w:sz="0" w:space="0" w:color="auto"/>
            <w:bottom w:val="none" w:sz="0" w:space="0" w:color="auto"/>
            <w:right w:val="none" w:sz="0" w:space="0" w:color="auto"/>
          </w:divBdr>
        </w:div>
        <w:div w:id="1717319215">
          <w:marLeft w:val="360"/>
          <w:marRight w:val="0"/>
          <w:marTop w:val="200"/>
          <w:marBottom w:val="0"/>
          <w:divBdr>
            <w:top w:val="none" w:sz="0" w:space="0" w:color="auto"/>
            <w:left w:val="none" w:sz="0" w:space="0" w:color="auto"/>
            <w:bottom w:val="none" w:sz="0" w:space="0" w:color="auto"/>
            <w:right w:val="none" w:sz="0" w:space="0" w:color="auto"/>
          </w:divBdr>
        </w:div>
      </w:divsChild>
    </w:div>
    <w:div w:id="1369795121">
      <w:bodyDiv w:val="1"/>
      <w:marLeft w:val="0"/>
      <w:marRight w:val="0"/>
      <w:marTop w:val="0"/>
      <w:marBottom w:val="0"/>
      <w:divBdr>
        <w:top w:val="none" w:sz="0" w:space="0" w:color="auto"/>
        <w:left w:val="none" w:sz="0" w:space="0" w:color="auto"/>
        <w:bottom w:val="none" w:sz="0" w:space="0" w:color="auto"/>
        <w:right w:val="none" w:sz="0" w:space="0" w:color="auto"/>
      </w:divBdr>
    </w:div>
    <w:div w:id="1393697749">
      <w:bodyDiv w:val="1"/>
      <w:marLeft w:val="0"/>
      <w:marRight w:val="0"/>
      <w:marTop w:val="0"/>
      <w:marBottom w:val="0"/>
      <w:divBdr>
        <w:top w:val="none" w:sz="0" w:space="0" w:color="auto"/>
        <w:left w:val="none" w:sz="0" w:space="0" w:color="auto"/>
        <w:bottom w:val="none" w:sz="0" w:space="0" w:color="auto"/>
        <w:right w:val="none" w:sz="0" w:space="0" w:color="auto"/>
      </w:divBdr>
    </w:div>
    <w:div w:id="1441800068">
      <w:bodyDiv w:val="1"/>
      <w:marLeft w:val="0"/>
      <w:marRight w:val="0"/>
      <w:marTop w:val="0"/>
      <w:marBottom w:val="0"/>
      <w:divBdr>
        <w:top w:val="none" w:sz="0" w:space="0" w:color="auto"/>
        <w:left w:val="none" w:sz="0" w:space="0" w:color="auto"/>
        <w:bottom w:val="none" w:sz="0" w:space="0" w:color="auto"/>
        <w:right w:val="none" w:sz="0" w:space="0" w:color="auto"/>
      </w:divBdr>
    </w:div>
    <w:div w:id="1458722854">
      <w:bodyDiv w:val="1"/>
      <w:marLeft w:val="0"/>
      <w:marRight w:val="0"/>
      <w:marTop w:val="0"/>
      <w:marBottom w:val="0"/>
      <w:divBdr>
        <w:top w:val="none" w:sz="0" w:space="0" w:color="auto"/>
        <w:left w:val="none" w:sz="0" w:space="0" w:color="auto"/>
        <w:bottom w:val="none" w:sz="0" w:space="0" w:color="auto"/>
        <w:right w:val="none" w:sz="0" w:space="0" w:color="auto"/>
      </w:divBdr>
      <w:divsChild>
        <w:div w:id="1615744114">
          <w:marLeft w:val="360"/>
          <w:marRight w:val="0"/>
          <w:marTop w:val="200"/>
          <w:marBottom w:val="0"/>
          <w:divBdr>
            <w:top w:val="none" w:sz="0" w:space="0" w:color="auto"/>
            <w:left w:val="none" w:sz="0" w:space="0" w:color="auto"/>
            <w:bottom w:val="none" w:sz="0" w:space="0" w:color="auto"/>
            <w:right w:val="none" w:sz="0" w:space="0" w:color="auto"/>
          </w:divBdr>
        </w:div>
      </w:divsChild>
    </w:div>
    <w:div w:id="1469712500">
      <w:bodyDiv w:val="1"/>
      <w:marLeft w:val="0"/>
      <w:marRight w:val="0"/>
      <w:marTop w:val="0"/>
      <w:marBottom w:val="0"/>
      <w:divBdr>
        <w:top w:val="none" w:sz="0" w:space="0" w:color="auto"/>
        <w:left w:val="none" w:sz="0" w:space="0" w:color="auto"/>
        <w:bottom w:val="none" w:sz="0" w:space="0" w:color="auto"/>
        <w:right w:val="none" w:sz="0" w:space="0" w:color="auto"/>
      </w:divBdr>
      <w:divsChild>
        <w:div w:id="1182475855">
          <w:marLeft w:val="360"/>
          <w:marRight w:val="0"/>
          <w:marTop w:val="200"/>
          <w:marBottom w:val="0"/>
          <w:divBdr>
            <w:top w:val="none" w:sz="0" w:space="0" w:color="auto"/>
            <w:left w:val="none" w:sz="0" w:space="0" w:color="auto"/>
            <w:bottom w:val="none" w:sz="0" w:space="0" w:color="auto"/>
            <w:right w:val="none" w:sz="0" w:space="0" w:color="auto"/>
          </w:divBdr>
        </w:div>
        <w:div w:id="1288510345">
          <w:marLeft w:val="360"/>
          <w:marRight w:val="0"/>
          <w:marTop w:val="200"/>
          <w:marBottom w:val="0"/>
          <w:divBdr>
            <w:top w:val="none" w:sz="0" w:space="0" w:color="auto"/>
            <w:left w:val="none" w:sz="0" w:space="0" w:color="auto"/>
            <w:bottom w:val="none" w:sz="0" w:space="0" w:color="auto"/>
            <w:right w:val="none" w:sz="0" w:space="0" w:color="auto"/>
          </w:divBdr>
        </w:div>
      </w:divsChild>
    </w:div>
    <w:div w:id="1485777648">
      <w:bodyDiv w:val="1"/>
      <w:marLeft w:val="0"/>
      <w:marRight w:val="0"/>
      <w:marTop w:val="0"/>
      <w:marBottom w:val="0"/>
      <w:divBdr>
        <w:top w:val="none" w:sz="0" w:space="0" w:color="auto"/>
        <w:left w:val="none" w:sz="0" w:space="0" w:color="auto"/>
        <w:bottom w:val="none" w:sz="0" w:space="0" w:color="auto"/>
        <w:right w:val="none" w:sz="0" w:space="0" w:color="auto"/>
      </w:divBdr>
      <w:divsChild>
        <w:div w:id="1995798110">
          <w:marLeft w:val="360"/>
          <w:marRight w:val="0"/>
          <w:marTop w:val="0"/>
          <w:marBottom w:val="0"/>
          <w:divBdr>
            <w:top w:val="none" w:sz="0" w:space="0" w:color="auto"/>
            <w:left w:val="none" w:sz="0" w:space="0" w:color="auto"/>
            <w:bottom w:val="none" w:sz="0" w:space="0" w:color="auto"/>
            <w:right w:val="none" w:sz="0" w:space="0" w:color="auto"/>
          </w:divBdr>
        </w:div>
        <w:div w:id="688065052">
          <w:marLeft w:val="360"/>
          <w:marRight w:val="0"/>
          <w:marTop w:val="0"/>
          <w:marBottom w:val="0"/>
          <w:divBdr>
            <w:top w:val="none" w:sz="0" w:space="0" w:color="auto"/>
            <w:left w:val="none" w:sz="0" w:space="0" w:color="auto"/>
            <w:bottom w:val="none" w:sz="0" w:space="0" w:color="auto"/>
            <w:right w:val="none" w:sz="0" w:space="0" w:color="auto"/>
          </w:divBdr>
        </w:div>
        <w:div w:id="1534147727">
          <w:marLeft w:val="360"/>
          <w:marRight w:val="0"/>
          <w:marTop w:val="0"/>
          <w:marBottom w:val="0"/>
          <w:divBdr>
            <w:top w:val="none" w:sz="0" w:space="0" w:color="auto"/>
            <w:left w:val="none" w:sz="0" w:space="0" w:color="auto"/>
            <w:bottom w:val="none" w:sz="0" w:space="0" w:color="auto"/>
            <w:right w:val="none" w:sz="0" w:space="0" w:color="auto"/>
          </w:divBdr>
        </w:div>
      </w:divsChild>
    </w:div>
    <w:div w:id="1548687129">
      <w:bodyDiv w:val="1"/>
      <w:marLeft w:val="0"/>
      <w:marRight w:val="0"/>
      <w:marTop w:val="0"/>
      <w:marBottom w:val="0"/>
      <w:divBdr>
        <w:top w:val="none" w:sz="0" w:space="0" w:color="auto"/>
        <w:left w:val="none" w:sz="0" w:space="0" w:color="auto"/>
        <w:bottom w:val="none" w:sz="0" w:space="0" w:color="auto"/>
        <w:right w:val="none" w:sz="0" w:space="0" w:color="auto"/>
      </w:divBdr>
    </w:div>
    <w:div w:id="1603801147">
      <w:bodyDiv w:val="1"/>
      <w:marLeft w:val="0"/>
      <w:marRight w:val="0"/>
      <w:marTop w:val="0"/>
      <w:marBottom w:val="0"/>
      <w:divBdr>
        <w:top w:val="none" w:sz="0" w:space="0" w:color="auto"/>
        <w:left w:val="none" w:sz="0" w:space="0" w:color="auto"/>
        <w:bottom w:val="none" w:sz="0" w:space="0" w:color="auto"/>
        <w:right w:val="none" w:sz="0" w:space="0" w:color="auto"/>
      </w:divBdr>
    </w:div>
    <w:div w:id="1656949816">
      <w:bodyDiv w:val="1"/>
      <w:marLeft w:val="0"/>
      <w:marRight w:val="0"/>
      <w:marTop w:val="0"/>
      <w:marBottom w:val="0"/>
      <w:divBdr>
        <w:top w:val="none" w:sz="0" w:space="0" w:color="auto"/>
        <w:left w:val="none" w:sz="0" w:space="0" w:color="auto"/>
        <w:bottom w:val="none" w:sz="0" w:space="0" w:color="auto"/>
        <w:right w:val="none" w:sz="0" w:space="0" w:color="auto"/>
      </w:divBdr>
      <w:divsChild>
        <w:div w:id="1745225071">
          <w:marLeft w:val="0"/>
          <w:marRight w:val="0"/>
          <w:marTop w:val="0"/>
          <w:marBottom w:val="0"/>
          <w:divBdr>
            <w:top w:val="single" w:sz="2" w:space="0" w:color="D9D9E3"/>
            <w:left w:val="single" w:sz="2" w:space="0" w:color="D9D9E3"/>
            <w:bottom w:val="single" w:sz="2" w:space="0" w:color="D9D9E3"/>
            <w:right w:val="single" w:sz="2" w:space="0" w:color="D9D9E3"/>
          </w:divBdr>
          <w:divsChild>
            <w:div w:id="1797019647">
              <w:marLeft w:val="0"/>
              <w:marRight w:val="0"/>
              <w:marTop w:val="0"/>
              <w:marBottom w:val="0"/>
              <w:divBdr>
                <w:top w:val="single" w:sz="2" w:space="0" w:color="D9D9E3"/>
                <w:left w:val="single" w:sz="2" w:space="0" w:color="D9D9E3"/>
                <w:bottom w:val="single" w:sz="2" w:space="0" w:color="D9D9E3"/>
                <w:right w:val="single" w:sz="2" w:space="0" w:color="D9D9E3"/>
              </w:divBdr>
              <w:divsChild>
                <w:div w:id="128591427">
                  <w:marLeft w:val="0"/>
                  <w:marRight w:val="0"/>
                  <w:marTop w:val="0"/>
                  <w:marBottom w:val="0"/>
                  <w:divBdr>
                    <w:top w:val="single" w:sz="2" w:space="0" w:color="D9D9E3"/>
                    <w:left w:val="single" w:sz="2" w:space="0" w:color="D9D9E3"/>
                    <w:bottom w:val="single" w:sz="2" w:space="0" w:color="D9D9E3"/>
                    <w:right w:val="single" w:sz="2" w:space="0" w:color="D9D9E3"/>
                  </w:divBdr>
                  <w:divsChild>
                    <w:div w:id="1331985610">
                      <w:marLeft w:val="0"/>
                      <w:marRight w:val="0"/>
                      <w:marTop w:val="0"/>
                      <w:marBottom w:val="0"/>
                      <w:divBdr>
                        <w:top w:val="single" w:sz="2" w:space="0" w:color="D9D9E3"/>
                        <w:left w:val="single" w:sz="2" w:space="0" w:color="D9D9E3"/>
                        <w:bottom w:val="single" w:sz="2" w:space="0" w:color="D9D9E3"/>
                        <w:right w:val="single" w:sz="2" w:space="0" w:color="D9D9E3"/>
                      </w:divBdr>
                      <w:divsChild>
                        <w:div w:id="176772251">
                          <w:marLeft w:val="0"/>
                          <w:marRight w:val="0"/>
                          <w:marTop w:val="0"/>
                          <w:marBottom w:val="0"/>
                          <w:divBdr>
                            <w:top w:val="single" w:sz="2" w:space="0" w:color="auto"/>
                            <w:left w:val="single" w:sz="2" w:space="0" w:color="auto"/>
                            <w:bottom w:val="single" w:sz="6" w:space="0" w:color="auto"/>
                            <w:right w:val="single" w:sz="2" w:space="0" w:color="auto"/>
                          </w:divBdr>
                          <w:divsChild>
                            <w:div w:id="154498717">
                              <w:marLeft w:val="0"/>
                              <w:marRight w:val="0"/>
                              <w:marTop w:val="100"/>
                              <w:marBottom w:val="100"/>
                              <w:divBdr>
                                <w:top w:val="single" w:sz="2" w:space="0" w:color="D9D9E3"/>
                                <w:left w:val="single" w:sz="2" w:space="0" w:color="D9D9E3"/>
                                <w:bottom w:val="single" w:sz="2" w:space="0" w:color="D9D9E3"/>
                                <w:right w:val="single" w:sz="2" w:space="0" w:color="D9D9E3"/>
                              </w:divBdr>
                              <w:divsChild>
                                <w:div w:id="268662616">
                                  <w:marLeft w:val="0"/>
                                  <w:marRight w:val="0"/>
                                  <w:marTop w:val="0"/>
                                  <w:marBottom w:val="0"/>
                                  <w:divBdr>
                                    <w:top w:val="single" w:sz="2" w:space="0" w:color="D9D9E3"/>
                                    <w:left w:val="single" w:sz="2" w:space="0" w:color="D9D9E3"/>
                                    <w:bottom w:val="single" w:sz="2" w:space="0" w:color="D9D9E3"/>
                                    <w:right w:val="single" w:sz="2" w:space="0" w:color="D9D9E3"/>
                                  </w:divBdr>
                                  <w:divsChild>
                                    <w:div w:id="1946379735">
                                      <w:marLeft w:val="0"/>
                                      <w:marRight w:val="0"/>
                                      <w:marTop w:val="0"/>
                                      <w:marBottom w:val="0"/>
                                      <w:divBdr>
                                        <w:top w:val="single" w:sz="2" w:space="0" w:color="D9D9E3"/>
                                        <w:left w:val="single" w:sz="2" w:space="0" w:color="D9D9E3"/>
                                        <w:bottom w:val="single" w:sz="2" w:space="0" w:color="D9D9E3"/>
                                        <w:right w:val="single" w:sz="2" w:space="0" w:color="D9D9E3"/>
                                      </w:divBdr>
                                      <w:divsChild>
                                        <w:div w:id="2106656805">
                                          <w:marLeft w:val="0"/>
                                          <w:marRight w:val="0"/>
                                          <w:marTop w:val="0"/>
                                          <w:marBottom w:val="0"/>
                                          <w:divBdr>
                                            <w:top w:val="single" w:sz="2" w:space="0" w:color="D9D9E3"/>
                                            <w:left w:val="single" w:sz="2" w:space="0" w:color="D9D9E3"/>
                                            <w:bottom w:val="single" w:sz="2" w:space="0" w:color="D9D9E3"/>
                                            <w:right w:val="single" w:sz="2" w:space="0" w:color="D9D9E3"/>
                                          </w:divBdr>
                                          <w:divsChild>
                                            <w:div w:id="199452382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062287016">
          <w:marLeft w:val="0"/>
          <w:marRight w:val="0"/>
          <w:marTop w:val="0"/>
          <w:marBottom w:val="0"/>
          <w:divBdr>
            <w:top w:val="none" w:sz="0" w:space="0" w:color="auto"/>
            <w:left w:val="none" w:sz="0" w:space="0" w:color="auto"/>
            <w:bottom w:val="none" w:sz="0" w:space="0" w:color="auto"/>
            <w:right w:val="none" w:sz="0" w:space="0" w:color="auto"/>
          </w:divBdr>
        </w:div>
      </w:divsChild>
    </w:div>
    <w:div w:id="1678461866">
      <w:bodyDiv w:val="1"/>
      <w:marLeft w:val="0"/>
      <w:marRight w:val="0"/>
      <w:marTop w:val="0"/>
      <w:marBottom w:val="0"/>
      <w:divBdr>
        <w:top w:val="none" w:sz="0" w:space="0" w:color="auto"/>
        <w:left w:val="none" w:sz="0" w:space="0" w:color="auto"/>
        <w:bottom w:val="none" w:sz="0" w:space="0" w:color="auto"/>
        <w:right w:val="none" w:sz="0" w:space="0" w:color="auto"/>
      </w:divBdr>
    </w:div>
    <w:div w:id="1721711456">
      <w:bodyDiv w:val="1"/>
      <w:marLeft w:val="0"/>
      <w:marRight w:val="0"/>
      <w:marTop w:val="0"/>
      <w:marBottom w:val="0"/>
      <w:divBdr>
        <w:top w:val="none" w:sz="0" w:space="0" w:color="auto"/>
        <w:left w:val="none" w:sz="0" w:space="0" w:color="auto"/>
        <w:bottom w:val="none" w:sz="0" w:space="0" w:color="auto"/>
        <w:right w:val="none" w:sz="0" w:space="0" w:color="auto"/>
      </w:divBdr>
    </w:div>
    <w:div w:id="1756390703">
      <w:bodyDiv w:val="1"/>
      <w:marLeft w:val="0"/>
      <w:marRight w:val="0"/>
      <w:marTop w:val="0"/>
      <w:marBottom w:val="0"/>
      <w:divBdr>
        <w:top w:val="none" w:sz="0" w:space="0" w:color="auto"/>
        <w:left w:val="none" w:sz="0" w:space="0" w:color="auto"/>
        <w:bottom w:val="none" w:sz="0" w:space="0" w:color="auto"/>
        <w:right w:val="none" w:sz="0" w:space="0" w:color="auto"/>
      </w:divBdr>
    </w:div>
    <w:div w:id="1793745530">
      <w:bodyDiv w:val="1"/>
      <w:marLeft w:val="0"/>
      <w:marRight w:val="0"/>
      <w:marTop w:val="0"/>
      <w:marBottom w:val="0"/>
      <w:divBdr>
        <w:top w:val="none" w:sz="0" w:space="0" w:color="auto"/>
        <w:left w:val="none" w:sz="0" w:space="0" w:color="auto"/>
        <w:bottom w:val="none" w:sz="0" w:space="0" w:color="auto"/>
        <w:right w:val="none" w:sz="0" w:space="0" w:color="auto"/>
      </w:divBdr>
    </w:div>
    <w:div w:id="1811627964">
      <w:bodyDiv w:val="1"/>
      <w:marLeft w:val="0"/>
      <w:marRight w:val="0"/>
      <w:marTop w:val="0"/>
      <w:marBottom w:val="0"/>
      <w:divBdr>
        <w:top w:val="none" w:sz="0" w:space="0" w:color="auto"/>
        <w:left w:val="none" w:sz="0" w:space="0" w:color="auto"/>
        <w:bottom w:val="none" w:sz="0" w:space="0" w:color="auto"/>
        <w:right w:val="none" w:sz="0" w:space="0" w:color="auto"/>
      </w:divBdr>
      <w:divsChild>
        <w:div w:id="746348330">
          <w:marLeft w:val="360"/>
          <w:marRight w:val="0"/>
          <w:marTop w:val="200"/>
          <w:marBottom w:val="0"/>
          <w:divBdr>
            <w:top w:val="none" w:sz="0" w:space="0" w:color="auto"/>
            <w:left w:val="none" w:sz="0" w:space="0" w:color="auto"/>
            <w:bottom w:val="none" w:sz="0" w:space="0" w:color="auto"/>
            <w:right w:val="none" w:sz="0" w:space="0" w:color="auto"/>
          </w:divBdr>
        </w:div>
      </w:divsChild>
    </w:div>
    <w:div w:id="1900314295">
      <w:bodyDiv w:val="1"/>
      <w:marLeft w:val="0"/>
      <w:marRight w:val="0"/>
      <w:marTop w:val="0"/>
      <w:marBottom w:val="0"/>
      <w:divBdr>
        <w:top w:val="none" w:sz="0" w:space="0" w:color="auto"/>
        <w:left w:val="none" w:sz="0" w:space="0" w:color="auto"/>
        <w:bottom w:val="none" w:sz="0" w:space="0" w:color="auto"/>
        <w:right w:val="none" w:sz="0" w:space="0" w:color="auto"/>
      </w:divBdr>
    </w:div>
    <w:div w:id="2056345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1.xml"/><Relationship Id="rId21" Type="http://schemas.openxmlformats.org/officeDocument/2006/relationships/hyperlink" Target="https://www.emerald.com/insight/search?q=Alanood%20Alkaabi" TargetMode="External"/><Relationship Id="rId42" Type="http://schemas.openxmlformats.org/officeDocument/2006/relationships/image" Target="media/image10.png"/><Relationship Id="rId47" Type="http://schemas.openxmlformats.org/officeDocument/2006/relationships/hyperlink" Target="https://www.tandfonline.com/doi/abs/10.1080/23265507.2016.1155167" TargetMode="External"/><Relationship Id="rId63" Type="http://schemas.openxmlformats.org/officeDocument/2006/relationships/hyperlink" Target="https://doi.org/10.1186/s13717-016-0063-3" TargetMode="External"/><Relationship Id="rId68" Type="http://schemas.openxmlformats.org/officeDocument/2006/relationships/hyperlink" Target="https://www.goodreads.com/author/quotes/9827319.Sheikh_Zayed_Al_Nahyan" TargetMode="External"/><Relationship Id="rId84" Type="http://schemas.openxmlformats.org/officeDocument/2006/relationships/hyperlink" Target="https://johnnoels.medium.com/what-is-spss-and-its-importance-in-research-data-analysis-5f109ab90da1" TargetMode="External"/><Relationship Id="rId89" Type="http://schemas.openxmlformats.org/officeDocument/2006/relationships/hyperlink" Target="https://www.reptonabudhabi.org/repton-overview/repton-community/?gclid=Cj0KCQjw6575BRCQARIsAMp-ksPkayXj7VjSjPy7eMQ_e_bvE96wo56tANu_ld4qKGmHk_LeMKzianAaAnqFEALw_wcB" TargetMode="External"/><Relationship Id="rId16" Type="http://schemas.openxmlformats.org/officeDocument/2006/relationships/image" Target="media/image5.png"/><Relationship Id="rId11" Type="http://schemas.openxmlformats.org/officeDocument/2006/relationships/image" Target="media/image2.png"/><Relationship Id="rId32" Type="http://schemas.openxmlformats.org/officeDocument/2006/relationships/hyperlink" Target="https://www.mof.gov.ae/en/resourcesAndBudget/fedralBudget/Pages/budget2020.aspx" TargetMode="External"/><Relationship Id="rId37" Type="http://schemas.openxmlformats.org/officeDocument/2006/relationships/hyperlink" Target="https://www.mof.gov.ae/en/resourcesAndBudget/fedralBudget/Pages/budget2019.aspx" TargetMode="External"/><Relationship Id="rId53" Type="http://schemas.openxmlformats.org/officeDocument/2006/relationships/hyperlink" Target="https://academic.oup.com/sf/article-lookup/doi/10.1353/sof.2010.0105" TargetMode="External"/><Relationship Id="rId58" Type="http://schemas.openxmlformats.org/officeDocument/2006/relationships/hyperlink" Target="https://www.acted.org/en/partners/department-for-international-development-dfid-british-government/" TargetMode="External"/><Relationship Id="rId74" Type="http://schemas.openxmlformats.org/officeDocument/2006/relationships/hyperlink" Target="https://books.google.com/books?hl=en&amp;lr=&amp;id=n85hOcorE1AC&amp;oi=fnd&amp;pg=PA19&amp;dq=(Ladd+and+Loeb,+2013)+school+quality&amp;ots=BjtEnuuuf3&amp;sig=9lM5cTsZNWkKHh6AwUsdUb7rx2U" TargetMode="External"/><Relationship Id="rId79" Type="http://schemas.openxmlformats.org/officeDocument/2006/relationships/hyperlink" Target="https://www.moe.gov.ae/En/AboutTheMinistry/Pages/QUALITYEDUCATION.aspx" TargetMode="External"/><Relationship Id="rId102" Type="http://schemas.openxmlformats.org/officeDocument/2006/relationships/footer" Target="footer2.xml"/><Relationship Id="rId5" Type="http://schemas.openxmlformats.org/officeDocument/2006/relationships/webSettings" Target="webSettings.xml"/><Relationship Id="rId90" Type="http://schemas.openxmlformats.org/officeDocument/2006/relationships/hyperlink" Target="https://journals.sagepub.com/doi/abs/10.1177/0031721717702631" TargetMode="External"/><Relationship Id="rId95" Type="http://schemas.openxmlformats.org/officeDocument/2006/relationships/hyperlink" Target="https://www.teachaway.com/blog/abu-dhabi-faqs" TargetMode="External"/><Relationship Id="rId22" Type="http://schemas.openxmlformats.org/officeDocument/2006/relationships/hyperlink" Target="https://www.emerald.com/insight/search?q=Jacob%20Poopada%20Cherian" TargetMode="External"/><Relationship Id="rId27" Type="http://schemas.openxmlformats.org/officeDocument/2006/relationships/image" Target="media/image7.png"/><Relationship Id="rId43" Type="http://schemas.openxmlformats.org/officeDocument/2006/relationships/image" Target="media/image11.png"/><Relationship Id="rId48" Type="http://schemas.openxmlformats.org/officeDocument/2006/relationships/hyperlink" Target="https://www.aier.org/article/reform-the-k-12-government-school-monopoly-economics-and-facts/" TargetMode="External"/><Relationship Id="rId64" Type="http://schemas.openxmlformats.org/officeDocument/2006/relationships/hyperlink" Target="https://www.vision2021.ae/en/national-agenda-2021/list/first-rate-circle" TargetMode="External"/><Relationship Id="rId69" Type="http://schemas.openxmlformats.org/officeDocument/2006/relationships/hyperlink" Target="http://hanushek.stanford.edu/publications/failure-input-base-schooling-policies" TargetMode="External"/><Relationship Id="rId80" Type="http://schemas.openxmlformats.org/officeDocument/2006/relationships/hyperlink" Target="https://www.theguardian.com/education/2018/jun/12/why-do-parents-send-their-children-to-high-cost-but-low-ranking-schools" TargetMode="External"/><Relationship Id="rId85" Type="http://schemas.openxmlformats.org/officeDocument/2006/relationships/hyperlink" Target="https://www.oecd.org/pisa/publications/PISA2018_CN_ARE.pdf" TargetMode="External"/><Relationship Id="rId12" Type="http://schemas.openxmlformats.org/officeDocument/2006/relationships/customXml" Target="ink/ink2.xml"/><Relationship Id="rId17" Type="http://schemas.openxmlformats.org/officeDocument/2006/relationships/customXml" Target="ink/ink4.xml"/><Relationship Id="rId25" Type="http://schemas.openxmlformats.org/officeDocument/2006/relationships/hyperlink" Target="https://doi.org/10.1108/IJEM-01-2022-0010" TargetMode="External"/><Relationship Id="rId33" Type="http://schemas.openxmlformats.org/officeDocument/2006/relationships/hyperlink" Target="https://www.mof.gov.ae/en/resourcesAndBudget/fedralBudget/Pages/budget2020.aspx" TargetMode="External"/><Relationship Id="rId38" Type="http://schemas.openxmlformats.org/officeDocument/2006/relationships/hyperlink" Target="https://www.mof.gov.ae/ar/resourcesandbudget/fedralbudget/pages/budget2020.aspx" TargetMode="External"/><Relationship Id="rId46" Type="http://schemas.openxmlformats.org/officeDocument/2006/relationships/hyperlink" Target="http://www.emirates247.com/news/uae-news/education/northern-emirates-schools-under-evaluation" TargetMode="External"/><Relationship Id="rId59" Type="http://schemas.openxmlformats.org/officeDocument/2006/relationships/hyperlink" Target="https://d1wqtxts1xzle7.cloudfront.net/50171775/Race_Poverty_SAT_TC_Record.pdf?1478553883=&amp;response-content" TargetMode="External"/><Relationship Id="rId67" Type="http://schemas.openxmlformats.org/officeDocument/2006/relationships/hyperlink" Target="https://www.globalmediainsight.com/blog/uae-population-statistics/" TargetMode="External"/><Relationship Id="rId103" Type="http://schemas.openxmlformats.org/officeDocument/2006/relationships/fontTable" Target="fontTable.xml"/><Relationship Id="rId20" Type="http://schemas.openxmlformats.org/officeDocument/2006/relationships/hyperlink" Target="mailto:adulibrary@adu.ac.ae" TargetMode="External"/><Relationship Id="rId41" Type="http://schemas.openxmlformats.org/officeDocument/2006/relationships/image" Target="media/image9.png"/><Relationship Id="rId54" Type="http://schemas.openxmlformats.org/officeDocument/2006/relationships/hyperlink" Target="https://linkinghub.elsevier.com/retrieve/pii/S0092656618300199" TargetMode="External"/><Relationship Id="rId62" Type="http://schemas.openxmlformats.org/officeDocument/2006/relationships/hyperlink" Target="https://www.educationevolving.org/files/Definition-Achievement-School-Quality.pdf" TargetMode="External"/><Relationship Id="rId70" Type="http://schemas.openxmlformats.org/officeDocument/2006/relationships/hyperlink" Target="https://hechingerreport.org/new-data-even-within-the-same-district-some-wealthy-schools-get-millions-more-than-poor-ones/" TargetMode="External"/><Relationship Id="rId75" Type="http://schemas.openxmlformats.org/officeDocument/2006/relationships/hyperlink" Target="https://people.umass.edu/educ870/teacher_education/Documents/Role%20of%20Tchrs%20&amp;%20Comm%20in%20Quality%20Ed%20-%20Lit%20Rev.%20Leu%202005.pdf" TargetMode="External"/><Relationship Id="rId83" Type="http://schemas.openxmlformats.org/officeDocument/2006/relationships/hyperlink" Target="http://gulfnews.com/news/uae/education/parents-question-why-school-fees-are-so-high-1.122498" TargetMode="External"/><Relationship Id="rId88" Type="http://schemas.openxmlformats.org/officeDocument/2006/relationships/hyperlink" Target="https://www.investopedia.com/articles/economics/09/education-training-advantages.asp" TargetMode="External"/><Relationship Id="rId91" Type="http://schemas.openxmlformats.org/officeDocument/2006/relationships/hyperlink" Target="https://eric.ed.gov/?id=EJ1162839" TargetMode="External"/><Relationship Id="rId96" Type="http://schemas.openxmlformats.org/officeDocument/2006/relationships/hyperlink" Target="http://www.worldbank.org/en/region/mena/publication/the-road-traveled-dubais-journey-towards-improving-private-education"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hyperlink" Target="https://www.emerald.com/insight/search?q=Ross%20Davidson" TargetMode="External"/><Relationship Id="rId28" Type="http://schemas.openxmlformats.org/officeDocument/2006/relationships/hyperlink" Target="https://www.mof.gov.ae/en/resourcesandbudget/fedralbudget/pages/budget2016.aspx" TargetMode="External"/><Relationship Id="rId36" Type="http://schemas.openxmlformats.org/officeDocument/2006/relationships/hyperlink" Target="https://www.mof.gov.ae/en/resourcesandbudget/fedralbudget/pages/budget2018.aspx" TargetMode="External"/><Relationship Id="rId49" Type="http://schemas.openxmlformats.org/officeDocument/2006/relationships/hyperlink" Target="http://www.ipedr.com/vol37/061-ICMEI2012-M10077.pdf" TargetMode="External"/><Relationship Id="rId57" Type="http://schemas.openxmlformats.org/officeDocument/2006/relationships/hyperlink" Target="https://uaeu.idm.oclc.org/dissertations-theses/deciding-factors-school-choice-among-parents/docview/2539882706/se-2" TargetMode="External"/><Relationship Id="rId10" Type="http://schemas.openxmlformats.org/officeDocument/2006/relationships/image" Target="media/image2.emf"/><Relationship Id="rId31" Type="http://schemas.openxmlformats.org/officeDocument/2006/relationships/hyperlink" Target="https://www.mof.gov.ae/en/resourcesAndBudget/fedralBudget/Pages/budget2019.aspx" TargetMode="External"/><Relationship Id="rId44" Type="http://schemas.openxmlformats.org/officeDocument/2006/relationships/image" Target="media/image12.png"/><Relationship Id="rId52" Type="http://schemas.openxmlformats.org/officeDocument/2006/relationships/hyperlink" Target="https://nces.ed.gov/nationsreportcard/pdf/studies/2006461.pdf" TargetMode="External"/><Relationship Id="rId60" Type="http://schemas.openxmlformats.org/officeDocument/2006/relationships/hyperlink" Target="https://doi.org/10.1080/13803611.2012.718371" TargetMode="External"/><Relationship Id="rId65" Type="http://schemas.openxmlformats.org/officeDocument/2006/relationships/hyperlink" Target="https://journals.sagepub.com/doi/abs/10.1177/2158244019899445" TargetMode="External"/><Relationship Id="rId73" Type="http://schemas.openxmlformats.org/officeDocument/2006/relationships/hyperlink" Target="https://www.khaleejtimes.com/supplements/inspiring-excellence" TargetMode="External"/><Relationship Id="rId78" Type="http://schemas.openxmlformats.org/officeDocument/2006/relationships/hyperlink" Target="https://www.moe.gov.ae/En/OpenData/pages/home.aspx" TargetMode="External"/><Relationship Id="rId81" Type="http://schemas.openxmlformats.org/officeDocument/2006/relationships/hyperlink" Target="http://www.strategyand.pwc.com/media/file/Strategyand-Private-School-Expansion-GCC" TargetMode="External"/><Relationship Id="rId86" Type="http://schemas.openxmlformats.org/officeDocument/2006/relationships/hyperlink" Target="https://www.oecd.org/education/school/50293148.pdf" TargetMode="External"/><Relationship Id="rId94" Type="http://schemas.openxmlformats.org/officeDocument/2006/relationships/hyperlink" Target="https://stats.oarc.ucla.edu/spss/seminars/introduction-to-factor-analysis/a-practical-introduction-to-factor-analysis/" TargetMode="External"/><Relationship Id="rId99" Type="http://schemas.openxmlformats.org/officeDocument/2006/relationships/hyperlink" Target="https://digitallibrary.un.org/record/426934" TargetMode="External"/><Relationship Id="rId101" Type="http://schemas.openxmlformats.org/officeDocument/2006/relationships/image" Target="media/image13.png"/><Relationship Id="rId4" Type="http://schemas.openxmlformats.org/officeDocument/2006/relationships/settings" Target="settings.xml"/><Relationship Id="rId9" Type="http://schemas.openxmlformats.org/officeDocument/2006/relationships/customXml" Target="ink/ink1.xml"/><Relationship Id="rId13" Type="http://schemas.openxmlformats.org/officeDocument/2006/relationships/customXml" Target="ink/ink3.xml"/><Relationship Id="rId18" Type="http://schemas.openxmlformats.org/officeDocument/2006/relationships/image" Target="media/image6.png"/><Relationship Id="rId39" Type="http://schemas.openxmlformats.org/officeDocument/2006/relationships/hyperlink" Target="https://www.moe.gov.ae/En/AboutTheMinistry/Pages/QUALITYEDUCATION.aspx" TargetMode="External"/><Relationship Id="rId34" Type="http://schemas.openxmlformats.org/officeDocument/2006/relationships/hyperlink" Target="https://www.mof.gov.ae/en/resourcesAndBudget/fedralBudget/Pages/budget2016.aspx" TargetMode="External"/><Relationship Id="rId50" Type="http://schemas.openxmlformats.org/officeDocument/2006/relationships/hyperlink" Target="https://www.scribbr.com/statistics/multiple-linear-regression/" TargetMode="External"/><Relationship Id="rId55" Type="http://schemas.openxmlformats.org/officeDocument/2006/relationships/hyperlink" Target="https://doi.org/10.1016/j.rssm.2020.100490" TargetMode="External"/><Relationship Id="rId76" Type="http://schemas.openxmlformats.org/officeDocument/2006/relationships/hyperlink" Target="https://www.sciencedirect.com/science/article/pii/S0736585317302769" TargetMode="External"/><Relationship Id="rId97" Type="http://schemas.openxmlformats.org/officeDocument/2006/relationships/hyperlink" Target="https://www.thenationalnews.com/uae/education/student-assessment-programme-introduced-to-abu-dhabi-public-schools-1.179391" TargetMode="External"/><Relationship Id="rId10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eric.ed.gov/?id=ED480421" TargetMode="External"/><Relationship Id="rId92" Type="http://schemas.openxmlformats.org/officeDocument/2006/relationships/hyperlink" Target="https://doi.org/10.2307/3515987" TargetMode="External"/><Relationship Id="rId2" Type="http://schemas.openxmlformats.org/officeDocument/2006/relationships/numbering" Target="numbering.xml"/><Relationship Id="rId29" Type="http://schemas.openxmlformats.org/officeDocument/2006/relationships/hyperlink" Target="https://www.mof.gov.ae/en/resourcesAndBudget/fedralBudget/Pages/Budget2017.aspx" TargetMode="External"/><Relationship Id="rId24" Type="http://schemas.openxmlformats.org/officeDocument/2006/relationships/hyperlink" Target="https://www.emerald.com/insight/publication/issn/0951-354X" TargetMode="External"/><Relationship Id="rId40" Type="http://schemas.openxmlformats.org/officeDocument/2006/relationships/image" Target="media/image8.png"/><Relationship Id="rId45" Type="http://schemas.openxmlformats.org/officeDocument/2006/relationships/hyperlink" Target="https://www.adek.gov.ae/About/About-Us" TargetMode="External"/><Relationship Id="rId66" Type="http://schemas.openxmlformats.org/officeDocument/2006/relationships/hyperlink" Target="https://www.americanprogress.org/article/quality-approach-school-funding/" TargetMode="External"/><Relationship Id="rId87" Type="http://schemas.openxmlformats.org/officeDocument/2006/relationships/hyperlink" Target="http://www.elaph.com/Web/News/2014/6/918301.html" TargetMode="External"/><Relationship Id="rId61" Type="http://schemas.openxmlformats.org/officeDocument/2006/relationships/hyperlink" Target="https://www.edarabia.com/uae-school-fees/" TargetMode="External"/><Relationship Id="rId82" Type="http://schemas.openxmlformats.org/officeDocument/2006/relationships/hyperlink" Target="https://timss2019.org/reports" TargetMode="External"/><Relationship Id="rId19" Type="http://schemas.openxmlformats.org/officeDocument/2006/relationships/hyperlink" Target="http://library.adu.ac.ae" TargetMode="External"/><Relationship Id="rId14" Type="http://schemas.openxmlformats.org/officeDocument/2006/relationships/image" Target="media/image3.emf"/><Relationship Id="rId30" Type="http://schemas.openxmlformats.org/officeDocument/2006/relationships/hyperlink" Target="https://www.mof.gov.ae/en/resourcesAndBudget/fedralBudget/Pages/budget2018.aspx" TargetMode="External"/><Relationship Id="rId35" Type="http://schemas.openxmlformats.org/officeDocument/2006/relationships/hyperlink" Target="https://www.mof.gov.ae/en/resourcesAndBudget/fedralBudget/Pages/Budget2017.aspx" TargetMode="External"/><Relationship Id="rId56" Type="http://schemas.openxmlformats.org/officeDocument/2006/relationships/hyperlink" Target="https://www.snapsurveys.com/blog/benefit-3-types-surveyresearch/" TargetMode="External"/><Relationship Id="rId77" Type="http://schemas.openxmlformats.org/officeDocument/2006/relationships/hyperlink" Target="https://unesdoc.unesco.org/ark:/48223/pf0000137333" TargetMode="External"/><Relationship Id="rId100" Type="http://schemas.openxmlformats.org/officeDocument/2006/relationships/hyperlink" Target="https://whichschooladvisor.com/uae/guides/best-schools-in-abu-dhabi-school-ratings" TargetMode="External"/><Relationship Id="rId8" Type="http://schemas.openxmlformats.org/officeDocument/2006/relationships/image" Target="media/image1.png"/><Relationship Id="rId51" Type="http://schemas.openxmlformats.org/officeDocument/2006/relationships/hyperlink" Target="https://www.zawya.com/en/press-release/the-uaes-private-k-12-education-market-will-grow-by-40-in-the-next-5-years-bcg-study-finds-nvs26244" TargetMode="External"/><Relationship Id="rId72" Type="http://schemas.openxmlformats.org/officeDocument/2006/relationships/hyperlink" Target="https://www.adek.gov.ae/Education-System/Private-Schools/Irtiqaa-Programme-Improving-Schools-performance" TargetMode="External"/><Relationship Id="rId93" Type="http://schemas.openxmlformats.org/officeDocument/2006/relationships/hyperlink" Target="https://nces.ed.gov/pubs2009/2009020.pdf" TargetMode="External"/><Relationship Id="rId98" Type="http://schemas.openxmlformats.org/officeDocument/2006/relationships/hyperlink" Target="https://data.worldbank.org/country/AE" TargetMode="External"/><Relationship Id="rId3" Type="http://schemas.openxmlformats.org/officeDocument/2006/relationships/styles" Target="styles.xml"/></Relationships>
</file>

<file path=word/ink/ink1.xml><?xml version="1.0" encoding="utf-8"?>
<inkml:ink xmlns:inkml="http://www.w3.org/2003/InkML">
  <inkml:definitions>
    <inkml:context xml:id="ctx0">
      <inkml:inkSource xml:id="inkSrc0">
        <inkml:traceFormat>
          <inkml:channel name="X" type="integer" max="1366" units="cm"/>
          <inkml:channel name="Y" type="integer" max="768" units="cm"/>
          <inkml:channel name="T" type="integer" max="2.14748E9" units="dev"/>
        </inkml:traceFormat>
        <inkml:channelProperties>
          <inkml:channelProperty channel="X" name="resolution" value="39.7093" units="1/cm"/>
          <inkml:channelProperty channel="Y" name="resolution" value="39.79275" units="1/cm"/>
          <inkml:channelProperty channel="T" name="resolution" value="1" units="1/dev"/>
        </inkml:channelProperties>
      </inkml:inkSource>
      <inkml:timestamp xml:id="ts0" timeString="2022-12-15T09:17:51.085"/>
    </inkml:context>
    <inkml:brush xml:id="br0">
      <inkml:brushProperty name="width" value="0.07938" units="cm"/>
      <inkml:brushProperty name="height" value="0.07938" units="cm"/>
      <inkml:brushProperty name="fitToCurve" value="1"/>
    </inkml:brush>
  </inkml:definitions>
  <inkml:trace contextRef="#ctx0" brushRef="#br0">0 0 0</inkml:trace>
</inkml:ink>
</file>

<file path=word/ink/ink2.xml><?xml version="1.0" encoding="utf-8"?>
<inkml:ink xmlns:inkml="http://www.w3.org/2003/InkML">
  <inkml:definitions>
    <inkml:context xml:id="ctx0">
      <inkml:inkSource xml:id="inkSrc0">
        <inkml:traceFormat>
          <inkml:channel name="X" type="integer" max="1366" units="cm"/>
          <inkml:channel name="Y" type="integer" max="768" units="cm"/>
          <inkml:channel name="T" type="integer" max="2.14748E9" units="dev"/>
        </inkml:traceFormat>
        <inkml:channelProperties>
          <inkml:channelProperty channel="X" name="resolution" value="39.7093" units="1/cm"/>
          <inkml:channelProperty channel="Y" name="resolution" value="39.79275" units="1/cm"/>
          <inkml:channelProperty channel="T" name="resolution" value="1" units="1/dev"/>
        </inkml:channelProperties>
      </inkml:inkSource>
      <inkml:timestamp xml:id="ts0" timeString="2022-12-15T09:16:29.392"/>
    </inkml:context>
    <inkml:brush xml:id="br0">
      <inkml:brushProperty name="width" value="0.07938" units="cm"/>
      <inkml:brushProperty name="height" value="0.07938" units="cm"/>
      <inkml:brushProperty name="fitToCurve" value="1"/>
    </inkml:brush>
  </inkml:definitions>
  <inkml:trace contextRef="#ctx0" brushRef="#br0">0 0 0</inkml:trace>
</inkml:ink>
</file>

<file path=word/ink/ink3.xml><?xml version="1.0" encoding="utf-8"?>
<inkml:ink xmlns:inkml="http://www.w3.org/2003/InkML">
  <inkml:definitions>
    <inkml:context xml:id="ctx0">
      <inkml:inkSource xml:id="inkSrc0">
        <inkml:traceFormat>
          <inkml:channel name="X" type="integer" max="1366" units="cm"/>
          <inkml:channel name="Y" type="integer" max="768" units="cm"/>
          <inkml:channel name="T" type="integer" max="2.14748E9" units="dev"/>
        </inkml:traceFormat>
        <inkml:channelProperties>
          <inkml:channelProperty channel="X" name="resolution" value="39.7093" units="1/cm"/>
          <inkml:channelProperty channel="Y" name="resolution" value="39.79275" units="1/cm"/>
          <inkml:channelProperty channel="T" name="resolution" value="1" units="1/dev"/>
        </inkml:channelProperties>
      </inkml:inkSource>
      <inkml:timestamp xml:id="ts0" timeString="2022-12-15T09:15:43.469"/>
    </inkml:context>
    <inkml:brush xml:id="br0">
      <inkml:brushProperty name="width" value="0.05292" units="cm"/>
      <inkml:brushProperty name="height" value="0.05292" units="cm"/>
      <inkml:brushProperty name="fitToCurve" value="1"/>
    </inkml:brush>
  </inkml:definitions>
  <inkml:trace contextRef="#ctx0" brushRef="#br0">0 0 0</inkml:trace>
</inkml:ink>
</file>

<file path=word/ink/ink4.xml><?xml version="1.0" encoding="utf-8"?>
<inkml:ink xmlns:inkml="http://www.w3.org/2003/InkML">
  <inkml:definitions>
    <inkml:context xml:id="ctx0">
      <inkml:inkSource xml:id="inkSrc0">
        <inkml:traceFormat>
          <inkml:channel name="X" type="integer" max="1366" units="cm"/>
          <inkml:channel name="Y" type="integer" max="768" units="cm"/>
          <inkml:channel name="T" type="integer" max="2.14748E9" units="dev"/>
        </inkml:traceFormat>
        <inkml:channelProperties>
          <inkml:channelProperty channel="X" name="resolution" value="39.7093" units="1/cm"/>
          <inkml:channelProperty channel="Y" name="resolution" value="39.79275" units="1/cm"/>
          <inkml:channelProperty channel="T" name="resolution" value="1" units="1/dev"/>
        </inkml:channelProperties>
      </inkml:inkSource>
      <inkml:timestamp xml:id="ts0" timeString="2022-12-15T09:17:45.733"/>
    </inkml:context>
    <inkml:brush xml:id="br0">
      <inkml:brushProperty name="width" value="0.07938" units="cm"/>
      <inkml:brushProperty name="height" value="0.07938" units="cm"/>
      <inkml:brushProperty name="fitToCurve" value="1"/>
    </inkml:brush>
  </inkml:definitions>
  <inkml:trace contextRef="#ctx0" brushRef="#br0">0 0 0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Tho20</b:Tag>
    <b:SourceType>JournalArticle</b:SourceType>
    <b:Guid>{1D1226D9-75DE-492A-AA57-3388686EC6E5}</b:Guid>
    <b:Author>
      <b:Author>
        <b:NameList>
          <b:Person>
            <b:Last>Thompson</b:Last>
            <b:First>P</b:First>
          </b:Person>
        </b:NameList>
      </b:Author>
    </b:Author>
    <b:Title>Is four less than ﬁve? Effects of four-day school weeks on student achievement in Oregon</b:Title>
    <b:JournalName>Journal of Public Economics</b:JournalName>
    <b:Year>2020</b:Year>
    <b:Pages>1043108</b:Pages>
    <b:Volume>193</b:Volume>
    <b:Issue>2</b:Issue>
    <b:RefOrder>3</b:RefOrder>
  </b:Source>
  <b:Source>
    <b:Tag>Jia201</b:Tag>
    <b:SourceType>JournalArticle</b:SourceType>
    <b:Guid>{BE133FE9-8862-41D1-A911-536F39D8A795}</b:Guid>
    <b:Author>
      <b:Author>
        <b:NameList>
          <b:Person>
            <b:Last>Jiang</b:Last>
            <b:First>Y</b:First>
          </b:Person>
          <b:Person>
            <b:Last>Kim</b:Last>
            <b:First>S</b:First>
          </b:Person>
          <b:Person>
            <b:Last>Bong</b:Last>
            <b:First>M</b:First>
          </b:Person>
        </b:NameList>
      </b:Author>
    </b:Author>
    <b:Title>The role of cost in adolescent students' maladaptive academic </b:Title>
    <b:JournalName>Journal of School Psychology</b:JournalName>
    <b:Year>2020</b:Year>
    <b:Pages>1-24</b:Pages>
    <b:Volume>83</b:Volume>
    <b:Issue>1</b:Issue>
    <b:RefOrder>4</b:RefOrder>
  </b:Source>
  <b:Source>
    <b:Tag>Rid17</b:Tag>
    <b:SourceType>JournalArticle</b:SourceType>
    <b:Guid>{39D05153-1581-4D29-9187-CDA1D9BB4251}</b:Guid>
    <b:Author>
      <b:Author>
        <b:NameList>
          <b:Person>
            <b:Last>Ridge</b:Last>
            <b:First>N</b:First>
          </b:Person>
          <b:Person>
            <b:Last>Kippels</b:Last>
            <b:First>S</b:First>
          </b:Person>
          <b:Person>
            <b:Last>Shami</b:Last>
            <b:First>S</b:First>
          </b:Person>
        </b:NameList>
      </b:Author>
    </b:Author>
    <b:Title>Private Education in the United Arab Emirates and Qatar: Implications and Challenges</b:Title>
    <b:JournalName>Working Paper 08 Sheikh Saud bin Saqr Al Qasimi Foundation for Policy Research</b:JournalName>
    <b:Year>2017</b:Year>
    <b:Pages>1-40</b:Pages>
    <b:Volume>3</b:Volume>
    <b:Issue>1</b:Issue>
    <b:RefOrder>10</b:RefOrder>
  </b:Source>
  <b:Source>
    <b:Tag>OSu17</b:Tag>
    <b:SourceType>JournalArticle</b:SourceType>
    <b:Guid>{2C708AEC-DFE6-4FC2-BF06-74A825F9BF09}</b:Guid>
    <b:Author>
      <b:Author>
        <b:NameList>
          <b:Person>
            <b:Last>O'Sullivan</b:Last>
            <b:First>K</b:First>
          </b:Person>
        </b:NameList>
      </b:Author>
    </b:Author>
    <b:Title>Education Quality in the UAE - Factors in Creating a Knowledge-Based Economy</b:Title>
    <b:JournalName>SSRN Electronic Journal</b:JournalName>
    <b:Year>2017</b:Year>
    <b:Pages>1-10</b:Pages>
    <b:Volume>1</b:Volume>
    <b:Issue>1</b:Issue>
    <b:RefOrder>11</b:RefOrder>
  </b:Source>
  <b:Source>
    <b:Tag>OEC18</b:Tag>
    <b:SourceType>DocumentFromInternetSite</b:SourceType>
    <b:Guid>{C5FDEE6E-771F-4F3E-AD66-3A7607CADC79}</b:Guid>
    <b:Title>TEACHING in the UAE</b:Title>
    <b:Year>2018</b:Year>
    <b:Author>
      <b:Author>
        <b:Corporate>OECD</b:Corporate>
      </b:Author>
    </b:Author>
    <b:YearAccessed>2020</b:YearAccessed>
    <b:MonthAccessed>12</b:MonthAccessed>
    <b:DayAccessed>20</b:DayAccessed>
    <b:URL>https://www.oecd.org/education/talis/Teaching_in_the_UAE-10_Lessons_from_TALIS.pdf</b:URL>
    <b:RefOrder>12</b:RefOrder>
  </b:Source>
  <b:Source>
    <b:Tag>Als19</b:Tag>
    <b:SourceType>JournalArticle</b:SourceType>
    <b:Guid>{3A691F66-A22F-44DE-8B3D-C162E2A794B2}</b:Guid>
    <b:Title>The effect of blended learning on the achievement of ninth grade students in science and their attitudes towards its use</b:Title>
    <b:Year>2019</b:Year>
    <b:Author>
      <b:Author>
        <b:NameList>
          <b:Person>
            <b:Last>Alsalhi</b:Last>
            <b:First>N</b:First>
          </b:Person>
          <b:Person>
            <b:Last>M</b:Last>
            <b:First>Eltahir</b:First>
          </b:Person>
          <b:Person>
            <b:Last>Al-Qatawneh</b:Last>
            <b:First>S</b:First>
          </b:Person>
        </b:NameList>
      </b:Author>
    </b:Author>
    <b:JournalName>Heliyon</b:JournalName>
    <b:Pages>e02424</b:Pages>
    <b:Volume>5</b:Volume>
    <b:Issue>9</b:Issue>
    <b:RefOrder>7</b:RefOrder>
  </b:Source>
  <b:Source>
    <b:Tag>McK18</b:Tag>
    <b:SourceType>JournalArticle</b:SourceType>
    <b:Guid>{D2237CAF-DCA2-40C6-9855-D6AC09377CDA}</b:Guid>
    <b:Author>
      <b:Author>
        <b:NameList>
          <b:Person>
            <b:Last>McKinnon</b:Last>
            <b:First>M</b:First>
          </b:Person>
          <b:Person>
            <b:Last>Barza</b:Last>
            <b:First>L</b:First>
          </b:Person>
          <b:Person>
            <b:Last>Moussa-Inaty</b:Last>
            <b:First>J</b:First>
          </b:Person>
        </b:NameList>
      </b:Author>
    </b:Author>
    <b:Title>Public versus private education in primary science: The case of Abu Dhabi schools</b:Title>
    <b:JournalName>International Journal of Educational Research</b:JournalName>
    <b:Year>2018</b:Year>
    <b:Pages>51-61</b:Pages>
    <b:Volume>62</b:Volume>
    <b:Issue>1</b:Issue>
    <b:RefOrder>2</b:RefOrder>
  </b:Source>
  <b:Source>
    <b:Tag>Bra20</b:Tag>
    <b:SourceType>JournalArticle</b:SourceType>
    <b:Guid>{75DB4EB0-D7C5-4409-A4EC-3989A5CA3C0A}</b:Guid>
    <b:Author>
      <b:Author>
        <b:NameList>
          <b:Person>
            <b:Last>Braga</b:Last>
            <b:First>M</b:First>
          </b:Person>
          <b:Person>
            <b:Last>Checcchi</b:Last>
            <b:First>D</b:First>
          </b:Person>
          <b:Person>
            <b:Last>Scervini</b:Last>
            <b:First>F</b:First>
          </b:Person>
          <b:Person>
            <b:Last>Garrouste</b:Last>
            <b:First>C</b:First>
          </b:Person>
        </b:NameList>
      </b:Author>
    </b:Author>
    <b:Title>Selecting or rewarding teachers? International evidence from primary schools</b:Title>
    <b:JournalName>Economics of Education Review</b:JournalName>
    <b:Year>2020</b:Year>
    <b:Pages>101986</b:Pages>
    <b:Volume>76</b:Volume>
    <b:Issue>6</b:Issue>
    <b:RefOrder>9</b:RefOrder>
  </b:Source>
  <b:Source>
    <b:Tag>Rah20</b:Tag>
    <b:SourceType>JournalArticle</b:SourceType>
    <b:Guid>{FCDA92CC-21B3-4C20-A22C-EDE67C578503}</b:Guid>
    <b:Author>
      <b:Author>
        <b:NameList>
          <b:Person>
            <b:Last>Rahmouni</b:Last>
            <b:First>M</b:First>
          </b:Person>
          <b:Person>
            <b:Last>Aleid</b:Last>
            <b:First>M</b:First>
          </b:Person>
        </b:NameList>
      </b:Author>
    </b:Author>
    <b:Title>Teachers’ practices and children's motivation towards science learning in MENA countries: Evidence from Tunisia and UAE</b:Title>
    <b:JournalName>International Journal of Educational Research</b:JournalName>
    <b:Year>2020</b:Year>
    <b:Pages>1-10</b:Pages>
    <b:Volume>1</b:Volume>
    <b:Issue>1</b:Issue>
    <b:RefOrder>8</b:RefOrder>
  </b:Source>
  <b:Source>
    <b:Tag>Str20</b:Tag>
    <b:SourceType>JournalArticle</b:SourceType>
    <b:Guid>{B3AAF365-0D1E-4899-AC9C-243B608A370F}</b:Guid>
    <b:Author>
      <b:Author>
        <b:NameList>
          <b:Person>
            <b:Last>Strietholt</b:Last>
            <b:First>R</b:First>
          </b:Person>
          <b:Person>
            <b:Last>Hogrebe</b:Last>
            <b:First>N</b:First>
          </b:Person>
          <b:Person>
            <b:Last>Zachrisson</b:Last>
            <b:First>H</b:First>
          </b:Person>
        </b:NameList>
      </b:Author>
    </b:Author>
    <b:Title>Do increases in national-level preschool enrollment increase student achievement? Evidence from international assessments</b:Title>
    <b:JournalName>International Journal of Educational Development</b:JournalName>
    <b:Year>2020</b:Year>
    <b:Pages>1-10</b:Pages>
    <b:Volume>79</b:Volume>
    <b:Issue>12</b:Issue>
    <b:RefOrder>1</b:RefOrder>
  </b:Source>
  <b:Source>
    <b:Tag>AlQ19</b:Tag>
    <b:SourceType>JournalArticle</b:SourceType>
    <b:Guid>{48AE8237-C3A1-4A57-B94F-848B41E5FA83}</b:Guid>
    <b:Author>
      <b:Author>
        <b:NameList>
          <b:Person>
            <b:Last>Al-Qatawneh</b:Last>
            <b:First>S</b:First>
          </b:Person>
          <b:Person>
            <b:Last>Rawashdeh</b:Last>
            <b:First>A</b:First>
          </b:Person>
        </b:NameList>
      </b:Author>
    </b:Author>
    <b:Title>Gender representation in the Arabic language textbook for the ninth grade approved by the Ministry of Education for use in schools in the United Arab Emirates (UAE)</b:Title>
    <b:JournalName>Studies in Educational Evaluation</b:JournalName>
    <b:Year>2019</b:Year>
    <b:Pages>90-98</b:Pages>
    <b:Volume>60</b:Volume>
    <b:Issue>7</b:Issue>
    <b:RefOrder>5</b:RefOrder>
  </b:Source>
  <b:Source>
    <b:Tag>Elt20</b:Tag>
    <b:SourceType>JournalArticle</b:SourceType>
    <b:Guid>{3A921E4E-7AAA-4C66-BEFC-6BA0BEE8CEB4}</b:Guid>
    <b:Author>
      <b:Author>
        <b:NameList>
          <b:Person>
            <b:Last>Eltanahy</b:Last>
            <b:First>M</b:First>
          </b:Person>
          <b:Person>
            <b:Last>Forawi</b:Last>
            <b:First>S</b:First>
          </b:Person>
          <b:Person>
            <b:Last>Mansoor</b:Last>
            <b:First>N</b:First>
          </b:Person>
        </b:NameList>
      </b:Author>
    </b:Author>
    <b:Title>Incorporating Entrepreneurial Practices into STEM Education: Development of Interdisciplinary E-STEM Model in High School in the United Arab Emirates</b:Title>
    <b:JournalName>Thinking Skills and Creativity</b:JournalName>
    <b:Year>2020</b:Year>
    <b:Pages>100697</b:Pages>
    <b:Volume>37</b:Volume>
    <b:Issue>5</b:Issue>
    <b:RefOrder>6</b:RefOrder>
  </b:Source>
  <b:Source>
    <b:Tag>Woe16</b:Tag>
    <b:SourceType>JournalArticle</b:SourceType>
    <b:Guid>{51C5FACD-6B55-4AB6-A978-B9C00C77EC5D}</b:Guid>
    <b:Title>The importance of school systems: Evidence from international differences in student achievement</b:Title>
    <b:JournalName>Journal of Economic Perspectives</b:JournalName>
    <b:Year>2016</b:Year>
    <b:Pages>3-32</b:Pages>
    <b:Author>
      <b:Author>
        <b:NameList>
          <b:Person>
            <b:Last>Woessmann</b:Last>
            <b:First>L.</b:First>
          </b:Person>
        </b:NameList>
      </b:Author>
    </b:Author>
    <b:Volume>30</b:Volume>
    <b:Issue>3</b:Issue>
    <b:RefOrder>4</b:RefOrder>
  </b:Source>
  <b:Source>
    <b:Tag>Sut20</b:Tag>
    <b:SourceType>JournalArticle</b:SourceType>
    <b:Guid>{7D956B90-54A5-45B6-8252-E83393CB56E9}</b:Guid>
    <b:Title>Effect of Family Environment and Education Costs on Student Achievement with Interest in Reading as an Intervening Variable</b:Title>
    <b:JournalName>Journal of Educational Sciences</b:JournalName>
    <b:Year>2020</b:Year>
    <b:Pages>164-175</b:Pages>
    <b:Author>
      <b:Author>
        <b:NameList>
          <b:Person>
            <b:Last>Sutriayu</b:Last>
            <b:First>S.</b:First>
          </b:Person>
          <b:Person>
            <b:Last>Makhdalena</b:Last>
            <b:First>M.</b:First>
          </b:Person>
          <b:Person>
            <b:Last>Sumarno</b:Last>
            <b:First>S.</b:First>
          </b:Person>
        </b:NameList>
      </b:Author>
    </b:Author>
    <b:Volume>4</b:Volume>
    <b:Issue>1</b:Issue>
    <b:RefOrder>10</b:RefOrder>
  </b:Source>
  <b:Source>
    <b:Tag>Rep20</b:Tag>
    <b:SourceType>InternetSite</b:SourceType>
    <b:Guid>{54F0B0D4-7C82-4A92-BD9A-A2C51FB0F57C}</b:Guid>
    <b:Title>Distinguished School</b:Title>
    <b:InternetSiteTitle>Repton Abu Dhabi</b:InternetSiteTitle>
    <b:Year>2020</b:Year>
    <b:YearAccessed>2020</b:YearAccessed>
    <b:MonthAccessed>December </b:MonthAccessed>
    <b:DayAccessed>25</b:DayAccessed>
    <b:URL>https://www.reptonabudhabi.org/virtual-open-day/?utm_campaign=virtual-open-day&amp;utm_source=ppc&amp;utm_medium=search&amp;utm_term=adwords&amp;utm_term=%2Bschools%20in%20%2Babu%20%2Bdhabi%20city&amp;utm_campaign=School+Keywords&amp;utm_source=adwords&amp;utm_medium=ppc&amp;hsa_acc=530</b:URL>
    <b:Author>
      <b:Author>
        <b:NameList>
          <b:Person>
            <b:Last>Repton</b:Last>
          </b:Person>
        </b:NameList>
      </b:Author>
    </b:Author>
    <b:RefOrder>6</b:RefOrder>
  </b:Source>
  <b:Source>
    <b:Tag>Dol20</b:Tag>
    <b:SourceType>JournalArticle</b:SourceType>
    <b:Guid>{0F7BC401-F59D-4C83-B7DA-954E20B064E6}</b:Guid>
    <b:Title>How Reliably Can We Measure a Child’s True IQ? Socio-Economic Status Can Explain Most of the Inter-Ethnic Differences in General Non-verbal Abilities</b:Title>
    <b:JournalName>Frontiers in Psychology</b:JournalName>
    <b:Year>2020</b:Year>
    <b:Pages>11</b:Pages>
    <b:Author>
      <b:Author>
        <b:NameList>
          <b:Person>
            <b:Last>Dolean</b:Last>
            <b:First>D.</b:First>
          </b:Person>
          <b:Person>
            <b:Last>Cãlugãr</b:Last>
            <b:First>A.</b:First>
          </b:Person>
        </b:NameList>
      </b:Author>
    </b:Author>
    <b:RefOrder>11</b:RefOrder>
  </b:Source>
</b:Sources>
</file>

<file path=customXml/itemProps1.xml><?xml version="1.0" encoding="utf-8"?>
<ds:datastoreItem xmlns:ds="http://schemas.openxmlformats.org/officeDocument/2006/customXml" ds:itemID="{7AB807EA-97AE-4B9B-81A2-C2BF7C093C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194</Pages>
  <Words>66572</Words>
  <Characters>379466</Characters>
  <Application>Microsoft Office Word</Application>
  <DocSecurity>0</DocSecurity>
  <Lines>3162</Lines>
  <Paragraphs>890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445148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dmalm</dc:creator>
  <cp:lastModifiedBy>Jacob Cherian</cp:lastModifiedBy>
  <cp:revision>2</cp:revision>
  <cp:lastPrinted>2023-01-02T11:21:00Z</cp:lastPrinted>
  <dcterms:created xsi:type="dcterms:W3CDTF">2023-09-05T20:41:00Z</dcterms:created>
  <dcterms:modified xsi:type="dcterms:W3CDTF">2023-09-05T20:41:00Z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7th edition</vt:lpwstr>
  </property>
  <property fmtid="{D5CDD505-2E9C-101B-9397-08002B2CF9AE}" pid="4" name="Mendeley Recent Style Id 1_1">
    <vt:lpwstr>https://csl.mendeley.com/styles/59016361/chicago-note-bibliography-2-year-only</vt:lpwstr>
  </property>
  <property fmtid="{D5CDD505-2E9C-101B-9397-08002B2CF9AE}" pid="5" name="Mendeley Recent Style Name 1_1">
    <vt:lpwstr>Chicago Manual of Style 17th edition (note) - manivannan guires</vt:lpwstr>
  </property>
  <property fmtid="{D5CDD505-2E9C-101B-9397-08002B2CF9AE}" pid="6" name="Mendeley Recent Style Id 2_1">
    <vt:lpwstr>http://www.zotero.org/styles/ieee</vt:lpwstr>
  </property>
  <property fmtid="{D5CDD505-2E9C-101B-9397-08002B2CF9AE}" pid="7" name="Mendeley Recent Style Name 2_1">
    <vt:lpwstr>IEEE</vt:lpwstr>
  </property>
  <property fmtid="{D5CDD505-2E9C-101B-9397-08002B2CF9AE}" pid="8" name="Mendeley Recent Style Id 3_1">
    <vt:lpwstr>https://csl.mendeley.com/styles/59016361/ieee-2-kanimozhi</vt:lpwstr>
  </property>
  <property fmtid="{D5CDD505-2E9C-101B-9397-08002B2CF9AE}" pid="9" name="Mendeley Recent Style Name 3_1">
    <vt:lpwstr>IEEE - manivannan guires</vt:lpwstr>
  </property>
  <property fmtid="{D5CDD505-2E9C-101B-9397-08002B2CF9AE}" pid="10" name="Mendeley Recent Style Id 4_1">
    <vt:lpwstr>http://csl.mendeley.com/styles/59016361/ieee</vt:lpwstr>
  </property>
  <property fmtid="{D5CDD505-2E9C-101B-9397-08002B2CF9AE}" pid="11" name="Mendeley Recent Style Name 4_1">
    <vt:lpwstr>IEEE - manivannan guires kani</vt:lpwstr>
  </property>
  <property fmtid="{D5CDD505-2E9C-101B-9397-08002B2CF9AE}" pid="12" name="Mendeley Recent Style Id 5_1">
    <vt:lpwstr>http://csl.mendeley.com/styles/573850871/ieee-26</vt:lpwstr>
  </property>
  <property fmtid="{D5CDD505-2E9C-101B-9397-08002B2CF9AE}" pid="13" name="Mendeley Recent Style Name 5_1">
    <vt:lpwstr>IEEE - simathi sri</vt:lpwstr>
  </property>
  <property fmtid="{D5CDD505-2E9C-101B-9397-08002B2CF9AE}" pid="14" name="Mendeley Recent Style Id 6_1">
    <vt:lpwstr>http://www.zotero.org/styles/ieee-access</vt:lpwstr>
  </property>
  <property fmtid="{D5CDD505-2E9C-101B-9397-08002B2CF9AE}" pid="15" name="Mendeley Recent Style Name 6_1">
    <vt:lpwstr>IEEE Access</vt:lpwstr>
  </property>
  <property fmtid="{D5CDD505-2E9C-101B-9397-08002B2CF9AE}" pid="16" name="Mendeley Recent Style Id 7_1">
    <vt:lpwstr>http://www.zotero.org/styles/journal-of-transportation-security</vt:lpwstr>
  </property>
  <property fmtid="{D5CDD505-2E9C-101B-9397-08002B2CF9AE}" pid="17" name="Mendeley Recent Style Name 7_1">
    <vt:lpwstr>Journal of Transportation Security</vt:lpwstr>
  </property>
  <property fmtid="{D5CDD505-2E9C-101B-9397-08002B2CF9AE}" pid="18" name="Mendeley Recent Style Id 8_1">
    <vt:lpwstr>http://csl.mendeley.com/styles/59016361/harvard-staffordshire-university-MX-2</vt:lpwstr>
  </property>
  <property fmtid="{D5CDD505-2E9C-101B-9397-08002B2CF9AE}" pid="19" name="Mendeley Recent Style Name 8_1">
    <vt:lpwstr>MX Staffordshire University - Harvard </vt:lpwstr>
  </property>
  <property fmtid="{D5CDD505-2E9C-101B-9397-08002B2CF9AE}" pid="20" name="Mendeley Recent Style Id 9_1">
    <vt:lpwstr>http://csl.mendeley.com/styles/573850871/harvard-staffordshire-university-MX-2</vt:lpwstr>
  </property>
  <property fmtid="{D5CDD505-2E9C-101B-9397-08002B2CF9AE}" pid="21" name="Mendeley Recent Style Name 9_1">
    <vt:lpwstr>MX Staffordshire University - Harvard  - simathi sri</vt:lpwstr>
  </property>
  <property fmtid="{D5CDD505-2E9C-101B-9397-08002B2CF9AE}" pid="22" name="Mendeley Document_1">
    <vt:lpwstr>True</vt:lpwstr>
  </property>
  <property fmtid="{D5CDD505-2E9C-101B-9397-08002B2CF9AE}" pid="23" name="Mendeley Unique User Id_1">
    <vt:lpwstr>f37d46e8-b9ef-3eed-91af-34bd96ca108f</vt:lpwstr>
  </property>
  <property fmtid="{D5CDD505-2E9C-101B-9397-08002B2CF9AE}" pid="24" name="Mendeley Citation Style_1">
    <vt:lpwstr>http://www.zotero.org/styles/apa</vt:lpwstr>
  </property>
  <property fmtid="{D5CDD505-2E9C-101B-9397-08002B2CF9AE}" pid="25" name="GrammarlyDocumentId">
    <vt:lpwstr>5d997793e117b9952150019dddda6d88e8a13feb5a7c64da85e9f42e3d7fb9f1</vt:lpwstr>
  </property>
</Properties>
</file>