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34982" w14:textId="77777777" w:rsidR="00AD58DD" w:rsidRPr="00174113" w:rsidRDefault="00AD58DD" w:rsidP="00AD58DD">
      <w:pPr>
        <w:spacing w:line="480" w:lineRule="auto"/>
        <w:contextualSpacing/>
        <w:mirrorIndents/>
        <w:jc w:val="center"/>
      </w:pPr>
      <w:bookmarkStart w:id="0" w:name="_Toc532800276"/>
      <w:bookmarkStart w:id="1" w:name="_Toc534028520"/>
      <w:bookmarkStart w:id="2" w:name="_Toc534028905"/>
      <w:r w:rsidRPr="00174113">
        <w:rPr>
          <w:rFonts w:eastAsia="Times New Roman"/>
          <w:noProof/>
        </w:rPr>
        <w:drawing>
          <wp:inline distT="0" distB="0" distL="0" distR="0" wp14:anchorId="5508E8CE" wp14:editId="1C0E48DD">
            <wp:extent cx="1981200" cy="1352550"/>
            <wp:effectExtent l="0" t="0" r="0" b="0"/>
            <wp:docPr id="3" name="Picture 3" descr="C:\Users\Quick Tech\AppData\Local\Microsoft\Windows\INetCache\Content.Word\1280333-31-12-2018 08-2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Quick Tech\AppData\Local\Microsoft\Windows\INetCache\Content.Word\1280333-31-12-2018 08-24-1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1352550"/>
                    </a:xfrm>
                    <a:prstGeom prst="rect">
                      <a:avLst/>
                    </a:prstGeom>
                    <a:noFill/>
                    <a:ln>
                      <a:noFill/>
                    </a:ln>
                  </pic:spPr>
                </pic:pic>
              </a:graphicData>
            </a:graphic>
          </wp:inline>
        </w:drawing>
      </w:r>
    </w:p>
    <w:p w14:paraId="2F37F3FE" w14:textId="77777777" w:rsidR="00AD58DD" w:rsidRPr="00174113" w:rsidRDefault="00AD58DD" w:rsidP="00AD58DD">
      <w:pPr>
        <w:spacing w:line="480" w:lineRule="auto"/>
        <w:contextualSpacing/>
        <w:mirrorIndents/>
        <w:jc w:val="center"/>
        <w:rPr>
          <w:b/>
          <w:bCs/>
          <w:sz w:val="36"/>
          <w:szCs w:val="36"/>
        </w:rPr>
      </w:pPr>
      <w:bookmarkStart w:id="3" w:name="_GoBack"/>
      <w:r w:rsidRPr="00573DD1">
        <w:rPr>
          <w:b/>
          <w:bCs/>
          <w:sz w:val="36"/>
          <w:szCs w:val="36"/>
        </w:rPr>
        <w:t xml:space="preserve">Motivators and Barriers impacting </w:t>
      </w:r>
      <w:bookmarkEnd w:id="3"/>
      <w:r w:rsidRPr="00573DD1">
        <w:rPr>
          <w:b/>
          <w:bCs/>
          <w:sz w:val="36"/>
          <w:szCs w:val="36"/>
        </w:rPr>
        <w:t>the Healthcare Information Technology Adoption</w:t>
      </w:r>
    </w:p>
    <w:p w14:paraId="1098232E" w14:textId="77777777" w:rsidR="00AD58DD" w:rsidRPr="00174113" w:rsidRDefault="00AD58DD" w:rsidP="00AD58DD">
      <w:pPr>
        <w:tabs>
          <w:tab w:val="center" w:pos="4680"/>
          <w:tab w:val="left" w:pos="8284"/>
        </w:tabs>
        <w:spacing w:line="480" w:lineRule="auto"/>
        <w:contextualSpacing/>
        <w:mirrorIndents/>
        <w:rPr>
          <w:rFonts w:eastAsia="Times New Roman"/>
        </w:rPr>
      </w:pPr>
      <w:r w:rsidRPr="00174113">
        <w:rPr>
          <w:rFonts w:eastAsia="Times New Roman"/>
        </w:rPr>
        <w:tab/>
        <w:t>Dissertation</w:t>
      </w:r>
    </w:p>
    <w:p w14:paraId="378A4F43" w14:textId="77777777" w:rsidR="00AD58DD" w:rsidRPr="00174113" w:rsidRDefault="00AD58DD" w:rsidP="00AD58DD">
      <w:pPr>
        <w:tabs>
          <w:tab w:val="center" w:pos="4680"/>
          <w:tab w:val="left" w:pos="8284"/>
        </w:tabs>
        <w:spacing w:line="480" w:lineRule="auto"/>
        <w:contextualSpacing/>
        <w:mirrorIndents/>
        <w:jc w:val="center"/>
        <w:rPr>
          <w:rFonts w:eastAsia="Times New Roman"/>
        </w:rPr>
      </w:pPr>
      <w:r w:rsidRPr="00174113">
        <w:rPr>
          <w:rFonts w:eastAsia="Times New Roman"/>
        </w:rPr>
        <w:t>Presented to</w:t>
      </w:r>
    </w:p>
    <w:p w14:paraId="500F95FB" w14:textId="77777777" w:rsidR="00AD58DD" w:rsidRPr="00174113" w:rsidRDefault="00AD58DD" w:rsidP="00AD58DD">
      <w:pPr>
        <w:tabs>
          <w:tab w:val="center" w:pos="4680"/>
          <w:tab w:val="left" w:pos="8284"/>
        </w:tabs>
        <w:spacing w:line="480" w:lineRule="auto"/>
        <w:contextualSpacing/>
        <w:mirrorIndents/>
        <w:jc w:val="center"/>
        <w:rPr>
          <w:rFonts w:eastAsia="Times New Roman"/>
        </w:rPr>
      </w:pPr>
      <w:r w:rsidRPr="00174113">
        <w:rPr>
          <w:rFonts w:eastAsia="Times New Roman"/>
        </w:rPr>
        <w:t>The Academic Faculty</w:t>
      </w:r>
    </w:p>
    <w:p w14:paraId="00F99375" w14:textId="77777777" w:rsidR="00AD58DD" w:rsidRPr="00174113" w:rsidRDefault="00AD58DD" w:rsidP="00AD58DD">
      <w:pPr>
        <w:tabs>
          <w:tab w:val="center" w:pos="4680"/>
          <w:tab w:val="left" w:pos="8284"/>
        </w:tabs>
        <w:spacing w:line="480" w:lineRule="auto"/>
        <w:contextualSpacing/>
        <w:mirrorIndents/>
        <w:jc w:val="center"/>
        <w:rPr>
          <w:rFonts w:eastAsia="Times New Roman"/>
          <w:b/>
          <w:bCs/>
        </w:rPr>
      </w:pPr>
      <w:r w:rsidRPr="00174113">
        <w:rPr>
          <w:rFonts w:eastAsia="Times New Roman"/>
        </w:rPr>
        <w:t>By</w:t>
      </w:r>
    </w:p>
    <w:p w14:paraId="019A97BF" w14:textId="77777777" w:rsidR="00AD58DD" w:rsidRPr="00174113" w:rsidRDefault="00AD58DD" w:rsidP="00AD58DD">
      <w:pPr>
        <w:spacing w:line="480" w:lineRule="auto"/>
        <w:contextualSpacing/>
        <w:mirrorIndents/>
        <w:jc w:val="center"/>
        <w:rPr>
          <w:rFonts w:eastAsia="Times New Roman"/>
          <w:lang w:bidi="ar-DZ"/>
        </w:rPr>
      </w:pPr>
      <w:r w:rsidRPr="00174113">
        <w:rPr>
          <w:rFonts w:eastAsia="Times New Roman"/>
          <w:lang w:bidi="ar-DZ"/>
        </w:rPr>
        <w:t>Dana Abdulla Saeed</w:t>
      </w:r>
      <w:r>
        <w:rPr>
          <w:rFonts w:eastAsia="Times New Roman"/>
          <w:lang w:bidi="ar-DZ"/>
        </w:rPr>
        <w:t xml:space="preserve"> </w:t>
      </w:r>
      <w:r w:rsidRPr="00174113">
        <w:rPr>
          <w:rFonts w:eastAsia="Times New Roman"/>
          <w:lang w:bidi="ar-DZ"/>
        </w:rPr>
        <w:t>Rashed</w:t>
      </w:r>
      <w:r>
        <w:rPr>
          <w:rFonts w:eastAsia="Times New Roman"/>
          <w:lang w:bidi="ar-DZ"/>
        </w:rPr>
        <w:t xml:space="preserve"> </w:t>
      </w:r>
      <w:r w:rsidRPr="00174113">
        <w:rPr>
          <w:rFonts w:eastAsia="Times New Roman"/>
          <w:lang w:bidi="ar-DZ"/>
        </w:rPr>
        <w:t>Alrahbi</w:t>
      </w:r>
    </w:p>
    <w:p w14:paraId="22BC1C42" w14:textId="77777777" w:rsidR="00AD58DD" w:rsidRPr="00174113" w:rsidRDefault="00AD58DD" w:rsidP="00AD58DD">
      <w:pPr>
        <w:spacing w:line="480" w:lineRule="auto"/>
        <w:contextualSpacing/>
        <w:mirrorIndents/>
        <w:jc w:val="center"/>
        <w:rPr>
          <w:rFonts w:eastAsia="Times New Roman"/>
          <w:lang w:bidi="ar-DZ"/>
        </w:rPr>
      </w:pPr>
    </w:p>
    <w:p w14:paraId="2594D2DA" w14:textId="77777777" w:rsidR="00AD58DD" w:rsidRPr="00174113" w:rsidRDefault="00AD58DD" w:rsidP="00AD58DD">
      <w:pPr>
        <w:spacing w:line="480" w:lineRule="auto"/>
        <w:contextualSpacing/>
        <w:mirrorIndents/>
        <w:jc w:val="center"/>
        <w:rPr>
          <w:rFonts w:eastAsia="Times New Roman"/>
          <w:lang w:bidi="ar-DZ"/>
        </w:rPr>
      </w:pPr>
      <w:r w:rsidRPr="00174113">
        <w:rPr>
          <w:rFonts w:eastAsia="Times New Roman"/>
          <w:lang w:bidi="ar-DZ"/>
        </w:rPr>
        <w:t>In Partial Fulfillment</w:t>
      </w:r>
    </w:p>
    <w:p w14:paraId="5969A93B" w14:textId="77777777" w:rsidR="00AD58DD" w:rsidRPr="00174113" w:rsidRDefault="00AD58DD" w:rsidP="00AD58DD">
      <w:pPr>
        <w:spacing w:line="480" w:lineRule="auto"/>
        <w:contextualSpacing/>
        <w:mirrorIndents/>
        <w:jc w:val="center"/>
        <w:rPr>
          <w:rFonts w:eastAsia="Times New Roman"/>
          <w:lang w:bidi="ar-DZ"/>
        </w:rPr>
      </w:pPr>
      <w:r w:rsidRPr="00174113">
        <w:rPr>
          <w:rFonts w:eastAsia="Times New Roman"/>
          <w:lang w:bidi="ar-DZ"/>
        </w:rPr>
        <w:t>of the Requirement for the Degree of</w:t>
      </w:r>
    </w:p>
    <w:p w14:paraId="458E2F30" w14:textId="77777777" w:rsidR="00AD58DD" w:rsidRPr="00174113" w:rsidRDefault="00AD58DD" w:rsidP="00AD58DD">
      <w:pPr>
        <w:spacing w:line="480" w:lineRule="auto"/>
        <w:contextualSpacing/>
        <w:mirrorIndents/>
        <w:jc w:val="center"/>
        <w:rPr>
          <w:rFonts w:eastAsia="Times New Roman"/>
          <w:lang w:bidi="ar-DZ"/>
        </w:rPr>
      </w:pPr>
      <w:r w:rsidRPr="00174113">
        <w:rPr>
          <w:rFonts w:eastAsia="Times New Roman"/>
          <w:lang w:bidi="ar-DZ"/>
        </w:rPr>
        <w:t>Doctor of Business Administration</w:t>
      </w:r>
    </w:p>
    <w:p w14:paraId="7AB5120F" w14:textId="77777777" w:rsidR="00AD58DD" w:rsidRPr="00174113" w:rsidRDefault="00AD58DD" w:rsidP="00AD58DD">
      <w:pPr>
        <w:spacing w:line="480" w:lineRule="auto"/>
        <w:contextualSpacing/>
        <w:mirrorIndents/>
        <w:jc w:val="center"/>
        <w:rPr>
          <w:rFonts w:eastAsia="Times New Roman"/>
          <w:lang w:bidi="ar-DZ"/>
        </w:rPr>
      </w:pPr>
      <w:r w:rsidRPr="00174113">
        <w:rPr>
          <w:rFonts w:eastAsia="Times New Roman"/>
          <w:lang w:bidi="ar-DZ"/>
        </w:rPr>
        <w:t>Abu Dhabi University, UAE</w:t>
      </w:r>
    </w:p>
    <w:p w14:paraId="0F82D08C" w14:textId="77777777" w:rsidR="00AD58DD" w:rsidRPr="00174113" w:rsidRDefault="00AD58DD" w:rsidP="00AD58DD">
      <w:pPr>
        <w:spacing w:line="480" w:lineRule="auto"/>
        <w:contextualSpacing/>
        <w:mirrorIndents/>
        <w:jc w:val="center"/>
        <w:rPr>
          <w:rFonts w:eastAsia="Times New Roman"/>
          <w:lang w:bidi="ar-DZ"/>
        </w:rPr>
      </w:pPr>
      <w:r w:rsidRPr="00174113">
        <w:rPr>
          <w:rFonts w:eastAsia="Times New Roman"/>
          <w:lang w:bidi="ar-DZ"/>
        </w:rPr>
        <w:t>College of Business</w:t>
      </w:r>
    </w:p>
    <w:p w14:paraId="28875185" w14:textId="77777777" w:rsidR="00AD58DD" w:rsidRPr="00174113" w:rsidRDefault="00AD58DD" w:rsidP="00AD58DD">
      <w:pPr>
        <w:spacing w:line="480" w:lineRule="auto"/>
        <w:contextualSpacing/>
        <w:mirrorIndents/>
        <w:jc w:val="center"/>
        <w:rPr>
          <w:rFonts w:eastAsia="Times New Roman"/>
          <w:lang w:bidi="ar-DZ"/>
        </w:rPr>
      </w:pPr>
      <w:r w:rsidRPr="00174113">
        <w:rPr>
          <w:rFonts w:eastAsia="Times New Roman"/>
          <w:lang w:bidi="ar-DZ"/>
        </w:rPr>
        <w:t>Mar .2019</w:t>
      </w:r>
    </w:p>
    <w:p w14:paraId="6A4F19CE" w14:textId="77777777" w:rsidR="00AD58DD" w:rsidRPr="00174113" w:rsidRDefault="00AD58DD" w:rsidP="00AD58DD">
      <w:pPr>
        <w:spacing w:line="480" w:lineRule="auto"/>
        <w:contextualSpacing/>
        <w:mirrorIndents/>
        <w:jc w:val="center"/>
        <w:rPr>
          <w:rFonts w:eastAsia="Times New Roman"/>
          <w:b/>
          <w:bCs/>
          <w:lang w:bidi="ar-DZ"/>
        </w:rPr>
      </w:pPr>
      <w:r w:rsidRPr="00174113">
        <w:rPr>
          <w:rFonts w:eastAsia="Times New Roman"/>
          <w:b/>
          <w:bCs/>
          <w:lang w:bidi="ar-DZ"/>
        </w:rPr>
        <w:t>© Copyright by</w:t>
      </w:r>
    </w:p>
    <w:p w14:paraId="657F05A8" w14:textId="19A81167" w:rsidR="00AD58DD" w:rsidRPr="00AD58DD" w:rsidRDefault="00AD58DD" w:rsidP="00AD58DD">
      <w:pPr>
        <w:spacing w:line="480" w:lineRule="auto"/>
        <w:contextualSpacing/>
        <w:mirrorIndents/>
        <w:jc w:val="center"/>
        <w:rPr>
          <w:rFonts w:eastAsia="Times New Roman"/>
          <w:lang w:bidi="ar-DZ"/>
        </w:rPr>
        <w:sectPr w:rsidR="00AD58DD" w:rsidRPr="00AD58DD" w:rsidSect="00594428">
          <w:footerReference w:type="default" r:id="rId9"/>
          <w:pgSz w:w="12240" w:h="15840" w:code="1"/>
          <w:pgMar w:top="2880" w:right="1440" w:bottom="1440" w:left="1440" w:header="720" w:footer="720" w:gutter="0"/>
          <w:pgNumType w:fmt="lowerRoman" w:start="1"/>
          <w:cols w:space="720"/>
          <w:titlePg/>
          <w:docGrid w:linePitch="360"/>
        </w:sectPr>
      </w:pPr>
      <w:r w:rsidRPr="00174113">
        <w:rPr>
          <w:rFonts w:eastAsia="Times New Roman"/>
          <w:lang w:bidi="ar-DZ"/>
        </w:rPr>
        <w:t>Dana Abdulla Alrahbi</w:t>
      </w:r>
    </w:p>
    <w:p w14:paraId="0BC1C68D" w14:textId="07938633" w:rsidR="00AD58DD" w:rsidRPr="00174113" w:rsidRDefault="00AD58DD" w:rsidP="00AD58DD">
      <w:pPr>
        <w:contextualSpacing/>
        <w:mirrorIndents/>
        <w:jc w:val="right"/>
        <w:rPr>
          <w:rFonts w:eastAsia="Times New Roman"/>
        </w:rPr>
      </w:pPr>
      <w:r>
        <w:rPr>
          <w:rFonts w:eastAsia="Times New Roman"/>
          <w:noProof/>
        </w:rPr>
        <w:lastRenderedPageBreak/>
        <w:drawing>
          <wp:inline distT="0" distB="0" distL="0" distR="0" wp14:anchorId="6F0E3376" wp14:editId="0ED9334D">
            <wp:extent cx="924400" cy="86677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y-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505" cy="882814"/>
                    </a:xfrm>
                    <a:prstGeom prst="rect">
                      <a:avLst/>
                    </a:prstGeom>
                  </pic:spPr>
                </pic:pic>
              </a:graphicData>
            </a:graphic>
          </wp:inline>
        </w:drawing>
      </w:r>
    </w:p>
    <w:p w14:paraId="23EAC7DF" w14:textId="77777777" w:rsidR="00AD58DD" w:rsidRPr="00174113" w:rsidRDefault="00AD58DD" w:rsidP="00AD58DD">
      <w:pPr>
        <w:widowControl w:val="0"/>
        <w:tabs>
          <w:tab w:val="right" w:pos="9720"/>
        </w:tabs>
        <w:autoSpaceDE w:val="0"/>
        <w:autoSpaceDN w:val="0"/>
        <w:adjustRightInd w:val="0"/>
        <w:contextualSpacing/>
        <w:mirrorIndents/>
        <w:jc w:val="right"/>
        <w:rPr>
          <w:rFonts w:eastAsia="Times New Roman"/>
        </w:rPr>
      </w:pPr>
      <w:r w:rsidRPr="00174113">
        <w:rPr>
          <w:rFonts w:eastAsia="Times New Roman"/>
        </w:rPr>
        <w:t>_________________________</w:t>
      </w:r>
    </w:p>
    <w:p w14:paraId="010275C8" w14:textId="77777777" w:rsidR="00AD58DD" w:rsidRPr="00174113" w:rsidRDefault="00AD58DD" w:rsidP="00AD58DD">
      <w:pPr>
        <w:widowControl w:val="0"/>
        <w:tabs>
          <w:tab w:val="right" w:pos="9720"/>
        </w:tabs>
        <w:autoSpaceDE w:val="0"/>
        <w:autoSpaceDN w:val="0"/>
        <w:adjustRightInd w:val="0"/>
        <w:spacing w:line="480" w:lineRule="auto"/>
        <w:contextualSpacing/>
        <w:mirrorIndents/>
        <w:jc w:val="right"/>
        <w:rPr>
          <w:rFonts w:eastAsia="Times New Roman"/>
          <w:i/>
          <w:iCs/>
        </w:rPr>
      </w:pPr>
      <w:r w:rsidRPr="00174113">
        <w:rPr>
          <w:rFonts w:eastAsia="Times New Roman"/>
        </w:rPr>
        <w:t>Dana Abdulla Saeed</w:t>
      </w:r>
      <w:r>
        <w:rPr>
          <w:rFonts w:eastAsia="Times New Roman"/>
        </w:rPr>
        <w:t xml:space="preserve"> </w:t>
      </w:r>
      <w:r w:rsidRPr="00174113">
        <w:rPr>
          <w:rFonts w:eastAsia="Times New Roman"/>
        </w:rPr>
        <w:t>Rashed</w:t>
      </w:r>
      <w:r>
        <w:rPr>
          <w:rFonts w:eastAsia="Times New Roman"/>
        </w:rPr>
        <w:t xml:space="preserve"> </w:t>
      </w:r>
      <w:r w:rsidRPr="00174113">
        <w:rPr>
          <w:rFonts w:eastAsia="Times New Roman"/>
        </w:rPr>
        <w:t>Alrahbi</w:t>
      </w:r>
    </w:p>
    <w:p w14:paraId="566D1CDF" w14:textId="77777777" w:rsidR="00AD58DD" w:rsidRPr="00174113" w:rsidRDefault="00AD58DD" w:rsidP="00AD58DD">
      <w:pPr>
        <w:widowControl w:val="0"/>
        <w:tabs>
          <w:tab w:val="right" w:pos="9720"/>
        </w:tabs>
        <w:autoSpaceDE w:val="0"/>
        <w:autoSpaceDN w:val="0"/>
        <w:adjustRightInd w:val="0"/>
        <w:spacing w:line="480" w:lineRule="auto"/>
        <w:contextualSpacing/>
        <w:mirrorIndents/>
        <w:jc w:val="right"/>
        <w:rPr>
          <w:rFonts w:eastAsia="Times New Roman"/>
          <w:b/>
          <w:bCs/>
        </w:rPr>
      </w:pPr>
      <w:r w:rsidRPr="00174113">
        <w:rPr>
          <w:rFonts w:eastAsia="Times New Roman"/>
          <w:b/>
          <w:bCs/>
        </w:rPr>
        <w:t>Approved:</w:t>
      </w:r>
    </w:p>
    <w:p w14:paraId="32F97F17" w14:textId="77777777" w:rsidR="00AD58DD" w:rsidRPr="00174113" w:rsidRDefault="00AD58DD" w:rsidP="00AD58DD">
      <w:pPr>
        <w:widowControl w:val="0"/>
        <w:tabs>
          <w:tab w:val="right" w:pos="9720"/>
        </w:tabs>
        <w:spacing w:line="480" w:lineRule="auto"/>
        <w:contextualSpacing/>
        <w:mirrorIndents/>
        <w:jc w:val="right"/>
        <w:rPr>
          <w:rFonts w:eastAsia="Times New Roman"/>
        </w:rPr>
      </w:pPr>
    </w:p>
    <w:p w14:paraId="288D5FC3" w14:textId="77777777" w:rsidR="00AD58DD" w:rsidRPr="00174113" w:rsidRDefault="00AD58DD" w:rsidP="00AD58DD">
      <w:pPr>
        <w:widowControl w:val="0"/>
        <w:tabs>
          <w:tab w:val="right" w:pos="9720"/>
        </w:tabs>
        <w:contextualSpacing/>
        <w:mirrorIndents/>
        <w:jc w:val="right"/>
        <w:rPr>
          <w:rFonts w:eastAsia="Times New Roman"/>
        </w:rPr>
      </w:pPr>
      <w:r w:rsidRPr="00174113">
        <w:rPr>
          <w:rFonts w:eastAsia="Times New Roman"/>
        </w:rPr>
        <w:t>_________________________</w:t>
      </w:r>
    </w:p>
    <w:p w14:paraId="529F7D7A" w14:textId="77777777" w:rsidR="00AD58DD" w:rsidRPr="00174113" w:rsidRDefault="00AD58DD" w:rsidP="00AD58DD">
      <w:pPr>
        <w:widowControl w:val="0"/>
        <w:tabs>
          <w:tab w:val="right" w:pos="9720"/>
        </w:tabs>
        <w:contextualSpacing/>
        <w:mirrorIndents/>
        <w:jc w:val="right"/>
        <w:rPr>
          <w:rFonts w:eastAsia="Times New Roman"/>
        </w:rPr>
      </w:pPr>
      <w:r w:rsidRPr="00174113">
        <w:rPr>
          <w:rFonts w:eastAsia="Times New Roman"/>
        </w:rPr>
        <w:t>Dr. Mehmood Khan, PhD</w:t>
      </w:r>
    </w:p>
    <w:p w14:paraId="4B9D8FA8" w14:textId="77777777" w:rsidR="00AD58DD" w:rsidRPr="00174113" w:rsidRDefault="00AD58DD" w:rsidP="00AD58DD">
      <w:pPr>
        <w:widowControl w:val="0"/>
        <w:tabs>
          <w:tab w:val="right" w:pos="8640"/>
        </w:tabs>
        <w:contextualSpacing/>
        <w:mirrorIndents/>
        <w:jc w:val="right"/>
        <w:rPr>
          <w:rFonts w:eastAsia="Times New Roman"/>
        </w:rPr>
      </w:pPr>
      <w:r w:rsidRPr="00174113">
        <w:rPr>
          <w:rFonts w:eastAsia="Times New Roman"/>
        </w:rPr>
        <w:t>Associate Professor, College of Business</w:t>
      </w:r>
    </w:p>
    <w:p w14:paraId="769CEDCE" w14:textId="77777777" w:rsidR="00AD58DD" w:rsidRPr="00174113" w:rsidRDefault="00AD58DD" w:rsidP="00AD58DD">
      <w:pPr>
        <w:widowControl w:val="0"/>
        <w:tabs>
          <w:tab w:val="right" w:pos="8640"/>
        </w:tabs>
        <w:contextualSpacing/>
        <w:mirrorIndents/>
        <w:jc w:val="right"/>
        <w:rPr>
          <w:rFonts w:eastAsia="Times New Roman"/>
        </w:rPr>
      </w:pPr>
      <w:r w:rsidRPr="00174113">
        <w:rPr>
          <w:rFonts w:eastAsia="Times New Roman"/>
        </w:rPr>
        <w:t>Abu Dhabi University</w:t>
      </w:r>
    </w:p>
    <w:p w14:paraId="7D5BE680" w14:textId="77777777" w:rsidR="00AD58DD" w:rsidRPr="00174113" w:rsidRDefault="00AD58DD" w:rsidP="00AD58DD">
      <w:pPr>
        <w:widowControl w:val="0"/>
        <w:tabs>
          <w:tab w:val="right" w:pos="8640"/>
        </w:tabs>
        <w:contextualSpacing/>
        <w:mirrorIndents/>
        <w:jc w:val="right"/>
        <w:rPr>
          <w:rFonts w:eastAsia="Times New Roman"/>
        </w:rPr>
      </w:pPr>
      <w:r w:rsidRPr="00174113">
        <w:rPr>
          <w:rFonts w:eastAsia="Times New Roman"/>
        </w:rPr>
        <w:t>Committee Chair</w:t>
      </w:r>
    </w:p>
    <w:p w14:paraId="49A6C7A4" w14:textId="77777777" w:rsidR="00AD58DD" w:rsidRPr="00174113" w:rsidRDefault="00AD58DD" w:rsidP="00AD58DD">
      <w:pPr>
        <w:widowControl w:val="0"/>
        <w:tabs>
          <w:tab w:val="right" w:pos="9720"/>
        </w:tabs>
        <w:spacing w:line="480" w:lineRule="auto"/>
        <w:contextualSpacing/>
        <w:mirrorIndents/>
        <w:jc w:val="right"/>
        <w:rPr>
          <w:rFonts w:eastAsia="Times New Roman"/>
        </w:rPr>
      </w:pPr>
    </w:p>
    <w:p w14:paraId="1E45C442" w14:textId="77777777" w:rsidR="00AD58DD" w:rsidRPr="00174113" w:rsidRDefault="00AD58DD" w:rsidP="00AD58DD">
      <w:pPr>
        <w:widowControl w:val="0"/>
        <w:tabs>
          <w:tab w:val="right" w:pos="9720"/>
        </w:tabs>
        <w:autoSpaceDE w:val="0"/>
        <w:autoSpaceDN w:val="0"/>
        <w:adjustRightInd w:val="0"/>
        <w:spacing w:line="480" w:lineRule="auto"/>
        <w:contextualSpacing/>
        <w:mirrorIndents/>
        <w:jc w:val="right"/>
        <w:rPr>
          <w:rFonts w:eastAsia="Times New Roman"/>
          <w:b/>
          <w:bCs/>
        </w:rPr>
      </w:pPr>
      <w:r w:rsidRPr="00174113">
        <w:rPr>
          <w:rFonts w:eastAsia="Times New Roman"/>
          <w:b/>
          <w:bCs/>
        </w:rPr>
        <w:t>Approved:</w:t>
      </w:r>
    </w:p>
    <w:p w14:paraId="7586DE1B" w14:textId="77777777" w:rsidR="00AD58DD" w:rsidRPr="00174113" w:rsidRDefault="00AD58DD" w:rsidP="00AD58DD">
      <w:pPr>
        <w:widowControl w:val="0"/>
        <w:tabs>
          <w:tab w:val="right" w:pos="9720"/>
        </w:tabs>
        <w:spacing w:line="480" w:lineRule="auto"/>
        <w:contextualSpacing/>
        <w:mirrorIndents/>
        <w:jc w:val="right"/>
        <w:rPr>
          <w:rFonts w:eastAsia="Times New Roman"/>
        </w:rPr>
      </w:pPr>
    </w:p>
    <w:p w14:paraId="5203B29C" w14:textId="77777777" w:rsidR="00AD58DD" w:rsidRPr="00174113" w:rsidRDefault="00AD58DD" w:rsidP="00AD58DD">
      <w:pPr>
        <w:widowControl w:val="0"/>
        <w:tabs>
          <w:tab w:val="right" w:pos="9720"/>
        </w:tabs>
        <w:contextualSpacing/>
        <w:mirrorIndents/>
        <w:jc w:val="right"/>
        <w:rPr>
          <w:rFonts w:eastAsia="Times New Roman"/>
        </w:rPr>
      </w:pPr>
      <w:r w:rsidRPr="00174113">
        <w:rPr>
          <w:rFonts w:eastAsia="Times New Roman"/>
        </w:rPr>
        <w:t>_________________________</w:t>
      </w:r>
    </w:p>
    <w:p w14:paraId="72E7EDCD" w14:textId="77777777" w:rsidR="00AD58DD" w:rsidRPr="00174113" w:rsidRDefault="00AD58DD" w:rsidP="00AD58DD">
      <w:pPr>
        <w:widowControl w:val="0"/>
        <w:tabs>
          <w:tab w:val="right" w:pos="9720"/>
        </w:tabs>
        <w:contextualSpacing/>
        <w:mirrorIndents/>
        <w:jc w:val="right"/>
        <w:rPr>
          <w:rFonts w:eastAsia="Times New Roman"/>
        </w:rPr>
      </w:pPr>
      <w:r w:rsidRPr="00174113">
        <w:rPr>
          <w:rFonts w:eastAsia="Times New Roman"/>
        </w:rPr>
        <w:t>Dr. Matloub</w:t>
      </w:r>
      <w:r>
        <w:rPr>
          <w:rFonts w:eastAsia="Times New Roman"/>
        </w:rPr>
        <w:t xml:space="preserve"> </w:t>
      </w:r>
      <w:r w:rsidRPr="00174113">
        <w:rPr>
          <w:rFonts w:eastAsia="Times New Roman"/>
        </w:rPr>
        <w:t>Hussain, PhD</w:t>
      </w:r>
    </w:p>
    <w:p w14:paraId="469AB73A" w14:textId="77777777" w:rsidR="00AD58DD" w:rsidRPr="00174113" w:rsidRDefault="00AD58DD" w:rsidP="00AD58DD">
      <w:pPr>
        <w:widowControl w:val="0"/>
        <w:tabs>
          <w:tab w:val="right" w:pos="8640"/>
        </w:tabs>
        <w:contextualSpacing/>
        <w:mirrorIndents/>
        <w:jc w:val="right"/>
        <w:rPr>
          <w:rFonts w:eastAsia="Times New Roman"/>
        </w:rPr>
      </w:pPr>
      <w:r w:rsidRPr="00174113">
        <w:rPr>
          <w:rFonts w:eastAsia="Times New Roman"/>
        </w:rPr>
        <w:t>Associate Professor, College of Business</w:t>
      </w:r>
    </w:p>
    <w:p w14:paraId="3873F952" w14:textId="77777777" w:rsidR="00AD58DD" w:rsidRPr="00174113" w:rsidRDefault="00AD58DD" w:rsidP="00AD58DD">
      <w:pPr>
        <w:widowControl w:val="0"/>
        <w:tabs>
          <w:tab w:val="right" w:pos="8640"/>
        </w:tabs>
        <w:contextualSpacing/>
        <w:mirrorIndents/>
        <w:jc w:val="right"/>
        <w:rPr>
          <w:rFonts w:eastAsia="Times New Roman"/>
        </w:rPr>
      </w:pPr>
      <w:r w:rsidRPr="00174113">
        <w:rPr>
          <w:rFonts w:eastAsia="Times New Roman"/>
        </w:rPr>
        <w:t>Abu Dhabi University</w:t>
      </w:r>
    </w:p>
    <w:p w14:paraId="5430A30B" w14:textId="77777777" w:rsidR="00AD58DD" w:rsidRPr="00174113" w:rsidRDefault="00AD58DD" w:rsidP="00AD58DD">
      <w:pPr>
        <w:widowControl w:val="0"/>
        <w:tabs>
          <w:tab w:val="right" w:pos="8640"/>
        </w:tabs>
        <w:contextualSpacing/>
        <w:mirrorIndents/>
        <w:jc w:val="right"/>
        <w:rPr>
          <w:rFonts w:eastAsia="Times New Roman"/>
        </w:rPr>
      </w:pPr>
      <w:r w:rsidRPr="00174113">
        <w:rPr>
          <w:rFonts w:eastAsia="Times New Roman"/>
        </w:rPr>
        <w:t>Committee Member</w:t>
      </w:r>
    </w:p>
    <w:p w14:paraId="68EBB82F" w14:textId="77777777" w:rsidR="00AD58DD" w:rsidRPr="00174113" w:rsidRDefault="00AD58DD" w:rsidP="00AD58DD">
      <w:pPr>
        <w:widowControl w:val="0"/>
        <w:tabs>
          <w:tab w:val="right" w:pos="9720"/>
        </w:tabs>
        <w:autoSpaceDE w:val="0"/>
        <w:autoSpaceDN w:val="0"/>
        <w:adjustRightInd w:val="0"/>
        <w:spacing w:line="480" w:lineRule="auto"/>
        <w:contextualSpacing/>
        <w:mirrorIndents/>
        <w:jc w:val="right"/>
        <w:rPr>
          <w:rFonts w:eastAsia="Times New Roman"/>
          <w:b/>
          <w:bCs/>
        </w:rPr>
      </w:pPr>
      <w:r w:rsidRPr="00174113">
        <w:rPr>
          <w:rFonts w:eastAsia="Times New Roman"/>
          <w:b/>
          <w:bCs/>
        </w:rPr>
        <w:br/>
        <w:t>Approved:</w:t>
      </w:r>
    </w:p>
    <w:p w14:paraId="3605BF16" w14:textId="77777777" w:rsidR="00AD58DD" w:rsidRPr="00174113" w:rsidRDefault="00AD58DD" w:rsidP="00AD58DD">
      <w:pPr>
        <w:widowControl w:val="0"/>
        <w:tabs>
          <w:tab w:val="right" w:pos="8640"/>
        </w:tabs>
        <w:autoSpaceDE w:val="0"/>
        <w:autoSpaceDN w:val="0"/>
        <w:adjustRightInd w:val="0"/>
        <w:spacing w:line="480" w:lineRule="auto"/>
        <w:contextualSpacing/>
        <w:mirrorIndents/>
        <w:jc w:val="right"/>
        <w:rPr>
          <w:rFonts w:eastAsia="Times New Roman"/>
        </w:rPr>
      </w:pPr>
    </w:p>
    <w:p w14:paraId="15808AEF" w14:textId="77777777" w:rsidR="00AD58DD" w:rsidRPr="00174113" w:rsidRDefault="00AD58DD" w:rsidP="00AD58DD">
      <w:pPr>
        <w:widowControl w:val="0"/>
        <w:autoSpaceDE w:val="0"/>
        <w:autoSpaceDN w:val="0"/>
        <w:adjustRightInd w:val="0"/>
        <w:contextualSpacing/>
        <w:mirrorIndents/>
        <w:jc w:val="right"/>
        <w:rPr>
          <w:rFonts w:eastAsia="Times New Roman"/>
        </w:rPr>
      </w:pPr>
      <w:r w:rsidRPr="00174113">
        <w:rPr>
          <w:rFonts w:eastAsia="Times New Roman"/>
        </w:rPr>
        <w:t>_________________________</w:t>
      </w:r>
    </w:p>
    <w:p w14:paraId="7F5EA16D" w14:textId="62469F0C" w:rsidR="00AD58DD" w:rsidRPr="00174113" w:rsidRDefault="00AD58DD" w:rsidP="00C76BE3">
      <w:pPr>
        <w:widowControl w:val="0"/>
        <w:autoSpaceDE w:val="0"/>
        <w:autoSpaceDN w:val="0"/>
        <w:adjustRightInd w:val="0"/>
        <w:contextualSpacing/>
        <w:mirrorIndents/>
        <w:jc w:val="right"/>
        <w:rPr>
          <w:rFonts w:eastAsia="Times New Roman"/>
        </w:rPr>
      </w:pPr>
      <w:r w:rsidRPr="00174113">
        <w:rPr>
          <w:rFonts w:eastAsia="Times New Roman"/>
        </w:rPr>
        <w:t xml:space="preserve">Dr. </w:t>
      </w:r>
      <w:r w:rsidR="00C76BE3">
        <w:rPr>
          <w:rFonts w:eastAsia="Times New Roman"/>
        </w:rPr>
        <w:t>Christo</w:t>
      </w:r>
      <w:r w:rsidR="00866B4B">
        <w:rPr>
          <w:rFonts w:eastAsia="Times New Roman"/>
        </w:rPr>
        <w:t>s</w:t>
      </w:r>
      <w:r w:rsidR="00C76BE3">
        <w:rPr>
          <w:rFonts w:eastAsia="Times New Roman"/>
        </w:rPr>
        <w:t xml:space="preserve"> Pitelis</w:t>
      </w:r>
    </w:p>
    <w:p w14:paraId="6C63D20C" w14:textId="77777777" w:rsidR="00AD58DD" w:rsidRPr="00174113" w:rsidRDefault="00AD58DD" w:rsidP="00AD58DD">
      <w:pPr>
        <w:widowControl w:val="0"/>
        <w:autoSpaceDE w:val="0"/>
        <w:autoSpaceDN w:val="0"/>
        <w:adjustRightInd w:val="0"/>
        <w:contextualSpacing/>
        <w:mirrorIndents/>
        <w:jc w:val="right"/>
        <w:rPr>
          <w:rFonts w:eastAsia="Times New Roman"/>
        </w:rPr>
      </w:pPr>
      <w:r w:rsidRPr="00174113">
        <w:rPr>
          <w:rFonts w:eastAsia="Times New Roman"/>
        </w:rPr>
        <w:t>Dean, College of Business Administration</w:t>
      </w:r>
    </w:p>
    <w:p w14:paraId="4C7E1583" w14:textId="77777777" w:rsidR="00AD58DD" w:rsidRPr="00174113" w:rsidRDefault="00AD58DD" w:rsidP="00AD58DD">
      <w:pPr>
        <w:widowControl w:val="0"/>
        <w:autoSpaceDE w:val="0"/>
        <w:autoSpaceDN w:val="0"/>
        <w:adjustRightInd w:val="0"/>
        <w:contextualSpacing/>
        <w:mirrorIndents/>
        <w:jc w:val="right"/>
        <w:rPr>
          <w:rFonts w:eastAsia="Times New Roman"/>
        </w:rPr>
      </w:pPr>
      <w:r w:rsidRPr="00174113">
        <w:rPr>
          <w:rFonts w:eastAsia="Times New Roman"/>
        </w:rPr>
        <w:t>Abu Dhabi University</w:t>
      </w:r>
    </w:p>
    <w:p w14:paraId="1C0C25DF" w14:textId="77777777" w:rsidR="00AD58DD" w:rsidRPr="00174113" w:rsidRDefault="00AD58DD" w:rsidP="00AD58DD">
      <w:pPr>
        <w:widowControl w:val="0"/>
        <w:autoSpaceDE w:val="0"/>
        <w:autoSpaceDN w:val="0"/>
        <w:adjustRightInd w:val="0"/>
        <w:contextualSpacing/>
        <w:mirrorIndents/>
        <w:jc w:val="right"/>
        <w:rPr>
          <w:rFonts w:eastAsia="Times New Roman"/>
        </w:rPr>
      </w:pPr>
    </w:p>
    <w:p w14:paraId="1915A957" w14:textId="77777777" w:rsidR="00AD58DD" w:rsidRPr="00174113" w:rsidRDefault="00AD58DD" w:rsidP="00AD58DD">
      <w:pPr>
        <w:widowControl w:val="0"/>
        <w:tabs>
          <w:tab w:val="right" w:pos="9720"/>
        </w:tabs>
        <w:autoSpaceDE w:val="0"/>
        <w:autoSpaceDN w:val="0"/>
        <w:adjustRightInd w:val="0"/>
        <w:spacing w:line="480" w:lineRule="auto"/>
        <w:contextualSpacing/>
        <w:mirrorIndents/>
        <w:jc w:val="right"/>
        <w:rPr>
          <w:rFonts w:eastAsia="Times New Roman"/>
          <w:b/>
          <w:bCs/>
        </w:rPr>
      </w:pPr>
      <w:r w:rsidRPr="00174113">
        <w:rPr>
          <w:rFonts w:eastAsia="Times New Roman"/>
          <w:b/>
          <w:bCs/>
        </w:rPr>
        <w:t>Approved:</w:t>
      </w:r>
    </w:p>
    <w:p w14:paraId="36AC5190" w14:textId="77777777" w:rsidR="00AD58DD" w:rsidRDefault="00AD58DD">
      <w:pPr>
        <w:rPr>
          <w:rFonts w:eastAsiaTheme="majorEastAsia" w:cstheme="majorBidi"/>
          <w:b/>
          <w:bCs/>
          <w:caps/>
          <w:sz w:val="32"/>
          <w:szCs w:val="32"/>
        </w:rPr>
      </w:pPr>
    </w:p>
    <w:p w14:paraId="7D516412" w14:textId="015F0E18" w:rsidR="00557703" w:rsidRPr="00174113" w:rsidRDefault="00557703" w:rsidP="00447678">
      <w:pPr>
        <w:pStyle w:val="ChapterTitle"/>
        <w:rPr>
          <w:i/>
        </w:rPr>
      </w:pPr>
      <w:bookmarkStart w:id="4" w:name="_Toc24447749"/>
      <w:r w:rsidRPr="00174113">
        <w:t xml:space="preserve">Student </w:t>
      </w:r>
      <w:r w:rsidR="009326F2" w:rsidRPr="00174113">
        <w:t>Declaration</w:t>
      </w:r>
      <w:bookmarkEnd w:id="4"/>
    </w:p>
    <w:p w14:paraId="7D516413" w14:textId="77777777" w:rsidR="00557703" w:rsidRPr="00174113" w:rsidRDefault="00557703" w:rsidP="00557703"/>
    <w:p w14:paraId="7D516414" w14:textId="6EC1750A" w:rsidR="00557703" w:rsidRPr="00174113" w:rsidRDefault="00557703" w:rsidP="007966EC">
      <w:pPr>
        <w:pStyle w:val="APAParagraph"/>
      </w:pPr>
      <w:r w:rsidRPr="00174113">
        <w:t>“I, Dana Abdulla Saeed</w:t>
      </w:r>
      <w:r w:rsidR="00C0447D">
        <w:t xml:space="preserve"> </w:t>
      </w:r>
      <w:r w:rsidRPr="00174113">
        <w:t>Rashed</w:t>
      </w:r>
      <w:r w:rsidR="00C0447D">
        <w:t xml:space="preserve"> </w:t>
      </w:r>
      <w:r w:rsidRPr="00174113">
        <w:t>Alrahbi declare that the DBA Dissertation entitled ‘</w:t>
      </w:r>
      <w:r w:rsidR="00573DD1" w:rsidRPr="00573DD1">
        <w:t>Motivators and Barriers impacting the Healthcare Information Technology Adoption</w:t>
      </w:r>
      <w:r w:rsidRPr="00174113">
        <w:t xml:space="preserve">’ is not less than 23,000 words in length, excluding appendices, bibliography, and references. It contains no material which has been submitted in the past, in whole or in part, for the award of any other academic degree. Except for where </w:t>
      </w:r>
      <w:r w:rsidRPr="00A51C39">
        <w:rPr>
          <w:i/>
          <w:iCs/>
        </w:rPr>
        <w:t>otherwise</w:t>
      </w:r>
      <w:r w:rsidRPr="00174113">
        <w:t xml:space="preserve"> indicated, it is my own work.”</w:t>
      </w:r>
    </w:p>
    <w:p w14:paraId="7D516415" w14:textId="77777777" w:rsidR="00557703" w:rsidRPr="00174113" w:rsidRDefault="00557703" w:rsidP="009C1EAB">
      <w:pPr>
        <w:pStyle w:val="APAParagraph"/>
      </w:pPr>
    </w:p>
    <w:p w14:paraId="7D516416" w14:textId="77777777" w:rsidR="00557703" w:rsidRPr="00174113" w:rsidRDefault="00557703" w:rsidP="009C1EAB">
      <w:pPr>
        <w:pStyle w:val="APAParagraph"/>
      </w:pPr>
    </w:p>
    <w:p w14:paraId="7D516417" w14:textId="3FD7300D" w:rsidR="00557703" w:rsidRPr="00174113" w:rsidRDefault="00594428" w:rsidP="00594428">
      <w:pPr>
        <w:pStyle w:val="APAParagraph"/>
        <w:ind w:firstLine="360"/>
      </w:pPr>
      <w:r>
        <w:rPr>
          <w:rFonts w:eastAsia="Times New Roman"/>
          <w:noProof/>
        </w:rPr>
        <w:drawing>
          <wp:inline distT="0" distB="0" distL="0" distR="0" wp14:anchorId="3D5B3D9C" wp14:editId="7057702C">
            <wp:extent cx="739896" cy="693773"/>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y-signat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672" cy="709503"/>
                    </a:xfrm>
                    <a:prstGeom prst="rect">
                      <a:avLst/>
                    </a:prstGeom>
                  </pic:spPr>
                </pic:pic>
              </a:graphicData>
            </a:graphic>
          </wp:inline>
        </w:drawing>
      </w:r>
    </w:p>
    <w:p w14:paraId="7D516419" w14:textId="6026814F" w:rsidR="00557703" w:rsidRPr="00174113" w:rsidRDefault="00557703" w:rsidP="00594428">
      <w:pPr>
        <w:pStyle w:val="APAParagraph"/>
        <w:ind w:right="630" w:firstLine="540"/>
      </w:pPr>
      <w:r w:rsidRPr="00174113">
        <w:t>Signature</w:t>
      </w:r>
      <w:r w:rsidRPr="00174113">
        <w:tab/>
      </w:r>
      <w:r w:rsidRPr="00174113">
        <w:tab/>
      </w:r>
      <w:r w:rsidRPr="00174113">
        <w:tab/>
      </w:r>
      <w:r w:rsidRPr="00174113">
        <w:tab/>
      </w:r>
      <w:r w:rsidRPr="00174113">
        <w:tab/>
      </w:r>
      <w:r w:rsidR="00594428">
        <w:tab/>
        <w:t xml:space="preserve">   </w:t>
      </w:r>
      <w:r w:rsidRPr="00174113">
        <w:tab/>
      </w:r>
      <w:r w:rsidR="00594428">
        <w:t xml:space="preserve"> </w:t>
      </w:r>
      <w:r w:rsidRPr="00174113">
        <w:t>Date</w:t>
      </w:r>
    </w:p>
    <w:p w14:paraId="7D51641A" w14:textId="09D89DDF" w:rsidR="00557703" w:rsidRPr="00174113" w:rsidRDefault="00557703" w:rsidP="00594428">
      <w:pPr>
        <w:pStyle w:val="APAParagraph"/>
        <w:ind w:firstLine="450"/>
      </w:pPr>
      <w:r w:rsidRPr="00174113">
        <w:tab/>
      </w:r>
      <w:r w:rsidRPr="00174113">
        <w:tab/>
      </w:r>
      <w:r w:rsidRPr="00174113">
        <w:tab/>
      </w:r>
      <w:r w:rsidRPr="00174113">
        <w:tab/>
      </w:r>
      <w:r w:rsidRPr="00174113">
        <w:tab/>
      </w:r>
      <w:r w:rsidRPr="00174113">
        <w:tab/>
      </w:r>
      <w:r w:rsidR="00594428">
        <w:t xml:space="preserve"> </w:t>
      </w:r>
      <w:r w:rsidR="00594428">
        <w:tab/>
      </w:r>
      <w:r w:rsidR="00594428">
        <w:tab/>
        <w:t xml:space="preserve">   </w:t>
      </w:r>
      <w:r w:rsidR="007861F4">
        <w:t>26</w:t>
      </w:r>
      <w:r w:rsidR="008862DA">
        <w:t xml:space="preserve"> </w:t>
      </w:r>
      <w:r w:rsidR="007861F4">
        <w:t>March</w:t>
      </w:r>
      <w:r w:rsidRPr="00174113">
        <w:t xml:space="preserve"> 2019 </w:t>
      </w:r>
    </w:p>
    <w:p w14:paraId="7D51641B" w14:textId="77777777" w:rsidR="00557703" w:rsidRPr="00174113" w:rsidRDefault="00557703" w:rsidP="009C1EAB">
      <w:pPr>
        <w:pStyle w:val="APAParagraph"/>
      </w:pPr>
      <w:r w:rsidRPr="00174113">
        <w:br/>
      </w:r>
    </w:p>
    <w:p w14:paraId="7D51641D" w14:textId="77777777" w:rsidR="00557703" w:rsidRPr="00174113" w:rsidRDefault="00557703" w:rsidP="00594428">
      <w:pPr>
        <w:pStyle w:val="ChapterTitle"/>
        <w:rPr>
          <w:i/>
          <w:lang w:bidi="ar-DZ"/>
        </w:rPr>
      </w:pPr>
      <w:bookmarkStart w:id="5" w:name="_Toc24447750"/>
      <w:r w:rsidRPr="00174113">
        <w:lastRenderedPageBreak/>
        <w:t xml:space="preserve">Table </w:t>
      </w:r>
      <w:r w:rsidR="000E380B" w:rsidRPr="00790070">
        <w:t xml:space="preserve">of </w:t>
      </w:r>
      <w:r w:rsidRPr="00174113">
        <w:t>Content</w:t>
      </w:r>
      <w:r w:rsidR="00170FC8" w:rsidRPr="00174113">
        <w:t>s</w:t>
      </w:r>
      <w:bookmarkEnd w:id="5"/>
    </w:p>
    <w:sdt>
      <w:sdtPr>
        <w:rPr>
          <w:rFonts w:ascii="Times New Roman" w:eastAsiaTheme="minorHAnsi" w:hAnsi="Times New Roman" w:cs="Times New Roman"/>
          <w:b w:val="0"/>
          <w:bCs w:val="0"/>
          <w:color w:val="auto"/>
          <w:sz w:val="24"/>
          <w:szCs w:val="24"/>
          <w:lang w:eastAsia="en-US"/>
        </w:rPr>
        <w:id w:val="-1338606488"/>
        <w:docPartObj>
          <w:docPartGallery w:val="Table of Contents"/>
          <w:docPartUnique/>
        </w:docPartObj>
      </w:sdtPr>
      <w:sdtEndPr/>
      <w:sdtContent>
        <w:p w14:paraId="7D51641E" w14:textId="77777777" w:rsidR="00F32122" w:rsidRPr="00C0447D" w:rsidRDefault="00F32122" w:rsidP="00551162">
          <w:pPr>
            <w:pStyle w:val="TOCHeading"/>
            <w:ind w:right="90"/>
            <w:rPr>
              <w:rFonts w:ascii="Times New Roman" w:hAnsi="Times New Roman" w:cs="Times New Roman"/>
              <w:sz w:val="24"/>
              <w:szCs w:val="24"/>
            </w:rPr>
          </w:pPr>
        </w:p>
        <w:p w14:paraId="2D392130" w14:textId="77777777" w:rsidR="00382A8C" w:rsidRDefault="002473BE">
          <w:pPr>
            <w:pStyle w:val="TOC1"/>
            <w:rPr>
              <w:rFonts w:asciiTheme="minorHAnsi" w:hAnsiTheme="minorHAnsi" w:cstheme="minorBidi"/>
              <w:noProof/>
              <w:sz w:val="22"/>
              <w:lang w:eastAsia="en-US"/>
            </w:rPr>
          </w:pPr>
          <w:r w:rsidRPr="005E7A62">
            <w:fldChar w:fldCharType="begin"/>
          </w:r>
          <w:r w:rsidR="00F32122" w:rsidRPr="009E2F04">
            <w:instrText xml:space="preserve"> TOC \o "1-3" \h \z \u </w:instrText>
          </w:r>
          <w:r w:rsidRPr="005E7A62">
            <w:fldChar w:fldCharType="separate"/>
          </w:r>
          <w:hyperlink w:anchor="_Toc24447749" w:history="1">
            <w:r w:rsidR="00382A8C" w:rsidRPr="00977E77">
              <w:rPr>
                <w:rStyle w:val="Hyperlink"/>
                <w:noProof/>
              </w:rPr>
              <w:t>Student Declaration</w:t>
            </w:r>
            <w:r w:rsidR="00382A8C">
              <w:rPr>
                <w:noProof/>
                <w:webHidden/>
              </w:rPr>
              <w:tab/>
            </w:r>
            <w:r w:rsidR="00382A8C">
              <w:rPr>
                <w:noProof/>
                <w:webHidden/>
              </w:rPr>
              <w:fldChar w:fldCharType="begin"/>
            </w:r>
            <w:r w:rsidR="00382A8C">
              <w:rPr>
                <w:noProof/>
                <w:webHidden/>
              </w:rPr>
              <w:instrText xml:space="preserve"> PAGEREF _Toc24447749 \h </w:instrText>
            </w:r>
            <w:r w:rsidR="00382A8C">
              <w:rPr>
                <w:noProof/>
                <w:webHidden/>
              </w:rPr>
            </w:r>
            <w:r w:rsidR="00382A8C">
              <w:rPr>
                <w:noProof/>
                <w:webHidden/>
              </w:rPr>
              <w:fldChar w:fldCharType="separate"/>
            </w:r>
            <w:r w:rsidR="00382A8C">
              <w:rPr>
                <w:noProof/>
                <w:webHidden/>
              </w:rPr>
              <w:t>ii</w:t>
            </w:r>
            <w:r w:rsidR="00382A8C">
              <w:rPr>
                <w:noProof/>
                <w:webHidden/>
              </w:rPr>
              <w:fldChar w:fldCharType="end"/>
            </w:r>
          </w:hyperlink>
        </w:p>
        <w:p w14:paraId="03BAF9E5" w14:textId="77777777" w:rsidR="00382A8C" w:rsidRDefault="00F771A1">
          <w:pPr>
            <w:pStyle w:val="TOC1"/>
            <w:rPr>
              <w:rFonts w:asciiTheme="minorHAnsi" w:hAnsiTheme="minorHAnsi" w:cstheme="minorBidi"/>
              <w:noProof/>
              <w:sz w:val="22"/>
              <w:lang w:eastAsia="en-US"/>
            </w:rPr>
          </w:pPr>
          <w:hyperlink w:anchor="_Toc24447750" w:history="1">
            <w:r w:rsidR="00382A8C" w:rsidRPr="00977E77">
              <w:rPr>
                <w:rStyle w:val="Hyperlink"/>
                <w:noProof/>
              </w:rPr>
              <w:t>Table of Contents</w:t>
            </w:r>
            <w:r w:rsidR="00382A8C">
              <w:rPr>
                <w:noProof/>
                <w:webHidden/>
              </w:rPr>
              <w:tab/>
            </w:r>
            <w:r w:rsidR="00382A8C">
              <w:rPr>
                <w:noProof/>
                <w:webHidden/>
              </w:rPr>
              <w:fldChar w:fldCharType="begin"/>
            </w:r>
            <w:r w:rsidR="00382A8C">
              <w:rPr>
                <w:noProof/>
                <w:webHidden/>
              </w:rPr>
              <w:instrText xml:space="preserve"> PAGEREF _Toc24447750 \h </w:instrText>
            </w:r>
            <w:r w:rsidR="00382A8C">
              <w:rPr>
                <w:noProof/>
                <w:webHidden/>
              </w:rPr>
            </w:r>
            <w:r w:rsidR="00382A8C">
              <w:rPr>
                <w:noProof/>
                <w:webHidden/>
              </w:rPr>
              <w:fldChar w:fldCharType="separate"/>
            </w:r>
            <w:r w:rsidR="00382A8C">
              <w:rPr>
                <w:noProof/>
                <w:webHidden/>
              </w:rPr>
              <w:t>iii</w:t>
            </w:r>
            <w:r w:rsidR="00382A8C">
              <w:rPr>
                <w:noProof/>
                <w:webHidden/>
              </w:rPr>
              <w:fldChar w:fldCharType="end"/>
            </w:r>
          </w:hyperlink>
        </w:p>
        <w:p w14:paraId="3711764C" w14:textId="77777777" w:rsidR="00382A8C" w:rsidRDefault="00F771A1">
          <w:pPr>
            <w:pStyle w:val="TOC1"/>
            <w:rPr>
              <w:rFonts w:asciiTheme="minorHAnsi" w:hAnsiTheme="minorHAnsi" w:cstheme="minorBidi"/>
              <w:noProof/>
              <w:sz w:val="22"/>
              <w:lang w:eastAsia="en-US"/>
            </w:rPr>
          </w:pPr>
          <w:hyperlink w:anchor="_Toc24447751" w:history="1">
            <w:r w:rsidR="00382A8C" w:rsidRPr="00977E77">
              <w:rPr>
                <w:rStyle w:val="Hyperlink"/>
                <w:noProof/>
              </w:rPr>
              <w:t>List of Tables</w:t>
            </w:r>
            <w:r w:rsidR="00382A8C">
              <w:rPr>
                <w:noProof/>
                <w:webHidden/>
              </w:rPr>
              <w:tab/>
            </w:r>
            <w:r w:rsidR="00382A8C">
              <w:rPr>
                <w:noProof/>
                <w:webHidden/>
              </w:rPr>
              <w:fldChar w:fldCharType="begin"/>
            </w:r>
            <w:r w:rsidR="00382A8C">
              <w:rPr>
                <w:noProof/>
                <w:webHidden/>
              </w:rPr>
              <w:instrText xml:space="preserve"> PAGEREF _Toc24447751 \h </w:instrText>
            </w:r>
            <w:r w:rsidR="00382A8C">
              <w:rPr>
                <w:noProof/>
                <w:webHidden/>
              </w:rPr>
            </w:r>
            <w:r w:rsidR="00382A8C">
              <w:rPr>
                <w:noProof/>
                <w:webHidden/>
              </w:rPr>
              <w:fldChar w:fldCharType="separate"/>
            </w:r>
            <w:r w:rsidR="00382A8C">
              <w:rPr>
                <w:noProof/>
                <w:webHidden/>
              </w:rPr>
              <w:t>vii</w:t>
            </w:r>
            <w:r w:rsidR="00382A8C">
              <w:rPr>
                <w:noProof/>
                <w:webHidden/>
              </w:rPr>
              <w:fldChar w:fldCharType="end"/>
            </w:r>
          </w:hyperlink>
        </w:p>
        <w:p w14:paraId="33F40C9D" w14:textId="77777777" w:rsidR="00382A8C" w:rsidRDefault="00F771A1">
          <w:pPr>
            <w:pStyle w:val="TOC1"/>
            <w:rPr>
              <w:rFonts w:asciiTheme="minorHAnsi" w:hAnsiTheme="minorHAnsi" w:cstheme="minorBidi"/>
              <w:noProof/>
              <w:sz w:val="22"/>
              <w:lang w:eastAsia="en-US"/>
            </w:rPr>
          </w:pPr>
          <w:hyperlink w:anchor="_Toc24447752" w:history="1">
            <w:r w:rsidR="00382A8C" w:rsidRPr="00977E77">
              <w:rPr>
                <w:rStyle w:val="Hyperlink"/>
                <w:noProof/>
              </w:rPr>
              <w:t>List of Figures</w:t>
            </w:r>
            <w:r w:rsidR="00382A8C">
              <w:rPr>
                <w:noProof/>
                <w:webHidden/>
              </w:rPr>
              <w:tab/>
            </w:r>
            <w:r w:rsidR="00382A8C">
              <w:rPr>
                <w:noProof/>
                <w:webHidden/>
              </w:rPr>
              <w:fldChar w:fldCharType="begin"/>
            </w:r>
            <w:r w:rsidR="00382A8C">
              <w:rPr>
                <w:noProof/>
                <w:webHidden/>
              </w:rPr>
              <w:instrText xml:space="preserve"> PAGEREF _Toc24447752 \h </w:instrText>
            </w:r>
            <w:r w:rsidR="00382A8C">
              <w:rPr>
                <w:noProof/>
                <w:webHidden/>
              </w:rPr>
            </w:r>
            <w:r w:rsidR="00382A8C">
              <w:rPr>
                <w:noProof/>
                <w:webHidden/>
              </w:rPr>
              <w:fldChar w:fldCharType="separate"/>
            </w:r>
            <w:r w:rsidR="00382A8C">
              <w:rPr>
                <w:noProof/>
                <w:webHidden/>
              </w:rPr>
              <w:t>viii</w:t>
            </w:r>
            <w:r w:rsidR="00382A8C">
              <w:rPr>
                <w:noProof/>
                <w:webHidden/>
              </w:rPr>
              <w:fldChar w:fldCharType="end"/>
            </w:r>
          </w:hyperlink>
        </w:p>
        <w:p w14:paraId="3494B60F" w14:textId="77777777" w:rsidR="00382A8C" w:rsidRDefault="00F771A1">
          <w:pPr>
            <w:pStyle w:val="TOC1"/>
            <w:rPr>
              <w:rFonts w:asciiTheme="minorHAnsi" w:hAnsiTheme="minorHAnsi" w:cstheme="minorBidi"/>
              <w:noProof/>
              <w:sz w:val="22"/>
              <w:lang w:eastAsia="en-US"/>
            </w:rPr>
          </w:pPr>
          <w:hyperlink w:anchor="_Toc24447753" w:history="1">
            <w:r w:rsidR="00382A8C" w:rsidRPr="00977E77">
              <w:rPr>
                <w:rStyle w:val="Hyperlink"/>
                <w:noProof/>
              </w:rPr>
              <w:t>List of Abbreviations</w:t>
            </w:r>
            <w:r w:rsidR="00382A8C">
              <w:rPr>
                <w:noProof/>
                <w:webHidden/>
              </w:rPr>
              <w:tab/>
            </w:r>
            <w:r w:rsidR="00382A8C">
              <w:rPr>
                <w:noProof/>
                <w:webHidden/>
              </w:rPr>
              <w:fldChar w:fldCharType="begin"/>
            </w:r>
            <w:r w:rsidR="00382A8C">
              <w:rPr>
                <w:noProof/>
                <w:webHidden/>
              </w:rPr>
              <w:instrText xml:space="preserve"> PAGEREF _Toc24447753 \h </w:instrText>
            </w:r>
            <w:r w:rsidR="00382A8C">
              <w:rPr>
                <w:noProof/>
                <w:webHidden/>
              </w:rPr>
            </w:r>
            <w:r w:rsidR="00382A8C">
              <w:rPr>
                <w:noProof/>
                <w:webHidden/>
              </w:rPr>
              <w:fldChar w:fldCharType="separate"/>
            </w:r>
            <w:r w:rsidR="00382A8C">
              <w:rPr>
                <w:noProof/>
                <w:webHidden/>
              </w:rPr>
              <w:t>ix</w:t>
            </w:r>
            <w:r w:rsidR="00382A8C">
              <w:rPr>
                <w:noProof/>
                <w:webHidden/>
              </w:rPr>
              <w:fldChar w:fldCharType="end"/>
            </w:r>
          </w:hyperlink>
        </w:p>
        <w:p w14:paraId="48191AD1" w14:textId="77777777" w:rsidR="00382A8C" w:rsidRDefault="00F771A1">
          <w:pPr>
            <w:pStyle w:val="TOC1"/>
            <w:rPr>
              <w:rFonts w:asciiTheme="minorHAnsi" w:hAnsiTheme="minorHAnsi" w:cstheme="minorBidi"/>
              <w:noProof/>
              <w:sz w:val="22"/>
              <w:lang w:eastAsia="en-US"/>
            </w:rPr>
          </w:pPr>
          <w:hyperlink w:anchor="_Toc24447754" w:history="1">
            <w:r w:rsidR="00382A8C" w:rsidRPr="00977E77">
              <w:rPr>
                <w:rStyle w:val="Hyperlink"/>
                <w:noProof/>
              </w:rPr>
              <w:t>Abstract</w:t>
            </w:r>
            <w:r w:rsidR="00382A8C">
              <w:rPr>
                <w:noProof/>
                <w:webHidden/>
              </w:rPr>
              <w:tab/>
            </w:r>
            <w:r w:rsidR="00382A8C">
              <w:rPr>
                <w:noProof/>
                <w:webHidden/>
              </w:rPr>
              <w:fldChar w:fldCharType="begin"/>
            </w:r>
            <w:r w:rsidR="00382A8C">
              <w:rPr>
                <w:noProof/>
                <w:webHidden/>
              </w:rPr>
              <w:instrText xml:space="preserve"> PAGEREF _Toc24447754 \h </w:instrText>
            </w:r>
            <w:r w:rsidR="00382A8C">
              <w:rPr>
                <w:noProof/>
                <w:webHidden/>
              </w:rPr>
            </w:r>
            <w:r w:rsidR="00382A8C">
              <w:rPr>
                <w:noProof/>
                <w:webHidden/>
              </w:rPr>
              <w:fldChar w:fldCharType="separate"/>
            </w:r>
            <w:r w:rsidR="00382A8C">
              <w:rPr>
                <w:noProof/>
                <w:webHidden/>
              </w:rPr>
              <w:t>1</w:t>
            </w:r>
            <w:r w:rsidR="00382A8C">
              <w:rPr>
                <w:noProof/>
                <w:webHidden/>
              </w:rPr>
              <w:fldChar w:fldCharType="end"/>
            </w:r>
          </w:hyperlink>
        </w:p>
        <w:p w14:paraId="062694B4" w14:textId="77777777" w:rsidR="00382A8C" w:rsidRDefault="00F771A1">
          <w:pPr>
            <w:pStyle w:val="TOC1"/>
            <w:rPr>
              <w:rFonts w:asciiTheme="minorHAnsi" w:hAnsiTheme="minorHAnsi" w:cstheme="minorBidi"/>
              <w:noProof/>
              <w:sz w:val="22"/>
              <w:lang w:eastAsia="en-US"/>
            </w:rPr>
          </w:pPr>
          <w:hyperlink w:anchor="_Toc24447755" w:history="1">
            <w:r w:rsidR="00382A8C" w:rsidRPr="00977E77">
              <w:rPr>
                <w:rStyle w:val="Hyperlink"/>
                <w:noProof/>
              </w:rPr>
              <w:t>Acknowledgments</w:t>
            </w:r>
            <w:r w:rsidR="00382A8C">
              <w:rPr>
                <w:noProof/>
                <w:webHidden/>
              </w:rPr>
              <w:tab/>
            </w:r>
            <w:r w:rsidR="00382A8C">
              <w:rPr>
                <w:noProof/>
                <w:webHidden/>
              </w:rPr>
              <w:fldChar w:fldCharType="begin"/>
            </w:r>
            <w:r w:rsidR="00382A8C">
              <w:rPr>
                <w:noProof/>
                <w:webHidden/>
              </w:rPr>
              <w:instrText xml:space="preserve"> PAGEREF _Toc24447755 \h </w:instrText>
            </w:r>
            <w:r w:rsidR="00382A8C">
              <w:rPr>
                <w:noProof/>
                <w:webHidden/>
              </w:rPr>
            </w:r>
            <w:r w:rsidR="00382A8C">
              <w:rPr>
                <w:noProof/>
                <w:webHidden/>
              </w:rPr>
              <w:fldChar w:fldCharType="separate"/>
            </w:r>
            <w:r w:rsidR="00382A8C">
              <w:rPr>
                <w:noProof/>
                <w:webHidden/>
              </w:rPr>
              <w:t>3</w:t>
            </w:r>
            <w:r w:rsidR="00382A8C">
              <w:rPr>
                <w:noProof/>
                <w:webHidden/>
              </w:rPr>
              <w:fldChar w:fldCharType="end"/>
            </w:r>
          </w:hyperlink>
        </w:p>
        <w:p w14:paraId="11236987" w14:textId="77777777" w:rsidR="00382A8C" w:rsidRDefault="00F771A1">
          <w:pPr>
            <w:pStyle w:val="TOC1"/>
            <w:rPr>
              <w:rFonts w:asciiTheme="minorHAnsi" w:hAnsiTheme="minorHAnsi" w:cstheme="minorBidi"/>
              <w:noProof/>
              <w:sz w:val="22"/>
              <w:lang w:eastAsia="en-US"/>
            </w:rPr>
          </w:pPr>
          <w:hyperlink w:anchor="_Toc24447756" w:history="1">
            <w:r w:rsidR="00382A8C" w:rsidRPr="00977E77">
              <w:rPr>
                <w:rStyle w:val="Hyperlink"/>
                <w:noProof/>
              </w:rPr>
              <w:t xml:space="preserve">Structure of the </w:t>
            </w:r>
            <w:r w:rsidR="00382A8C" w:rsidRPr="00977E77">
              <w:rPr>
                <w:rStyle w:val="Hyperlink"/>
                <w:smallCaps/>
                <w:noProof/>
              </w:rPr>
              <w:t>D</w:t>
            </w:r>
            <w:r w:rsidR="00382A8C" w:rsidRPr="00977E77">
              <w:rPr>
                <w:rStyle w:val="Hyperlink"/>
                <w:noProof/>
              </w:rPr>
              <w:t>issertation</w:t>
            </w:r>
            <w:r w:rsidR="00382A8C">
              <w:rPr>
                <w:noProof/>
                <w:webHidden/>
              </w:rPr>
              <w:tab/>
            </w:r>
            <w:r w:rsidR="00382A8C">
              <w:rPr>
                <w:noProof/>
                <w:webHidden/>
              </w:rPr>
              <w:fldChar w:fldCharType="begin"/>
            </w:r>
            <w:r w:rsidR="00382A8C">
              <w:rPr>
                <w:noProof/>
                <w:webHidden/>
              </w:rPr>
              <w:instrText xml:space="preserve"> PAGEREF _Toc24447756 \h </w:instrText>
            </w:r>
            <w:r w:rsidR="00382A8C">
              <w:rPr>
                <w:noProof/>
                <w:webHidden/>
              </w:rPr>
            </w:r>
            <w:r w:rsidR="00382A8C">
              <w:rPr>
                <w:noProof/>
                <w:webHidden/>
              </w:rPr>
              <w:fldChar w:fldCharType="separate"/>
            </w:r>
            <w:r w:rsidR="00382A8C">
              <w:rPr>
                <w:noProof/>
                <w:webHidden/>
              </w:rPr>
              <w:t>5</w:t>
            </w:r>
            <w:r w:rsidR="00382A8C">
              <w:rPr>
                <w:noProof/>
                <w:webHidden/>
              </w:rPr>
              <w:fldChar w:fldCharType="end"/>
            </w:r>
          </w:hyperlink>
        </w:p>
        <w:p w14:paraId="169412FF" w14:textId="77777777" w:rsidR="00382A8C" w:rsidRDefault="00F771A1">
          <w:pPr>
            <w:pStyle w:val="TOC1"/>
            <w:rPr>
              <w:rFonts w:asciiTheme="minorHAnsi" w:hAnsiTheme="minorHAnsi" w:cstheme="minorBidi"/>
              <w:noProof/>
              <w:sz w:val="22"/>
              <w:lang w:eastAsia="en-US"/>
            </w:rPr>
          </w:pPr>
          <w:hyperlink w:anchor="_Toc24447757" w:history="1">
            <w:r w:rsidR="00382A8C" w:rsidRPr="00977E77">
              <w:rPr>
                <w:rStyle w:val="Hyperlink"/>
                <w:noProof/>
              </w:rPr>
              <w:t>CHAPTER 1: Introduction</w:t>
            </w:r>
            <w:r w:rsidR="00382A8C">
              <w:rPr>
                <w:noProof/>
                <w:webHidden/>
              </w:rPr>
              <w:tab/>
            </w:r>
            <w:r w:rsidR="00382A8C">
              <w:rPr>
                <w:noProof/>
                <w:webHidden/>
              </w:rPr>
              <w:fldChar w:fldCharType="begin"/>
            </w:r>
            <w:r w:rsidR="00382A8C">
              <w:rPr>
                <w:noProof/>
                <w:webHidden/>
              </w:rPr>
              <w:instrText xml:space="preserve"> PAGEREF _Toc24447757 \h </w:instrText>
            </w:r>
            <w:r w:rsidR="00382A8C">
              <w:rPr>
                <w:noProof/>
                <w:webHidden/>
              </w:rPr>
            </w:r>
            <w:r w:rsidR="00382A8C">
              <w:rPr>
                <w:noProof/>
                <w:webHidden/>
              </w:rPr>
              <w:fldChar w:fldCharType="separate"/>
            </w:r>
            <w:r w:rsidR="00382A8C">
              <w:rPr>
                <w:noProof/>
                <w:webHidden/>
              </w:rPr>
              <w:t>1</w:t>
            </w:r>
            <w:r w:rsidR="00382A8C">
              <w:rPr>
                <w:noProof/>
                <w:webHidden/>
              </w:rPr>
              <w:fldChar w:fldCharType="end"/>
            </w:r>
          </w:hyperlink>
        </w:p>
        <w:p w14:paraId="49A987E5" w14:textId="77777777" w:rsidR="00382A8C" w:rsidRDefault="00F771A1">
          <w:pPr>
            <w:pStyle w:val="TOC1"/>
            <w:rPr>
              <w:rFonts w:asciiTheme="minorHAnsi" w:hAnsiTheme="minorHAnsi" w:cstheme="minorBidi"/>
              <w:noProof/>
              <w:sz w:val="22"/>
              <w:lang w:eastAsia="en-US"/>
            </w:rPr>
          </w:pPr>
          <w:hyperlink w:anchor="_Toc24447758" w:history="1">
            <w:r w:rsidR="00382A8C" w:rsidRPr="00977E77">
              <w:rPr>
                <w:rStyle w:val="Hyperlink"/>
                <w:noProof/>
              </w:rPr>
              <w:t>1.1. Introduction</w:t>
            </w:r>
            <w:r w:rsidR="00382A8C">
              <w:rPr>
                <w:noProof/>
                <w:webHidden/>
              </w:rPr>
              <w:tab/>
            </w:r>
            <w:r w:rsidR="00382A8C">
              <w:rPr>
                <w:noProof/>
                <w:webHidden/>
              </w:rPr>
              <w:fldChar w:fldCharType="begin"/>
            </w:r>
            <w:r w:rsidR="00382A8C">
              <w:rPr>
                <w:noProof/>
                <w:webHidden/>
              </w:rPr>
              <w:instrText xml:space="preserve"> PAGEREF _Toc24447758 \h </w:instrText>
            </w:r>
            <w:r w:rsidR="00382A8C">
              <w:rPr>
                <w:noProof/>
                <w:webHidden/>
              </w:rPr>
            </w:r>
            <w:r w:rsidR="00382A8C">
              <w:rPr>
                <w:noProof/>
                <w:webHidden/>
              </w:rPr>
              <w:fldChar w:fldCharType="separate"/>
            </w:r>
            <w:r w:rsidR="00382A8C">
              <w:rPr>
                <w:noProof/>
                <w:webHidden/>
              </w:rPr>
              <w:t>2</w:t>
            </w:r>
            <w:r w:rsidR="00382A8C">
              <w:rPr>
                <w:noProof/>
                <w:webHidden/>
              </w:rPr>
              <w:fldChar w:fldCharType="end"/>
            </w:r>
          </w:hyperlink>
        </w:p>
        <w:p w14:paraId="07CF2C12" w14:textId="77777777" w:rsidR="00382A8C" w:rsidRDefault="00F771A1">
          <w:pPr>
            <w:pStyle w:val="TOC1"/>
            <w:rPr>
              <w:rFonts w:asciiTheme="minorHAnsi" w:hAnsiTheme="minorHAnsi" w:cstheme="minorBidi"/>
              <w:noProof/>
              <w:sz w:val="22"/>
              <w:lang w:eastAsia="en-US"/>
            </w:rPr>
          </w:pPr>
          <w:hyperlink w:anchor="_Toc24447759" w:history="1">
            <w:r w:rsidR="00382A8C" w:rsidRPr="00977E77">
              <w:rPr>
                <w:rStyle w:val="Hyperlink"/>
                <w:noProof/>
              </w:rPr>
              <w:t>1.2. Statement of the Problem</w:t>
            </w:r>
            <w:r w:rsidR="00382A8C">
              <w:rPr>
                <w:noProof/>
                <w:webHidden/>
              </w:rPr>
              <w:tab/>
            </w:r>
            <w:r w:rsidR="00382A8C">
              <w:rPr>
                <w:noProof/>
                <w:webHidden/>
              </w:rPr>
              <w:fldChar w:fldCharType="begin"/>
            </w:r>
            <w:r w:rsidR="00382A8C">
              <w:rPr>
                <w:noProof/>
                <w:webHidden/>
              </w:rPr>
              <w:instrText xml:space="preserve"> PAGEREF _Toc24447759 \h </w:instrText>
            </w:r>
            <w:r w:rsidR="00382A8C">
              <w:rPr>
                <w:noProof/>
                <w:webHidden/>
              </w:rPr>
            </w:r>
            <w:r w:rsidR="00382A8C">
              <w:rPr>
                <w:noProof/>
                <w:webHidden/>
              </w:rPr>
              <w:fldChar w:fldCharType="separate"/>
            </w:r>
            <w:r w:rsidR="00382A8C">
              <w:rPr>
                <w:noProof/>
                <w:webHidden/>
              </w:rPr>
              <w:t>6</w:t>
            </w:r>
            <w:r w:rsidR="00382A8C">
              <w:rPr>
                <w:noProof/>
                <w:webHidden/>
              </w:rPr>
              <w:fldChar w:fldCharType="end"/>
            </w:r>
          </w:hyperlink>
        </w:p>
        <w:p w14:paraId="31DA53C8" w14:textId="77777777" w:rsidR="00382A8C" w:rsidRDefault="00F771A1">
          <w:pPr>
            <w:pStyle w:val="TOC1"/>
            <w:rPr>
              <w:rFonts w:asciiTheme="minorHAnsi" w:hAnsiTheme="minorHAnsi" w:cstheme="minorBidi"/>
              <w:noProof/>
              <w:sz w:val="22"/>
              <w:lang w:eastAsia="en-US"/>
            </w:rPr>
          </w:pPr>
          <w:hyperlink w:anchor="_Toc24447760" w:history="1">
            <w:r w:rsidR="00382A8C" w:rsidRPr="00977E77">
              <w:rPr>
                <w:rStyle w:val="Hyperlink"/>
                <w:noProof/>
              </w:rPr>
              <w:t>1.3. Research Context</w:t>
            </w:r>
            <w:r w:rsidR="00382A8C">
              <w:rPr>
                <w:noProof/>
                <w:webHidden/>
              </w:rPr>
              <w:tab/>
            </w:r>
            <w:r w:rsidR="00382A8C">
              <w:rPr>
                <w:noProof/>
                <w:webHidden/>
              </w:rPr>
              <w:fldChar w:fldCharType="begin"/>
            </w:r>
            <w:r w:rsidR="00382A8C">
              <w:rPr>
                <w:noProof/>
                <w:webHidden/>
              </w:rPr>
              <w:instrText xml:space="preserve"> PAGEREF _Toc24447760 \h </w:instrText>
            </w:r>
            <w:r w:rsidR="00382A8C">
              <w:rPr>
                <w:noProof/>
                <w:webHidden/>
              </w:rPr>
            </w:r>
            <w:r w:rsidR="00382A8C">
              <w:rPr>
                <w:noProof/>
                <w:webHidden/>
              </w:rPr>
              <w:fldChar w:fldCharType="separate"/>
            </w:r>
            <w:r w:rsidR="00382A8C">
              <w:rPr>
                <w:noProof/>
                <w:webHidden/>
              </w:rPr>
              <w:t>9</w:t>
            </w:r>
            <w:r w:rsidR="00382A8C">
              <w:rPr>
                <w:noProof/>
                <w:webHidden/>
              </w:rPr>
              <w:fldChar w:fldCharType="end"/>
            </w:r>
          </w:hyperlink>
        </w:p>
        <w:p w14:paraId="1FCCDDB3" w14:textId="77777777" w:rsidR="00382A8C" w:rsidRDefault="00F771A1">
          <w:pPr>
            <w:pStyle w:val="TOC1"/>
            <w:rPr>
              <w:rFonts w:asciiTheme="minorHAnsi" w:hAnsiTheme="minorHAnsi" w:cstheme="minorBidi"/>
              <w:noProof/>
              <w:sz w:val="22"/>
              <w:lang w:eastAsia="en-US"/>
            </w:rPr>
          </w:pPr>
          <w:hyperlink w:anchor="_Toc24447761" w:history="1">
            <w:r w:rsidR="00382A8C" w:rsidRPr="00977E77">
              <w:rPr>
                <w:rStyle w:val="Hyperlink"/>
                <w:noProof/>
              </w:rPr>
              <w:t>1.4. Justification for the Research</w:t>
            </w:r>
            <w:r w:rsidR="00382A8C">
              <w:rPr>
                <w:noProof/>
                <w:webHidden/>
              </w:rPr>
              <w:tab/>
            </w:r>
            <w:r w:rsidR="00382A8C">
              <w:rPr>
                <w:noProof/>
                <w:webHidden/>
              </w:rPr>
              <w:fldChar w:fldCharType="begin"/>
            </w:r>
            <w:r w:rsidR="00382A8C">
              <w:rPr>
                <w:noProof/>
                <w:webHidden/>
              </w:rPr>
              <w:instrText xml:space="preserve"> PAGEREF _Toc24447761 \h </w:instrText>
            </w:r>
            <w:r w:rsidR="00382A8C">
              <w:rPr>
                <w:noProof/>
                <w:webHidden/>
              </w:rPr>
            </w:r>
            <w:r w:rsidR="00382A8C">
              <w:rPr>
                <w:noProof/>
                <w:webHidden/>
              </w:rPr>
              <w:fldChar w:fldCharType="separate"/>
            </w:r>
            <w:r w:rsidR="00382A8C">
              <w:rPr>
                <w:noProof/>
                <w:webHidden/>
              </w:rPr>
              <w:t>13</w:t>
            </w:r>
            <w:r w:rsidR="00382A8C">
              <w:rPr>
                <w:noProof/>
                <w:webHidden/>
              </w:rPr>
              <w:fldChar w:fldCharType="end"/>
            </w:r>
          </w:hyperlink>
        </w:p>
        <w:p w14:paraId="1161DECB" w14:textId="77777777" w:rsidR="00382A8C" w:rsidRDefault="00F771A1">
          <w:pPr>
            <w:pStyle w:val="TOC2"/>
            <w:rPr>
              <w:rFonts w:cstheme="minorBidi"/>
              <w:noProof/>
              <w:lang w:eastAsia="en-US"/>
            </w:rPr>
          </w:pPr>
          <w:hyperlink w:anchor="_Toc24447762" w:history="1">
            <w:r w:rsidR="00382A8C" w:rsidRPr="00977E77">
              <w:rPr>
                <w:rStyle w:val="Hyperlink"/>
                <w:noProof/>
              </w:rPr>
              <w:t>1.4.1. Academic Perspective</w:t>
            </w:r>
            <w:r w:rsidR="00382A8C">
              <w:rPr>
                <w:noProof/>
                <w:webHidden/>
              </w:rPr>
              <w:tab/>
            </w:r>
            <w:r w:rsidR="00382A8C">
              <w:rPr>
                <w:noProof/>
                <w:webHidden/>
              </w:rPr>
              <w:fldChar w:fldCharType="begin"/>
            </w:r>
            <w:r w:rsidR="00382A8C">
              <w:rPr>
                <w:noProof/>
                <w:webHidden/>
              </w:rPr>
              <w:instrText xml:space="preserve"> PAGEREF _Toc24447762 \h </w:instrText>
            </w:r>
            <w:r w:rsidR="00382A8C">
              <w:rPr>
                <w:noProof/>
                <w:webHidden/>
              </w:rPr>
            </w:r>
            <w:r w:rsidR="00382A8C">
              <w:rPr>
                <w:noProof/>
                <w:webHidden/>
              </w:rPr>
              <w:fldChar w:fldCharType="separate"/>
            </w:r>
            <w:r w:rsidR="00382A8C">
              <w:rPr>
                <w:noProof/>
                <w:webHidden/>
              </w:rPr>
              <w:t>14</w:t>
            </w:r>
            <w:r w:rsidR="00382A8C">
              <w:rPr>
                <w:noProof/>
                <w:webHidden/>
              </w:rPr>
              <w:fldChar w:fldCharType="end"/>
            </w:r>
          </w:hyperlink>
        </w:p>
        <w:p w14:paraId="72ACBF26" w14:textId="77777777" w:rsidR="00382A8C" w:rsidRDefault="00F771A1">
          <w:pPr>
            <w:pStyle w:val="TOC2"/>
            <w:rPr>
              <w:rFonts w:cstheme="minorBidi"/>
              <w:noProof/>
              <w:lang w:eastAsia="en-US"/>
            </w:rPr>
          </w:pPr>
          <w:hyperlink w:anchor="_Toc24447763" w:history="1">
            <w:r w:rsidR="00382A8C" w:rsidRPr="00977E77">
              <w:rPr>
                <w:rStyle w:val="Hyperlink"/>
                <w:noProof/>
              </w:rPr>
              <w:t>1.4.2. Industry Perspective</w:t>
            </w:r>
            <w:r w:rsidR="00382A8C">
              <w:rPr>
                <w:noProof/>
                <w:webHidden/>
              </w:rPr>
              <w:tab/>
            </w:r>
            <w:r w:rsidR="00382A8C">
              <w:rPr>
                <w:noProof/>
                <w:webHidden/>
              </w:rPr>
              <w:fldChar w:fldCharType="begin"/>
            </w:r>
            <w:r w:rsidR="00382A8C">
              <w:rPr>
                <w:noProof/>
                <w:webHidden/>
              </w:rPr>
              <w:instrText xml:space="preserve"> PAGEREF _Toc24447763 \h </w:instrText>
            </w:r>
            <w:r w:rsidR="00382A8C">
              <w:rPr>
                <w:noProof/>
                <w:webHidden/>
              </w:rPr>
            </w:r>
            <w:r w:rsidR="00382A8C">
              <w:rPr>
                <w:noProof/>
                <w:webHidden/>
              </w:rPr>
              <w:fldChar w:fldCharType="separate"/>
            </w:r>
            <w:r w:rsidR="00382A8C">
              <w:rPr>
                <w:noProof/>
                <w:webHidden/>
              </w:rPr>
              <w:t>15</w:t>
            </w:r>
            <w:r w:rsidR="00382A8C">
              <w:rPr>
                <w:noProof/>
                <w:webHidden/>
              </w:rPr>
              <w:fldChar w:fldCharType="end"/>
            </w:r>
          </w:hyperlink>
        </w:p>
        <w:p w14:paraId="682E17DA" w14:textId="77777777" w:rsidR="00382A8C" w:rsidRDefault="00F771A1">
          <w:pPr>
            <w:pStyle w:val="TOC1"/>
            <w:rPr>
              <w:rFonts w:asciiTheme="minorHAnsi" w:hAnsiTheme="minorHAnsi" w:cstheme="minorBidi"/>
              <w:noProof/>
              <w:sz w:val="22"/>
              <w:lang w:eastAsia="en-US"/>
            </w:rPr>
          </w:pPr>
          <w:hyperlink w:anchor="_Toc24447764" w:history="1">
            <w:r w:rsidR="00382A8C" w:rsidRPr="00977E77">
              <w:rPr>
                <w:rStyle w:val="Hyperlink"/>
                <w:noProof/>
              </w:rPr>
              <w:t>1.5. Research Objectives (ROs) and Research Questions (RQs)</w:t>
            </w:r>
            <w:r w:rsidR="00382A8C">
              <w:rPr>
                <w:noProof/>
                <w:webHidden/>
              </w:rPr>
              <w:tab/>
            </w:r>
            <w:r w:rsidR="00382A8C">
              <w:rPr>
                <w:noProof/>
                <w:webHidden/>
              </w:rPr>
              <w:fldChar w:fldCharType="begin"/>
            </w:r>
            <w:r w:rsidR="00382A8C">
              <w:rPr>
                <w:noProof/>
                <w:webHidden/>
              </w:rPr>
              <w:instrText xml:space="preserve"> PAGEREF _Toc24447764 \h </w:instrText>
            </w:r>
            <w:r w:rsidR="00382A8C">
              <w:rPr>
                <w:noProof/>
                <w:webHidden/>
              </w:rPr>
            </w:r>
            <w:r w:rsidR="00382A8C">
              <w:rPr>
                <w:noProof/>
                <w:webHidden/>
              </w:rPr>
              <w:fldChar w:fldCharType="separate"/>
            </w:r>
            <w:r w:rsidR="00382A8C">
              <w:rPr>
                <w:noProof/>
                <w:webHidden/>
              </w:rPr>
              <w:t>16</w:t>
            </w:r>
            <w:r w:rsidR="00382A8C">
              <w:rPr>
                <w:noProof/>
                <w:webHidden/>
              </w:rPr>
              <w:fldChar w:fldCharType="end"/>
            </w:r>
          </w:hyperlink>
        </w:p>
        <w:p w14:paraId="4B55FA8F" w14:textId="77777777" w:rsidR="00382A8C" w:rsidRDefault="00F771A1">
          <w:pPr>
            <w:pStyle w:val="TOC1"/>
            <w:rPr>
              <w:rFonts w:asciiTheme="minorHAnsi" w:hAnsiTheme="minorHAnsi" w:cstheme="minorBidi"/>
              <w:noProof/>
              <w:sz w:val="22"/>
              <w:lang w:eastAsia="en-US"/>
            </w:rPr>
          </w:pPr>
          <w:hyperlink w:anchor="_Toc24447765" w:history="1">
            <w:r w:rsidR="00382A8C" w:rsidRPr="00977E77">
              <w:rPr>
                <w:rStyle w:val="Hyperlink"/>
                <w:noProof/>
              </w:rPr>
              <w:t>1.6. Research Contribution</w:t>
            </w:r>
            <w:r w:rsidR="00382A8C">
              <w:rPr>
                <w:noProof/>
                <w:webHidden/>
              </w:rPr>
              <w:tab/>
            </w:r>
            <w:r w:rsidR="00382A8C">
              <w:rPr>
                <w:noProof/>
                <w:webHidden/>
              </w:rPr>
              <w:fldChar w:fldCharType="begin"/>
            </w:r>
            <w:r w:rsidR="00382A8C">
              <w:rPr>
                <w:noProof/>
                <w:webHidden/>
              </w:rPr>
              <w:instrText xml:space="preserve"> PAGEREF _Toc24447765 \h </w:instrText>
            </w:r>
            <w:r w:rsidR="00382A8C">
              <w:rPr>
                <w:noProof/>
                <w:webHidden/>
              </w:rPr>
            </w:r>
            <w:r w:rsidR="00382A8C">
              <w:rPr>
                <w:noProof/>
                <w:webHidden/>
              </w:rPr>
              <w:fldChar w:fldCharType="separate"/>
            </w:r>
            <w:r w:rsidR="00382A8C">
              <w:rPr>
                <w:noProof/>
                <w:webHidden/>
              </w:rPr>
              <w:t>18</w:t>
            </w:r>
            <w:r w:rsidR="00382A8C">
              <w:rPr>
                <w:noProof/>
                <w:webHidden/>
              </w:rPr>
              <w:fldChar w:fldCharType="end"/>
            </w:r>
          </w:hyperlink>
        </w:p>
        <w:p w14:paraId="3C7A1D29" w14:textId="77777777" w:rsidR="00382A8C" w:rsidRDefault="00F771A1">
          <w:pPr>
            <w:pStyle w:val="TOC2"/>
            <w:rPr>
              <w:rFonts w:cstheme="minorBidi"/>
              <w:noProof/>
              <w:lang w:eastAsia="en-US"/>
            </w:rPr>
          </w:pPr>
          <w:hyperlink w:anchor="_Toc24447766" w:history="1">
            <w:r w:rsidR="00382A8C" w:rsidRPr="00977E77">
              <w:rPr>
                <w:rStyle w:val="Hyperlink"/>
                <w:noProof/>
              </w:rPr>
              <w:t>1.6.1. Academic Contribution</w:t>
            </w:r>
            <w:r w:rsidR="00382A8C">
              <w:rPr>
                <w:noProof/>
                <w:webHidden/>
              </w:rPr>
              <w:tab/>
            </w:r>
            <w:r w:rsidR="00382A8C">
              <w:rPr>
                <w:noProof/>
                <w:webHidden/>
              </w:rPr>
              <w:fldChar w:fldCharType="begin"/>
            </w:r>
            <w:r w:rsidR="00382A8C">
              <w:rPr>
                <w:noProof/>
                <w:webHidden/>
              </w:rPr>
              <w:instrText xml:space="preserve"> PAGEREF _Toc24447766 \h </w:instrText>
            </w:r>
            <w:r w:rsidR="00382A8C">
              <w:rPr>
                <w:noProof/>
                <w:webHidden/>
              </w:rPr>
            </w:r>
            <w:r w:rsidR="00382A8C">
              <w:rPr>
                <w:noProof/>
                <w:webHidden/>
              </w:rPr>
              <w:fldChar w:fldCharType="separate"/>
            </w:r>
            <w:r w:rsidR="00382A8C">
              <w:rPr>
                <w:noProof/>
                <w:webHidden/>
              </w:rPr>
              <w:t>19</w:t>
            </w:r>
            <w:r w:rsidR="00382A8C">
              <w:rPr>
                <w:noProof/>
                <w:webHidden/>
              </w:rPr>
              <w:fldChar w:fldCharType="end"/>
            </w:r>
          </w:hyperlink>
        </w:p>
        <w:p w14:paraId="33BD863C" w14:textId="77777777" w:rsidR="00382A8C" w:rsidRDefault="00F771A1">
          <w:pPr>
            <w:pStyle w:val="TOC2"/>
            <w:rPr>
              <w:rFonts w:cstheme="minorBidi"/>
              <w:noProof/>
              <w:lang w:eastAsia="en-US"/>
            </w:rPr>
          </w:pPr>
          <w:hyperlink w:anchor="_Toc24447767" w:history="1">
            <w:r w:rsidR="00382A8C" w:rsidRPr="00977E77">
              <w:rPr>
                <w:rStyle w:val="Hyperlink"/>
                <w:noProof/>
              </w:rPr>
              <w:t>1.6.2. Practical Contribution</w:t>
            </w:r>
            <w:r w:rsidR="00382A8C">
              <w:rPr>
                <w:noProof/>
                <w:webHidden/>
              </w:rPr>
              <w:tab/>
            </w:r>
            <w:r w:rsidR="00382A8C">
              <w:rPr>
                <w:noProof/>
                <w:webHidden/>
              </w:rPr>
              <w:fldChar w:fldCharType="begin"/>
            </w:r>
            <w:r w:rsidR="00382A8C">
              <w:rPr>
                <w:noProof/>
                <w:webHidden/>
              </w:rPr>
              <w:instrText xml:space="preserve"> PAGEREF _Toc24447767 \h </w:instrText>
            </w:r>
            <w:r w:rsidR="00382A8C">
              <w:rPr>
                <w:noProof/>
                <w:webHidden/>
              </w:rPr>
            </w:r>
            <w:r w:rsidR="00382A8C">
              <w:rPr>
                <w:noProof/>
                <w:webHidden/>
              </w:rPr>
              <w:fldChar w:fldCharType="separate"/>
            </w:r>
            <w:r w:rsidR="00382A8C">
              <w:rPr>
                <w:noProof/>
                <w:webHidden/>
              </w:rPr>
              <w:t>21</w:t>
            </w:r>
            <w:r w:rsidR="00382A8C">
              <w:rPr>
                <w:noProof/>
                <w:webHidden/>
              </w:rPr>
              <w:fldChar w:fldCharType="end"/>
            </w:r>
          </w:hyperlink>
        </w:p>
        <w:p w14:paraId="08D38B8F" w14:textId="77777777" w:rsidR="00382A8C" w:rsidRDefault="00F771A1">
          <w:pPr>
            <w:pStyle w:val="TOC1"/>
            <w:rPr>
              <w:rFonts w:asciiTheme="minorHAnsi" w:hAnsiTheme="minorHAnsi" w:cstheme="minorBidi"/>
              <w:noProof/>
              <w:sz w:val="22"/>
              <w:lang w:eastAsia="en-US"/>
            </w:rPr>
          </w:pPr>
          <w:hyperlink w:anchor="_Toc24447768" w:history="1">
            <w:r w:rsidR="00382A8C" w:rsidRPr="00977E77">
              <w:rPr>
                <w:rStyle w:val="Hyperlink"/>
                <w:noProof/>
              </w:rPr>
              <w:t>1.7. Summary</w:t>
            </w:r>
            <w:r w:rsidR="00382A8C">
              <w:rPr>
                <w:noProof/>
                <w:webHidden/>
              </w:rPr>
              <w:tab/>
            </w:r>
            <w:r w:rsidR="00382A8C">
              <w:rPr>
                <w:noProof/>
                <w:webHidden/>
              </w:rPr>
              <w:fldChar w:fldCharType="begin"/>
            </w:r>
            <w:r w:rsidR="00382A8C">
              <w:rPr>
                <w:noProof/>
                <w:webHidden/>
              </w:rPr>
              <w:instrText xml:space="preserve"> PAGEREF _Toc24447768 \h </w:instrText>
            </w:r>
            <w:r w:rsidR="00382A8C">
              <w:rPr>
                <w:noProof/>
                <w:webHidden/>
              </w:rPr>
            </w:r>
            <w:r w:rsidR="00382A8C">
              <w:rPr>
                <w:noProof/>
                <w:webHidden/>
              </w:rPr>
              <w:fldChar w:fldCharType="separate"/>
            </w:r>
            <w:r w:rsidR="00382A8C">
              <w:rPr>
                <w:noProof/>
                <w:webHidden/>
              </w:rPr>
              <w:t>23</w:t>
            </w:r>
            <w:r w:rsidR="00382A8C">
              <w:rPr>
                <w:noProof/>
                <w:webHidden/>
              </w:rPr>
              <w:fldChar w:fldCharType="end"/>
            </w:r>
          </w:hyperlink>
        </w:p>
        <w:p w14:paraId="369DA5AC" w14:textId="77777777" w:rsidR="00382A8C" w:rsidRDefault="00F771A1">
          <w:pPr>
            <w:pStyle w:val="TOC1"/>
            <w:rPr>
              <w:rFonts w:asciiTheme="minorHAnsi" w:hAnsiTheme="minorHAnsi" w:cstheme="minorBidi"/>
              <w:noProof/>
              <w:sz w:val="22"/>
              <w:lang w:eastAsia="en-US"/>
            </w:rPr>
          </w:pPr>
          <w:hyperlink w:anchor="_Toc24447769" w:history="1">
            <w:r w:rsidR="00382A8C" w:rsidRPr="00977E77">
              <w:rPr>
                <w:rStyle w:val="Hyperlink"/>
                <w:noProof/>
              </w:rPr>
              <w:t>CHAPTER 2: Literature Review</w:t>
            </w:r>
            <w:r w:rsidR="00382A8C">
              <w:rPr>
                <w:noProof/>
                <w:webHidden/>
              </w:rPr>
              <w:tab/>
            </w:r>
            <w:r w:rsidR="00382A8C">
              <w:rPr>
                <w:noProof/>
                <w:webHidden/>
              </w:rPr>
              <w:fldChar w:fldCharType="begin"/>
            </w:r>
            <w:r w:rsidR="00382A8C">
              <w:rPr>
                <w:noProof/>
                <w:webHidden/>
              </w:rPr>
              <w:instrText xml:space="preserve"> PAGEREF _Toc24447769 \h </w:instrText>
            </w:r>
            <w:r w:rsidR="00382A8C">
              <w:rPr>
                <w:noProof/>
                <w:webHidden/>
              </w:rPr>
            </w:r>
            <w:r w:rsidR="00382A8C">
              <w:rPr>
                <w:noProof/>
                <w:webHidden/>
              </w:rPr>
              <w:fldChar w:fldCharType="separate"/>
            </w:r>
            <w:r w:rsidR="00382A8C">
              <w:rPr>
                <w:noProof/>
                <w:webHidden/>
              </w:rPr>
              <w:t>26</w:t>
            </w:r>
            <w:r w:rsidR="00382A8C">
              <w:rPr>
                <w:noProof/>
                <w:webHidden/>
              </w:rPr>
              <w:fldChar w:fldCharType="end"/>
            </w:r>
          </w:hyperlink>
        </w:p>
        <w:p w14:paraId="58E97E37" w14:textId="77777777" w:rsidR="00382A8C" w:rsidRDefault="00F771A1">
          <w:pPr>
            <w:pStyle w:val="TOC1"/>
            <w:rPr>
              <w:rFonts w:asciiTheme="minorHAnsi" w:hAnsiTheme="minorHAnsi" w:cstheme="minorBidi"/>
              <w:noProof/>
              <w:sz w:val="22"/>
              <w:lang w:eastAsia="en-US"/>
            </w:rPr>
          </w:pPr>
          <w:hyperlink w:anchor="_Toc24447770" w:history="1">
            <w:r w:rsidR="00382A8C" w:rsidRPr="00977E77">
              <w:rPr>
                <w:rStyle w:val="Hyperlink"/>
                <w:noProof/>
              </w:rPr>
              <w:t>2.1. HIT Overview</w:t>
            </w:r>
            <w:r w:rsidR="00382A8C">
              <w:rPr>
                <w:noProof/>
                <w:webHidden/>
              </w:rPr>
              <w:tab/>
            </w:r>
            <w:r w:rsidR="00382A8C">
              <w:rPr>
                <w:noProof/>
                <w:webHidden/>
              </w:rPr>
              <w:fldChar w:fldCharType="begin"/>
            </w:r>
            <w:r w:rsidR="00382A8C">
              <w:rPr>
                <w:noProof/>
                <w:webHidden/>
              </w:rPr>
              <w:instrText xml:space="preserve"> PAGEREF _Toc24447770 \h </w:instrText>
            </w:r>
            <w:r w:rsidR="00382A8C">
              <w:rPr>
                <w:noProof/>
                <w:webHidden/>
              </w:rPr>
            </w:r>
            <w:r w:rsidR="00382A8C">
              <w:rPr>
                <w:noProof/>
                <w:webHidden/>
              </w:rPr>
              <w:fldChar w:fldCharType="separate"/>
            </w:r>
            <w:r w:rsidR="00382A8C">
              <w:rPr>
                <w:noProof/>
                <w:webHidden/>
              </w:rPr>
              <w:t>26</w:t>
            </w:r>
            <w:r w:rsidR="00382A8C">
              <w:rPr>
                <w:noProof/>
                <w:webHidden/>
              </w:rPr>
              <w:fldChar w:fldCharType="end"/>
            </w:r>
          </w:hyperlink>
        </w:p>
        <w:p w14:paraId="109BEFCE" w14:textId="77777777" w:rsidR="00382A8C" w:rsidRDefault="00F771A1">
          <w:pPr>
            <w:pStyle w:val="TOC1"/>
            <w:rPr>
              <w:rFonts w:asciiTheme="minorHAnsi" w:hAnsiTheme="minorHAnsi" w:cstheme="minorBidi"/>
              <w:noProof/>
              <w:sz w:val="22"/>
              <w:lang w:eastAsia="en-US"/>
            </w:rPr>
          </w:pPr>
          <w:hyperlink w:anchor="_Toc24447771" w:history="1">
            <w:r w:rsidR="00382A8C" w:rsidRPr="00977E77">
              <w:rPr>
                <w:rStyle w:val="Hyperlink"/>
                <w:noProof/>
              </w:rPr>
              <w:t>2.2. HIT in Healthcare Systems</w:t>
            </w:r>
            <w:r w:rsidR="00382A8C">
              <w:rPr>
                <w:noProof/>
                <w:webHidden/>
              </w:rPr>
              <w:tab/>
            </w:r>
            <w:r w:rsidR="00382A8C">
              <w:rPr>
                <w:noProof/>
                <w:webHidden/>
              </w:rPr>
              <w:fldChar w:fldCharType="begin"/>
            </w:r>
            <w:r w:rsidR="00382A8C">
              <w:rPr>
                <w:noProof/>
                <w:webHidden/>
              </w:rPr>
              <w:instrText xml:space="preserve"> PAGEREF _Toc24447771 \h </w:instrText>
            </w:r>
            <w:r w:rsidR="00382A8C">
              <w:rPr>
                <w:noProof/>
                <w:webHidden/>
              </w:rPr>
            </w:r>
            <w:r w:rsidR="00382A8C">
              <w:rPr>
                <w:noProof/>
                <w:webHidden/>
              </w:rPr>
              <w:fldChar w:fldCharType="separate"/>
            </w:r>
            <w:r w:rsidR="00382A8C">
              <w:rPr>
                <w:noProof/>
                <w:webHidden/>
              </w:rPr>
              <w:t>31</w:t>
            </w:r>
            <w:r w:rsidR="00382A8C">
              <w:rPr>
                <w:noProof/>
                <w:webHidden/>
              </w:rPr>
              <w:fldChar w:fldCharType="end"/>
            </w:r>
          </w:hyperlink>
        </w:p>
        <w:p w14:paraId="494B73EC" w14:textId="77777777" w:rsidR="00382A8C" w:rsidRDefault="00F771A1">
          <w:pPr>
            <w:pStyle w:val="TOC1"/>
            <w:rPr>
              <w:rFonts w:asciiTheme="minorHAnsi" w:hAnsiTheme="minorHAnsi" w:cstheme="minorBidi"/>
              <w:noProof/>
              <w:sz w:val="22"/>
              <w:lang w:eastAsia="en-US"/>
            </w:rPr>
          </w:pPr>
          <w:hyperlink w:anchor="_Toc24447772" w:history="1">
            <w:r w:rsidR="00382A8C" w:rsidRPr="00977E77">
              <w:rPr>
                <w:rStyle w:val="Hyperlink"/>
                <w:noProof/>
              </w:rPr>
              <w:t>2.3. The Role of Stakeholders</w:t>
            </w:r>
            <w:r w:rsidR="00382A8C">
              <w:rPr>
                <w:noProof/>
                <w:webHidden/>
              </w:rPr>
              <w:tab/>
            </w:r>
            <w:r w:rsidR="00382A8C">
              <w:rPr>
                <w:noProof/>
                <w:webHidden/>
              </w:rPr>
              <w:fldChar w:fldCharType="begin"/>
            </w:r>
            <w:r w:rsidR="00382A8C">
              <w:rPr>
                <w:noProof/>
                <w:webHidden/>
              </w:rPr>
              <w:instrText xml:space="preserve"> PAGEREF _Toc24447772 \h </w:instrText>
            </w:r>
            <w:r w:rsidR="00382A8C">
              <w:rPr>
                <w:noProof/>
                <w:webHidden/>
              </w:rPr>
            </w:r>
            <w:r w:rsidR="00382A8C">
              <w:rPr>
                <w:noProof/>
                <w:webHidden/>
              </w:rPr>
              <w:fldChar w:fldCharType="separate"/>
            </w:r>
            <w:r w:rsidR="00382A8C">
              <w:rPr>
                <w:noProof/>
                <w:webHidden/>
              </w:rPr>
              <w:t>35</w:t>
            </w:r>
            <w:r w:rsidR="00382A8C">
              <w:rPr>
                <w:noProof/>
                <w:webHidden/>
              </w:rPr>
              <w:fldChar w:fldCharType="end"/>
            </w:r>
          </w:hyperlink>
        </w:p>
        <w:p w14:paraId="6EAB0683" w14:textId="77777777" w:rsidR="00382A8C" w:rsidRDefault="00F771A1">
          <w:pPr>
            <w:pStyle w:val="TOC1"/>
            <w:rPr>
              <w:rFonts w:asciiTheme="minorHAnsi" w:hAnsiTheme="minorHAnsi" w:cstheme="minorBidi"/>
              <w:noProof/>
              <w:sz w:val="22"/>
              <w:lang w:eastAsia="en-US"/>
            </w:rPr>
          </w:pPr>
          <w:hyperlink w:anchor="_Toc24447773" w:history="1">
            <w:r w:rsidR="00382A8C" w:rsidRPr="00977E77">
              <w:rPr>
                <w:rStyle w:val="Hyperlink"/>
                <w:noProof/>
              </w:rPr>
              <w:t>2.4. Motivators for HIT Adoption</w:t>
            </w:r>
            <w:r w:rsidR="00382A8C">
              <w:rPr>
                <w:noProof/>
                <w:webHidden/>
              </w:rPr>
              <w:tab/>
            </w:r>
            <w:r w:rsidR="00382A8C">
              <w:rPr>
                <w:noProof/>
                <w:webHidden/>
              </w:rPr>
              <w:fldChar w:fldCharType="begin"/>
            </w:r>
            <w:r w:rsidR="00382A8C">
              <w:rPr>
                <w:noProof/>
                <w:webHidden/>
              </w:rPr>
              <w:instrText xml:space="preserve"> PAGEREF _Toc24447773 \h </w:instrText>
            </w:r>
            <w:r w:rsidR="00382A8C">
              <w:rPr>
                <w:noProof/>
                <w:webHidden/>
              </w:rPr>
            </w:r>
            <w:r w:rsidR="00382A8C">
              <w:rPr>
                <w:noProof/>
                <w:webHidden/>
              </w:rPr>
              <w:fldChar w:fldCharType="separate"/>
            </w:r>
            <w:r w:rsidR="00382A8C">
              <w:rPr>
                <w:noProof/>
                <w:webHidden/>
              </w:rPr>
              <w:t>38</w:t>
            </w:r>
            <w:r w:rsidR="00382A8C">
              <w:rPr>
                <w:noProof/>
                <w:webHidden/>
              </w:rPr>
              <w:fldChar w:fldCharType="end"/>
            </w:r>
          </w:hyperlink>
        </w:p>
        <w:p w14:paraId="3225D15E" w14:textId="77777777" w:rsidR="00382A8C" w:rsidRDefault="00F771A1">
          <w:pPr>
            <w:pStyle w:val="TOC1"/>
            <w:rPr>
              <w:rFonts w:asciiTheme="minorHAnsi" w:hAnsiTheme="minorHAnsi" w:cstheme="minorBidi"/>
              <w:noProof/>
              <w:sz w:val="22"/>
              <w:lang w:eastAsia="en-US"/>
            </w:rPr>
          </w:pPr>
          <w:hyperlink w:anchor="_Toc24447774" w:history="1">
            <w:r w:rsidR="00382A8C" w:rsidRPr="00977E77">
              <w:rPr>
                <w:rStyle w:val="Hyperlink"/>
                <w:noProof/>
              </w:rPr>
              <w:t>2.5. Barriers to HIT Adoption</w:t>
            </w:r>
            <w:r w:rsidR="00382A8C">
              <w:rPr>
                <w:noProof/>
                <w:webHidden/>
              </w:rPr>
              <w:tab/>
            </w:r>
            <w:r w:rsidR="00382A8C">
              <w:rPr>
                <w:noProof/>
                <w:webHidden/>
              </w:rPr>
              <w:fldChar w:fldCharType="begin"/>
            </w:r>
            <w:r w:rsidR="00382A8C">
              <w:rPr>
                <w:noProof/>
                <w:webHidden/>
              </w:rPr>
              <w:instrText xml:space="preserve"> PAGEREF _Toc24447774 \h </w:instrText>
            </w:r>
            <w:r w:rsidR="00382A8C">
              <w:rPr>
                <w:noProof/>
                <w:webHidden/>
              </w:rPr>
            </w:r>
            <w:r w:rsidR="00382A8C">
              <w:rPr>
                <w:noProof/>
                <w:webHidden/>
              </w:rPr>
              <w:fldChar w:fldCharType="separate"/>
            </w:r>
            <w:r w:rsidR="00382A8C">
              <w:rPr>
                <w:noProof/>
                <w:webHidden/>
              </w:rPr>
              <w:t>49</w:t>
            </w:r>
            <w:r w:rsidR="00382A8C">
              <w:rPr>
                <w:noProof/>
                <w:webHidden/>
              </w:rPr>
              <w:fldChar w:fldCharType="end"/>
            </w:r>
          </w:hyperlink>
        </w:p>
        <w:p w14:paraId="6FDDCDB3" w14:textId="77777777" w:rsidR="00382A8C" w:rsidRDefault="00F771A1">
          <w:pPr>
            <w:pStyle w:val="TOC1"/>
            <w:rPr>
              <w:rFonts w:asciiTheme="minorHAnsi" w:hAnsiTheme="minorHAnsi" w:cstheme="minorBidi"/>
              <w:noProof/>
              <w:sz w:val="22"/>
              <w:lang w:eastAsia="en-US"/>
            </w:rPr>
          </w:pPr>
          <w:hyperlink w:anchor="_Toc24447775" w:history="1">
            <w:r w:rsidR="00382A8C" w:rsidRPr="00977E77">
              <w:rPr>
                <w:rStyle w:val="Hyperlink"/>
                <w:noProof/>
              </w:rPr>
              <w:t>2.6. Summary</w:t>
            </w:r>
            <w:r w:rsidR="00382A8C">
              <w:rPr>
                <w:noProof/>
                <w:webHidden/>
              </w:rPr>
              <w:tab/>
            </w:r>
            <w:r w:rsidR="00382A8C">
              <w:rPr>
                <w:noProof/>
                <w:webHidden/>
              </w:rPr>
              <w:fldChar w:fldCharType="begin"/>
            </w:r>
            <w:r w:rsidR="00382A8C">
              <w:rPr>
                <w:noProof/>
                <w:webHidden/>
              </w:rPr>
              <w:instrText xml:space="preserve"> PAGEREF _Toc24447775 \h </w:instrText>
            </w:r>
            <w:r w:rsidR="00382A8C">
              <w:rPr>
                <w:noProof/>
                <w:webHidden/>
              </w:rPr>
            </w:r>
            <w:r w:rsidR="00382A8C">
              <w:rPr>
                <w:noProof/>
                <w:webHidden/>
              </w:rPr>
              <w:fldChar w:fldCharType="separate"/>
            </w:r>
            <w:r w:rsidR="00382A8C">
              <w:rPr>
                <w:noProof/>
                <w:webHidden/>
              </w:rPr>
              <w:t>60</w:t>
            </w:r>
            <w:r w:rsidR="00382A8C">
              <w:rPr>
                <w:noProof/>
                <w:webHidden/>
              </w:rPr>
              <w:fldChar w:fldCharType="end"/>
            </w:r>
          </w:hyperlink>
        </w:p>
        <w:p w14:paraId="2B2941F7" w14:textId="77777777" w:rsidR="00382A8C" w:rsidRDefault="00F771A1">
          <w:pPr>
            <w:pStyle w:val="TOC1"/>
            <w:rPr>
              <w:rFonts w:asciiTheme="minorHAnsi" w:hAnsiTheme="minorHAnsi" w:cstheme="minorBidi"/>
              <w:noProof/>
              <w:sz w:val="22"/>
              <w:lang w:eastAsia="en-US"/>
            </w:rPr>
          </w:pPr>
          <w:hyperlink w:anchor="_Toc24447776" w:history="1">
            <w:r w:rsidR="00382A8C" w:rsidRPr="00977E77">
              <w:rPr>
                <w:rStyle w:val="Hyperlink"/>
                <w:noProof/>
              </w:rPr>
              <w:t>CHAPTER 3: Theoretical Framework and Hypotheses Development</w:t>
            </w:r>
            <w:r w:rsidR="00382A8C">
              <w:rPr>
                <w:noProof/>
                <w:webHidden/>
              </w:rPr>
              <w:tab/>
            </w:r>
            <w:r w:rsidR="00382A8C">
              <w:rPr>
                <w:noProof/>
                <w:webHidden/>
              </w:rPr>
              <w:fldChar w:fldCharType="begin"/>
            </w:r>
            <w:r w:rsidR="00382A8C">
              <w:rPr>
                <w:noProof/>
                <w:webHidden/>
              </w:rPr>
              <w:instrText xml:space="preserve"> PAGEREF _Toc24447776 \h </w:instrText>
            </w:r>
            <w:r w:rsidR="00382A8C">
              <w:rPr>
                <w:noProof/>
                <w:webHidden/>
              </w:rPr>
            </w:r>
            <w:r w:rsidR="00382A8C">
              <w:rPr>
                <w:noProof/>
                <w:webHidden/>
              </w:rPr>
              <w:fldChar w:fldCharType="separate"/>
            </w:r>
            <w:r w:rsidR="00382A8C">
              <w:rPr>
                <w:noProof/>
                <w:webHidden/>
              </w:rPr>
              <w:t>62</w:t>
            </w:r>
            <w:r w:rsidR="00382A8C">
              <w:rPr>
                <w:noProof/>
                <w:webHidden/>
              </w:rPr>
              <w:fldChar w:fldCharType="end"/>
            </w:r>
          </w:hyperlink>
        </w:p>
        <w:p w14:paraId="68D476F9" w14:textId="77777777" w:rsidR="00382A8C" w:rsidRDefault="00F771A1">
          <w:pPr>
            <w:pStyle w:val="TOC1"/>
            <w:rPr>
              <w:rFonts w:asciiTheme="minorHAnsi" w:hAnsiTheme="minorHAnsi" w:cstheme="minorBidi"/>
              <w:noProof/>
              <w:sz w:val="22"/>
              <w:lang w:eastAsia="en-US"/>
            </w:rPr>
          </w:pPr>
          <w:hyperlink w:anchor="_Toc24447777" w:history="1">
            <w:r w:rsidR="00382A8C" w:rsidRPr="00977E77">
              <w:rPr>
                <w:rStyle w:val="Hyperlink"/>
                <w:noProof/>
              </w:rPr>
              <w:t>3.1. Stakeholder Theory</w:t>
            </w:r>
            <w:r w:rsidR="00382A8C">
              <w:rPr>
                <w:noProof/>
                <w:webHidden/>
              </w:rPr>
              <w:tab/>
            </w:r>
            <w:r w:rsidR="00382A8C">
              <w:rPr>
                <w:noProof/>
                <w:webHidden/>
              </w:rPr>
              <w:fldChar w:fldCharType="begin"/>
            </w:r>
            <w:r w:rsidR="00382A8C">
              <w:rPr>
                <w:noProof/>
                <w:webHidden/>
              </w:rPr>
              <w:instrText xml:space="preserve"> PAGEREF _Toc24447777 \h </w:instrText>
            </w:r>
            <w:r w:rsidR="00382A8C">
              <w:rPr>
                <w:noProof/>
                <w:webHidden/>
              </w:rPr>
            </w:r>
            <w:r w:rsidR="00382A8C">
              <w:rPr>
                <w:noProof/>
                <w:webHidden/>
              </w:rPr>
              <w:fldChar w:fldCharType="separate"/>
            </w:r>
            <w:r w:rsidR="00382A8C">
              <w:rPr>
                <w:noProof/>
                <w:webHidden/>
              </w:rPr>
              <w:t>63</w:t>
            </w:r>
            <w:r w:rsidR="00382A8C">
              <w:rPr>
                <w:noProof/>
                <w:webHidden/>
              </w:rPr>
              <w:fldChar w:fldCharType="end"/>
            </w:r>
          </w:hyperlink>
        </w:p>
        <w:p w14:paraId="39E50AEB" w14:textId="77777777" w:rsidR="00382A8C" w:rsidRDefault="00F771A1">
          <w:pPr>
            <w:pStyle w:val="TOC1"/>
            <w:rPr>
              <w:rFonts w:asciiTheme="minorHAnsi" w:hAnsiTheme="minorHAnsi" w:cstheme="minorBidi"/>
              <w:noProof/>
              <w:sz w:val="22"/>
              <w:lang w:eastAsia="en-US"/>
            </w:rPr>
          </w:pPr>
          <w:hyperlink w:anchor="_Toc24447778" w:history="1">
            <w:r w:rsidR="00382A8C" w:rsidRPr="00977E77">
              <w:rPr>
                <w:rStyle w:val="Hyperlink"/>
                <w:noProof/>
              </w:rPr>
              <w:t>3.2. Stakeholder Theory in Healthcare</w:t>
            </w:r>
            <w:r w:rsidR="00382A8C">
              <w:rPr>
                <w:noProof/>
                <w:webHidden/>
              </w:rPr>
              <w:tab/>
            </w:r>
            <w:r w:rsidR="00382A8C">
              <w:rPr>
                <w:noProof/>
                <w:webHidden/>
              </w:rPr>
              <w:fldChar w:fldCharType="begin"/>
            </w:r>
            <w:r w:rsidR="00382A8C">
              <w:rPr>
                <w:noProof/>
                <w:webHidden/>
              </w:rPr>
              <w:instrText xml:space="preserve"> PAGEREF _Toc24447778 \h </w:instrText>
            </w:r>
            <w:r w:rsidR="00382A8C">
              <w:rPr>
                <w:noProof/>
                <w:webHidden/>
              </w:rPr>
            </w:r>
            <w:r w:rsidR="00382A8C">
              <w:rPr>
                <w:noProof/>
                <w:webHidden/>
              </w:rPr>
              <w:fldChar w:fldCharType="separate"/>
            </w:r>
            <w:r w:rsidR="00382A8C">
              <w:rPr>
                <w:noProof/>
                <w:webHidden/>
              </w:rPr>
              <w:t>65</w:t>
            </w:r>
            <w:r w:rsidR="00382A8C">
              <w:rPr>
                <w:noProof/>
                <w:webHidden/>
              </w:rPr>
              <w:fldChar w:fldCharType="end"/>
            </w:r>
          </w:hyperlink>
        </w:p>
        <w:p w14:paraId="22E0B8C2" w14:textId="77777777" w:rsidR="00382A8C" w:rsidRDefault="00F771A1">
          <w:pPr>
            <w:pStyle w:val="TOC1"/>
            <w:rPr>
              <w:rFonts w:asciiTheme="minorHAnsi" w:hAnsiTheme="minorHAnsi" w:cstheme="minorBidi"/>
              <w:noProof/>
              <w:sz w:val="22"/>
              <w:lang w:eastAsia="en-US"/>
            </w:rPr>
          </w:pPr>
          <w:hyperlink w:anchor="_Toc24447779" w:history="1">
            <w:r w:rsidR="00382A8C" w:rsidRPr="00977E77">
              <w:rPr>
                <w:rStyle w:val="Hyperlink"/>
                <w:noProof/>
              </w:rPr>
              <w:t>3.3 The Unified Theory of Acceptance and  Use of Technology (UTAUT) Model</w:t>
            </w:r>
            <w:r w:rsidR="00382A8C">
              <w:rPr>
                <w:noProof/>
                <w:webHidden/>
              </w:rPr>
              <w:tab/>
            </w:r>
            <w:r w:rsidR="00382A8C">
              <w:rPr>
                <w:noProof/>
                <w:webHidden/>
              </w:rPr>
              <w:fldChar w:fldCharType="begin"/>
            </w:r>
            <w:r w:rsidR="00382A8C">
              <w:rPr>
                <w:noProof/>
                <w:webHidden/>
              </w:rPr>
              <w:instrText xml:space="preserve"> PAGEREF _Toc24447779 \h </w:instrText>
            </w:r>
            <w:r w:rsidR="00382A8C">
              <w:rPr>
                <w:noProof/>
                <w:webHidden/>
              </w:rPr>
            </w:r>
            <w:r w:rsidR="00382A8C">
              <w:rPr>
                <w:noProof/>
                <w:webHidden/>
              </w:rPr>
              <w:fldChar w:fldCharType="separate"/>
            </w:r>
            <w:r w:rsidR="00382A8C">
              <w:rPr>
                <w:noProof/>
                <w:webHidden/>
              </w:rPr>
              <w:t>68</w:t>
            </w:r>
            <w:r w:rsidR="00382A8C">
              <w:rPr>
                <w:noProof/>
                <w:webHidden/>
              </w:rPr>
              <w:fldChar w:fldCharType="end"/>
            </w:r>
          </w:hyperlink>
        </w:p>
        <w:p w14:paraId="221CA6B9" w14:textId="77777777" w:rsidR="00382A8C" w:rsidRDefault="00F771A1">
          <w:pPr>
            <w:pStyle w:val="TOC1"/>
            <w:rPr>
              <w:rFonts w:asciiTheme="minorHAnsi" w:hAnsiTheme="minorHAnsi" w:cstheme="minorBidi"/>
              <w:noProof/>
              <w:sz w:val="22"/>
              <w:lang w:eastAsia="en-US"/>
            </w:rPr>
          </w:pPr>
          <w:hyperlink w:anchor="_Toc24447780" w:history="1">
            <w:r w:rsidR="00382A8C" w:rsidRPr="00977E77">
              <w:rPr>
                <w:rStyle w:val="Hyperlink"/>
                <w:noProof/>
              </w:rPr>
              <w:t>3.4. The Unified Theory of Acceptance and  Use of Technology (UTAUT) Model in Healthcare</w:t>
            </w:r>
            <w:r w:rsidR="00382A8C">
              <w:rPr>
                <w:noProof/>
                <w:webHidden/>
              </w:rPr>
              <w:tab/>
            </w:r>
            <w:r w:rsidR="00382A8C">
              <w:rPr>
                <w:noProof/>
                <w:webHidden/>
              </w:rPr>
              <w:fldChar w:fldCharType="begin"/>
            </w:r>
            <w:r w:rsidR="00382A8C">
              <w:rPr>
                <w:noProof/>
                <w:webHidden/>
              </w:rPr>
              <w:instrText xml:space="preserve"> PAGEREF _Toc24447780 \h </w:instrText>
            </w:r>
            <w:r w:rsidR="00382A8C">
              <w:rPr>
                <w:noProof/>
                <w:webHidden/>
              </w:rPr>
            </w:r>
            <w:r w:rsidR="00382A8C">
              <w:rPr>
                <w:noProof/>
                <w:webHidden/>
              </w:rPr>
              <w:fldChar w:fldCharType="separate"/>
            </w:r>
            <w:r w:rsidR="00382A8C">
              <w:rPr>
                <w:noProof/>
                <w:webHidden/>
              </w:rPr>
              <w:t>70</w:t>
            </w:r>
            <w:r w:rsidR="00382A8C">
              <w:rPr>
                <w:noProof/>
                <w:webHidden/>
              </w:rPr>
              <w:fldChar w:fldCharType="end"/>
            </w:r>
          </w:hyperlink>
        </w:p>
        <w:p w14:paraId="4034BC2F" w14:textId="77777777" w:rsidR="00382A8C" w:rsidRDefault="00F771A1">
          <w:pPr>
            <w:pStyle w:val="TOC1"/>
            <w:rPr>
              <w:rFonts w:asciiTheme="minorHAnsi" w:hAnsiTheme="minorHAnsi" w:cstheme="minorBidi"/>
              <w:noProof/>
              <w:sz w:val="22"/>
              <w:lang w:eastAsia="en-US"/>
            </w:rPr>
          </w:pPr>
          <w:hyperlink w:anchor="_Toc24447781" w:history="1">
            <w:r w:rsidR="00382A8C" w:rsidRPr="00977E77">
              <w:rPr>
                <w:rStyle w:val="Hyperlink"/>
                <w:noProof/>
              </w:rPr>
              <w:t>3.5. The Present Research</w:t>
            </w:r>
            <w:r w:rsidR="00382A8C">
              <w:rPr>
                <w:noProof/>
                <w:webHidden/>
              </w:rPr>
              <w:tab/>
            </w:r>
            <w:r w:rsidR="00382A8C">
              <w:rPr>
                <w:noProof/>
                <w:webHidden/>
              </w:rPr>
              <w:fldChar w:fldCharType="begin"/>
            </w:r>
            <w:r w:rsidR="00382A8C">
              <w:rPr>
                <w:noProof/>
                <w:webHidden/>
              </w:rPr>
              <w:instrText xml:space="preserve"> PAGEREF _Toc24447781 \h </w:instrText>
            </w:r>
            <w:r w:rsidR="00382A8C">
              <w:rPr>
                <w:noProof/>
                <w:webHidden/>
              </w:rPr>
            </w:r>
            <w:r w:rsidR="00382A8C">
              <w:rPr>
                <w:noProof/>
                <w:webHidden/>
              </w:rPr>
              <w:fldChar w:fldCharType="separate"/>
            </w:r>
            <w:r w:rsidR="00382A8C">
              <w:rPr>
                <w:noProof/>
                <w:webHidden/>
              </w:rPr>
              <w:t>75</w:t>
            </w:r>
            <w:r w:rsidR="00382A8C">
              <w:rPr>
                <w:noProof/>
                <w:webHidden/>
              </w:rPr>
              <w:fldChar w:fldCharType="end"/>
            </w:r>
          </w:hyperlink>
        </w:p>
        <w:p w14:paraId="42241AA9" w14:textId="77777777" w:rsidR="00382A8C" w:rsidRDefault="00F771A1">
          <w:pPr>
            <w:pStyle w:val="TOC1"/>
            <w:rPr>
              <w:rFonts w:asciiTheme="minorHAnsi" w:hAnsiTheme="minorHAnsi" w:cstheme="minorBidi"/>
              <w:noProof/>
              <w:sz w:val="22"/>
              <w:lang w:eastAsia="en-US"/>
            </w:rPr>
          </w:pPr>
          <w:hyperlink w:anchor="_Toc24447782" w:history="1">
            <w:r w:rsidR="00382A8C" w:rsidRPr="00977E77">
              <w:rPr>
                <w:rStyle w:val="Hyperlink"/>
                <w:noProof/>
              </w:rPr>
              <w:t>3.6. Summary</w:t>
            </w:r>
            <w:r w:rsidR="00382A8C">
              <w:rPr>
                <w:noProof/>
                <w:webHidden/>
              </w:rPr>
              <w:tab/>
            </w:r>
            <w:r w:rsidR="00382A8C">
              <w:rPr>
                <w:noProof/>
                <w:webHidden/>
              </w:rPr>
              <w:fldChar w:fldCharType="begin"/>
            </w:r>
            <w:r w:rsidR="00382A8C">
              <w:rPr>
                <w:noProof/>
                <w:webHidden/>
              </w:rPr>
              <w:instrText xml:space="preserve"> PAGEREF _Toc24447782 \h </w:instrText>
            </w:r>
            <w:r w:rsidR="00382A8C">
              <w:rPr>
                <w:noProof/>
                <w:webHidden/>
              </w:rPr>
            </w:r>
            <w:r w:rsidR="00382A8C">
              <w:rPr>
                <w:noProof/>
                <w:webHidden/>
              </w:rPr>
              <w:fldChar w:fldCharType="separate"/>
            </w:r>
            <w:r w:rsidR="00382A8C">
              <w:rPr>
                <w:noProof/>
                <w:webHidden/>
              </w:rPr>
              <w:t>76</w:t>
            </w:r>
            <w:r w:rsidR="00382A8C">
              <w:rPr>
                <w:noProof/>
                <w:webHidden/>
              </w:rPr>
              <w:fldChar w:fldCharType="end"/>
            </w:r>
          </w:hyperlink>
        </w:p>
        <w:p w14:paraId="7E1F9916" w14:textId="77777777" w:rsidR="00382A8C" w:rsidRDefault="00F771A1">
          <w:pPr>
            <w:pStyle w:val="TOC1"/>
            <w:rPr>
              <w:rFonts w:asciiTheme="minorHAnsi" w:hAnsiTheme="minorHAnsi" w:cstheme="minorBidi"/>
              <w:noProof/>
              <w:sz w:val="22"/>
              <w:lang w:eastAsia="en-US"/>
            </w:rPr>
          </w:pPr>
          <w:hyperlink w:anchor="_Toc24447783" w:history="1">
            <w:r w:rsidR="00382A8C" w:rsidRPr="00977E77">
              <w:rPr>
                <w:rStyle w:val="Hyperlink"/>
                <w:noProof/>
              </w:rPr>
              <w:t>CHAPTER 4: Data and Methodology</w:t>
            </w:r>
            <w:r w:rsidR="00382A8C">
              <w:rPr>
                <w:noProof/>
                <w:webHidden/>
              </w:rPr>
              <w:tab/>
            </w:r>
            <w:r w:rsidR="00382A8C">
              <w:rPr>
                <w:noProof/>
                <w:webHidden/>
              </w:rPr>
              <w:fldChar w:fldCharType="begin"/>
            </w:r>
            <w:r w:rsidR="00382A8C">
              <w:rPr>
                <w:noProof/>
                <w:webHidden/>
              </w:rPr>
              <w:instrText xml:space="preserve"> PAGEREF _Toc24447783 \h </w:instrText>
            </w:r>
            <w:r w:rsidR="00382A8C">
              <w:rPr>
                <w:noProof/>
                <w:webHidden/>
              </w:rPr>
            </w:r>
            <w:r w:rsidR="00382A8C">
              <w:rPr>
                <w:noProof/>
                <w:webHidden/>
              </w:rPr>
              <w:fldChar w:fldCharType="separate"/>
            </w:r>
            <w:r w:rsidR="00382A8C">
              <w:rPr>
                <w:noProof/>
                <w:webHidden/>
              </w:rPr>
              <w:t>78</w:t>
            </w:r>
            <w:r w:rsidR="00382A8C">
              <w:rPr>
                <w:noProof/>
                <w:webHidden/>
              </w:rPr>
              <w:fldChar w:fldCharType="end"/>
            </w:r>
          </w:hyperlink>
        </w:p>
        <w:p w14:paraId="1D40DD13" w14:textId="77777777" w:rsidR="00382A8C" w:rsidRDefault="00F771A1">
          <w:pPr>
            <w:pStyle w:val="TOC1"/>
            <w:rPr>
              <w:rFonts w:asciiTheme="minorHAnsi" w:hAnsiTheme="minorHAnsi" w:cstheme="minorBidi"/>
              <w:noProof/>
              <w:sz w:val="22"/>
              <w:lang w:eastAsia="en-US"/>
            </w:rPr>
          </w:pPr>
          <w:hyperlink w:anchor="_Toc24447784" w:history="1">
            <w:r w:rsidR="00382A8C" w:rsidRPr="00977E77">
              <w:rPr>
                <w:rStyle w:val="Hyperlink"/>
                <w:noProof/>
              </w:rPr>
              <w:t>4.1. Background of the Research Methodology</w:t>
            </w:r>
            <w:r w:rsidR="00382A8C">
              <w:rPr>
                <w:noProof/>
                <w:webHidden/>
              </w:rPr>
              <w:tab/>
            </w:r>
            <w:r w:rsidR="00382A8C">
              <w:rPr>
                <w:noProof/>
                <w:webHidden/>
              </w:rPr>
              <w:fldChar w:fldCharType="begin"/>
            </w:r>
            <w:r w:rsidR="00382A8C">
              <w:rPr>
                <w:noProof/>
                <w:webHidden/>
              </w:rPr>
              <w:instrText xml:space="preserve"> PAGEREF _Toc24447784 \h </w:instrText>
            </w:r>
            <w:r w:rsidR="00382A8C">
              <w:rPr>
                <w:noProof/>
                <w:webHidden/>
              </w:rPr>
            </w:r>
            <w:r w:rsidR="00382A8C">
              <w:rPr>
                <w:noProof/>
                <w:webHidden/>
              </w:rPr>
              <w:fldChar w:fldCharType="separate"/>
            </w:r>
            <w:r w:rsidR="00382A8C">
              <w:rPr>
                <w:noProof/>
                <w:webHidden/>
              </w:rPr>
              <w:t>79</w:t>
            </w:r>
            <w:r w:rsidR="00382A8C">
              <w:rPr>
                <w:noProof/>
                <w:webHidden/>
              </w:rPr>
              <w:fldChar w:fldCharType="end"/>
            </w:r>
          </w:hyperlink>
        </w:p>
        <w:p w14:paraId="5C6DF3F3" w14:textId="77777777" w:rsidR="00382A8C" w:rsidRDefault="00F771A1">
          <w:pPr>
            <w:pStyle w:val="TOC1"/>
            <w:rPr>
              <w:rFonts w:asciiTheme="minorHAnsi" w:hAnsiTheme="minorHAnsi" w:cstheme="minorBidi"/>
              <w:noProof/>
              <w:sz w:val="22"/>
              <w:lang w:eastAsia="en-US"/>
            </w:rPr>
          </w:pPr>
          <w:hyperlink w:anchor="_Toc24447785" w:history="1">
            <w:r w:rsidR="00382A8C" w:rsidRPr="00977E77">
              <w:rPr>
                <w:rStyle w:val="Hyperlink"/>
                <w:noProof/>
              </w:rPr>
              <w:t>4.2. Justification for the Research Methodology</w:t>
            </w:r>
            <w:r w:rsidR="00382A8C">
              <w:rPr>
                <w:noProof/>
                <w:webHidden/>
              </w:rPr>
              <w:tab/>
            </w:r>
            <w:r w:rsidR="00382A8C">
              <w:rPr>
                <w:noProof/>
                <w:webHidden/>
              </w:rPr>
              <w:fldChar w:fldCharType="begin"/>
            </w:r>
            <w:r w:rsidR="00382A8C">
              <w:rPr>
                <w:noProof/>
                <w:webHidden/>
              </w:rPr>
              <w:instrText xml:space="preserve"> PAGEREF _Toc24447785 \h </w:instrText>
            </w:r>
            <w:r w:rsidR="00382A8C">
              <w:rPr>
                <w:noProof/>
                <w:webHidden/>
              </w:rPr>
            </w:r>
            <w:r w:rsidR="00382A8C">
              <w:rPr>
                <w:noProof/>
                <w:webHidden/>
              </w:rPr>
              <w:fldChar w:fldCharType="separate"/>
            </w:r>
            <w:r w:rsidR="00382A8C">
              <w:rPr>
                <w:noProof/>
                <w:webHidden/>
              </w:rPr>
              <w:t>82</w:t>
            </w:r>
            <w:r w:rsidR="00382A8C">
              <w:rPr>
                <w:noProof/>
                <w:webHidden/>
              </w:rPr>
              <w:fldChar w:fldCharType="end"/>
            </w:r>
          </w:hyperlink>
        </w:p>
        <w:p w14:paraId="01348726" w14:textId="77777777" w:rsidR="00382A8C" w:rsidRDefault="00F771A1">
          <w:pPr>
            <w:pStyle w:val="TOC1"/>
            <w:rPr>
              <w:rFonts w:asciiTheme="minorHAnsi" w:hAnsiTheme="minorHAnsi" w:cstheme="minorBidi"/>
              <w:noProof/>
              <w:sz w:val="22"/>
              <w:lang w:eastAsia="en-US"/>
            </w:rPr>
          </w:pPr>
          <w:hyperlink w:anchor="_Toc24447786" w:history="1">
            <w:r w:rsidR="00382A8C" w:rsidRPr="00977E77">
              <w:rPr>
                <w:rStyle w:val="Hyperlink"/>
                <w:noProof/>
              </w:rPr>
              <w:t>4.3. Step 1 (Qualitative): Exploratory Factor Analysis (EFA)</w:t>
            </w:r>
            <w:r w:rsidR="00382A8C">
              <w:rPr>
                <w:noProof/>
                <w:webHidden/>
              </w:rPr>
              <w:tab/>
            </w:r>
            <w:r w:rsidR="00382A8C">
              <w:rPr>
                <w:noProof/>
                <w:webHidden/>
              </w:rPr>
              <w:fldChar w:fldCharType="begin"/>
            </w:r>
            <w:r w:rsidR="00382A8C">
              <w:rPr>
                <w:noProof/>
                <w:webHidden/>
              </w:rPr>
              <w:instrText xml:space="preserve"> PAGEREF _Toc24447786 \h </w:instrText>
            </w:r>
            <w:r w:rsidR="00382A8C">
              <w:rPr>
                <w:noProof/>
                <w:webHidden/>
              </w:rPr>
            </w:r>
            <w:r w:rsidR="00382A8C">
              <w:rPr>
                <w:noProof/>
                <w:webHidden/>
              </w:rPr>
              <w:fldChar w:fldCharType="separate"/>
            </w:r>
            <w:r w:rsidR="00382A8C">
              <w:rPr>
                <w:noProof/>
                <w:webHidden/>
              </w:rPr>
              <w:t>83</w:t>
            </w:r>
            <w:r w:rsidR="00382A8C">
              <w:rPr>
                <w:noProof/>
                <w:webHidden/>
              </w:rPr>
              <w:fldChar w:fldCharType="end"/>
            </w:r>
          </w:hyperlink>
        </w:p>
        <w:p w14:paraId="5731766C" w14:textId="77777777" w:rsidR="00382A8C" w:rsidRDefault="00F771A1">
          <w:pPr>
            <w:pStyle w:val="TOC2"/>
            <w:rPr>
              <w:rFonts w:cstheme="minorBidi"/>
              <w:noProof/>
              <w:lang w:eastAsia="en-US"/>
            </w:rPr>
          </w:pPr>
          <w:hyperlink w:anchor="_Toc24447787" w:history="1">
            <w:r w:rsidR="00382A8C" w:rsidRPr="00977E77">
              <w:rPr>
                <w:rStyle w:val="Hyperlink"/>
                <w:noProof/>
              </w:rPr>
              <w:t>4.3.1. Participant Selection</w:t>
            </w:r>
            <w:r w:rsidR="00382A8C">
              <w:rPr>
                <w:noProof/>
                <w:webHidden/>
              </w:rPr>
              <w:tab/>
            </w:r>
            <w:r w:rsidR="00382A8C">
              <w:rPr>
                <w:noProof/>
                <w:webHidden/>
              </w:rPr>
              <w:fldChar w:fldCharType="begin"/>
            </w:r>
            <w:r w:rsidR="00382A8C">
              <w:rPr>
                <w:noProof/>
                <w:webHidden/>
              </w:rPr>
              <w:instrText xml:space="preserve"> PAGEREF _Toc24447787 \h </w:instrText>
            </w:r>
            <w:r w:rsidR="00382A8C">
              <w:rPr>
                <w:noProof/>
                <w:webHidden/>
              </w:rPr>
            </w:r>
            <w:r w:rsidR="00382A8C">
              <w:rPr>
                <w:noProof/>
                <w:webHidden/>
              </w:rPr>
              <w:fldChar w:fldCharType="separate"/>
            </w:r>
            <w:r w:rsidR="00382A8C">
              <w:rPr>
                <w:noProof/>
                <w:webHidden/>
              </w:rPr>
              <w:t>83</w:t>
            </w:r>
            <w:r w:rsidR="00382A8C">
              <w:rPr>
                <w:noProof/>
                <w:webHidden/>
              </w:rPr>
              <w:fldChar w:fldCharType="end"/>
            </w:r>
          </w:hyperlink>
        </w:p>
        <w:p w14:paraId="1F99013A" w14:textId="77777777" w:rsidR="00382A8C" w:rsidRDefault="00F771A1">
          <w:pPr>
            <w:pStyle w:val="TOC2"/>
            <w:rPr>
              <w:rFonts w:cstheme="minorBidi"/>
              <w:noProof/>
              <w:lang w:eastAsia="en-US"/>
            </w:rPr>
          </w:pPr>
          <w:hyperlink w:anchor="_Toc24447788" w:history="1">
            <w:r w:rsidR="00382A8C" w:rsidRPr="00977E77">
              <w:rPr>
                <w:rStyle w:val="Hyperlink"/>
                <w:noProof/>
              </w:rPr>
              <w:t>4.3.2. Instrument and Data Collection for Exploratory Analysis</w:t>
            </w:r>
            <w:r w:rsidR="00382A8C">
              <w:rPr>
                <w:noProof/>
                <w:webHidden/>
              </w:rPr>
              <w:tab/>
            </w:r>
            <w:r w:rsidR="00382A8C">
              <w:rPr>
                <w:noProof/>
                <w:webHidden/>
              </w:rPr>
              <w:fldChar w:fldCharType="begin"/>
            </w:r>
            <w:r w:rsidR="00382A8C">
              <w:rPr>
                <w:noProof/>
                <w:webHidden/>
              </w:rPr>
              <w:instrText xml:space="preserve"> PAGEREF _Toc24447788 \h </w:instrText>
            </w:r>
            <w:r w:rsidR="00382A8C">
              <w:rPr>
                <w:noProof/>
                <w:webHidden/>
              </w:rPr>
            </w:r>
            <w:r w:rsidR="00382A8C">
              <w:rPr>
                <w:noProof/>
                <w:webHidden/>
              </w:rPr>
              <w:fldChar w:fldCharType="separate"/>
            </w:r>
            <w:r w:rsidR="00382A8C">
              <w:rPr>
                <w:noProof/>
                <w:webHidden/>
              </w:rPr>
              <w:t>87</w:t>
            </w:r>
            <w:r w:rsidR="00382A8C">
              <w:rPr>
                <w:noProof/>
                <w:webHidden/>
              </w:rPr>
              <w:fldChar w:fldCharType="end"/>
            </w:r>
          </w:hyperlink>
        </w:p>
        <w:p w14:paraId="4BD0D3E7" w14:textId="77777777" w:rsidR="00382A8C" w:rsidRDefault="00F771A1">
          <w:pPr>
            <w:pStyle w:val="TOC2"/>
            <w:rPr>
              <w:rFonts w:cstheme="minorBidi"/>
              <w:noProof/>
              <w:lang w:eastAsia="en-US"/>
            </w:rPr>
          </w:pPr>
          <w:hyperlink w:anchor="_Toc24447789" w:history="1">
            <w:r w:rsidR="00382A8C" w:rsidRPr="00977E77">
              <w:rPr>
                <w:rStyle w:val="Hyperlink"/>
                <w:noProof/>
              </w:rPr>
              <w:t>4.3.3. Data Analysis: Exploratory Factor Analysis (EFA)</w:t>
            </w:r>
            <w:r w:rsidR="00382A8C">
              <w:rPr>
                <w:noProof/>
                <w:webHidden/>
              </w:rPr>
              <w:tab/>
            </w:r>
            <w:r w:rsidR="00382A8C">
              <w:rPr>
                <w:noProof/>
                <w:webHidden/>
              </w:rPr>
              <w:fldChar w:fldCharType="begin"/>
            </w:r>
            <w:r w:rsidR="00382A8C">
              <w:rPr>
                <w:noProof/>
                <w:webHidden/>
              </w:rPr>
              <w:instrText xml:space="preserve"> PAGEREF _Toc24447789 \h </w:instrText>
            </w:r>
            <w:r w:rsidR="00382A8C">
              <w:rPr>
                <w:noProof/>
                <w:webHidden/>
              </w:rPr>
            </w:r>
            <w:r w:rsidR="00382A8C">
              <w:rPr>
                <w:noProof/>
                <w:webHidden/>
              </w:rPr>
              <w:fldChar w:fldCharType="separate"/>
            </w:r>
            <w:r w:rsidR="00382A8C">
              <w:rPr>
                <w:noProof/>
                <w:webHidden/>
              </w:rPr>
              <w:t>87</w:t>
            </w:r>
            <w:r w:rsidR="00382A8C">
              <w:rPr>
                <w:noProof/>
                <w:webHidden/>
              </w:rPr>
              <w:fldChar w:fldCharType="end"/>
            </w:r>
          </w:hyperlink>
        </w:p>
        <w:p w14:paraId="255E29D9" w14:textId="77777777" w:rsidR="00382A8C" w:rsidRDefault="00F771A1">
          <w:pPr>
            <w:pStyle w:val="TOC1"/>
            <w:rPr>
              <w:rFonts w:asciiTheme="minorHAnsi" w:hAnsiTheme="minorHAnsi" w:cstheme="minorBidi"/>
              <w:noProof/>
              <w:sz w:val="22"/>
              <w:lang w:eastAsia="en-US"/>
            </w:rPr>
          </w:pPr>
          <w:hyperlink w:anchor="_Toc24447790" w:history="1">
            <w:r w:rsidR="00382A8C" w:rsidRPr="00977E77">
              <w:rPr>
                <w:rStyle w:val="Hyperlink"/>
                <w:noProof/>
              </w:rPr>
              <w:t>4.4. Step 2 (Quantitative): Factor Analyses and Structural Equation Modeling (SEM)</w:t>
            </w:r>
            <w:r w:rsidR="00382A8C">
              <w:rPr>
                <w:noProof/>
                <w:webHidden/>
              </w:rPr>
              <w:tab/>
            </w:r>
            <w:r w:rsidR="00382A8C">
              <w:rPr>
                <w:noProof/>
                <w:webHidden/>
              </w:rPr>
              <w:fldChar w:fldCharType="begin"/>
            </w:r>
            <w:r w:rsidR="00382A8C">
              <w:rPr>
                <w:noProof/>
                <w:webHidden/>
              </w:rPr>
              <w:instrText xml:space="preserve"> PAGEREF _Toc24447790 \h </w:instrText>
            </w:r>
            <w:r w:rsidR="00382A8C">
              <w:rPr>
                <w:noProof/>
                <w:webHidden/>
              </w:rPr>
            </w:r>
            <w:r w:rsidR="00382A8C">
              <w:rPr>
                <w:noProof/>
                <w:webHidden/>
              </w:rPr>
              <w:fldChar w:fldCharType="separate"/>
            </w:r>
            <w:r w:rsidR="00382A8C">
              <w:rPr>
                <w:noProof/>
                <w:webHidden/>
              </w:rPr>
              <w:t>88</w:t>
            </w:r>
            <w:r w:rsidR="00382A8C">
              <w:rPr>
                <w:noProof/>
                <w:webHidden/>
              </w:rPr>
              <w:fldChar w:fldCharType="end"/>
            </w:r>
          </w:hyperlink>
        </w:p>
        <w:p w14:paraId="28783703" w14:textId="77777777" w:rsidR="00382A8C" w:rsidRDefault="00F771A1">
          <w:pPr>
            <w:pStyle w:val="TOC2"/>
            <w:rPr>
              <w:rFonts w:cstheme="minorBidi"/>
              <w:noProof/>
              <w:lang w:eastAsia="en-US"/>
            </w:rPr>
          </w:pPr>
          <w:hyperlink w:anchor="_Toc24447791" w:history="1">
            <w:r w:rsidR="00382A8C" w:rsidRPr="00977E77">
              <w:rPr>
                <w:rStyle w:val="Hyperlink"/>
                <w:noProof/>
              </w:rPr>
              <w:t>4.4.1. Motivators for and Barriers to HIT Adoption</w:t>
            </w:r>
            <w:r w:rsidR="00382A8C">
              <w:rPr>
                <w:noProof/>
                <w:webHidden/>
              </w:rPr>
              <w:tab/>
            </w:r>
            <w:r w:rsidR="00382A8C">
              <w:rPr>
                <w:noProof/>
                <w:webHidden/>
              </w:rPr>
              <w:fldChar w:fldCharType="begin"/>
            </w:r>
            <w:r w:rsidR="00382A8C">
              <w:rPr>
                <w:noProof/>
                <w:webHidden/>
              </w:rPr>
              <w:instrText xml:space="preserve"> PAGEREF _Toc24447791 \h </w:instrText>
            </w:r>
            <w:r w:rsidR="00382A8C">
              <w:rPr>
                <w:noProof/>
                <w:webHidden/>
              </w:rPr>
            </w:r>
            <w:r w:rsidR="00382A8C">
              <w:rPr>
                <w:noProof/>
                <w:webHidden/>
              </w:rPr>
              <w:fldChar w:fldCharType="separate"/>
            </w:r>
            <w:r w:rsidR="00382A8C">
              <w:rPr>
                <w:noProof/>
                <w:webHidden/>
              </w:rPr>
              <w:t>88</w:t>
            </w:r>
            <w:r w:rsidR="00382A8C">
              <w:rPr>
                <w:noProof/>
                <w:webHidden/>
              </w:rPr>
              <w:fldChar w:fldCharType="end"/>
            </w:r>
          </w:hyperlink>
        </w:p>
        <w:p w14:paraId="26E32504" w14:textId="77777777" w:rsidR="00382A8C" w:rsidRDefault="00F771A1">
          <w:pPr>
            <w:pStyle w:val="TOC2"/>
            <w:rPr>
              <w:rFonts w:cstheme="minorBidi"/>
              <w:noProof/>
              <w:lang w:eastAsia="en-US"/>
            </w:rPr>
          </w:pPr>
          <w:hyperlink w:anchor="_Toc24447792" w:history="1">
            <w:r w:rsidR="00382A8C" w:rsidRPr="00977E77">
              <w:rPr>
                <w:rStyle w:val="Hyperlink"/>
                <w:noProof/>
              </w:rPr>
              <w:t>4.4.2. Participants</w:t>
            </w:r>
            <w:r w:rsidR="00382A8C">
              <w:rPr>
                <w:noProof/>
                <w:webHidden/>
              </w:rPr>
              <w:tab/>
            </w:r>
            <w:r w:rsidR="00382A8C">
              <w:rPr>
                <w:noProof/>
                <w:webHidden/>
              </w:rPr>
              <w:fldChar w:fldCharType="begin"/>
            </w:r>
            <w:r w:rsidR="00382A8C">
              <w:rPr>
                <w:noProof/>
                <w:webHidden/>
              </w:rPr>
              <w:instrText xml:space="preserve"> PAGEREF _Toc24447792 \h </w:instrText>
            </w:r>
            <w:r w:rsidR="00382A8C">
              <w:rPr>
                <w:noProof/>
                <w:webHidden/>
              </w:rPr>
            </w:r>
            <w:r w:rsidR="00382A8C">
              <w:rPr>
                <w:noProof/>
                <w:webHidden/>
              </w:rPr>
              <w:fldChar w:fldCharType="separate"/>
            </w:r>
            <w:r w:rsidR="00382A8C">
              <w:rPr>
                <w:noProof/>
                <w:webHidden/>
              </w:rPr>
              <w:t>89</w:t>
            </w:r>
            <w:r w:rsidR="00382A8C">
              <w:rPr>
                <w:noProof/>
                <w:webHidden/>
              </w:rPr>
              <w:fldChar w:fldCharType="end"/>
            </w:r>
          </w:hyperlink>
        </w:p>
        <w:p w14:paraId="730FC365" w14:textId="77777777" w:rsidR="00382A8C" w:rsidRDefault="00F771A1">
          <w:pPr>
            <w:pStyle w:val="TOC2"/>
            <w:rPr>
              <w:rFonts w:cstheme="minorBidi"/>
              <w:noProof/>
              <w:lang w:eastAsia="en-US"/>
            </w:rPr>
          </w:pPr>
          <w:hyperlink w:anchor="_Toc24447793" w:history="1">
            <w:r w:rsidR="00382A8C" w:rsidRPr="00977E77">
              <w:rPr>
                <w:rStyle w:val="Hyperlink"/>
                <w:noProof/>
              </w:rPr>
              <w:t>4.4.3. Instruments and Data Collection</w:t>
            </w:r>
            <w:r w:rsidR="00382A8C">
              <w:rPr>
                <w:noProof/>
                <w:webHidden/>
              </w:rPr>
              <w:tab/>
            </w:r>
            <w:r w:rsidR="00382A8C">
              <w:rPr>
                <w:noProof/>
                <w:webHidden/>
              </w:rPr>
              <w:fldChar w:fldCharType="begin"/>
            </w:r>
            <w:r w:rsidR="00382A8C">
              <w:rPr>
                <w:noProof/>
                <w:webHidden/>
              </w:rPr>
              <w:instrText xml:space="preserve"> PAGEREF _Toc24447793 \h </w:instrText>
            </w:r>
            <w:r w:rsidR="00382A8C">
              <w:rPr>
                <w:noProof/>
                <w:webHidden/>
              </w:rPr>
            </w:r>
            <w:r w:rsidR="00382A8C">
              <w:rPr>
                <w:noProof/>
                <w:webHidden/>
              </w:rPr>
              <w:fldChar w:fldCharType="separate"/>
            </w:r>
            <w:r w:rsidR="00382A8C">
              <w:rPr>
                <w:noProof/>
                <w:webHidden/>
              </w:rPr>
              <w:t>93</w:t>
            </w:r>
            <w:r w:rsidR="00382A8C">
              <w:rPr>
                <w:noProof/>
                <w:webHidden/>
              </w:rPr>
              <w:fldChar w:fldCharType="end"/>
            </w:r>
          </w:hyperlink>
        </w:p>
        <w:p w14:paraId="3EC7FBB1" w14:textId="77777777" w:rsidR="00382A8C" w:rsidRDefault="00F771A1">
          <w:pPr>
            <w:pStyle w:val="TOC2"/>
            <w:rPr>
              <w:rFonts w:cstheme="minorBidi"/>
              <w:noProof/>
              <w:lang w:eastAsia="en-US"/>
            </w:rPr>
          </w:pPr>
          <w:hyperlink w:anchor="_Toc24447794" w:history="1">
            <w:r w:rsidR="00382A8C" w:rsidRPr="00977E77">
              <w:rPr>
                <w:rStyle w:val="Hyperlink"/>
                <w:noProof/>
              </w:rPr>
              <w:t>4.4.4. Data Analysis: Confirmatory Factor Analysis (CFA)</w:t>
            </w:r>
            <w:r w:rsidR="00382A8C">
              <w:rPr>
                <w:noProof/>
                <w:webHidden/>
              </w:rPr>
              <w:tab/>
            </w:r>
            <w:r w:rsidR="00382A8C">
              <w:rPr>
                <w:noProof/>
                <w:webHidden/>
              </w:rPr>
              <w:fldChar w:fldCharType="begin"/>
            </w:r>
            <w:r w:rsidR="00382A8C">
              <w:rPr>
                <w:noProof/>
                <w:webHidden/>
              </w:rPr>
              <w:instrText xml:space="preserve"> PAGEREF _Toc24447794 \h </w:instrText>
            </w:r>
            <w:r w:rsidR="00382A8C">
              <w:rPr>
                <w:noProof/>
                <w:webHidden/>
              </w:rPr>
            </w:r>
            <w:r w:rsidR="00382A8C">
              <w:rPr>
                <w:noProof/>
                <w:webHidden/>
              </w:rPr>
              <w:fldChar w:fldCharType="separate"/>
            </w:r>
            <w:r w:rsidR="00382A8C">
              <w:rPr>
                <w:noProof/>
                <w:webHidden/>
              </w:rPr>
              <w:t>99</w:t>
            </w:r>
            <w:r w:rsidR="00382A8C">
              <w:rPr>
                <w:noProof/>
                <w:webHidden/>
              </w:rPr>
              <w:fldChar w:fldCharType="end"/>
            </w:r>
          </w:hyperlink>
        </w:p>
        <w:p w14:paraId="190F94D6" w14:textId="77777777" w:rsidR="00382A8C" w:rsidRDefault="00F771A1">
          <w:pPr>
            <w:pStyle w:val="TOC1"/>
            <w:rPr>
              <w:rFonts w:asciiTheme="minorHAnsi" w:hAnsiTheme="minorHAnsi" w:cstheme="minorBidi"/>
              <w:noProof/>
              <w:sz w:val="22"/>
              <w:lang w:eastAsia="en-US"/>
            </w:rPr>
          </w:pPr>
          <w:hyperlink w:anchor="_Toc24447795" w:history="1">
            <w:r w:rsidR="00382A8C" w:rsidRPr="00977E77">
              <w:rPr>
                <w:rStyle w:val="Hyperlink"/>
                <w:noProof/>
              </w:rPr>
              <w:t>4.5. Summary</w:t>
            </w:r>
            <w:r w:rsidR="00382A8C">
              <w:rPr>
                <w:noProof/>
                <w:webHidden/>
              </w:rPr>
              <w:tab/>
            </w:r>
            <w:r w:rsidR="00382A8C">
              <w:rPr>
                <w:noProof/>
                <w:webHidden/>
              </w:rPr>
              <w:fldChar w:fldCharType="begin"/>
            </w:r>
            <w:r w:rsidR="00382A8C">
              <w:rPr>
                <w:noProof/>
                <w:webHidden/>
              </w:rPr>
              <w:instrText xml:space="preserve"> PAGEREF _Toc24447795 \h </w:instrText>
            </w:r>
            <w:r w:rsidR="00382A8C">
              <w:rPr>
                <w:noProof/>
                <w:webHidden/>
              </w:rPr>
            </w:r>
            <w:r w:rsidR="00382A8C">
              <w:rPr>
                <w:noProof/>
                <w:webHidden/>
              </w:rPr>
              <w:fldChar w:fldCharType="separate"/>
            </w:r>
            <w:r w:rsidR="00382A8C">
              <w:rPr>
                <w:noProof/>
                <w:webHidden/>
              </w:rPr>
              <w:t>100</w:t>
            </w:r>
            <w:r w:rsidR="00382A8C">
              <w:rPr>
                <w:noProof/>
                <w:webHidden/>
              </w:rPr>
              <w:fldChar w:fldCharType="end"/>
            </w:r>
          </w:hyperlink>
        </w:p>
        <w:p w14:paraId="05CD9FED" w14:textId="77777777" w:rsidR="00382A8C" w:rsidRDefault="00F771A1">
          <w:pPr>
            <w:pStyle w:val="TOC1"/>
            <w:rPr>
              <w:rFonts w:asciiTheme="minorHAnsi" w:hAnsiTheme="minorHAnsi" w:cstheme="minorBidi"/>
              <w:noProof/>
              <w:sz w:val="22"/>
              <w:lang w:eastAsia="en-US"/>
            </w:rPr>
          </w:pPr>
          <w:hyperlink w:anchor="_Toc24447796" w:history="1">
            <w:r w:rsidR="00382A8C" w:rsidRPr="00977E77">
              <w:rPr>
                <w:rStyle w:val="Hyperlink"/>
                <w:iCs/>
                <w:noProof/>
              </w:rPr>
              <w:t>CHAPTER 5: Dissertation Findings and Analysis</w:t>
            </w:r>
            <w:r w:rsidR="00382A8C">
              <w:rPr>
                <w:noProof/>
                <w:webHidden/>
              </w:rPr>
              <w:tab/>
            </w:r>
            <w:r w:rsidR="00382A8C">
              <w:rPr>
                <w:noProof/>
                <w:webHidden/>
              </w:rPr>
              <w:fldChar w:fldCharType="begin"/>
            </w:r>
            <w:r w:rsidR="00382A8C">
              <w:rPr>
                <w:noProof/>
                <w:webHidden/>
              </w:rPr>
              <w:instrText xml:space="preserve"> PAGEREF _Toc24447796 \h </w:instrText>
            </w:r>
            <w:r w:rsidR="00382A8C">
              <w:rPr>
                <w:noProof/>
                <w:webHidden/>
              </w:rPr>
            </w:r>
            <w:r w:rsidR="00382A8C">
              <w:rPr>
                <w:noProof/>
                <w:webHidden/>
              </w:rPr>
              <w:fldChar w:fldCharType="separate"/>
            </w:r>
            <w:r w:rsidR="00382A8C">
              <w:rPr>
                <w:noProof/>
                <w:webHidden/>
              </w:rPr>
              <w:t>102</w:t>
            </w:r>
            <w:r w:rsidR="00382A8C">
              <w:rPr>
                <w:noProof/>
                <w:webHidden/>
              </w:rPr>
              <w:fldChar w:fldCharType="end"/>
            </w:r>
          </w:hyperlink>
        </w:p>
        <w:p w14:paraId="3C7CF3D5" w14:textId="77777777" w:rsidR="00382A8C" w:rsidRDefault="00F771A1">
          <w:pPr>
            <w:pStyle w:val="TOC1"/>
            <w:rPr>
              <w:rFonts w:asciiTheme="minorHAnsi" w:hAnsiTheme="minorHAnsi" w:cstheme="minorBidi"/>
              <w:noProof/>
              <w:sz w:val="22"/>
              <w:lang w:eastAsia="en-US"/>
            </w:rPr>
          </w:pPr>
          <w:hyperlink w:anchor="_Toc24447797" w:history="1">
            <w:r w:rsidR="00382A8C" w:rsidRPr="00977E77">
              <w:rPr>
                <w:rStyle w:val="Hyperlink"/>
                <w:noProof/>
              </w:rPr>
              <w:t>5.1. Test for Assumptions</w:t>
            </w:r>
            <w:r w:rsidR="00382A8C">
              <w:rPr>
                <w:noProof/>
                <w:webHidden/>
              </w:rPr>
              <w:tab/>
            </w:r>
            <w:r w:rsidR="00382A8C">
              <w:rPr>
                <w:noProof/>
                <w:webHidden/>
              </w:rPr>
              <w:fldChar w:fldCharType="begin"/>
            </w:r>
            <w:r w:rsidR="00382A8C">
              <w:rPr>
                <w:noProof/>
                <w:webHidden/>
              </w:rPr>
              <w:instrText xml:space="preserve"> PAGEREF _Toc24447797 \h </w:instrText>
            </w:r>
            <w:r w:rsidR="00382A8C">
              <w:rPr>
                <w:noProof/>
                <w:webHidden/>
              </w:rPr>
            </w:r>
            <w:r w:rsidR="00382A8C">
              <w:rPr>
                <w:noProof/>
                <w:webHidden/>
              </w:rPr>
              <w:fldChar w:fldCharType="separate"/>
            </w:r>
            <w:r w:rsidR="00382A8C">
              <w:rPr>
                <w:noProof/>
                <w:webHidden/>
              </w:rPr>
              <w:t>102</w:t>
            </w:r>
            <w:r w:rsidR="00382A8C">
              <w:rPr>
                <w:noProof/>
                <w:webHidden/>
              </w:rPr>
              <w:fldChar w:fldCharType="end"/>
            </w:r>
          </w:hyperlink>
        </w:p>
        <w:p w14:paraId="20A2F6B7" w14:textId="77777777" w:rsidR="00382A8C" w:rsidRDefault="00F771A1">
          <w:pPr>
            <w:pStyle w:val="TOC1"/>
            <w:rPr>
              <w:rFonts w:asciiTheme="minorHAnsi" w:hAnsiTheme="minorHAnsi" w:cstheme="minorBidi"/>
              <w:noProof/>
              <w:sz w:val="22"/>
              <w:lang w:eastAsia="en-US"/>
            </w:rPr>
          </w:pPr>
          <w:hyperlink w:anchor="_Toc24447798" w:history="1">
            <w:r w:rsidR="00382A8C" w:rsidRPr="00977E77">
              <w:rPr>
                <w:rStyle w:val="Hyperlink"/>
                <w:noProof/>
              </w:rPr>
              <w:t>5.2. Common Method Bias</w:t>
            </w:r>
            <w:r w:rsidR="00382A8C">
              <w:rPr>
                <w:noProof/>
                <w:webHidden/>
              </w:rPr>
              <w:tab/>
            </w:r>
            <w:r w:rsidR="00382A8C">
              <w:rPr>
                <w:noProof/>
                <w:webHidden/>
              </w:rPr>
              <w:fldChar w:fldCharType="begin"/>
            </w:r>
            <w:r w:rsidR="00382A8C">
              <w:rPr>
                <w:noProof/>
                <w:webHidden/>
              </w:rPr>
              <w:instrText xml:space="preserve"> PAGEREF _Toc24447798 \h </w:instrText>
            </w:r>
            <w:r w:rsidR="00382A8C">
              <w:rPr>
                <w:noProof/>
                <w:webHidden/>
              </w:rPr>
            </w:r>
            <w:r w:rsidR="00382A8C">
              <w:rPr>
                <w:noProof/>
                <w:webHidden/>
              </w:rPr>
              <w:fldChar w:fldCharType="separate"/>
            </w:r>
            <w:r w:rsidR="00382A8C">
              <w:rPr>
                <w:noProof/>
                <w:webHidden/>
              </w:rPr>
              <w:t>102</w:t>
            </w:r>
            <w:r w:rsidR="00382A8C">
              <w:rPr>
                <w:noProof/>
                <w:webHidden/>
              </w:rPr>
              <w:fldChar w:fldCharType="end"/>
            </w:r>
          </w:hyperlink>
        </w:p>
        <w:p w14:paraId="26DF9722" w14:textId="77777777" w:rsidR="00382A8C" w:rsidRDefault="00F771A1">
          <w:pPr>
            <w:pStyle w:val="TOC1"/>
            <w:rPr>
              <w:rFonts w:asciiTheme="minorHAnsi" w:hAnsiTheme="minorHAnsi" w:cstheme="minorBidi"/>
              <w:noProof/>
              <w:sz w:val="22"/>
              <w:lang w:eastAsia="en-US"/>
            </w:rPr>
          </w:pPr>
          <w:hyperlink w:anchor="_Toc24447799" w:history="1">
            <w:r w:rsidR="00382A8C" w:rsidRPr="00977E77">
              <w:rPr>
                <w:rStyle w:val="Hyperlink"/>
                <w:noProof/>
              </w:rPr>
              <w:t>5.3. Step 1 (Qualitative): Exploratory Factor Analysis (EFA) Results</w:t>
            </w:r>
            <w:r w:rsidR="00382A8C">
              <w:rPr>
                <w:noProof/>
                <w:webHidden/>
              </w:rPr>
              <w:tab/>
            </w:r>
            <w:r w:rsidR="00382A8C">
              <w:rPr>
                <w:noProof/>
                <w:webHidden/>
              </w:rPr>
              <w:fldChar w:fldCharType="begin"/>
            </w:r>
            <w:r w:rsidR="00382A8C">
              <w:rPr>
                <w:noProof/>
                <w:webHidden/>
              </w:rPr>
              <w:instrText xml:space="preserve"> PAGEREF _Toc24447799 \h </w:instrText>
            </w:r>
            <w:r w:rsidR="00382A8C">
              <w:rPr>
                <w:noProof/>
                <w:webHidden/>
              </w:rPr>
            </w:r>
            <w:r w:rsidR="00382A8C">
              <w:rPr>
                <w:noProof/>
                <w:webHidden/>
              </w:rPr>
              <w:fldChar w:fldCharType="separate"/>
            </w:r>
            <w:r w:rsidR="00382A8C">
              <w:rPr>
                <w:noProof/>
                <w:webHidden/>
              </w:rPr>
              <w:t>103</w:t>
            </w:r>
            <w:r w:rsidR="00382A8C">
              <w:rPr>
                <w:noProof/>
                <w:webHidden/>
              </w:rPr>
              <w:fldChar w:fldCharType="end"/>
            </w:r>
          </w:hyperlink>
        </w:p>
        <w:p w14:paraId="6AB5C638" w14:textId="77777777" w:rsidR="00382A8C" w:rsidRDefault="00F771A1">
          <w:pPr>
            <w:pStyle w:val="TOC1"/>
            <w:rPr>
              <w:rFonts w:asciiTheme="minorHAnsi" w:hAnsiTheme="minorHAnsi" w:cstheme="minorBidi"/>
              <w:noProof/>
              <w:sz w:val="22"/>
              <w:lang w:eastAsia="en-US"/>
            </w:rPr>
          </w:pPr>
          <w:hyperlink w:anchor="_Toc24447800" w:history="1">
            <w:r w:rsidR="00382A8C" w:rsidRPr="00977E77">
              <w:rPr>
                <w:rStyle w:val="Hyperlink"/>
                <w:noProof/>
              </w:rPr>
              <w:t>5.4. Step 2A: Quantitative Analysis of Motivators</w:t>
            </w:r>
            <w:r w:rsidR="00382A8C">
              <w:rPr>
                <w:noProof/>
                <w:webHidden/>
              </w:rPr>
              <w:tab/>
            </w:r>
            <w:r w:rsidR="00382A8C">
              <w:rPr>
                <w:noProof/>
                <w:webHidden/>
              </w:rPr>
              <w:fldChar w:fldCharType="begin"/>
            </w:r>
            <w:r w:rsidR="00382A8C">
              <w:rPr>
                <w:noProof/>
                <w:webHidden/>
              </w:rPr>
              <w:instrText xml:space="preserve"> PAGEREF _Toc24447800 \h </w:instrText>
            </w:r>
            <w:r w:rsidR="00382A8C">
              <w:rPr>
                <w:noProof/>
                <w:webHidden/>
              </w:rPr>
            </w:r>
            <w:r w:rsidR="00382A8C">
              <w:rPr>
                <w:noProof/>
                <w:webHidden/>
              </w:rPr>
              <w:fldChar w:fldCharType="separate"/>
            </w:r>
            <w:r w:rsidR="00382A8C">
              <w:rPr>
                <w:noProof/>
                <w:webHidden/>
              </w:rPr>
              <w:t>106</w:t>
            </w:r>
            <w:r w:rsidR="00382A8C">
              <w:rPr>
                <w:noProof/>
                <w:webHidden/>
              </w:rPr>
              <w:fldChar w:fldCharType="end"/>
            </w:r>
          </w:hyperlink>
        </w:p>
        <w:p w14:paraId="5A824E80" w14:textId="77777777" w:rsidR="00382A8C" w:rsidRDefault="00F771A1">
          <w:pPr>
            <w:pStyle w:val="TOC2"/>
            <w:rPr>
              <w:rFonts w:cstheme="minorBidi"/>
              <w:noProof/>
              <w:lang w:eastAsia="en-US"/>
            </w:rPr>
          </w:pPr>
          <w:hyperlink w:anchor="_Toc24447801" w:history="1">
            <w:r w:rsidR="00382A8C" w:rsidRPr="00977E77">
              <w:rPr>
                <w:rStyle w:val="Hyperlink"/>
                <w:noProof/>
              </w:rPr>
              <w:t>5.4.1. Quality Management (QM)</w:t>
            </w:r>
            <w:r w:rsidR="00382A8C">
              <w:rPr>
                <w:noProof/>
                <w:webHidden/>
              </w:rPr>
              <w:tab/>
            </w:r>
            <w:r w:rsidR="00382A8C">
              <w:rPr>
                <w:noProof/>
                <w:webHidden/>
              </w:rPr>
              <w:fldChar w:fldCharType="begin"/>
            </w:r>
            <w:r w:rsidR="00382A8C">
              <w:rPr>
                <w:noProof/>
                <w:webHidden/>
              </w:rPr>
              <w:instrText xml:space="preserve"> PAGEREF _Toc24447801 \h </w:instrText>
            </w:r>
            <w:r w:rsidR="00382A8C">
              <w:rPr>
                <w:noProof/>
                <w:webHidden/>
              </w:rPr>
            </w:r>
            <w:r w:rsidR="00382A8C">
              <w:rPr>
                <w:noProof/>
                <w:webHidden/>
              </w:rPr>
              <w:fldChar w:fldCharType="separate"/>
            </w:r>
            <w:r w:rsidR="00382A8C">
              <w:rPr>
                <w:noProof/>
                <w:webHidden/>
              </w:rPr>
              <w:t>109</w:t>
            </w:r>
            <w:r w:rsidR="00382A8C">
              <w:rPr>
                <w:noProof/>
                <w:webHidden/>
              </w:rPr>
              <w:fldChar w:fldCharType="end"/>
            </w:r>
          </w:hyperlink>
        </w:p>
        <w:p w14:paraId="540A5D84" w14:textId="77777777" w:rsidR="00382A8C" w:rsidRDefault="00F771A1">
          <w:pPr>
            <w:pStyle w:val="TOC2"/>
            <w:rPr>
              <w:rFonts w:cstheme="minorBidi"/>
              <w:noProof/>
              <w:lang w:eastAsia="en-US"/>
            </w:rPr>
          </w:pPr>
          <w:hyperlink w:anchor="_Toc24447802" w:history="1">
            <w:r w:rsidR="00382A8C" w:rsidRPr="00977E77">
              <w:rPr>
                <w:rStyle w:val="Hyperlink"/>
                <w:noProof/>
              </w:rPr>
              <w:t>5.4.2. Information Sharing (IS)</w:t>
            </w:r>
            <w:r w:rsidR="00382A8C">
              <w:rPr>
                <w:noProof/>
                <w:webHidden/>
              </w:rPr>
              <w:tab/>
            </w:r>
            <w:r w:rsidR="00382A8C">
              <w:rPr>
                <w:noProof/>
                <w:webHidden/>
              </w:rPr>
              <w:fldChar w:fldCharType="begin"/>
            </w:r>
            <w:r w:rsidR="00382A8C">
              <w:rPr>
                <w:noProof/>
                <w:webHidden/>
              </w:rPr>
              <w:instrText xml:space="preserve"> PAGEREF _Toc24447802 \h </w:instrText>
            </w:r>
            <w:r w:rsidR="00382A8C">
              <w:rPr>
                <w:noProof/>
                <w:webHidden/>
              </w:rPr>
            </w:r>
            <w:r w:rsidR="00382A8C">
              <w:rPr>
                <w:noProof/>
                <w:webHidden/>
              </w:rPr>
              <w:fldChar w:fldCharType="separate"/>
            </w:r>
            <w:r w:rsidR="00382A8C">
              <w:rPr>
                <w:noProof/>
                <w:webHidden/>
              </w:rPr>
              <w:t>110</w:t>
            </w:r>
            <w:r w:rsidR="00382A8C">
              <w:rPr>
                <w:noProof/>
                <w:webHidden/>
              </w:rPr>
              <w:fldChar w:fldCharType="end"/>
            </w:r>
          </w:hyperlink>
        </w:p>
        <w:p w14:paraId="2CB262B4" w14:textId="77777777" w:rsidR="00382A8C" w:rsidRDefault="00F771A1">
          <w:pPr>
            <w:pStyle w:val="TOC2"/>
            <w:rPr>
              <w:rFonts w:cstheme="minorBidi"/>
              <w:noProof/>
              <w:lang w:eastAsia="en-US"/>
            </w:rPr>
          </w:pPr>
          <w:hyperlink w:anchor="_Toc24447803" w:history="1">
            <w:r w:rsidR="00382A8C" w:rsidRPr="00977E77">
              <w:rPr>
                <w:rStyle w:val="Hyperlink"/>
                <w:noProof/>
              </w:rPr>
              <w:t>5.4.3. Strategic Governance (SG)</w:t>
            </w:r>
            <w:r w:rsidR="00382A8C">
              <w:rPr>
                <w:noProof/>
                <w:webHidden/>
              </w:rPr>
              <w:tab/>
            </w:r>
            <w:r w:rsidR="00382A8C">
              <w:rPr>
                <w:noProof/>
                <w:webHidden/>
              </w:rPr>
              <w:fldChar w:fldCharType="begin"/>
            </w:r>
            <w:r w:rsidR="00382A8C">
              <w:rPr>
                <w:noProof/>
                <w:webHidden/>
              </w:rPr>
              <w:instrText xml:space="preserve"> PAGEREF _Toc24447803 \h </w:instrText>
            </w:r>
            <w:r w:rsidR="00382A8C">
              <w:rPr>
                <w:noProof/>
                <w:webHidden/>
              </w:rPr>
            </w:r>
            <w:r w:rsidR="00382A8C">
              <w:rPr>
                <w:noProof/>
                <w:webHidden/>
              </w:rPr>
              <w:fldChar w:fldCharType="separate"/>
            </w:r>
            <w:r w:rsidR="00382A8C">
              <w:rPr>
                <w:noProof/>
                <w:webHidden/>
              </w:rPr>
              <w:t>111</w:t>
            </w:r>
            <w:r w:rsidR="00382A8C">
              <w:rPr>
                <w:noProof/>
                <w:webHidden/>
              </w:rPr>
              <w:fldChar w:fldCharType="end"/>
            </w:r>
          </w:hyperlink>
        </w:p>
        <w:p w14:paraId="52814D62" w14:textId="77777777" w:rsidR="00382A8C" w:rsidRDefault="00F771A1">
          <w:pPr>
            <w:pStyle w:val="TOC2"/>
            <w:rPr>
              <w:rFonts w:cstheme="minorBidi"/>
              <w:noProof/>
              <w:lang w:eastAsia="en-US"/>
            </w:rPr>
          </w:pPr>
          <w:hyperlink w:anchor="_Toc24447804" w:history="1">
            <w:r w:rsidR="00382A8C" w:rsidRPr="00977E77">
              <w:rPr>
                <w:rStyle w:val="Hyperlink"/>
                <w:noProof/>
              </w:rPr>
              <w:t>5.4.4. Technology Infrastructure (TI)</w:t>
            </w:r>
            <w:r w:rsidR="00382A8C">
              <w:rPr>
                <w:noProof/>
                <w:webHidden/>
              </w:rPr>
              <w:tab/>
            </w:r>
            <w:r w:rsidR="00382A8C">
              <w:rPr>
                <w:noProof/>
                <w:webHidden/>
              </w:rPr>
              <w:fldChar w:fldCharType="begin"/>
            </w:r>
            <w:r w:rsidR="00382A8C">
              <w:rPr>
                <w:noProof/>
                <w:webHidden/>
              </w:rPr>
              <w:instrText xml:space="preserve"> PAGEREF _Toc24447804 \h </w:instrText>
            </w:r>
            <w:r w:rsidR="00382A8C">
              <w:rPr>
                <w:noProof/>
                <w:webHidden/>
              </w:rPr>
            </w:r>
            <w:r w:rsidR="00382A8C">
              <w:rPr>
                <w:noProof/>
                <w:webHidden/>
              </w:rPr>
              <w:fldChar w:fldCharType="separate"/>
            </w:r>
            <w:r w:rsidR="00382A8C">
              <w:rPr>
                <w:noProof/>
                <w:webHidden/>
              </w:rPr>
              <w:t>111</w:t>
            </w:r>
            <w:r w:rsidR="00382A8C">
              <w:rPr>
                <w:noProof/>
                <w:webHidden/>
              </w:rPr>
              <w:fldChar w:fldCharType="end"/>
            </w:r>
          </w:hyperlink>
        </w:p>
        <w:p w14:paraId="45829912" w14:textId="77777777" w:rsidR="00382A8C" w:rsidRDefault="00F771A1">
          <w:pPr>
            <w:pStyle w:val="TOC2"/>
            <w:rPr>
              <w:rFonts w:cstheme="minorBidi"/>
              <w:noProof/>
              <w:lang w:eastAsia="en-US"/>
            </w:rPr>
          </w:pPr>
          <w:hyperlink w:anchor="_Toc24447805" w:history="1">
            <w:r w:rsidR="00382A8C" w:rsidRPr="00977E77">
              <w:rPr>
                <w:rStyle w:val="Hyperlink"/>
                <w:noProof/>
              </w:rPr>
              <w:t>5.4.5. Measurement Model for Motivators (First-Order CFA Model)</w:t>
            </w:r>
            <w:r w:rsidR="00382A8C">
              <w:rPr>
                <w:noProof/>
                <w:webHidden/>
              </w:rPr>
              <w:tab/>
            </w:r>
            <w:r w:rsidR="00382A8C">
              <w:rPr>
                <w:noProof/>
                <w:webHidden/>
              </w:rPr>
              <w:fldChar w:fldCharType="begin"/>
            </w:r>
            <w:r w:rsidR="00382A8C">
              <w:rPr>
                <w:noProof/>
                <w:webHidden/>
              </w:rPr>
              <w:instrText xml:space="preserve"> PAGEREF _Toc24447805 \h </w:instrText>
            </w:r>
            <w:r w:rsidR="00382A8C">
              <w:rPr>
                <w:noProof/>
                <w:webHidden/>
              </w:rPr>
            </w:r>
            <w:r w:rsidR="00382A8C">
              <w:rPr>
                <w:noProof/>
                <w:webHidden/>
              </w:rPr>
              <w:fldChar w:fldCharType="separate"/>
            </w:r>
            <w:r w:rsidR="00382A8C">
              <w:rPr>
                <w:noProof/>
                <w:webHidden/>
              </w:rPr>
              <w:t>112</w:t>
            </w:r>
            <w:r w:rsidR="00382A8C">
              <w:rPr>
                <w:noProof/>
                <w:webHidden/>
              </w:rPr>
              <w:fldChar w:fldCharType="end"/>
            </w:r>
          </w:hyperlink>
        </w:p>
        <w:p w14:paraId="3E3713AB" w14:textId="77777777" w:rsidR="00382A8C" w:rsidRDefault="00F771A1">
          <w:pPr>
            <w:pStyle w:val="TOC2"/>
            <w:rPr>
              <w:rFonts w:cstheme="minorBidi"/>
              <w:noProof/>
              <w:lang w:eastAsia="en-US"/>
            </w:rPr>
          </w:pPr>
          <w:hyperlink w:anchor="_Toc24447806" w:history="1">
            <w:r w:rsidR="00382A8C" w:rsidRPr="00977E77">
              <w:rPr>
                <w:rStyle w:val="Hyperlink"/>
                <w:noProof/>
              </w:rPr>
              <w:t>5.4.6. Structural Model for Motivators (Second-Order CFA Model)</w:t>
            </w:r>
            <w:r w:rsidR="00382A8C">
              <w:rPr>
                <w:noProof/>
                <w:webHidden/>
              </w:rPr>
              <w:tab/>
            </w:r>
            <w:r w:rsidR="00382A8C">
              <w:rPr>
                <w:noProof/>
                <w:webHidden/>
              </w:rPr>
              <w:fldChar w:fldCharType="begin"/>
            </w:r>
            <w:r w:rsidR="00382A8C">
              <w:rPr>
                <w:noProof/>
                <w:webHidden/>
              </w:rPr>
              <w:instrText xml:space="preserve"> PAGEREF _Toc24447806 \h </w:instrText>
            </w:r>
            <w:r w:rsidR="00382A8C">
              <w:rPr>
                <w:noProof/>
                <w:webHidden/>
              </w:rPr>
            </w:r>
            <w:r w:rsidR="00382A8C">
              <w:rPr>
                <w:noProof/>
                <w:webHidden/>
              </w:rPr>
              <w:fldChar w:fldCharType="separate"/>
            </w:r>
            <w:r w:rsidR="00382A8C">
              <w:rPr>
                <w:noProof/>
                <w:webHidden/>
              </w:rPr>
              <w:t>118</w:t>
            </w:r>
            <w:r w:rsidR="00382A8C">
              <w:rPr>
                <w:noProof/>
                <w:webHidden/>
              </w:rPr>
              <w:fldChar w:fldCharType="end"/>
            </w:r>
          </w:hyperlink>
        </w:p>
        <w:p w14:paraId="61FA4F93" w14:textId="77777777" w:rsidR="00382A8C" w:rsidRDefault="00F771A1">
          <w:pPr>
            <w:pStyle w:val="TOC1"/>
            <w:rPr>
              <w:rFonts w:asciiTheme="minorHAnsi" w:hAnsiTheme="minorHAnsi" w:cstheme="minorBidi"/>
              <w:noProof/>
              <w:sz w:val="22"/>
              <w:lang w:eastAsia="en-US"/>
            </w:rPr>
          </w:pPr>
          <w:hyperlink w:anchor="_Toc24447807" w:history="1">
            <w:r w:rsidR="00382A8C" w:rsidRPr="00977E77">
              <w:rPr>
                <w:rStyle w:val="Hyperlink"/>
                <w:noProof/>
              </w:rPr>
              <w:t>5.5. Step 2B: Quantitative Analysis of Barriers</w:t>
            </w:r>
            <w:r w:rsidR="00382A8C">
              <w:rPr>
                <w:noProof/>
                <w:webHidden/>
              </w:rPr>
              <w:tab/>
            </w:r>
            <w:r w:rsidR="00382A8C">
              <w:rPr>
                <w:noProof/>
                <w:webHidden/>
              </w:rPr>
              <w:fldChar w:fldCharType="begin"/>
            </w:r>
            <w:r w:rsidR="00382A8C">
              <w:rPr>
                <w:noProof/>
                <w:webHidden/>
              </w:rPr>
              <w:instrText xml:space="preserve"> PAGEREF _Toc24447807 \h </w:instrText>
            </w:r>
            <w:r w:rsidR="00382A8C">
              <w:rPr>
                <w:noProof/>
                <w:webHidden/>
              </w:rPr>
            </w:r>
            <w:r w:rsidR="00382A8C">
              <w:rPr>
                <w:noProof/>
                <w:webHidden/>
              </w:rPr>
              <w:fldChar w:fldCharType="separate"/>
            </w:r>
            <w:r w:rsidR="00382A8C">
              <w:rPr>
                <w:noProof/>
                <w:webHidden/>
              </w:rPr>
              <w:t>122</w:t>
            </w:r>
            <w:r w:rsidR="00382A8C">
              <w:rPr>
                <w:noProof/>
                <w:webHidden/>
              </w:rPr>
              <w:fldChar w:fldCharType="end"/>
            </w:r>
          </w:hyperlink>
        </w:p>
        <w:p w14:paraId="5ACBAD0B" w14:textId="77777777" w:rsidR="00382A8C" w:rsidRDefault="00F771A1">
          <w:pPr>
            <w:pStyle w:val="TOC2"/>
            <w:rPr>
              <w:rFonts w:cstheme="minorBidi"/>
              <w:noProof/>
              <w:lang w:eastAsia="en-US"/>
            </w:rPr>
          </w:pPr>
          <w:hyperlink w:anchor="_Toc24447808" w:history="1">
            <w:r w:rsidR="00382A8C" w:rsidRPr="00977E77">
              <w:rPr>
                <w:rStyle w:val="Hyperlink"/>
                <w:noProof/>
              </w:rPr>
              <w:t>5.5.1. Organizational Strategy (ORGS)</w:t>
            </w:r>
            <w:r w:rsidR="00382A8C">
              <w:rPr>
                <w:noProof/>
                <w:webHidden/>
              </w:rPr>
              <w:tab/>
            </w:r>
            <w:r w:rsidR="00382A8C">
              <w:rPr>
                <w:noProof/>
                <w:webHidden/>
              </w:rPr>
              <w:fldChar w:fldCharType="begin"/>
            </w:r>
            <w:r w:rsidR="00382A8C">
              <w:rPr>
                <w:noProof/>
                <w:webHidden/>
              </w:rPr>
              <w:instrText xml:space="preserve"> PAGEREF _Toc24447808 \h </w:instrText>
            </w:r>
            <w:r w:rsidR="00382A8C">
              <w:rPr>
                <w:noProof/>
                <w:webHidden/>
              </w:rPr>
            </w:r>
            <w:r w:rsidR="00382A8C">
              <w:rPr>
                <w:noProof/>
                <w:webHidden/>
              </w:rPr>
              <w:fldChar w:fldCharType="separate"/>
            </w:r>
            <w:r w:rsidR="00382A8C">
              <w:rPr>
                <w:noProof/>
                <w:webHidden/>
              </w:rPr>
              <w:t>124</w:t>
            </w:r>
            <w:r w:rsidR="00382A8C">
              <w:rPr>
                <w:noProof/>
                <w:webHidden/>
              </w:rPr>
              <w:fldChar w:fldCharType="end"/>
            </w:r>
          </w:hyperlink>
        </w:p>
        <w:p w14:paraId="52BA5563" w14:textId="77777777" w:rsidR="00382A8C" w:rsidRDefault="00F771A1">
          <w:pPr>
            <w:pStyle w:val="TOC2"/>
            <w:rPr>
              <w:rFonts w:cstheme="minorBidi"/>
              <w:noProof/>
              <w:lang w:eastAsia="en-US"/>
            </w:rPr>
          </w:pPr>
          <w:hyperlink w:anchor="_Toc24447809" w:history="1">
            <w:r w:rsidR="00382A8C" w:rsidRPr="00977E77">
              <w:rPr>
                <w:rStyle w:val="Hyperlink"/>
                <w:noProof/>
              </w:rPr>
              <w:t>5.5.2. Technical Barriers (TEBA)</w:t>
            </w:r>
            <w:r w:rsidR="00382A8C">
              <w:rPr>
                <w:noProof/>
                <w:webHidden/>
              </w:rPr>
              <w:tab/>
            </w:r>
            <w:r w:rsidR="00382A8C">
              <w:rPr>
                <w:noProof/>
                <w:webHidden/>
              </w:rPr>
              <w:fldChar w:fldCharType="begin"/>
            </w:r>
            <w:r w:rsidR="00382A8C">
              <w:rPr>
                <w:noProof/>
                <w:webHidden/>
              </w:rPr>
              <w:instrText xml:space="preserve"> PAGEREF _Toc24447809 \h </w:instrText>
            </w:r>
            <w:r w:rsidR="00382A8C">
              <w:rPr>
                <w:noProof/>
                <w:webHidden/>
              </w:rPr>
            </w:r>
            <w:r w:rsidR="00382A8C">
              <w:rPr>
                <w:noProof/>
                <w:webHidden/>
              </w:rPr>
              <w:fldChar w:fldCharType="separate"/>
            </w:r>
            <w:r w:rsidR="00382A8C">
              <w:rPr>
                <w:noProof/>
                <w:webHidden/>
              </w:rPr>
              <w:t>125</w:t>
            </w:r>
            <w:r w:rsidR="00382A8C">
              <w:rPr>
                <w:noProof/>
                <w:webHidden/>
              </w:rPr>
              <w:fldChar w:fldCharType="end"/>
            </w:r>
          </w:hyperlink>
        </w:p>
        <w:p w14:paraId="516AA15D" w14:textId="77777777" w:rsidR="00382A8C" w:rsidRDefault="00F771A1">
          <w:pPr>
            <w:pStyle w:val="TOC2"/>
            <w:rPr>
              <w:rFonts w:cstheme="minorBidi"/>
              <w:noProof/>
              <w:lang w:eastAsia="en-US"/>
            </w:rPr>
          </w:pPr>
          <w:hyperlink w:anchor="_Toc24447810" w:history="1">
            <w:r w:rsidR="00382A8C" w:rsidRPr="00977E77">
              <w:rPr>
                <w:rStyle w:val="Hyperlink"/>
                <w:noProof/>
              </w:rPr>
              <w:t>5.5.3. Readiness for Big Data and IoT (RTGB)</w:t>
            </w:r>
            <w:r w:rsidR="00382A8C">
              <w:rPr>
                <w:noProof/>
                <w:webHidden/>
              </w:rPr>
              <w:tab/>
            </w:r>
            <w:r w:rsidR="00382A8C">
              <w:rPr>
                <w:noProof/>
                <w:webHidden/>
              </w:rPr>
              <w:fldChar w:fldCharType="begin"/>
            </w:r>
            <w:r w:rsidR="00382A8C">
              <w:rPr>
                <w:noProof/>
                <w:webHidden/>
              </w:rPr>
              <w:instrText xml:space="preserve"> PAGEREF _Toc24447810 \h </w:instrText>
            </w:r>
            <w:r w:rsidR="00382A8C">
              <w:rPr>
                <w:noProof/>
                <w:webHidden/>
              </w:rPr>
            </w:r>
            <w:r w:rsidR="00382A8C">
              <w:rPr>
                <w:noProof/>
                <w:webHidden/>
              </w:rPr>
              <w:fldChar w:fldCharType="separate"/>
            </w:r>
            <w:r w:rsidR="00382A8C">
              <w:rPr>
                <w:noProof/>
                <w:webHidden/>
              </w:rPr>
              <w:t>126</w:t>
            </w:r>
            <w:r w:rsidR="00382A8C">
              <w:rPr>
                <w:noProof/>
                <w:webHidden/>
              </w:rPr>
              <w:fldChar w:fldCharType="end"/>
            </w:r>
          </w:hyperlink>
        </w:p>
        <w:p w14:paraId="02BD43EE" w14:textId="77777777" w:rsidR="00382A8C" w:rsidRDefault="00F771A1">
          <w:pPr>
            <w:pStyle w:val="TOC2"/>
            <w:rPr>
              <w:rFonts w:cstheme="minorBidi"/>
              <w:noProof/>
              <w:lang w:eastAsia="en-US"/>
            </w:rPr>
          </w:pPr>
          <w:hyperlink w:anchor="_Toc24447811" w:history="1">
            <w:r w:rsidR="00382A8C" w:rsidRPr="00977E77">
              <w:rPr>
                <w:rStyle w:val="Hyperlink"/>
                <w:noProof/>
              </w:rPr>
              <w:t>5.5.4. Orientation (ORI)</w:t>
            </w:r>
            <w:r w:rsidR="00382A8C">
              <w:rPr>
                <w:noProof/>
                <w:webHidden/>
              </w:rPr>
              <w:tab/>
            </w:r>
            <w:r w:rsidR="00382A8C">
              <w:rPr>
                <w:noProof/>
                <w:webHidden/>
              </w:rPr>
              <w:fldChar w:fldCharType="begin"/>
            </w:r>
            <w:r w:rsidR="00382A8C">
              <w:rPr>
                <w:noProof/>
                <w:webHidden/>
              </w:rPr>
              <w:instrText xml:space="preserve"> PAGEREF _Toc24447811 \h </w:instrText>
            </w:r>
            <w:r w:rsidR="00382A8C">
              <w:rPr>
                <w:noProof/>
                <w:webHidden/>
              </w:rPr>
            </w:r>
            <w:r w:rsidR="00382A8C">
              <w:rPr>
                <w:noProof/>
                <w:webHidden/>
              </w:rPr>
              <w:fldChar w:fldCharType="separate"/>
            </w:r>
            <w:r w:rsidR="00382A8C">
              <w:rPr>
                <w:noProof/>
                <w:webHidden/>
              </w:rPr>
              <w:t>127</w:t>
            </w:r>
            <w:r w:rsidR="00382A8C">
              <w:rPr>
                <w:noProof/>
                <w:webHidden/>
              </w:rPr>
              <w:fldChar w:fldCharType="end"/>
            </w:r>
          </w:hyperlink>
        </w:p>
        <w:p w14:paraId="31E3BE74" w14:textId="77777777" w:rsidR="00382A8C" w:rsidRDefault="00F771A1">
          <w:pPr>
            <w:pStyle w:val="TOC2"/>
            <w:rPr>
              <w:rFonts w:cstheme="minorBidi"/>
              <w:noProof/>
              <w:lang w:eastAsia="en-US"/>
            </w:rPr>
          </w:pPr>
          <w:hyperlink w:anchor="_Toc24447812" w:history="1">
            <w:r w:rsidR="00382A8C" w:rsidRPr="00977E77">
              <w:rPr>
                <w:rStyle w:val="Hyperlink"/>
                <w:noProof/>
              </w:rPr>
              <w:t>5.5.5. Measurement Model for Barriers (First-Order CFA Model)</w:t>
            </w:r>
            <w:r w:rsidR="00382A8C">
              <w:rPr>
                <w:noProof/>
                <w:webHidden/>
              </w:rPr>
              <w:tab/>
            </w:r>
            <w:r w:rsidR="00382A8C">
              <w:rPr>
                <w:noProof/>
                <w:webHidden/>
              </w:rPr>
              <w:fldChar w:fldCharType="begin"/>
            </w:r>
            <w:r w:rsidR="00382A8C">
              <w:rPr>
                <w:noProof/>
                <w:webHidden/>
              </w:rPr>
              <w:instrText xml:space="preserve"> PAGEREF _Toc24447812 \h </w:instrText>
            </w:r>
            <w:r w:rsidR="00382A8C">
              <w:rPr>
                <w:noProof/>
                <w:webHidden/>
              </w:rPr>
            </w:r>
            <w:r w:rsidR="00382A8C">
              <w:rPr>
                <w:noProof/>
                <w:webHidden/>
              </w:rPr>
              <w:fldChar w:fldCharType="separate"/>
            </w:r>
            <w:r w:rsidR="00382A8C">
              <w:rPr>
                <w:noProof/>
                <w:webHidden/>
              </w:rPr>
              <w:t>127</w:t>
            </w:r>
            <w:r w:rsidR="00382A8C">
              <w:rPr>
                <w:noProof/>
                <w:webHidden/>
              </w:rPr>
              <w:fldChar w:fldCharType="end"/>
            </w:r>
          </w:hyperlink>
        </w:p>
        <w:p w14:paraId="090E3C71" w14:textId="77777777" w:rsidR="00382A8C" w:rsidRDefault="00F771A1">
          <w:pPr>
            <w:pStyle w:val="TOC2"/>
            <w:rPr>
              <w:rFonts w:cstheme="minorBidi"/>
              <w:noProof/>
              <w:lang w:eastAsia="en-US"/>
            </w:rPr>
          </w:pPr>
          <w:hyperlink w:anchor="_Toc24447813" w:history="1">
            <w:r w:rsidR="00382A8C" w:rsidRPr="00977E77">
              <w:rPr>
                <w:rStyle w:val="Hyperlink"/>
                <w:noProof/>
              </w:rPr>
              <w:t>5.5.6. Structural Model for Motivators (Second-Order CFA Model)</w:t>
            </w:r>
            <w:r w:rsidR="00382A8C">
              <w:rPr>
                <w:noProof/>
                <w:webHidden/>
              </w:rPr>
              <w:tab/>
            </w:r>
            <w:r w:rsidR="00382A8C">
              <w:rPr>
                <w:noProof/>
                <w:webHidden/>
              </w:rPr>
              <w:fldChar w:fldCharType="begin"/>
            </w:r>
            <w:r w:rsidR="00382A8C">
              <w:rPr>
                <w:noProof/>
                <w:webHidden/>
              </w:rPr>
              <w:instrText xml:space="preserve"> PAGEREF _Toc24447813 \h </w:instrText>
            </w:r>
            <w:r w:rsidR="00382A8C">
              <w:rPr>
                <w:noProof/>
                <w:webHidden/>
              </w:rPr>
            </w:r>
            <w:r w:rsidR="00382A8C">
              <w:rPr>
                <w:noProof/>
                <w:webHidden/>
              </w:rPr>
              <w:fldChar w:fldCharType="separate"/>
            </w:r>
            <w:r w:rsidR="00382A8C">
              <w:rPr>
                <w:noProof/>
                <w:webHidden/>
              </w:rPr>
              <w:t>131</w:t>
            </w:r>
            <w:r w:rsidR="00382A8C">
              <w:rPr>
                <w:noProof/>
                <w:webHidden/>
              </w:rPr>
              <w:fldChar w:fldCharType="end"/>
            </w:r>
          </w:hyperlink>
        </w:p>
        <w:p w14:paraId="02316C6F" w14:textId="77777777" w:rsidR="00382A8C" w:rsidRDefault="00F771A1">
          <w:pPr>
            <w:pStyle w:val="TOC1"/>
            <w:rPr>
              <w:rFonts w:asciiTheme="minorHAnsi" w:hAnsiTheme="minorHAnsi" w:cstheme="minorBidi"/>
              <w:noProof/>
              <w:sz w:val="22"/>
              <w:lang w:eastAsia="en-US"/>
            </w:rPr>
          </w:pPr>
          <w:hyperlink w:anchor="_Toc24447814" w:history="1">
            <w:r w:rsidR="00382A8C" w:rsidRPr="00977E77">
              <w:rPr>
                <w:rStyle w:val="Hyperlink"/>
                <w:iCs/>
                <w:noProof/>
              </w:rPr>
              <w:t>CHAPTER 6: Implications and Suggestions for Future Research</w:t>
            </w:r>
            <w:r w:rsidR="00382A8C">
              <w:rPr>
                <w:noProof/>
                <w:webHidden/>
              </w:rPr>
              <w:tab/>
            </w:r>
            <w:r w:rsidR="00382A8C">
              <w:rPr>
                <w:noProof/>
                <w:webHidden/>
              </w:rPr>
              <w:fldChar w:fldCharType="begin"/>
            </w:r>
            <w:r w:rsidR="00382A8C">
              <w:rPr>
                <w:noProof/>
                <w:webHidden/>
              </w:rPr>
              <w:instrText xml:space="preserve"> PAGEREF _Toc24447814 \h </w:instrText>
            </w:r>
            <w:r w:rsidR="00382A8C">
              <w:rPr>
                <w:noProof/>
                <w:webHidden/>
              </w:rPr>
            </w:r>
            <w:r w:rsidR="00382A8C">
              <w:rPr>
                <w:noProof/>
                <w:webHidden/>
              </w:rPr>
              <w:fldChar w:fldCharType="separate"/>
            </w:r>
            <w:r w:rsidR="00382A8C">
              <w:rPr>
                <w:noProof/>
                <w:webHidden/>
              </w:rPr>
              <w:t>138</w:t>
            </w:r>
            <w:r w:rsidR="00382A8C">
              <w:rPr>
                <w:noProof/>
                <w:webHidden/>
              </w:rPr>
              <w:fldChar w:fldCharType="end"/>
            </w:r>
          </w:hyperlink>
        </w:p>
        <w:p w14:paraId="3D198656" w14:textId="77777777" w:rsidR="00382A8C" w:rsidRDefault="00F771A1">
          <w:pPr>
            <w:pStyle w:val="TOC1"/>
            <w:rPr>
              <w:rFonts w:asciiTheme="minorHAnsi" w:hAnsiTheme="minorHAnsi" w:cstheme="minorBidi"/>
              <w:noProof/>
              <w:sz w:val="22"/>
              <w:lang w:eastAsia="en-US"/>
            </w:rPr>
          </w:pPr>
          <w:hyperlink w:anchor="_Toc24447815" w:history="1">
            <w:r w:rsidR="00382A8C" w:rsidRPr="00977E77">
              <w:rPr>
                <w:rStyle w:val="Hyperlink"/>
                <w:noProof/>
              </w:rPr>
              <w:t>6.1. Discussion of Results</w:t>
            </w:r>
            <w:r w:rsidR="00382A8C">
              <w:rPr>
                <w:noProof/>
                <w:webHidden/>
              </w:rPr>
              <w:tab/>
            </w:r>
            <w:r w:rsidR="00382A8C">
              <w:rPr>
                <w:noProof/>
                <w:webHidden/>
              </w:rPr>
              <w:fldChar w:fldCharType="begin"/>
            </w:r>
            <w:r w:rsidR="00382A8C">
              <w:rPr>
                <w:noProof/>
                <w:webHidden/>
              </w:rPr>
              <w:instrText xml:space="preserve"> PAGEREF _Toc24447815 \h </w:instrText>
            </w:r>
            <w:r w:rsidR="00382A8C">
              <w:rPr>
                <w:noProof/>
                <w:webHidden/>
              </w:rPr>
            </w:r>
            <w:r w:rsidR="00382A8C">
              <w:rPr>
                <w:noProof/>
                <w:webHidden/>
              </w:rPr>
              <w:fldChar w:fldCharType="separate"/>
            </w:r>
            <w:r w:rsidR="00382A8C">
              <w:rPr>
                <w:noProof/>
                <w:webHidden/>
              </w:rPr>
              <w:t>138</w:t>
            </w:r>
            <w:r w:rsidR="00382A8C">
              <w:rPr>
                <w:noProof/>
                <w:webHidden/>
              </w:rPr>
              <w:fldChar w:fldCharType="end"/>
            </w:r>
          </w:hyperlink>
        </w:p>
        <w:p w14:paraId="17436AF0" w14:textId="77777777" w:rsidR="00382A8C" w:rsidRDefault="00F771A1">
          <w:pPr>
            <w:pStyle w:val="TOC1"/>
            <w:rPr>
              <w:rFonts w:asciiTheme="minorHAnsi" w:hAnsiTheme="minorHAnsi" w:cstheme="minorBidi"/>
              <w:noProof/>
              <w:sz w:val="22"/>
              <w:lang w:eastAsia="en-US"/>
            </w:rPr>
          </w:pPr>
          <w:hyperlink w:anchor="_Toc24447816" w:history="1">
            <w:r w:rsidR="00382A8C" w:rsidRPr="00977E77">
              <w:rPr>
                <w:rStyle w:val="Hyperlink"/>
                <w:noProof/>
              </w:rPr>
              <w:t>6.2. Motivators for HIT Adoption</w:t>
            </w:r>
            <w:r w:rsidR="00382A8C">
              <w:rPr>
                <w:noProof/>
                <w:webHidden/>
              </w:rPr>
              <w:tab/>
            </w:r>
            <w:r w:rsidR="00382A8C">
              <w:rPr>
                <w:noProof/>
                <w:webHidden/>
              </w:rPr>
              <w:fldChar w:fldCharType="begin"/>
            </w:r>
            <w:r w:rsidR="00382A8C">
              <w:rPr>
                <w:noProof/>
                <w:webHidden/>
              </w:rPr>
              <w:instrText xml:space="preserve"> PAGEREF _Toc24447816 \h </w:instrText>
            </w:r>
            <w:r w:rsidR="00382A8C">
              <w:rPr>
                <w:noProof/>
                <w:webHidden/>
              </w:rPr>
            </w:r>
            <w:r w:rsidR="00382A8C">
              <w:rPr>
                <w:noProof/>
                <w:webHidden/>
              </w:rPr>
              <w:fldChar w:fldCharType="separate"/>
            </w:r>
            <w:r w:rsidR="00382A8C">
              <w:rPr>
                <w:noProof/>
                <w:webHidden/>
              </w:rPr>
              <w:t>143</w:t>
            </w:r>
            <w:r w:rsidR="00382A8C">
              <w:rPr>
                <w:noProof/>
                <w:webHidden/>
              </w:rPr>
              <w:fldChar w:fldCharType="end"/>
            </w:r>
          </w:hyperlink>
        </w:p>
        <w:p w14:paraId="106A2D91" w14:textId="77777777" w:rsidR="00382A8C" w:rsidRDefault="00F771A1">
          <w:pPr>
            <w:pStyle w:val="TOC1"/>
            <w:rPr>
              <w:rFonts w:asciiTheme="minorHAnsi" w:hAnsiTheme="minorHAnsi" w:cstheme="minorBidi"/>
              <w:noProof/>
              <w:sz w:val="22"/>
              <w:lang w:eastAsia="en-US"/>
            </w:rPr>
          </w:pPr>
          <w:hyperlink w:anchor="_Toc24447817" w:history="1">
            <w:r w:rsidR="00382A8C" w:rsidRPr="00977E77">
              <w:rPr>
                <w:rStyle w:val="Hyperlink"/>
                <w:noProof/>
              </w:rPr>
              <w:t>6.3. Barriers to HIT Adoption</w:t>
            </w:r>
            <w:r w:rsidR="00382A8C">
              <w:rPr>
                <w:noProof/>
                <w:webHidden/>
              </w:rPr>
              <w:tab/>
            </w:r>
            <w:r w:rsidR="00382A8C">
              <w:rPr>
                <w:noProof/>
                <w:webHidden/>
              </w:rPr>
              <w:fldChar w:fldCharType="begin"/>
            </w:r>
            <w:r w:rsidR="00382A8C">
              <w:rPr>
                <w:noProof/>
                <w:webHidden/>
              </w:rPr>
              <w:instrText xml:space="preserve"> PAGEREF _Toc24447817 \h </w:instrText>
            </w:r>
            <w:r w:rsidR="00382A8C">
              <w:rPr>
                <w:noProof/>
                <w:webHidden/>
              </w:rPr>
            </w:r>
            <w:r w:rsidR="00382A8C">
              <w:rPr>
                <w:noProof/>
                <w:webHidden/>
              </w:rPr>
              <w:fldChar w:fldCharType="separate"/>
            </w:r>
            <w:r w:rsidR="00382A8C">
              <w:rPr>
                <w:noProof/>
                <w:webHidden/>
              </w:rPr>
              <w:t>146</w:t>
            </w:r>
            <w:r w:rsidR="00382A8C">
              <w:rPr>
                <w:noProof/>
                <w:webHidden/>
              </w:rPr>
              <w:fldChar w:fldCharType="end"/>
            </w:r>
          </w:hyperlink>
        </w:p>
        <w:p w14:paraId="5462C5E0" w14:textId="77777777" w:rsidR="00382A8C" w:rsidRDefault="00F771A1">
          <w:pPr>
            <w:pStyle w:val="TOC1"/>
            <w:rPr>
              <w:rFonts w:asciiTheme="minorHAnsi" w:hAnsiTheme="minorHAnsi" w:cstheme="minorBidi"/>
              <w:noProof/>
              <w:sz w:val="22"/>
              <w:lang w:eastAsia="en-US"/>
            </w:rPr>
          </w:pPr>
          <w:hyperlink w:anchor="_Toc24447818" w:history="1">
            <w:r w:rsidR="00382A8C" w:rsidRPr="00977E77">
              <w:rPr>
                <w:rStyle w:val="Hyperlink"/>
                <w:noProof/>
              </w:rPr>
              <w:t>CHAPTER 7: Conclusion</w:t>
            </w:r>
            <w:r w:rsidR="00382A8C">
              <w:rPr>
                <w:noProof/>
                <w:webHidden/>
              </w:rPr>
              <w:tab/>
            </w:r>
            <w:r w:rsidR="00382A8C">
              <w:rPr>
                <w:noProof/>
                <w:webHidden/>
              </w:rPr>
              <w:fldChar w:fldCharType="begin"/>
            </w:r>
            <w:r w:rsidR="00382A8C">
              <w:rPr>
                <w:noProof/>
                <w:webHidden/>
              </w:rPr>
              <w:instrText xml:space="preserve"> PAGEREF _Toc24447818 \h </w:instrText>
            </w:r>
            <w:r w:rsidR="00382A8C">
              <w:rPr>
                <w:noProof/>
                <w:webHidden/>
              </w:rPr>
            </w:r>
            <w:r w:rsidR="00382A8C">
              <w:rPr>
                <w:noProof/>
                <w:webHidden/>
              </w:rPr>
              <w:fldChar w:fldCharType="separate"/>
            </w:r>
            <w:r w:rsidR="00382A8C">
              <w:rPr>
                <w:noProof/>
                <w:webHidden/>
              </w:rPr>
              <w:t>152</w:t>
            </w:r>
            <w:r w:rsidR="00382A8C">
              <w:rPr>
                <w:noProof/>
                <w:webHidden/>
              </w:rPr>
              <w:fldChar w:fldCharType="end"/>
            </w:r>
          </w:hyperlink>
        </w:p>
        <w:p w14:paraId="6C4E1709" w14:textId="77777777" w:rsidR="00382A8C" w:rsidRDefault="00F771A1">
          <w:pPr>
            <w:pStyle w:val="TOC1"/>
            <w:rPr>
              <w:rFonts w:asciiTheme="minorHAnsi" w:hAnsiTheme="minorHAnsi" w:cstheme="minorBidi"/>
              <w:noProof/>
              <w:sz w:val="22"/>
              <w:lang w:eastAsia="en-US"/>
            </w:rPr>
          </w:pPr>
          <w:hyperlink w:anchor="_Toc24447819" w:history="1">
            <w:r w:rsidR="00382A8C" w:rsidRPr="00977E77">
              <w:rPr>
                <w:rStyle w:val="Hyperlink"/>
                <w:noProof/>
              </w:rPr>
              <w:t>7.1. Managerial Implications</w:t>
            </w:r>
            <w:r w:rsidR="00382A8C">
              <w:rPr>
                <w:noProof/>
                <w:webHidden/>
              </w:rPr>
              <w:tab/>
            </w:r>
            <w:r w:rsidR="00382A8C">
              <w:rPr>
                <w:noProof/>
                <w:webHidden/>
              </w:rPr>
              <w:fldChar w:fldCharType="begin"/>
            </w:r>
            <w:r w:rsidR="00382A8C">
              <w:rPr>
                <w:noProof/>
                <w:webHidden/>
              </w:rPr>
              <w:instrText xml:space="preserve"> PAGEREF _Toc24447819 \h </w:instrText>
            </w:r>
            <w:r w:rsidR="00382A8C">
              <w:rPr>
                <w:noProof/>
                <w:webHidden/>
              </w:rPr>
            </w:r>
            <w:r w:rsidR="00382A8C">
              <w:rPr>
                <w:noProof/>
                <w:webHidden/>
              </w:rPr>
              <w:fldChar w:fldCharType="separate"/>
            </w:r>
            <w:r w:rsidR="00382A8C">
              <w:rPr>
                <w:noProof/>
                <w:webHidden/>
              </w:rPr>
              <w:t>152</w:t>
            </w:r>
            <w:r w:rsidR="00382A8C">
              <w:rPr>
                <w:noProof/>
                <w:webHidden/>
              </w:rPr>
              <w:fldChar w:fldCharType="end"/>
            </w:r>
          </w:hyperlink>
        </w:p>
        <w:p w14:paraId="0AD6AD5B" w14:textId="77777777" w:rsidR="00382A8C" w:rsidRDefault="00F771A1">
          <w:pPr>
            <w:pStyle w:val="TOC1"/>
            <w:rPr>
              <w:rFonts w:asciiTheme="minorHAnsi" w:hAnsiTheme="minorHAnsi" w:cstheme="minorBidi"/>
              <w:noProof/>
              <w:sz w:val="22"/>
              <w:lang w:eastAsia="en-US"/>
            </w:rPr>
          </w:pPr>
          <w:hyperlink w:anchor="_Toc24447820" w:history="1">
            <w:r w:rsidR="00382A8C" w:rsidRPr="00977E77">
              <w:rPr>
                <w:rStyle w:val="Hyperlink"/>
                <w:noProof/>
              </w:rPr>
              <w:t>7.2. Theoretical Implications</w:t>
            </w:r>
            <w:r w:rsidR="00382A8C">
              <w:rPr>
                <w:noProof/>
                <w:webHidden/>
              </w:rPr>
              <w:tab/>
            </w:r>
            <w:r w:rsidR="00382A8C">
              <w:rPr>
                <w:noProof/>
                <w:webHidden/>
              </w:rPr>
              <w:fldChar w:fldCharType="begin"/>
            </w:r>
            <w:r w:rsidR="00382A8C">
              <w:rPr>
                <w:noProof/>
                <w:webHidden/>
              </w:rPr>
              <w:instrText xml:space="preserve"> PAGEREF _Toc24447820 \h </w:instrText>
            </w:r>
            <w:r w:rsidR="00382A8C">
              <w:rPr>
                <w:noProof/>
                <w:webHidden/>
              </w:rPr>
            </w:r>
            <w:r w:rsidR="00382A8C">
              <w:rPr>
                <w:noProof/>
                <w:webHidden/>
              </w:rPr>
              <w:fldChar w:fldCharType="separate"/>
            </w:r>
            <w:r w:rsidR="00382A8C">
              <w:rPr>
                <w:noProof/>
                <w:webHidden/>
              </w:rPr>
              <w:t>156</w:t>
            </w:r>
            <w:r w:rsidR="00382A8C">
              <w:rPr>
                <w:noProof/>
                <w:webHidden/>
              </w:rPr>
              <w:fldChar w:fldCharType="end"/>
            </w:r>
          </w:hyperlink>
        </w:p>
        <w:p w14:paraId="68C543EA" w14:textId="77777777" w:rsidR="00382A8C" w:rsidRDefault="00F771A1">
          <w:pPr>
            <w:pStyle w:val="TOC1"/>
            <w:rPr>
              <w:rFonts w:asciiTheme="minorHAnsi" w:hAnsiTheme="minorHAnsi" w:cstheme="minorBidi"/>
              <w:noProof/>
              <w:sz w:val="22"/>
              <w:lang w:eastAsia="en-US"/>
            </w:rPr>
          </w:pPr>
          <w:hyperlink w:anchor="_Toc24447821" w:history="1">
            <w:r w:rsidR="00382A8C" w:rsidRPr="00977E77">
              <w:rPr>
                <w:rStyle w:val="Hyperlink"/>
                <w:noProof/>
              </w:rPr>
              <w:t>7.3. Recommendations</w:t>
            </w:r>
            <w:r w:rsidR="00382A8C">
              <w:rPr>
                <w:noProof/>
                <w:webHidden/>
              </w:rPr>
              <w:tab/>
            </w:r>
            <w:r w:rsidR="00382A8C">
              <w:rPr>
                <w:noProof/>
                <w:webHidden/>
              </w:rPr>
              <w:fldChar w:fldCharType="begin"/>
            </w:r>
            <w:r w:rsidR="00382A8C">
              <w:rPr>
                <w:noProof/>
                <w:webHidden/>
              </w:rPr>
              <w:instrText xml:space="preserve"> PAGEREF _Toc24447821 \h </w:instrText>
            </w:r>
            <w:r w:rsidR="00382A8C">
              <w:rPr>
                <w:noProof/>
                <w:webHidden/>
              </w:rPr>
            </w:r>
            <w:r w:rsidR="00382A8C">
              <w:rPr>
                <w:noProof/>
                <w:webHidden/>
              </w:rPr>
              <w:fldChar w:fldCharType="separate"/>
            </w:r>
            <w:r w:rsidR="00382A8C">
              <w:rPr>
                <w:noProof/>
                <w:webHidden/>
              </w:rPr>
              <w:t>161</w:t>
            </w:r>
            <w:r w:rsidR="00382A8C">
              <w:rPr>
                <w:noProof/>
                <w:webHidden/>
              </w:rPr>
              <w:fldChar w:fldCharType="end"/>
            </w:r>
          </w:hyperlink>
        </w:p>
        <w:p w14:paraId="72CB4943" w14:textId="77777777" w:rsidR="00382A8C" w:rsidRDefault="00F771A1">
          <w:pPr>
            <w:pStyle w:val="TOC1"/>
            <w:rPr>
              <w:rFonts w:asciiTheme="minorHAnsi" w:hAnsiTheme="minorHAnsi" w:cstheme="minorBidi"/>
              <w:noProof/>
              <w:sz w:val="22"/>
              <w:lang w:eastAsia="en-US"/>
            </w:rPr>
          </w:pPr>
          <w:hyperlink w:anchor="_Toc24447822" w:history="1">
            <w:r w:rsidR="00382A8C" w:rsidRPr="00977E77">
              <w:rPr>
                <w:rStyle w:val="Hyperlink"/>
                <w:noProof/>
              </w:rPr>
              <w:t>7.4. Limitations and Future Research Directions</w:t>
            </w:r>
            <w:r w:rsidR="00382A8C">
              <w:rPr>
                <w:noProof/>
                <w:webHidden/>
              </w:rPr>
              <w:tab/>
            </w:r>
            <w:r w:rsidR="00382A8C">
              <w:rPr>
                <w:noProof/>
                <w:webHidden/>
              </w:rPr>
              <w:fldChar w:fldCharType="begin"/>
            </w:r>
            <w:r w:rsidR="00382A8C">
              <w:rPr>
                <w:noProof/>
                <w:webHidden/>
              </w:rPr>
              <w:instrText xml:space="preserve"> PAGEREF _Toc24447822 \h </w:instrText>
            </w:r>
            <w:r w:rsidR="00382A8C">
              <w:rPr>
                <w:noProof/>
                <w:webHidden/>
              </w:rPr>
            </w:r>
            <w:r w:rsidR="00382A8C">
              <w:rPr>
                <w:noProof/>
                <w:webHidden/>
              </w:rPr>
              <w:fldChar w:fldCharType="separate"/>
            </w:r>
            <w:r w:rsidR="00382A8C">
              <w:rPr>
                <w:noProof/>
                <w:webHidden/>
              </w:rPr>
              <w:t>164</w:t>
            </w:r>
            <w:r w:rsidR="00382A8C">
              <w:rPr>
                <w:noProof/>
                <w:webHidden/>
              </w:rPr>
              <w:fldChar w:fldCharType="end"/>
            </w:r>
          </w:hyperlink>
        </w:p>
        <w:p w14:paraId="7BC686B3" w14:textId="77777777" w:rsidR="00382A8C" w:rsidRDefault="00F771A1">
          <w:pPr>
            <w:pStyle w:val="TOC1"/>
            <w:rPr>
              <w:rFonts w:asciiTheme="minorHAnsi" w:hAnsiTheme="minorHAnsi" w:cstheme="minorBidi"/>
              <w:noProof/>
              <w:sz w:val="22"/>
              <w:lang w:eastAsia="en-US"/>
            </w:rPr>
          </w:pPr>
          <w:hyperlink w:anchor="_Toc24447823" w:history="1">
            <w:r w:rsidR="00382A8C" w:rsidRPr="00977E77">
              <w:rPr>
                <w:rStyle w:val="Hyperlink"/>
                <w:noProof/>
              </w:rPr>
              <w:t>7.5. Conclusion</w:t>
            </w:r>
            <w:r w:rsidR="00382A8C">
              <w:rPr>
                <w:noProof/>
                <w:webHidden/>
              </w:rPr>
              <w:tab/>
            </w:r>
            <w:r w:rsidR="00382A8C">
              <w:rPr>
                <w:noProof/>
                <w:webHidden/>
              </w:rPr>
              <w:fldChar w:fldCharType="begin"/>
            </w:r>
            <w:r w:rsidR="00382A8C">
              <w:rPr>
                <w:noProof/>
                <w:webHidden/>
              </w:rPr>
              <w:instrText xml:space="preserve"> PAGEREF _Toc24447823 \h </w:instrText>
            </w:r>
            <w:r w:rsidR="00382A8C">
              <w:rPr>
                <w:noProof/>
                <w:webHidden/>
              </w:rPr>
            </w:r>
            <w:r w:rsidR="00382A8C">
              <w:rPr>
                <w:noProof/>
                <w:webHidden/>
              </w:rPr>
              <w:fldChar w:fldCharType="separate"/>
            </w:r>
            <w:r w:rsidR="00382A8C">
              <w:rPr>
                <w:noProof/>
                <w:webHidden/>
              </w:rPr>
              <w:t>168</w:t>
            </w:r>
            <w:r w:rsidR="00382A8C">
              <w:rPr>
                <w:noProof/>
                <w:webHidden/>
              </w:rPr>
              <w:fldChar w:fldCharType="end"/>
            </w:r>
          </w:hyperlink>
        </w:p>
        <w:p w14:paraId="0A2A6882" w14:textId="77777777" w:rsidR="00382A8C" w:rsidRDefault="00F771A1">
          <w:pPr>
            <w:pStyle w:val="TOC1"/>
            <w:rPr>
              <w:rFonts w:asciiTheme="minorHAnsi" w:hAnsiTheme="minorHAnsi" w:cstheme="minorBidi"/>
              <w:noProof/>
              <w:sz w:val="22"/>
              <w:lang w:eastAsia="en-US"/>
            </w:rPr>
          </w:pPr>
          <w:hyperlink w:anchor="_Toc24447824" w:history="1">
            <w:r w:rsidR="00382A8C" w:rsidRPr="00977E77">
              <w:rPr>
                <w:rStyle w:val="Hyperlink"/>
                <w:noProof/>
              </w:rPr>
              <w:t>BIBLIOGRAPHY</w:t>
            </w:r>
            <w:r w:rsidR="00382A8C">
              <w:rPr>
                <w:noProof/>
                <w:webHidden/>
              </w:rPr>
              <w:tab/>
            </w:r>
            <w:r w:rsidR="00382A8C">
              <w:rPr>
                <w:noProof/>
                <w:webHidden/>
              </w:rPr>
              <w:fldChar w:fldCharType="begin"/>
            </w:r>
            <w:r w:rsidR="00382A8C">
              <w:rPr>
                <w:noProof/>
                <w:webHidden/>
              </w:rPr>
              <w:instrText xml:space="preserve"> PAGEREF _Toc24447824 \h </w:instrText>
            </w:r>
            <w:r w:rsidR="00382A8C">
              <w:rPr>
                <w:noProof/>
                <w:webHidden/>
              </w:rPr>
            </w:r>
            <w:r w:rsidR="00382A8C">
              <w:rPr>
                <w:noProof/>
                <w:webHidden/>
              </w:rPr>
              <w:fldChar w:fldCharType="separate"/>
            </w:r>
            <w:r w:rsidR="00382A8C">
              <w:rPr>
                <w:noProof/>
                <w:webHidden/>
              </w:rPr>
              <w:t>171</w:t>
            </w:r>
            <w:r w:rsidR="00382A8C">
              <w:rPr>
                <w:noProof/>
                <w:webHidden/>
              </w:rPr>
              <w:fldChar w:fldCharType="end"/>
            </w:r>
          </w:hyperlink>
        </w:p>
        <w:p w14:paraId="7D516469" w14:textId="77777777" w:rsidR="00F32122" w:rsidRPr="00174113" w:rsidRDefault="002473BE" w:rsidP="00551162">
          <w:pPr>
            <w:ind w:right="90"/>
          </w:pPr>
          <w:r w:rsidRPr="005E7A62">
            <w:rPr>
              <w:b/>
              <w:bCs/>
            </w:rPr>
            <w:fldChar w:fldCharType="end"/>
          </w:r>
        </w:p>
      </w:sdtContent>
    </w:sdt>
    <w:p w14:paraId="7D51646A" w14:textId="77777777" w:rsidR="00557703" w:rsidRPr="00174113" w:rsidRDefault="00557703">
      <w:pPr>
        <w:rPr>
          <w:rFonts w:eastAsiaTheme="majorEastAsia" w:cstheme="majorBidi"/>
          <w:b/>
          <w:bCs/>
          <w:i/>
          <w:smallCaps/>
          <w:sz w:val="32"/>
          <w:szCs w:val="32"/>
          <w:u w:val="single"/>
        </w:rPr>
      </w:pPr>
    </w:p>
    <w:p w14:paraId="7D51646C" w14:textId="77777777" w:rsidR="005B05E3" w:rsidRPr="00790070" w:rsidRDefault="005B05E3" w:rsidP="00551162">
      <w:pPr>
        <w:pStyle w:val="ChapterTitle"/>
        <w:ind w:right="90"/>
        <w:rPr>
          <w:i/>
        </w:rPr>
      </w:pPr>
      <w:bookmarkStart w:id="6" w:name="_Toc532800279"/>
      <w:bookmarkStart w:id="7" w:name="_Toc534028523"/>
      <w:bookmarkStart w:id="8" w:name="_Toc534028908"/>
      <w:bookmarkStart w:id="9" w:name="_Toc24447751"/>
      <w:bookmarkStart w:id="10" w:name="_Toc532800277"/>
      <w:bookmarkStart w:id="11" w:name="_Toc534028521"/>
      <w:bookmarkStart w:id="12" w:name="_Toc534028906"/>
      <w:bookmarkEnd w:id="0"/>
      <w:bookmarkEnd w:id="1"/>
      <w:bookmarkEnd w:id="2"/>
      <w:r w:rsidRPr="00174113">
        <w:t>List of Tables</w:t>
      </w:r>
      <w:bookmarkEnd w:id="6"/>
      <w:bookmarkEnd w:id="7"/>
      <w:bookmarkEnd w:id="8"/>
      <w:bookmarkEnd w:id="9"/>
      <w:r w:rsidR="002473BE" w:rsidRPr="00174113">
        <w:rPr>
          <w:i/>
        </w:rPr>
        <w:fldChar w:fldCharType="begin"/>
      </w:r>
      <w:r w:rsidRPr="00174113">
        <w:instrText xml:space="preserve"> TOC \h \z \c "Table 3." </w:instrText>
      </w:r>
      <w:r w:rsidR="002473BE" w:rsidRPr="00174113">
        <w:rPr>
          <w:i/>
        </w:rPr>
        <w:fldChar w:fldCharType="separate"/>
      </w:r>
    </w:p>
    <w:p w14:paraId="6C7FBE56" w14:textId="2D634F5F" w:rsidR="00BB4743" w:rsidRDefault="00BB4743" w:rsidP="00551162">
      <w:pPr>
        <w:pStyle w:val="TableofFigures"/>
        <w:tabs>
          <w:tab w:val="right" w:leader="dot" w:pos="9350"/>
        </w:tabs>
        <w:spacing w:line="360" w:lineRule="auto"/>
        <w:ind w:right="90"/>
      </w:pPr>
      <w:r>
        <w:t xml:space="preserve">Table 2.1. </w:t>
      </w:r>
      <w:r w:rsidR="0041172E" w:rsidRPr="0041172E">
        <w:t>Main Reported Motivators for the Adoption of Healthcare Technologies</w:t>
      </w:r>
      <w:r w:rsidRPr="00BB4743">
        <w:rPr>
          <w:webHidden/>
        </w:rPr>
        <w:tab/>
      </w:r>
      <w:r w:rsidR="00F176E3">
        <w:rPr>
          <w:webHidden/>
        </w:rPr>
        <w:t>34</w:t>
      </w:r>
    </w:p>
    <w:p w14:paraId="7D51646D" w14:textId="5823738E" w:rsidR="005B05E3" w:rsidRDefault="00F176E3" w:rsidP="00551162">
      <w:pPr>
        <w:pStyle w:val="TableofFigures"/>
        <w:tabs>
          <w:tab w:val="right" w:leader="dot" w:pos="9350"/>
        </w:tabs>
        <w:spacing w:line="360" w:lineRule="auto"/>
        <w:ind w:right="90"/>
      </w:pPr>
      <w:r>
        <w:t>Table 2.2</w:t>
      </w:r>
      <w:r w:rsidR="002503BB">
        <w:t>.</w:t>
      </w:r>
      <w:r>
        <w:t xml:space="preserve"> </w:t>
      </w:r>
      <w:r w:rsidRPr="00F176E3">
        <w:t xml:space="preserve">Main Reported Barriers to the Adoption of Healthcare Technologies </w:t>
      </w:r>
      <w:hyperlink w:anchor="_Toc534120977" w:history="1">
        <w:r w:rsidR="005B05E3" w:rsidRPr="00174113">
          <w:rPr>
            <w:webHidden/>
          </w:rPr>
          <w:tab/>
        </w:r>
        <w:r w:rsidR="00A65AE1">
          <w:rPr>
            <w:webHidden/>
          </w:rPr>
          <w:t>4</w:t>
        </w:r>
        <w:r w:rsidR="002473BE" w:rsidRPr="00174113">
          <w:rPr>
            <w:webHidden/>
          </w:rPr>
          <w:fldChar w:fldCharType="begin"/>
        </w:r>
        <w:r w:rsidR="005B05E3" w:rsidRPr="00174113">
          <w:rPr>
            <w:webHidden/>
          </w:rPr>
          <w:instrText xml:space="preserve"> PAGEREF _Toc534120977 \h </w:instrText>
        </w:r>
        <w:r w:rsidR="002473BE" w:rsidRPr="00174113">
          <w:rPr>
            <w:webHidden/>
          </w:rPr>
        </w:r>
        <w:r w:rsidR="002473BE" w:rsidRPr="00174113">
          <w:rPr>
            <w:webHidden/>
          </w:rPr>
          <w:fldChar w:fldCharType="separate"/>
        </w:r>
        <w:r w:rsidR="004C1C5E">
          <w:rPr>
            <w:b/>
            <w:bCs/>
            <w:noProof/>
            <w:webHidden/>
          </w:rPr>
          <w:t>Error! Bookmark not defined.</w:t>
        </w:r>
        <w:r w:rsidR="002473BE" w:rsidRPr="00174113">
          <w:rPr>
            <w:webHidden/>
          </w:rPr>
          <w:fldChar w:fldCharType="end"/>
        </w:r>
      </w:hyperlink>
    </w:p>
    <w:p w14:paraId="20C570C8" w14:textId="6094710C" w:rsidR="002503BB" w:rsidRPr="00174113" w:rsidRDefault="00F771A1" w:rsidP="0055116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0978" w:history="1">
        <w:r w:rsidR="002503BB" w:rsidRPr="00174113">
          <w:rPr>
            <w:rStyle w:val="Hyperlink"/>
            <w:color w:val="auto"/>
          </w:rPr>
          <w:t>Table 3.</w:t>
        </w:r>
        <w:r w:rsidR="002503BB">
          <w:rPr>
            <w:rStyle w:val="Hyperlink"/>
            <w:color w:val="auto"/>
          </w:rPr>
          <w:t>1</w:t>
        </w:r>
        <w:r w:rsidR="002503BB" w:rsidRPr="00174113">
          <w:rPr>
            <w:rStyle w:val="Hyperlink"/>
            <w:color w:val="auto"/>
            <w:lang w:bidi="ar-DZ"/>
          </w:rPr>
          <w:t xml:space="preserve">. </w:t>
        </w:r>
        <w:r w:rsidR="000C404A" w:rsidRPr="000C404A">
          <w:rPr>
            <w:rStyle w:val="Hyperlink"/>
            <w:color w:val="auto"/>
            <w:lang w:bidi="ar-DZ"/>
          </w:rPr>
          <w:t>Summary of the Use of Stakeholder Theory in Healthcare Research</w:t>
        </w:r>
        <w:r w:rsidR="002503BB" w:rsidRPr="00174113">
          <w:rPr>
            <w:webHidden/>
          </w:rPr>
          <w:tab/>
        </w:r>
        <w:r w:rsidR="000C404A">
          <w:rPr>
            <w:webHidden/>
          </w:rPr>
          <w:t>49</w:t>
        </w:r>
      </w:hyperlink>
    </w:p>
    <w:p w14:paraId="7D51646F" w14:textId="24BA7B80" w:rsidR="005B05E3" w:rsidRPr="00F75489" w:rsidRDefault="002473BE" w:rsidP="00551162">
      <w:pPr>
        <w:pStyle w:val="TableofFigures"/>
        <w:tabs>
          <w:tab w:val="right" w:leader="dot" w:pos="9350"/>
        </w:tabs>
        <w:spacing w:line="360" w:lineRule="auto"/>
        <w:ind w:right="90"/>
        <w:rPr>
          <w:rFonts w:asciiTheme="minorHAnsi" w:eastAsiaTheme="minorEastAsia" w:hAnsiTheme="minorHAnsi" w:cstheme="minorBidi"/>
          <w:sz w:val="22"/>
          <w:szCs w:val="22"/>
        </w:rPr>
      </w:pPr>
      <w:r w:rsidRPr="00174113">
        <w:fldChar w:fldCharType="end"/>
      </w:r>
      <w:hyperlink w:anchor="_Toc534120978" w:history="1">
        <w:r w:rsidR="002503BB" w:rsidRPr="00C0447D">
          <w:rPr>
            <w:rStyle w:val="Hyperlink"/>
            <w:color w:val="auto"/>
            <w:u w:val="none"/>
          </w:rPr>
          <w:t>Table 3.</w:t>
        </w:r>
        <w:r w:rsidR="002503BB">
          <w:rPr>
            <w:rStyle w:val="Hyperlink"/>
            <w:color w:val="auto"/>
            <w:u w:val="none"/>
          </w:rPr>
          <w:t>2</w:t>
        </w:r>
        <w:r w:rsidR="002503BB" w:rsidRPr="00C0447D">
          <w:rPr>
            <w:rStyle w:val="Hyperlink"/>
            <w:color w:val="auto"/>
            <w:u w:val="none"/>
            <w:lang w:bidi="ar-DZ"/>
          </w:rPr>
          <w:t xml:space="preserve">. </w:t>
        </w:r>
        <w:r w:rsidR="000C404A" w:rsidRPr="000C404A">
          <w:rPr>
            <w:rStyle w:val="Hyperlink"/>
            <w:color w:val="auto"/>
            <w:u w:val="none"/>
            <w:lang w:bidi="ar-DZ"/>
          </w:rPr>
          <w:t>Summary of UTAUT Use in Healthcare Research</w:t>
        </w:r>
        <w:r w:rsidR="002503BB" w:rsidRPr="00174113">
          <w:rPr>
            <w:webHidden/>
          </w:rPr>
          <w:tab/>
        </w:r>
        <w:r w:rsidR="000C404A">
          <w:rPr>
            <w:webHidden/>
          </w:rPr>
          <w:t>5</w:t>
        </w:r>
        <w:r w:rsidR="002503BB" w:rsidRPr="00174113">
          <w:rPr>
            <w:webHidden/>
          </w:rPr>
          <w:fldChar w:fldCharType="begin"/>
        </w:r>
        <w:r w:rsidR="002503BB" w:rsidRPr="00174113">
          <w:rPr>
            <w:webHidden/>
          </w:rPr>
          <w:instrText xml:space="preserve"> PAGEREF _Toc534120978 \h </w:instrText>
        </w:r>
        <w:r w:rsidR="002503BB" w:rsidRPr="00174113">
          <w:rPr>
            <w:webHidden/>
          </w:rPr>
        </w:r>
        <w:r w:rsidR="002503BB" w:rsidRPr="00174113">
          <w:rPr>
            <w:webHidden/>
          </w:rPr>
          <w:fldChar w:fldCharType="separate"/>
        </w:r>
        <w:r w:rsidR="004C1C5E">
          <w:rPr>
            <w:b/>
            <w:bCs/>
            <w:noProof/>
            <w:webHidden/>
          </w:rPr>
          <w:t>Error! Bookmark not defined.</w:t>
        </w:r>
        <w:r w:rsidR="002503BB" w:rsidRPr="00174113">
          <w:rPr>
            <w:webHidden/>
          </w:rPr>
          <w:fldChar w:fldCharType="end"/>
        </w:r>
      </w:hyperlink>
      <w:r w:rsidRPr="00174113">
        <w:rPr>
          <w:rtl/>
          <w:lang w:bidi="ar-DZ"/>
        </w:rPr>
        <w:fldChar w:fldCharType="begin"/>
      </w:r>
      <w:r w:rsidR="005B05E3" w:rsidRPr="00174113">
        <w:rPr>
          <w:lang w:bidi="ar-DZ"/>
        </w:rPr>
        <w:instrText>TOC</w:instrText>
      </w:r>
      <w:r w:rsidR="005B05E3" w:rsidRPr="00174113">
        <w:rPr>
          <w:rtl/>
          <w:lang w:bidi="ar-DZ"/>
        </w:rPr>
        <w:instrText xml:space="preserve"> \</w:instrText>
      </w:r>
      <w:r w:rsidR="005B05E3" w:rsidRPr="00174113">
        <w:rPr>
          <w:lang w:bidi="ar-DZ"/>
        </w:rPr>
        <w:instrText>h \z \c "Table 4</w:instrText>
      </w:r>
      <w:r w:rsidR="005B05E3" w:rsidRPr="00174113">
        <w:rPr>
          <w:rtl/>
          <w:lang w:bidi="ar-DZ"/>
        </w:rPr>
        <w:instrText>."</w:instrText>
      </w:r>
      <w:r w:rsidRPr="00174113">
        <w:rPr>
          <w:rtl/>
          <w:lang w:bidi="ar-DZ"/>
        </w:rPr>
        <w:fldChar w:fldCharType="separate"/>
      </w:r>
    </w:p>
    <w:p w14:paraId="7D516470" w14:textId="22B1EC79" w:rsidR="005B05E3" w:rsidRPr="00174113" w:rsidRDefault="00F771A1" w:rsidP="0055116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028" w:history="1">
        <w:r w:rsidR="005B05E3" w:rsidRPr="00174113">
          <w:rPr>
            <w:rStyle w:val="Hyperlink"/>
            <w:color w:val="auto"/>
          </w:rPr>
          <w:t>Table 4.1</w:t>
        </w:r>
        <w:r w:rsidR="005B05E3" w:rsidRPr="00174113">
          <w:rPr>
            <w:rStyle w:val="Hyperlink"/>
            <w:color w:val="auto"/>
            <w:lang w:bidi="ar-DZ"/>
          </w:rPr>
          <w:t xml:space="preserve">. </w:t>
        </w:r>
        <w:r w:rsidR="00637C29" w:rsidRPr="00637C29">
          <w:rPr>
            <w:rStyle w:val="Hyperlink"/>
            <w:color w:val="auto"/>
            <w:lang w:bidi="ar-DZ"/>
          </w:rPr>
          <w:t>CFA Application in Various Fields</w:t>
        </w:r>
        <w:r w:rsidR="00637C29" w:rsidRPr="00637C29" w:rsidDel="00637C29">
          <w:rPr>
            <w:rStyle w:val="Hyperlink"/>
            <w:color w:val="auto"/>
            <w:lang w:bidi="ar-DZ"/>
          </w:rPr>
          <w:t xml:space="preserve"> </w:t>
        </w:r>
        <w:r w:rsidR="005B05E3" w:rsidRPr="00174113">
          <w:rPr>
            <w:webHidden/>
          </w:rPr>
          <w:tab/>
        </w:r>
        <w:r w:rsidR="00637C29">
          <w:rPr>
            <w:webHidden/>
          </w:rPr>
          <w:t>58</w:t>
        </w:r>
      </w:hyperlink>
    </w:p>
    <w:p w14:paraId="7D516471" w14:textId="02B820D6" w:rsidR="005B05E3" w:rsidRPr="00174113" w:rsidRDefault="00F771A1" w:rsidP="0055116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029" w:history="1">
        <w:r w:rsidR="005B05E3" w:rsidRPr="00174113">
          <w:rPr>
            <w:rStyle w:val="Hyperlink"/>
            <w:color w:val="auto"/>
          </w:rPr>
          <w:t>Table 4.2</w:t>
        </w:r>
        <w:r w:rsidR="005B05E3" w:rsidRPr="00174113">
          <w:rPr>
            <w:rStyle w:val="Hyperlink"/>
            <w:color w:val="auto"/>
            <w:lang w:bidi="ar-DZ"/>
          </w:rPr>
          <w:t>.</w:t>
        </w:r>
        <w:r w:rsidR="00637C29">
          <w:rPr>
            <w:rStyle w:val="Hyperlink"/>
            <w:color w:val="auto"/>
            <w:lang w:bidi="ar-DZ"/>
          </w:rPr>
          <w:t xml:space="preserve"> </w:t>
        </w:r>
        <w:r w:rsidR="00637C29" w:rsidRPr="00637C29">
          <w:rPr>
            <w:rStyle w:val="Hyperlink"/>
            <w:color w:val="auto"/>
            <w:lang w:bidi="ar-DZ"/>
          </w:rPr>
          <w:t>Stakeholder Categories and Definitions</w:t>
        </w:r>
        <w:r w:rsidR="00637C29" w:rsidRPr="00637C29" w:rsidDel="00637C29">
          <w:rPr>
            <w:rStyle w:val="Hyperlink"/>
            <w:color w:val="auto"/>
            <w:lang w:bidi="ar-DZ"/>
          </w:rPr>
          <w:t xml:space="preserve"> </w:t>
        </w:r>
        <w:r w:rsidR="005B05E3" w:rsidRPr="00174113">
          <w:rPr>
            <w:webHidden/>
          </w:rPr>
          <w:tab/>
        </w:r>
      </w:hyperlink>
      <w:r w:rsidR="005F4FCA" w:rsidRPr="00C0447D">
        <w:rPr>
          <w:rStyle w:val="Hyperlink"/>
          <w:color w:val="auto"/>
          <w:u w:val="none"/>
        </w:rPr>
        <w:t>61</w:t>
      </w:r>
    </w:p>
    <w:p w14:paraId="7D516472" w14:textId="586B6DC0" w:rsidR="005B05E3" w:rsidRPr="00174113" w:rsidRDefault="00F771A1" w:rsidP="0055116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030" w:history="1">
        <w:r w:rsidR="005B05E3" w:rsidRPr="00174113">
          <w:rPr>
            <w:rStyle w:val="Hyperlink"/>
            <w:color w:val="auto"/>
          </w:rPr>
          <w:t>Table 4.3</w:t>
        </w:r>
        <w:r w:rsidR="005B05E3" w:rsidRPr="00174113">
          <w:rPr>
            <w:rStyle w:val="Hyperlink"/>
            <w:color w:val="auto"/>
            <w:lang w:bidi="ar-DZ"/>
          </w:rPr>
          <w:t xml:space="preserve">. </w:t>
        </w:r>
        <w:r w:rsidR="00945143" w:rsidRPr="00945143">
          <w:rPr>
            <w:rStyle w:val="Hyperlink"/>
            <w:color w:val="auto"/>
            <w:lang w:bidi="ar-DZ"/>
          </w:rPr>
          <w:t>Demographic Details of Participants for HIT Motivators</w:t>
        </w:r>
        <w:r w:rsidR="00945143" w:rsidRPr="00945143" w:rsidDel="00945143">
          <w:rPr>
            <w:rStyle w:val="Hyperlink"/>
            <w:color w:val="auto"/>
            <w:lang w:bidi="ar-DZ"/>
          </w:rPr>
          <w:t xml:space="preserve"> </w:t>
        </w:r>
        <w:r w:rsidR="005B05E3" w:rsidRPr="00174113">
          <w:rPr>
            <w:webHidden/>
          </w:rPr>
          <w:tab/>
        </w:r>
        <w:r w:rsidR="00945143">
          <w:rPr>
            <w:webHidden/>
          </w:rPr>
          <w:t>64</w:t>
        </w:r>
      </w:hyperlink>
    </w:p>
    <w:p w14:paraId="0F91FA78" w14:textId="5DC19131" w:rsidR="00377623" w:rsidRPr="00174113" w:rsidRDefault="00F771A1" w:rsidP="0055116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031" w:history="1">
        <w:r w:rsidR="00377623" w:rsidRPr="00174113">
          <w:rPr>
            <w:rStyle w:val="Hyperlink"/>
            <w:color w:val="auto"/>
          </w:rPr>
          <w:t>Table 4.4</w:t>
        </w:r>
        <w:r w:rsidR="00377623" w:rsidRPr="00174113">
          <w:rPr>
            <w:rStyle w:val="Hyperlink"/>
            <w:color w:val="auto"/>
            <w:lang w:bidi="ar-DZ"/>
          </w:rPr>
          <w:t xml:space="preserve">. </w:t>
        </w:r>
        <w:r w:rsidR="00945143" w:rsidRPr="00945143">
          <w:rPr>
            <w:rStyle w:val="Hyperlink"/>
            <w:color w:val="auto"/>
            <w:lang w:bidi="ar-DZ"/>
          </w:rPr>
          <w:t>Demographic Details of Participants for HIT Barriers</w:t>
        </w:r>
        <w:r w:rsidR="00377623" w:rsidRPr="00174113">
          <w:rPr>
            <w:webHidden/>
          </w:rPr>
          <w:tab/>
        </w:r>
        <w:r w:rsidR="00945143">
          <w:rPr>
            <w:webHidden/>
          </w:rPr>
          <w:t>65</w:t>
        </w:r>
      </w:hyperlink>
    </w:p>
    <w:p w14:paraId="6E4287BC" w14:textId="0523B5C1" w:rsidR="00377623" w:rsidRPr="00174113" w:rsidRDefault="00F771A1" w:rsidP="0055116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031" w:history="1">
        <w:r w:rsidR="00377623" w:rsidRPr="00174113">
          <w:rPr>
            <w:rStyle w:val="Hyperlink"/>
            <w:color w:val="auto"/>
          </w:rPr>
          <w:t>Table 4.</w:t>
        </w:r>
        <w:r w:rsidR="00377623">
          <w:rPr>
            <w:rStyle w:val="Hyperlink"/>
            <w:color w:val="auto"/>
          </w:rPr>
          <w:t>5</w:t>
        </w:r>
        <w:r w:rsidR="00377623" w:rsidRPr="00174113">
          <w:rPr>
            <w:rStyle w:val="Hyperlink"/>
            <w:color w:val="auto"/>
            <w:lang w:bidi="ar-DZ"/>
          </w:rPr>
          <w:t xml:space="preserve">. </w:t>
        </w:r>
        <w:r w:rsidR="00945143" w:rsidRPr="00945143">
          <w:rPr>
            <w:rStyle w:val="Hyperlink"/>
            <w:color w:val="auto"/>
            <w:lang w:bidi="ar-DZ"/>
          </w:rPr>
          <w:t>List of Motivators (and Their Respective Categories) Used in the Survey</w:t>
        </w:r>
        <w:r w:rsidR="00377623" w:rsidRPr="00174113">
          <w:rPr>
            <w:webHidden/>
          </w:rPr>
          <w:tab/>
        </w:r>
        <w:r w:rsidR="00945143">
          <w:rPr>
            <w:webHidden/>
          </w:rPr>
          <w:t>66</w:t>
        </w:r>
      </w:hyperlink>
    </w:p>
    <w:p w14:paraId="2FA2B1F6" w14:textId="67D4EF3A" w:rsidR="00377623" w:rsidRPr="00174113" w:rsidRDefault="00F771A1" w:rsidP="0055116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031" w:history="1">
        <w:r w:rsidR="00377623" w:rsidRPr="00174113">
          <w:rPr>
            <w:rStyle w:val="Hyperlink"/>
            <w:color w:val="auto"/>
          </w:rPr>
          <w:t>Table 4.</w:t>
        </w:r>
        <w:r w:rsidR="00377623">
          <w:rPr>
            <w:rStyle w:val="Hyperlink"/>
            <w:color w:val="auto"/>
          </w:rPr>
          <w:t>6</w:t>
        </w:r>
        <w:r w:rsidR="00377623" w:rsidRPr="00174113">
          <w:rPr>
            <w:rStyle w:val="Hyperlink"/>
            <w:color w:val="auto"/>
            <w:lang w:bidi="ar-DZ"/>
          </w:rPr>
          <w:t xml:space="preserve">. </w:t>
        </w:r>
        <w:r w:rsidR="00EE08AD" w:rsidRPr="00EE08AD">
          <w:rPr>
            <w:rStyle w:val="Hyperlink"/>
            <w:color w:val="auto"/>
            <w:lang w:bidi="ar-DZ"/>
          </w:rPr>
          <w:t>List of Barriers (and Their Respective Categories) Used in the Survey</w:t>
        </w:r>
        <w:r w:rsidR="00377623" w:rsidRPr="00174113">
          <w:rPr>
            <w:webHidden/>
          </w:rPr>
          <w:tab/>
        </w:r>
        <w:r w:rsidR="00EE08AD">
          <w:rPr>
            <w:webHidden/>
          </w:rPr>
          <w:t>68</w:t>
        </w:r>
      </w:hyperlink>
    </w:p>
    <w:p w14:paraId="7D516474" w14:textId="77777777" w:rsidR="005B05E3" w:rsidRPr="00174113" w:rsidRDefault="002473BE" w:rsidP="00551162">
      <w:pPr>
        <w:spacing w:line="360" w:lineRule="auto"/>
        <w:ind w:right="90"/>
        <w:contextualSpacing/>
        <w:mirrorIndents/>
      </w:pPr>
      <w:r w:rsidRPr="00174113">
        <w:rPr>
          <w:rtl/>
          <w:lang w:bidi="ar-DZ"/>
        </w:rPr>
        <w:fldChar w:fldCharType="end"/>
      </w:r>
      <w:r w:rsidRPr="00174113">
        <w:fldChar w:fldCharType="begin"/>
      </w:r>
      <w:r w:rsidR="005B05E3" w:rsidRPr="00174113">
        <w:instrText xml:space="preserve"> TOC \h \z \c "Table 5." </w:instrText>
      </w:r>
      <w:r w:rsidRPr="00174113">
        <w:fldChar w:fldCharType="separate"/>
      </w:r>
    </w:p>
    <w:p w14:paraId="725AC65D" w14:textId="53D66E95" w:rsidR="00761732" w:rsidRDefault="00761732" w:rsidP="00551162">
      <w:pPr>
        <w:pStyle w:val="TableofFigures"/>
        <w:tabs>
          <w:tab w:val="right" w:leader="dot" w:pos="9350"/>
        </w:tabs>
        <w:spacing w:line="360" w:lineRule="auto"/>
        <w:ind w:right="90"/>
      </w:pPr>
      <w:r>
        <w:t xml:space="preserve">Table 5.1 Test for skewness and kurtosis </w:t>
      </w:r>
      <w:r w:rsidRPr="00761732">
        <w:rPr>
          <w:webHidden/>
        </w:rPr>
        <w:tab/>
      </w:r>
      <w:r>
        <w:rPr>
          <w:webHidden/>
        </w:rPr>
        <w:t>103</w:t>
      </w:r>
    </w:p>
    <w:p w14:paraId="7D516475" w14:textId="63BDB8CB"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45" w:history="1">
        <w:r w:rsidR="00761732">
          <w:rPr>
            <w:rStyle w:val="Hyperlink"/>
            <w:color w:val="auto"/>
          </w:rPr>
          <w:t>Table 5.2</w:t>
        </w:r>
        <w:r w:rsidR="00377623">
          <w:rPr>
            <w:rStyle w:val="Hyperlink"/>
            <w:color w:val="auto"/>
          </w:rPr>
          <w:t xml:space="preserve"> </w:t>
        </w:r>
        <w:r w:rsidR="00EE08AD" w:rsidRPr="00EE08AD">
          <w:rPr>
            <w:rStyle w:val="Hyperlink"/>
            <w:color w:val="auto"/>
          </w:rPr>
          <w:t>Motivators Reported by Each Stakeholder Group</w:t>
        </w:r>
        <w:r w:rsidR="00EE08AD" w:rsidRPr="00EE08AD" w:rsidDel="00EE08AD">
          <w:rPr>
            <w:rStyle w:val="Hyperlink"/>
            <w:color w:val="auto"/>
          </w:rPr>
          <w:t xml:space="preserve"> </w:t>
        </w:r>
        <w:r w:rsidR="005B05E3" w:rsidRPr="00174113">
          <w:rPr>
            <w:webHidden/>
          </w:rPr>
          <w:tab/>
        </w:r>
      </w:hyperlink>
      <w:r w:rsidR="00761732">
        <w:t>104</w:t>
      </w:r>
    </w:p>
    <w:p w14:paraId="7D516476" w14:textId="0C560F36"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46" w:history="1">
        <w:r w:rsidR="00761732">
          <w:rPr>
            <w:rStyle w:val="Hyperlink"/>
            <w:color w:val="auto"/>
          </w:rPr>
          <w:t>Table 5.3</w:t>
        </w:r>
        <w:r w:rsidR="005B05E3" w:rsidRPr="00174113">
          <w:rPr>
            <w:rStyle w:val="Hyperlink"/>
            <w:color w:val="auto"/>
            <w:lang w:bidi="ar-DZ"/>
          </w:rPr>
          <w:t xml:space="preserve"> </w:t>
        </w:r>
        <w:r w:rsidR="00EE08AD" w:rsidRPr="00EE08AD">
          <w:rPr>
            <w:rStyle w:val="Hyperlink"/>
            <w:color w:val="auto"/>
            <w:lang w:bidi="ar-DZ"/>
          </w:rPr>
          <w:t>Barriers Reported by Each Stakeholder Group</w:t>
        </w:r>
        <w:r w:rsidR="00EE08AD" w:rsidRPr="00EE08AD" w:rsidDel="00EE08AD">
          <w:rPr>
            <w:rStyle w:val="Hyperlink"/>
            <w:color w:val="auto"/>
            <w:lang w:bidi="ar-DZ"/>
          </w:rPr>
          <w:t xml:space="preserve"> </w:t>
        </w:r>
        <w:r w:rsidR="005B05E3" w:rsidRPr="00174113">
          <w:rPr>
            <w:webHidden/>
          </w:rPr>
          <w:tab/>
        </w:r>
      </w:hyperlink>
      <w:r w:rsidR="00761732">
        <w:t>105</w:t>
      </w:r>
    </w:p>
    <w:p w14:paraId="7D516477" w14:textId="7784062B"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47" w:history="1">
        <w:r w:rsidR="00761732">
          <w:rPr>
            <w:rStyle w:val="Hyperlink"/>
            <w:color w:val="auto"/>
          </w:rPr>
          <w:t>Table 5.4</w:t>
        </w:r>
        <w:r w:rsidR="005B05E3" w:rsidRPr="00174113">
          <w:rPr>
            <w:rStyle w:val="Hyperlink"/>
            <w:color w:val="auto"/>
            <w:lang w:bidi="ar-DZ"/>
          </w:rPr>
          <w:t xml:space="preserve"> </w:t>
        </w:r>
        <w:r w:rsidR="000B26E7" w:rsidRPr="000B26E7">
          <w:rPr>
            <w:rStyle w:val="Hyperlink"/>
            <w:color w:val="auto"/>
            <w:lang w:bidi="ar-DZ"/>
          </w:rPr>
          <w:t>Rotated Component Matrix of Items of the Four Key Latent Motivational Factors</w:t>
        </w:r>
        <w:r w:rsidR="000B26E7" w:rsidRPr="000B26E7" w:rsidDel="000B26E7">
          <w:rPr>
            <w:rStyle w:val="Hyperlink"/>
            <w:color w:val="auto"/>
            <w:lang w:bidi="ar-DZ"/>
          </w:rPr>
          <w:t xml:space="preserve"> </w:t>
        </w:r>
        <w:r w:rsidR="005B05E3" w:rsidRPr="00174113">
          <w:rPr>
            <w:webHidden/>
          </w:rPr>
          <w:tab/>
        </w:r>
      </w:hyperlink>
      <w:r w:rsidR="00761732">
        <w:t>109</w:t>
      </w:r>
    </w:p>
    <w:p w14:paraId="7D516478" w14:textId="075A449D"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48" w:history="1">
        <w:r w:rsidR="00761732">
          <w:rPr>
            <w:rStyle w:val="Hyperlink"/>
            <w:color w:val="auto"/>
          </w:rPr>
          <w:t>Table 5.5</w:t>
        </w:r>
        <w:r w:rsidR="005B05E3" w:rsidRPr="00174113">
          <w:rPr>
            <w:rStyle w:val="Hyperlink"/>
            <w:color w:val="auto"/>
          </w:rPr>
          <w:t xml:space="preserve"> </w:t>
        </w:r>
        <w:r w:rsidR="000B26E7" w:rsidRPr="000B26E7">
          <w:rPr>
            <w:rStyle w:val="Hyperlink"/>
            <w:color w:val="auto"/>
          </w:rPr>
          <w:t>Goodness-of-Fit Indices for the First-Order Model on Motivators</w:t>
        </w:r>
        <w:r w:rsidR="000B26E7" w:rsidRPr="000B26E7" w:rsidDel="000B26E7">
          <w:rPr>
            <w:rStyle w:val="Hyperlink"/>
            <w:color w:val="auto"/>
          </w:rPr>
          <w:t xml:space="preserve"> </w:t>
        </w:r>
        <w:r w:rsidR="005B05E3" w:rsidRPr="00174113">
          <w:rPr>
            <w:webHidden/>
          </w:rPr>
          <w:tab/>
        </w:r>
      </w:hyperlink>
      <w:r w:rsidR="00761732">
        <w:t>116</w:t>
      </w:r>
    </w:p>
    <w:p w14:paraId="7D516479" w14:textId="1A725EE6"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49" w:history="1">
        <w:r w:rsidR="00761732">
          <w:rPr>
            <w:rStyle w:val="Hyperlink"/>
            <w:color w:val="auto"/>
          </w:rPr>
          <w:t>Table 5.6</w:t>
        </w:r>
        <w:r w:rsidR="005B05E3" w:rsidRPr="00174113">
          <w:rPr>
            <w:rStyle w:val="Hyperlink"/>
            <w:color w:val="auto"/>
          </w:rPr>
          <w:t xml:space="preserve"> </w:t>
        </w:r>
        <w:r w:rsidR="00EA1197" w:rsidRPr="00EA1197">
          <w:rPr>
            <w:rStyle w:val="Hyperlink"/>
            <w:color w:val="auto"/>
          </w:rPr>
          <w:t>Validity and Reliability of the Four Latent Motivational Constructs</w:t>
        </w:r>
        <w:r w:rsidR="00EA1197" w:rsidRPr="00EA1197" w:rsidDel="00EA1197">
          <w:rPr>
            <w:rStyle w:val="Hyperlink"/>
            <w:color w:val="auto"/>
          </w:rPr>
          <w:t xml:space="preserve"> </w:t>
        </w:r>
        <w:r w:rsidR="005B05E3" w:rsidRPr="00174113">
          <w:rPr>
            <w:webHidden/>
          </w:rPr>
          <w:tab/>
        </w:r>
      </w:hyperlink>
      <w:r w:rsidR="00761732">
        <w:t>118</w:t>
      </w:r>
    </w:p>
    <w:p w14:paraId="7D51647A" w14:textId="3F4C86FE"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50" w:history="1">
        <w:r w:rsidR="00761732">
          <w:rPr>
            <w:rStyle w:val="Hyperlink"/>
            <w:color w:val="auto"/>
          </w:rPr>
          <w:t>Table 5.7</w:t>
        </w:r>
        <w:r w:rsidR="005B05E3" w:rsidRPr="00174113">
          <w:rPr>
            <w:rStyle w:val="Hyperlink"/>
            <w:color w:val="auto"/>
            <w:lang w:bidi="ar-DZ"/>
          </w:rPr>
          <w:t xml:space="preserve"> </w:t>
        </w:r>
        <w:r w:rsidR="00EA1197" w:rsidRPr="00EA1197">
          <w:rPr>
            <w:rStyle w:val="Hyperlink"/>
            <w:color w:val="auto"/>
            <w:lang w:bidi="ar-DZ"/>
          </w:rPr>
          <w:t>Goodness-of-Fit Indices for the Second-Order Model on Motivators</w:t>
        </w:r>
        <w:r w:rsidR="00EA1197" w:rsidRPr="00EA1197" w:rsidDel="00EA1197">
          <w:rPr>
            <w:rStyle w:val="Hyperlink"/>
            <w:color w:val="auto"/>
            <w:lang w:bidi="ar-DZ"/>
          </w:rPr>
          <w:t xml:space="preserve"> </w:t>
        </w:r>
        <w:r w:rsidR="005B05E3" w:rsidRPr="00174113">
          <w:rPr>
            <w:webHidden/>
          </w:rPr>
          <w:tab/>
        </w:r>
      </w:hyperlink>
      <w:r w:rsidR="00761732">
        <w:t>121</w:t>
      </w:r>
    </w:p>
    <w:p w14:paraId="7D51647B" w14:textId="3787AE6A"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51" w:history="1">
        <w:r w:rsidR="00761732">
          <w:rPr>
            <w:rStyle w:val="Hyperlink"/>
            <w:color w:val="auto"/>
          </w:rPr>
          <w:t>Table 5.8</w:t>
        </w:r>
        <w:r w:rsidR="005B05E3" w:rsidRPr="00174113">
          <w:rPr>
            <w:rStyle w:val="Hyperlink"/>
            <w:color w:val="auto"/>
          </w:rPr>
          <w:t xml:space="preserve"> </w:t>
        </w:r>
        <w:r w:rsidR="006F4877" w:rsidRPr="006F4877">
          <w:rPr>
            <w:rStyle w:val="Hyperlink"/>
            <w:color w:val="auto"/>
          </w:rPr>
          <w:t>Rotated Component Matrix of Items on Four Key Latent Barrier Factors</w:t>
        </w:r>
        <w:r w:rsidR="006F4877" w:rsidRPr="006F4877" w:rsidDel="006F4877">
          <w:rPr>
            <w:rStyle w:val="Hyperlink"/>
            <w:color w:val="auto"/>
          </w:rPr>
          <w:t xml:space="preserve"> </w:t>
        </w:r>
        <w:r w:rsidR="005B05E3" w:rsidRPr="00174113">
          <w:rPr>
            <w:webHidden/>
          </w:rPr>
          <w:tab/>
        </w:r>
      </w:hyperlink>
      <w:r w:rsidR="00761732">
        <w:t>124</w:t>
      </w:r>
    </w:p>
    <w:p w14:paraId="7D51647C" w14:textId="19186964"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52" w:history="1">
        <w:r w:rsidR="00761732">
          <w:rPr>
            <w:rStyle w:val="Hyperlink"/>
            <w:color w:val="auto"/>
          </w:rPr>
          <w:t>Table 5.9</w:t>
        </w:r>
        <w:r w:rsidR="005B05E3" w:rsidRPr="00174113">
          <w:rPr>
            <w:rStyle w:val="Hyperlink"/>
            <w:color w:val="auto"/>
            <w:lang w:bidi="ar-DZ"/>
          </w:rPr>
          <w:t xml:space="preserve"> </w:t>
        </w:r>
        <w:r w:rsidR="006F4877" w:rsidRPr="006F4877">
          <w:rPr>
            <w:rStyle w:val="Hyperlink"/>
            <w:color w:val="auto"/>
            <w:lang w:bidi="ar-DZ"/>
          </w:rPr>
          <w:t>Goodness-of-Fit Indices for the First-Order Model on Barriers</w:t>
        </w:r>
        <w:r w:rsidR="006F4877" w:rsidRPr="006F4877" w:rsidDel="006F4877">
          <w:rPr>
            <w:rStyle w:val="Hyperlink"/>
            <w:color w:val="auto"/>
            <w:lang w:bidi="ar-DZ"/>
          </w:rPr>
          <w:t xml:space="preserve"> </w:t>
        </w:r>
        <w:r w:rsidR="005B05E3" w:rsidRPr="00174113">
          <w:rPr>
            <w:webHidden/>
          </w:rPr>
          <w:tab/>
        </w:r>
      </w:hyperlink>
      <w:r w:rsidR="00761732">
        <w:t>130</w:t>
      </w:r>
    </w:p>
    <w:p w14:paraId="7D51647D" w14:textId="6F18A07F"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53" w:history="1">
        <w:r w:rsidR="00761732">
          <w:rPr>
            <w:rStyle w:val="Hyperlink"/>
            <w:color w:val="auto"/>
          </w:rPr>
          <w:t>Table 5.10</w:t>
        </w:r>
        <w:r w:rsidR="005B05E3" w:rsidRPr="00174113">
          <w:rPr>
            <w:rStyle w:val="Hyperlink"/>
            <w:color w:val="auto"/>
          </w:rPr>
          <w:t xml:space="preserve"> </w:t>
        </w:r>
        <w:r w:rsidR="006F4877" w:rsidRPr="006F4877">
          <w:rPr>
            <w:rStyle w:val="Hyperlink"/>
            <w:color w:val="auto"/>
          </w:rPr>
          <w:t>Validity and Reliability of the Four Barrier Constructs</w:t>
        </w:r>
        <w:r w:rsidR="006F4877" w:rsidRPr="006F4877" w:rsidDel="006F4877">
          <w:rPr>
            <w:rStyle w:val="Hyperlink"/>
            <w:color w:val="auto"/>
          </w:rPr>
          <w:t xml:space="preserve"> </w:t>
        </w:r>
        <w:r w:rsidR="005B05E3" w:rsidRPr="00174113">
          <w:rPr>
            <w:webHidden/>
          </w:rPr>
          <w:tab/>
        </w:r>
      </w:hyperlink>
      <w:r w:rsidR="00761732">
        <w:t>130</w:t>
      </w:r>
    </w:p>
    <w:p w14:paraId="7D51647E" w14:textId="72AA01A2" w:rsidR="005B05E3" w:rsidRPr="00174113" w:rsidRDefault="00F771A1" w:rsidP="00761732">
      <w:pPr>
        <w:pStyle w:val="TableofFigures"/>
        <w:tabs>
          <w:tab w:val="right" w:leader="dot" w:pos="9350"/>
        </w:tabs>
        <w:spacing w:line="360" w:lineRule="auto"/>
        <w:ind w:right="90"/>
        <w:rPr>
          <w:rFonts w:asciiTheme="minorHAnsi" w:eastAsiaTheme="minorEastAsia" w:hAnsiTheme="minorHAnsi" w:cstheme="minorBidi"/>
          <w:sz w:val="22"/>
          <w:szCs w:val="22"/>
        </w:rPr>
      </w:pPr>
      <w:hyperlink w:anchor="_Toc534121154" w:history="1">
        <w:r w:rsidR="00761732">
          <w:rPr>
            <w:rStyle w:val="Hyperlink"/>
            <w:color w:val="auto"/>
          </w:rPr>
          <w:t>Table 5.11</w:t>
        </w:r>
        <w:r w:rsidR="005B05E3" w:rsidRPr="00174113">
          <w:rPr>
            <w:rStyle w:val="Hyperlink"/>
            <w:color w:val="auto"/>
          </w:rPr>
          <w:t xml:space="preserve"> </w:t>
        </w:r>
        <w:r w:rsidR="00791144" w:rsidRPr="00791144">
          <w:rPr>
            <w:rStyle w:val="Hyperlink"/>
            <w:color w:val="auto"/>
          </w:rPr>
          <w:t>Goodness-of-Fit Indices for the Second-Order Model</w:t>
        </w:r>
        <w:r w:rsidR="00791144" w:rsidRPr="00791144" w:rsidDel="00791144">
          <w:rPr>
            <w:rStyle w:val="Hyperlink"/>
            <w:color w:val="auto"/>
          </w:rPr>
          <w:t xml:space="preserve"> </w:t>
        </w:r>
        <w:r w:rsidR="005B05E3" w:rsidRPr="00174113">
          <w:rPr>
            <w:webHidden/>
          </w:rPr>
          <w:tab/>
        </w:r>
      </w:hyperlink>
      <w:r w:rsidR="00761732">
        <w:t>135</w:t>
      </w:r>
    </w:p>
    <w:p w14:paraId="7E490734" w14:textId="12207178" w:rsidR="00F00F4C" w:rsidRDefault="002473BE" w:rsidP="00551162">
      <w:pPr>
        <w:pStyle w:val="TableofFigures"/>
        <w:tabs>
          <w:tab w:val="right" w:leader="dot" w:pos="9350"/>
        </w:tabs>
        <w:ind w:right="90"/>
        <w:rPr>
          <w:rFonts w:eastAsiaTheme="majorEastAsia" w:cstheme="majorBidi"/>
          <w:b/>
          <w:bCs/>
          <w:caps/>
          <w:sz w:val="32"/>
          <w:szCs w:val="32"/>
        </w:rPr>
      </w:pPr>
      <w:r w:rsidRPr="00174113">
        <w:fldChar w:fldCharType="end"/>
      </w:r>
      <w:r w:rsidRPr="00174113">
        <w:fldChar w:fldCharType="begin"/>
      </w:r>
      <w:r w:rsidR="005B05E3" w:rsidRPr="00174113">
        <w:instrText xml:space="preserve"> TOC \h \z \c "Table A. " </w:instrText>
      </w:r>
      <w:r w:rsidRPr="00174113">
        <w:fldChar w:fldCharType="end"/>
      </w:r>
      <w:bookmarkStart w:id="13" w:name="_Toc532800280"/>
      <w:bookmarkStart w:id="14" w:name="_Toc534028524"/>
      <w:bookmarkStart w:id="15" w:name="_Toc534028909"/>
    </w:p>
    <w:p w14:paraId="7D516482" w14:textId="2DE5EDC4" w:rsidR="005B05E3" w:rsidRPr="00790070" w:rsidRDefault="005B05E3" w:rsidP="00790070">
      <w:pPr>
        <w:pStyle w:val="ChapterTitle"/>
        <w:rPr>
          <w:i/>
        </w:rPr>
      </w:pPr>
      <w:bookmarkStart w:id="16" w:name="_Toc24447752"/>
      <w:r w:rsidRPr="00174113">
        <w:t>List of Figures</w:t>
      </w:r>
      <w:bookmarkEnd w:id="13"/>
      <w:bookmarkEnd w:id="14"/>
      <w:bookmarkEnd w:id="15"/>
      <w:bookmarkEnd w:id="16"/>
      <w:r w:rsidR="002473BE" w:rsidRPr="00174113">
        <w:rPr>
          <w:i/>
          <w:lang w:bidi="ar-DZ"/>
        </w:rPr>
        <w:fldChar w:fldCharType="begin"/>
      </w:r>
      <w:r w:rsidRPr="00790070">
        <w:rPr>
          <w:lang w:bidi="ar-DZ"/>
        </w:rPr>
        <w:instrText xml:space="preserve"> TOC \h \z \c "Figure 5." </w:instrText>
      </w:r>
      <w:r w:rsidR="002473BE" w:rsidRPr="00174113">
        <w:rPr>
          <w:i/>
          <w:lang w:bidi="ar-DZ"/>
        </w:rPr>
        <w:fldChar w:fldCharType="separate"/>
      </w:r>
    </w:p>
    <w:p w14:paraId="7D516483" w14:textId="4F0A6094" w:rsidR="005B05E3" w:rsidRPr="00790070" w:rsidRDefault="00F771A1" w:rsidP="005B05E3">
      <w:pPr>
        <w:pStyle w:val="TableofFigures"/>
        <w:tabs>
          <w:tab w:val="right" w:leader="dot" w:pos="9350"/>
        </w:tabs>
        <w:spacing w:line="360" w:lineRule="auto"/>
        <w:rPr>
          <w:rFonts w:asciiTheme="minorHAnsi" w:eastAsiaTheme="minorEastAsia" w:hAnsiTheme="minorHAnsi" w:cstheme="minorBidi"/>
          <w:sz w:val="22"/>
          <w:szCs w:val="22"/>
        </w:rPr>
      </w:pPr>
      <w:hyperlink w:anchor="_Toc534050915" w:history="1">
        <w:r w:rsidR="005B05E3" w:rsidRPr="00790070">
          <w:rPr>
            <w:rStyle w:val="Hyperlink"/>
            <w:color w:val="auto"/>
          </w:rPr>
          <w:t xml:space="preserve">Figure 5.1. </w:t>
        </w:r>
        <w:r w:rsidR="007A4BE0" w:rsidRPr="007A4BE0">
          <w:rPr>
            <w:rStyle w:val="Hyperlink"/>
            <w:color w:val="auto"/>
          </w:rPr>
          <w:t>Measurement model for motivators (first-order CFA model)</w:t>
        </w:r>
        <w:r w:rsidR="005B05E3" w:rsidRPr="00790070">
          <w:rPr>
            <w:webHidden/>
          </w:rPr>
          <w:tab/>
        </w:r>
        <w:r w:rsidR="007A4BE0">
          <w:rPr>
            <w:webHidden/>
          </w:rPr>
          <w:t>79</w:t>
        </w:r>
      </w:hyperlink>
    </w:p>
    <w:p w14:paraId="7D516484" w14:textId="1A13E159" w:rsidR="005B05E3" w:rsidRPr="00790070" w:rsidRDefault="00F771A1" w:rsidP="005B05E3">
      <w:pPr>
        <w:pStyle w:val="TableofFigures"/>
        <w:tabs>
          <w:tab w:val="right" w:leader="dot" w:pos="9350"/>
        </w:tabs>
        <w:spacing w:line="360" w:lineRule="auto"/>
        <w:rPr>
          <w:rFonts w:asciiTheme="minorHAnsi" w:eastAsiaTheme="minorEastAsia" w:hAnsiTheme="minorHAnsi" w:cstheme="minorBidi"/>
          <w:sz w:val="22"/>
          <w:szCs w:val="22"/>
        </w:rPr>
      </w:pPr>
      <w:hyperlink w:anchor="_Toc534050916" w:history="1">
        <w:r w:rsidR="005B05E3" w:rsidRPr="00790070">
          <w:rPr>
            <w:rStyle w:val="Hyperlink"/>
            <w:color w:val="auto"/>
          </w:rPr>
          <w:t>Figure 5.2.</w:t>
        </w:r>
        <w:r w:rsidR="004C0AA2">
          <w:rPr>
            <w:rStyle w:val="Hyperlink"/>
            <w:color w:val="auto"/>
          </w:rPr>
          <w:t xml:space="preserve"> </w:t>
        </w:r>
        <w:r w:rsidR="004C0AA2" w:rsidRPr="00FC6087">
          <w:rPr>
            <w:color w:val="000000" w:themeColor="text1"/>
          </w:rPr>
          <w:t>Structural model for motivators (second-order CFA model)</w:t>
        </w:r>
        <w:r w:rsidR="005B05E3" w:rsidRPr="00790070">
          <w:rPr>
            <w:webHidden/>
          </w:rPr>
          <w:tab/>
        </w:r>
        <w:r w:rsidR="004C0AA2">
          <w:rPr>
            <w:webHidden/>
          </w:rPr>
          <w:t>83</w:t>
        </w:r>
      </w:hyperlink>
    </w:p>
    <w:p w14:paraId="7D516485" w14:textId="60347357" w:rsidR="005B05E3" w:rsidRPr="00790070" w:rsidRDefault="00F771A1" w:rsidP="005B05E3">
      <w:pPr>
        <w:pStyle w:val="TableofFigures"/>
        <w:tabs>
          <w:tab w:val="right" w:leader="dot" w:pos="9350"/>
        </w:tabs>
        <w:spacing w:line="360" w:lineRule="auto"/>
        <w:rPr>
          <w:rFonts w:asciiTheme="minorHAnsi" w:eastAsiaTheme="minorEastAsia" w:hAnsiTheme="minorHAnsi" w:cstheme="minorBidi"/>
          <w:sz w:val="22"/>
          <w:szCs w:val="22"/>
        </w:rPr>
      </w:pPr>
      <w:hyperlink w:anchor="_Toc534050917" w:history="1">
        <w:r w:rsidR="005B05E3" w:rsidRPr="00790070">
          <w:rPr>
            <w:rStyle w:val="Hyperlink"/>
            <w:color w:val="auto"/>
          </w:rPr>
          <w:t>Figure 5.3</w:t>
        </w:r>
        <w:r w:rsidR="005B05E3" w:rsidRPr="00790070">
          <w:rPr>
            <w:rStyle w:val="Hyperlink"/>
            <w:color w:val="auto"/>
            <w:rtl/>
            <w:lang w:bidi="ar-DZ"/>
          </w:rPr>
          <w:t>.</w:t>
        </w:r>
        <w:r w:rsidR="005B05E3" w:rsidRPr="00790070">
          <w:rPr>
            <w:rStyle w:val="Hyperlink"/>
            <w:color w:val="auto"/>
            <w:lang w:bidi="ar-DZ"/>
          </w:rPr>
          <w:t xml:space="preserve"> </w:t>
        </w:r>
        <w:r w:rsidR="00F00F4C" w:rsidRPr="00790070">
          <w:rPr>
            <w:color w:val="000000" w:themeColor="text1"/>
            <w:lang w:bidi="ar-DZ"/>
          </w:rPr>
          <w:t xml:space="preserve">Structural model from the first-order CFA on </w:t>
        </w:r>
        <w:r w:rsidR="00F00F4C" w:rsidRPr="00174113">
          <w:rPr>
            <w:color w:val="000000" w:themeColor="text1"/>
            <w:lang w:bidi="ar-DZ"/>
          </w:rPr>
          <w:t>barriers, showing</w:t>
        </w:r>
        <w:r w:rsidR="00F00F4C" w:rsidRPr="00790070">
          <w:rPr>
            <w:color w:val="000000" w:themeColor="text1"/>
            <w:lang w:bidi="ar-DZ"/>
          </w:rPr>
          <w:t xml:space="preserve"> how items load onto the barrier factors and how the factors correlate</w:t>
        </w:r>
        <w:r w:rsidR="00F00F4C" w:rsidRPr="00790070" w:rsidDel="00F00F4C">
          <w:rPr>
            <w:rStyle w:val="Hyperlink"/>
            <w:color w:val="auto"/>
            <w:lang w:bidi="ar-DZ"/>
          </w:rPr>
          <w:t xml:space="preserve"> </w:t>
        </w:r>
        <w:r w:rsidR="005B05E3" w:rsidRPr="00790070">
          <w:rPr>
            <w:webHidden/>
          </w:rPr>
          <w:tab/>
        </w:r>
        <w:r w:rsidR="002473BE" w:rsidRPr="00790070">
          <w:rPr>
            <w:webHidden/>
          </w:rPr>
          <w:fldChar w:fldCharType="begin"/>
        </w:r>
        <w:r w:rsidR="005B05E3" w:rsidRPr="00790070">
          <w:rPr>
            <w:webHidden/>
          </w:rPr>
          <w:instrText xml:space="preserve"> PAGEREF _Toc534050917 \h </w:instrText>
        </w:r>
        <w:r w:rsidR="002473BE" w:rsidRPr="00790070">
          <w:rPr>
            <w:webHidden/>
          </w:rPr>
        </w:r>
        <w:r w:rsidR="002473BE" w:rsidRPr="00790070">
          <w:rPr>
            <w:webHidden/>
          </w:rPr>
          <w:fldChar w:fldCharType="separate"/>
        </w:r>
        <w:r w:rsidR="004C1C5E">
          <w:rPr>
            <w:b/>
            <w:bCs/>
            <w:noProof/>
            <w:webHidden/>
          </w:rPr>
          <w:t>Error! Bookmark not defined.</w:t>
        </w:r>
        <w:r w:rsidR="002473BE" w:rsidRPr="00790070">
          <w:rPr>
            <w:webHidden/>
          </w:rPr>
          <w:fldChar w:fldCharType="end"/>
        </w:r>
      </w:hyperlink>
    </w:p>
    <w:p w14:paraId="7D516486" w14:textId="3DD3BF0D" w:rsidR="005B05E3" w:rsidRPr="00790070" w:rsidRDefault="00F771A1" w:rsidP="005B05E3">
      <w:pPr>
        <w:pStyle w:val="TableofFigures"/>
        <w:tabs>
          <w:tab w:val="right" w:leader="dot" w:pos="9350"/>
        </w:tabs>
        <w:spacing w:line="360" w:lineRule="auto"/>
        <w:rPr>
          <w:rFonts w:asciiTheme="minorHAnsi" w:eastAsiaTheme="minorEastAsia" w:hAnsiTheme="minorHAnsi" w:cstheme="minorBidi"/>
          <w:sz w:val="22"/>
          <w:szCs w:val="22"/>
        </w:rPr>
      </w:pPr>
      <w:hyperlink w:anchor="_Toc534050918" w:history="1">
        <w:r w:rsidR="005B05E3" w:rsidRPr="00790070">
          <w:rPr>
            <w:rStyle w:val="Hyperlink"/>
            <w:color w:val="auto"/>
          </w:rPr>
          <w:t xml:space="preserve">Figure 5.4. </w:t>
        </w:r>
        <w:r w:rsidR="00F00F4C" w:rsidRPr="00FC6087">
          <w:rPr>
            <w:color w:val="000000" w:themeColor="text1"/>
          </w:rPr>
          <w:t>Structural model from the second-order CFA on barriers, showing how items load onto the factors, how factors correlate, and how factors relate to the key outcome variable of HIT adoption</w:t>
        </w:r>
        <w:r w:rsidR="00F00F4C" w:rsidRPr="00790070" w:rsidDel="00F00F4C">
          <w:rPr>
            <w:rStyle w:val="Hyperlink"/>
            <w:color w:val="auto"/>
          </w:rPr>
          <w:t xml:space="preserve"> </w:t>
        </w:r>
        <w:r w:rsidR="005B05E3" w:rsidRPr="00790070">
          <w:rPr>
            <w:webHidden/>
          </w:rPr>
          <w:tab/>
        </w:r>
        <w:r w:rsidR="00F00F4C">
          <w:rPr>
            <w:webHidden/>
          </w:rPr>
          <w:t>94</w:t>
        </w:r>
      </w:hyperlink>
    </w:p>
    <w:p w14:paraId="7D516487" w14:textId="77777777" w:rsidR="005B05E3" w:rsidRPr="00174113" w:rsidRDefault="002473BE" w:rsidP="005B05E3">
      <w:pPr>
        <w:spacing w:line="360" w:lineRule="auto"/>
        <w:contextualSpacing/>
        <w:mirrorIndents/>
        <w:rPr>
          <w:lang w:bidi="ar-DZ"/>
        </w:rPr>
      </w:pPr>
      <w:r w:rsidRPr="00174113">
        <w:rPr>
          <w:lang w:bidi="ar-DZ"/>
        </w:rPr>
        <w:fldChar w:fldCharType="end"/>
      </w:r>
    </w:p>
    <w:p w14:paraId="5BCA716D" w14:textId="6C70BD03" w:rsidR="0089160B" w:rsidRDefault="0089160B" w:rsidP="0089160B"/>
    <w:p w14:paraId="7F4C6E08" w14:textId="77777777" w:rsidR="00AD58DD" w:rsidRDefault="00AD58DD">
      <w:pPr>
        <w:rPr>
          <w:rFonts w:eastAsiaTheme="majorEastAsia" w:cstheme="majorBidi"/>
          <w:b/>
          <w:bCs/>
          <w:caps/>
          <w:sz w:val="32"/>
          <w:szCs w:val="32"/>
        </w:rPr>
      </w:pPr>
      <w:r>
        <w:br w:type="page"/>
      </w:r>
    </w:p>
    <w:p w14:paraId="7D516488" w14:textId="2EF81BBA" w:rsidR="00C8151F" w:rsidRPr="00790070" w:rsidRDefault="00C8151F" w:rsidP="003A1141">
      <w:pPr>
        <w:pStyle w:val="ChapterTitle"/>
        <w:rPr>
          <w:i/>
        </w:rPr>
      </w:pPr>
      <w:bookmarkStart w:id="17" w:name="_Toc24447753"/>
      <w:r w:rsidRPr="00174113">
        <w:lastRenderedPageBreak/>
        <w:t>List of Abbreviations</w:t>
      </w:r>
      <w:bookmarkEnd w:id="10"/>
      <w:bookmarkEnd w:id="11"/>
      <w:bookmarkEnd w:id="12"/>
      <w:bookmarkEnd w:id="17"/>
    </w:p>
    <w:tbl>
      <w:tblPr>
        <w:tblStyle w:val="PlainTable41"/>
        <w:tblW w:w="0" w:type="auto"/>
        <w:tblLook w:val="04A0" w:firstRow="1" w:lastRow="0" w:firstColumn="1" w:lastColumn="0" w:noHBand="0" w:noVBand="1"/>
      </w:tblPr>
      <w:tblGrid>
        <w:gridCol w:w="1908"/>
        <w:gridCol w:w="6228"/>
      </w:tblGrid>
      <w:tr w:rsidR="009B2BB9" w:rsidRPr="00174113" w14:paraId="7D51648B" w14:textId="77777777" w:rsidTr="00594428">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89" w14:textId="77777777" w:rsidR="009B2BB9" w:rsidRPr="00174113" w:rsidRDefault="009B2BB9" w:rsidP="00594428">
            <w:pPr>
              <w:pStyle w:val="APAParagraph"/>
              <w:spacing w:line="240" w:lineRule="auto"/>
              <w:jc w:val="left"/>
              <w:rPr>
                <w:lang w:bidi="ar-DZ"/>
              </w:rPr>
            </w:pPr>
            <w:r w:rsidRPr="00174113">
              <w:t>AVE</w:t>
            </w:r>
          </w:p>
        </w:tc>
        <w:tc>
          <w:tcPr>
            <w:tcW w:w="6228" w:type="dxa"/>
            <w:vAlign w:val="center"/>
          </w:tcPr>
          <w:p w14:paraId="7D51648A" w14:textId="77777777" w:rsidR="009B2BB9" w:rsidRPr="00790070" w:rsidRDefault="009B2BB9" w:rsidP="00594428">
            <w:pPr>
              <w:pStyle w:val="APAParagraph"/>
              <w:spacing w:line="240" w:lineRule="auto"/>
              <w:jc w:val="left"/>
              <w:cnfStyle w:val="100000000000" w:firstRow="1" w:lastRow="0" w:firstColumn="0" w:lastColumn="0" w:oddVBand="0" w:evenVBand="0" w:oddHBand="0" w:evenHBand="0" w:firstRowFirstColumn="0" w:firstRowLastColumn="0" w:lastRowFirstColumn="0" w:lastRowLastColumn="0"/>
              <w:rPr>
                <w:b w:val="0"/>
              </w:rPr>
            </w:pPr>
            <w:r w:rsidRPr="00790070">
              <w:rPr>
                <w:b w:val="0"/>
                <w:bCs w:val="0"/>
              </w:rPr>
              <w:t>Average Variance Extracted</w:t>
            </w:r>
          </w:p>
        </w:tc>
      </w:tr>
      <w:tr w:rsidR="009B2BB9" w:rsidRPr="00174113" w14:paraId="7D51648E"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8C" w14:textId="77777777" w:rsidR="009B2BB9" w:rsidRPr="00174113" w:rsidRDefault="009B2BB9" w:rsidP="00594428">
            <w:pPr>
              <w:pStyle w:val="APAParagraph"/>
              <w:spacing w:line="240" w:lineRule="auto"/>
              <w:jc w:val="left"/>
            </w:pPr>
            <w:r w:rsidRPr="00174113">
              <w:t>CFA</w:t>
            </w:r>
          </w:p>
        </w:tc>
        <w:tc>
          <w:tcPr>
            <w:tcW w:w="6228" w:type="dxa"/>
            <w:vAlign w:val="center"/>
          </w:tcPr>
          <w:p w14:paraId="7D51648D"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Confirmatory Factor Analysis</w:t>
            </w:r>
          </w:p>
        </w:tc>
      </w:tr>
      <w:tr w:rsidR="009B2BB9" w:rsidRPr="00174113" w14:paraId="7D516491"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8F" w14:textId="77777777" w:rsidR="009B2BB9" w:rsidRPr="00174113" w:rsidRDefault="009B2BB9" w:rsidP="00594428">
            <w:pPr>
              <w:pStyle w:val="APAParagraph"/>
              <w:spacing w:line="240" w:lineRule="auto"/>
              <w:jc w:val="left"/>
            </w:pPr>
            <w:r w:rsidRPr="00174113">
              <w:t>CFI</w:t>
            </w:r>
          </w:p>
        </w:tc>
        <w:tc>
          <w:tcPr>
            <w:tcW w:w="6228" w:type="dxa"/>
            <w:vAlign w:val="center"/>
          </w:tcPr>
          <w:p w14:paraId="7D516490"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Comparative Fit Index</w:t>
            </w:r>
          </w:p>
        </w:tc>
      </w:tr>
      <w:tr w:rsidR="009B2BB9" w:rsidRPr="00174113" w14:paraId="7D516494"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92" w14:textId="77777777" w:rsidR="009B2BB9" w:rsidRPr="00174113" w:rsidRDefault="009B2BB9" w:rsidP="00594428">
            <w:pPr>
              <w:pStyle w:val="APAParagraph"/>
              <w:spacing w:line="240" w:lineRule="auto"/>
              <w:jc w:val="left"/>
            </w:pPr>
            <w:r w:rsidRPr="00174113">
              <w:t>CR</w:t>
            </w:r>
          </w:p>
        </w:tc>
        <w:tc>
          <w:tcPr>
            <w:tcW w:w="6228" w:type="dxa"/>
            <w:vAlign w:val="center"/>
          </w:tcPr>
          <w:p w14:paraId="7D516493"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Composite Reliability</w:t>
            </w:r>
          </w:p>
        </w:tc>
      </w:tr>
      <w:tr w:rsidR="009B2BB9" w:rsidRPr="00174113" w14:paraId="7D516497"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95" w14:textId="77777777" w:rsidR="009B2BB9" w:rsidRPr="00174113" w:rsidRDefault="009B2BB9" w:rsidP="00594428">
            <w:pPr>
              <w:pStyle w:val="APAParagraph"/>
              <w:spacing w:line="240" w:lineRule="auto"/>
              <w:jc w:val="left"/>
            </w:pPr>
            <w:r w:rsidRPr="00174113">
              <w:t>DHA</w:t>
            </w:r>
          </w:p>
        </w:tc>
        <w:tc>
          <w:tcPr>
            <w:tcW w:w="6228" w:type="dxa"/>
            <w:vAlign w:val="center"/>
          </w:tcPr>
          <w:p w14:paraId="7D516496"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Dubai Health Authority</w:t>
            </w:r>
          </w:p>
        </w:tc>
      </w:tr>
      <w:tr w:rsidR="00DF52EE" w:rsidRPr="00174113" w14:paraId="7D51649A"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98" w14:textId="77777777" w:rsidR="00DF52EE" w:rsidRPr="00174113" w:rsidRDefault="00DF52EE" w:rsidP="00594428">
            <w:pPr>
              <w:pStyle w:val="APAParagraph"/>
              <w:spacing w:line="240" w:lineRule="auto"/>
              <w:jc w:val="left"/>
            </w:pPr>
            <w:r w:rsidRPr="00174113">
              <w:t>EE</w:t>
            </w:r>
          </w:p>
        </w:tc>
        <w:tc>
          <w:tcPr>
            <w:tcW w:w="6228" w:type="dxa"/>
            <w:vAlign w:val="center"/>
          </w:tcPr>
          <w:p w14:paraId="7D516499" w14:textId="77777777" w:rsidR="00DF52EE" w:rsidRPr="00174113" w:rsidRDefault="00DF52EE"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Effort expectancy</w:t>
            </w:r>
          </w:p>
        </w:tc>
      </w:tr>
      <w:tr w:rsidR="009B2BB9" w:rsidRPr="00174113" w14:paraId="7D51649D"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9B" w14:textId="77777777" w:rsidR="009B2BB9" w:rsidRPr="00174113" w:rsidRDefault="009B2BB9" w:rsidP="00594428">
            <w:pPr>
              <w:pStyle w:val="APAParagraph"/>
              <w:spacing w:line="240" w:lineRule="auto"/>
              <w:jc w:val="left"/>
            </w:pPr>
            <w:r w:rsidRPr="00174113">
              <w:t>EFA</w:t>
            </w:r>
          </w:p>
        </w:tc>
        <w:tc>
          <w:tcPr>
            <w:tcW w:w="6228" w:type="dxa"/>
            <w:vAlign w:val="center"/>
          </w:tcPr>
          <w:p w14:paraId="7D51649C"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Exploratory Factor Analysis</w:t>
            </w:r>
          </w:p>
        </w:tc>
      </w:tr>
      <w:tr w:rsidR="009B2BB9" w:rsidRPr="00174113" w14:paraId="7D5164A0"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9E" w14:textId="77777777" w:rsidR="009B2BB9" w:rsidRPr="00174113" w:rsidRDefault="009B2BB9" w:rsidP="00594428">
            <w:pPr>
              <w:pStyle w:val="APAParagraph"/>
              <w:spacing w:line="240" w:lineRule="auto"/>
              <w:jc w:val="left"/>
            </w:pPr>
            <w:r w:rsidRPr="00174113">
              <w:t>EHR</w:t>
            </w:r>
          </w:p>
        </w:tc>
        <w:tc>
          <w:tcPr>
            <w:tcW w:w="6228" w:type="dxa"/>
            <w:vAlign w:val="center"/>
          </w:tcPr>
          <w:p w14:paraId="7D51649F"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Electronic Health Record</w:t>
            </w:r>
          </w:p>
        </w:tc>
      </w:tr>
      <w:tr w:rsidR="009B2BB9" w:rsidRPr="00174113" w14:paraId="7D5164A3"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A1" w14:textId="77777777" w:rsidR="009B2BB9" w:rsidRPr="00174113" w:rsidRDefault="009B2BB9" w:rsidP="00594428">
            <w:pPr>
              <w:pStyle w:val="APAParagraph"/>
              <w:spacing w:line="240" w:lineRule="auto"/>
              <w:jc w:val="left"/>
            </w:pPr>
            <w:r w:rsidRPr="00174113">
              <w:t>ERP</w:t>
            </w:r>
          </w:p>
        </w:tc>
        <w:tc>
          <w:tcPr>
            <w:tcW w:w="6228" w:type="dxa"/>
            <w:vAlign w:val="center"/>
          </w:tcPr>
          <w:p w14:paraId="7D5164A2"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Enterprise Resource Planning</w:t>
            </w:r>
          </w:p>
        </w:tc>
      </w:tr>
      <w:tr w:rsidR="00DF52EE" w:rsidRPr="00174113" w14:paraId="7D5164A6"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A4" w14:textId="77777777" w:rsidR="00DF52EE" w:rsidRPr="00174113" w:rsidRDefault="00DF52EE" w:rsidP="00594428">
            <w:pPr>
              <w:pStyle w:val="APAParagraph"/>
              <w:spacing w:line="240" w:lineRule="auto"/>
              <w:jc w:val="left"/>
            </w:pPr>
            <w:r w:rsidRPr="00174113">
              <w:t>FCs</w:t>
            </w:r>
          </w:p>
        </w:tc>
        <w:tc>
          <w:tcPr>
            <w:tcW w:w="6228" w:type="dxa"/>
            <w:vAlign w:val="center"/>
          </w:tcPr>
          <w:p w14:paraId="7D5164A5" w14:textId="77777777" w:rsidR="00DF52EE" w:rsidRPr="00174113" w:rsidRDefault="00DF52EE"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Facilitating Conditions</w:t>
            </w:r>
          </w:p>
        </w:tc>
      </w:tr>
      <w:tr w:rsidR="009B2BB9" w:rsidRPr="00174113" w14:paraId="7D5164A9"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A7" w14:textId="77777777" w:rsidR="009B2BB9" w:rsidRPr="00174113" w:rsidRDefault="009B2BB9" w:rsidP="00594428">
            <w:pPr>
              <w:pStyle w:val="APAParagraph"/>
              <w:spacing w:line="240" w:lineRule="auto"/>
              <w:jc w:val="left"/>
            </w:pPr>
            <w:r w:rsidRPr="00174113">
              <w:t>GFI</w:t>
            </w:r>
          </w:p>
        </w:tc>
        <w:tc>
          <w:tcPr>
            <w:tcW w:w="6228" w:type="dxa"/>
            <w:vAlign w:val="center"/>
          </w:tcPr>
          <w:p w14:paraId="7D5164A8"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Goodness-of-Fit Index</w:t>
            </w:r>
          </w:p>
        </w:tc>
      </w:tr>
      <w:tr w:rsidR="009B2BB9" w:rsidRPr="00174113" w14:paraId="7D5164AC"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AA" w14:textId="77777777" w:rsidR="009B2BB9" w:rsidRPr="00174113" w:rsidRDefault="009B2BB9" w:rsidP="00594428">
            <w:pPr>
              <w:pStyle w:val="APAParagraph"/>
              <w:spacing w:line="240" w:lineRule="auto"/>
              <w:jc w:val="left"/>
            </w:pPr>
            <w:r w:rsidRPr="00174113">
              <w:t>GOF</w:t>
            </w:r>
          </w:p>
        </w:tc>
        <w:tc>
          <w:tcPr>
            <w:tcW w:w="6228" w:type="dxa"/>
            <w:vAlign w:val="center"/>
          </w:tcPr>
          <w:p w14:paraId="7D5164AB"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Goodness of Fit</w:t>
            </w:r>
          </w:p>
        </w:tc>
      </w:tr>
      <w:tr w:rsidR="009B2BB9" w:rsidRPr="00174113" w14:paraId="7D5164AF"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AD" w14:textId="77777777" w:rsidR="009B2BB9" w:rsidRPr="00174113" w:rsidRDefault="009B2BB9" w:rsidP="00594428">
            <w:pPr>
              <w:pStyle w:val="APAParagraph"/>
              <w:spacing w:line="240" w:lineRule="auto"/>
              <w:jc w:val="left"/>
            </w:pPr>
            <w:r w:rsidRPr="00174113">
              <w:t>HAAD</w:t>
            </w:r>
          </w:p>
        </w:tc>
        <w:tc>
          <w:tcPr>
            <w:tcW w:w="6228" w:type="dxa"/>
            <w:vAlign w:val="center"/>
          </w:tcPr>
          <w:p w14:paraId="7D5164AE"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Health Authority of Abu Dhabi</w:t>
            </w:r>
          </w:p>
        </w:tc>
      </w:tr>
      <w:tr w:rsidR="009B2BB9" w:rsidRPr="00174113" w14:paraId="7D5164B2"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B0" w14:textId="77777777" w:rsidR="009B2BB9" w:rsidRPr="00174113" w:rsidRDefault="009B2BB9" w:rsidP="00594428">
            <w:pPr>
              <w:pStyle w:val="APAParagraph"/>
              <w:spacing w:line="240" w:lineRule="auto"/>
              <w:jc w:val="left"/>
            </w:pPr>
            <w:r w:rsidRPr="00174113">
              <w:t>HIT</w:t>
            </w:r>
          </w:p>
        </w:tc>
        <w:tc>
          <w:tcPr>
            <w:tcW w:w="6228" w:type="dxa"/>
            <w:vAlign w:val="center"/>
          </w:tcPr>
          <w:p w14:paraId="7D5164B1"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Health Information Technology</w:t>
            </w:r>
          </w:p>
        </w:tc>
      </w:tr>
      <w:tr w:rsidR="001E24F0" w:rsidRPr="00174113" w14:paraId="7D5164B5"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B3" w14:textId="77777777" w:rsidR="001E24F0" w:rsidRPr="00174113" w:rsidRDefault="001E24F0" w:rsidP="00594428">
            <w:pPr>
              <w:pStyle w:val="APAParagraph"/>
              <w:spacing w:line="240" w:lineRule="auto"/>
              <w:jc w:val="left"/>
            </w:pPr>
            <w:r w:rsidRPr="00174113">
              <w:lastRenderedPageBreak/>
              <w:t>IDT</w:t>
            </w:r>
          </w:p>
        </w:tc>
        <w:tc>
          <w:tcPr>
            <w:tcW w:w="6228" w:type="dxa"/>
            <w:vAlign w:val="center"/>
          </w:tcPr>
          <w:p w14:paraId="7D5164B4" w14:textId="77777777" w:rsidR="001E24F0" w:rsidRPr="00174113" w:rsidRDefault="001E24F0"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Innovation Diffusion Theory</w:t>
            </w:r>
          </w:p>
        </w:tc>
      </w:tr>
      <w:tr w:rsidR="00FB7561" w:rsidRPr="00174113" w14:paraId="7D5164B8"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B6" w14:textId="77777777" w:rsidR="00FB7561" w:rsidRPr="00174113" w:rsidRDefault="00FB7561" w:rsidP="00594428">
            <w:pPr>
              <w:pStyle w:val="APAParagraph"/>
              <w:spacing w:line="240" w:lineRule="auto"/>
              <w:jc w:val="left"/>
            </w:pPr>
            <w:r w:rsidRPr="00174113">
              <w:t>IoT</w:t>
            </w:r>
          </w:p>
        </w:tc>
        <w:tc>
          <w:tcPr>
            <w:tcW w:w="6228" w:type="dxa"/>
            <w:vAlign w:val="center"/>
          </w:tcPr>
          <w:p w14:paraId="7D5164B7" w14:textId="77777777" w:rsidR="00FB7561" w:rsidRPr="00174113" w:rsidRDefault="00FB7561"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Internet of Things</w:t>
            </w:r>
          </w:p>
        </w:tc>
      </w:tr>
      <w:tr w:rsidR="009B2BB9" w:rsidRPr="00174113" w14:paraId="7D5164BB"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B9" w14:textId="77777777" w:rsidR="009B2BB9" w:rsidRPr="00174113" w:rsidRDefault="009B2BB9" w:rsidP="00594428">
            <w:pPr>
              <w:pStyle w:val="APAParagraph"/>
              <w:spacing w:line="240" w:lineRule="auto"/>
              <w:jc w:val="left"/>
            </w:pPr>
            <w:r w:rsidRPr="00174113">
              <w:t>IS</w:t>
            </w:r>
          </w:p>
        </w:tc>
        <w:tc>
          <w:tcPr>
            <w:tcW w:w="6228" w:type="dxa"/>
            <w:vAlign w:val="center"/>
          </w:tcPr>
          <w:p w14:paraId="7D5164BA"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Information Sharing</w:t>
            </w:r>
          </w:p>
        </w:tc>
      </w:tr>
      <w:tr w:rsidR="009B2BB9" w:rsidRPr="00174113" w14:paraId="7D5164BE"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BC" w14:textId="77777777" w:rsidR="009B2BB9" w:rsidRPr="00174113" w:rsidRDefault="009B2BB9" w:rsidP="00594428">
            <w:pPr>
              <w:pStyle w:val="APAParagraph"/>
              <w:spacing w:line="240" w:lineRule="auto"/>
              <w:jc w:val="left"/>
            </w:pPr>
            <w:r w:rsidRPr="00174113">
              <w:t>IT</w:t>
            </w:r>
          </w:p>
        </w:tc>
        <w:tc>
          <w:tcPr>
            <w:tcW w:w="6228" w:type="dxa"/>
            <w:vAlign w:val="center"/>
          </w:tcPr>
          <w:p w14:paraId="7D5164BD"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Information Technology</w:t>
            </w:r>
          </w:p>
        </w:tc>
      </w:tr>
      <w:tr w:rsidR="001A42F5" w:rsidRPr="00174113" w14:paraId="7D5164C1"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BF" w14:textId="77777777" w:rsidR="001A42F5" w:rsidRPr="00174113" w:rsidRDefault="001A42F5" w:rsidP="00594428">
            <w:pPr>
              <w:pStyle w:val="APAParagraph"/>
              <w:spacing w:line="240" w:lineRule="auto"/>
              <w:jc w:val="left"/>
            </w:pPr>
            <w:r w:rsidRPr="00174113">
              <w:t>KMO</w:t>
            </w:r>
          </w:p>
        </w:tc>
        <w:tc>
          <w:tcPr>
            <w:tcW w:w="6228" w:type="dxa"/>
            <w:vAlign w:val="center"/>
          </w:tcPr>
          <w:p w14:paraId="7D5164C0" w14:textId="77777777" w:rsidR="001A42F5" w:rsidRPr="00174113" w:rsidRDefault="001A42F5"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Kaiser–Meyer–Olkin</w:t>
            </w:r>
          </w:p>
        </w:tc>
      </w:tr>
      <w:tr w:rsidR="003E5DE4" w:rsidRPr="00174113" w14:paraId="7D5164C4"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C2" w14:textId="77777777" w:rsidR="003E5DE4" w:rsidRPr="00174113" w:rsidRDefault="003E5DE4" w:rsidP="00594428">
            <w:pPr>
              <w:pStyle w:val="APAParagraph"/>
              <w:spacing w:line="240" w:lineRule="auto"/>
              <w:jc w:val="left"/>
            </w:pPr>
            <w:r w:rsidRPr="00174113">
              <w:t>MOH</w:t>
            </w:r>
          </w:p>
        </w:tc>
        <w:tc>
          <w:tcPr>
            <w:tcW w:w="6228" w:type="dxa"/>
            <w:vAlign w:val="center"/>
          </w:tcPr>
          <w:p w14:paraId="7D5164C3" w14:textId="77777777" w:rsidR="003E5DE4" w:rsidRPr="00174113" w:rsidRDefault="003E5DE4"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Ministry of Health</w:t>
            </w:r>
          </w:p>
        </w:tc>
      </w:tr>
      <w:tr w:rsidR="00053918" w:rsidRPr="00174113" w14:paraId="7D5164C7"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C5" w14:textId="77777777" w:rsidR="009B2BB9" w:rsidRPr="00174113" w:rsidRDefault="009B2BB9" w:rsidP="00594428">
            <w:pPr>
              <w:pStyle w:val="APAParagraph"/>
              <w:spacing w:line="240" w:lineRule="auto"/>
              <w:jc w:val="left"/>
            </w:pPr>
            <w:r w:rsidRPr="00174113">
              <w:t>MSV</w:t>
            </w:r>
          </w:p>
        </w:tc>
        <w:tc>
          <w:tcPr>
            <w:tcW w:w="6228" w:type="dxa"/>
            <w:vAlign w:val="center"/>
          </w:tcPr>
          <w:p w14:paraId="7D5164C6"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Mean Square Variance</w:t>
            </w:r>
          </w:p>
        </w:tc>
      </w:tr>
      <w:tr w:rsidR="002C5FDB" w:rsidRPr="00174113" w14:paraId="7D5164CA"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C8" w14:textId="77777777" w:rsidR="009B2BB9" w:rsidRPr="00174113" w:rsidRDefault="009B2BB9" w:rsidP="00594428">
            <w:pPr>
              <w:pStyle w:val="APAParagraph"/>
              <w:spacing w:line="240" w:lineRule="auto"/>
              <w:jc w:val="left"/>
            </w:pPr>
            <w:r w:rsidRPr="00174113">
              <w:t>NFI</w:t>
            </w:r>
          </w:p>
        </w:tc>
        <w:tc>
          <w:tcPr>
            <w:tcW w:w="6228" w:type="dxa"/>
            <w:vAlign w:val="center"/>
          </w:tcPr>
          <w:p w14:paraId="7D5164C9"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Normed Fit Index</w:t>
            </w:r>
          </w:p>
        </w:tc>
      </w:tr>
      <w:tr w:rsidR="009E77EB" w:rsidRPr="00174113" w14:paraId="7D5164CD"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CB" w14:textId="77777777" w:rsidR="009E77EB" w:rsidRPr="00174113" w:rsidRDefault="009E77EB" w:rsidP="00594428">
            <w:pPr>
              <w:pStyle w:val="APAParagraph"/>
              <w:spacing w:line="240" w:lineRule="auto"/>
              <w:jc w:val="left"/>
            </w:pPr>
            <w:r w:rsidRPr="00174113">
              <w:t>OECD</w:t>
            </w:r>
          </w:p>
        </w:tc>
        <w:tc>
          <w:tcPr>
            <w:tcW w:w="6228" w:type="dxa"/>
            <w:vAlign w:val="center"/>
          </w:tcPr>
          <w:p w14:paraId="7D5164CC" w14:textId="091C1E99" w:rsidR="009E77EB" w:rsidRPr="00174113" w:rsidRDefault="009E77EB" w:rsidP="00594428">
            <w:pPr>
              <w:pStyle w:val="APAParagraph"/>
              <w:ind w:left="720" w:firstLine="0"/>
              <w:jc w:val="left"/>
              <w:cnfStyle w:val="000000000000" w:firstRow="0" w:lastRow="0" w:firstColumn="0" w:lastColumn="0" w:oddVBand="0" w:evenVBand="0" w:oddHBand="0" w:evenHBand="0" w:firstRowFirstColumn="0" w:firstRowLastColumn="0" w:lastRowFirstColumn="0" w:lastRowLastColumn="0"/>
            </w:pPr>
            <w:r w:rsidRPr="00174113">
              <w:t xml:space="preserve">Organization for Economic Co-operation and </w:t>
            </w:r>
            <w:r w:rsidR="00F75489">
              <w:t xml:space="preserve">  </w:t>
            </w:r>
            <w:r w:rsidRPr="00174113">
              <w:t>Development</w:t>
            </w:r>
          </w:p>
        </w:tc>
      </w:tr>
      <w:tr w:rsidR="00053918" w:rsidRPr="00174113" w14:paraId="7D5164D0"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CE" w14:textId="77777777" w:rsidR="009B2BB9" w:rsidRPr="00174113" w:rsidRDefault="009B2BB9" w:rsidP="00594428">
            <w:pPr>
              <w:pStyle w:val="APAParagraph"/>
              <w:spacing w:line="240" w:lineRule="auto"/>
              <w:jc w:val="left"/>
            </w:pPr>
            <w:r w:rsidRPr="00174113">
              <w:t>ORGS</w:t>
            </w:r>
          </w:p>
        </w:tc>
        <w:tc>
          <w:tcPr>
            <w:tcW w:w="6228" w:type="dxa"/>
            <w:vAlign w:val="center"/>
          </w:tcPr>
          <w:p w14:paraId="7D5164CF"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Organizational Strategy</w:t>
            </w:r>
          </w:p>
        </w:tc>
      </w:tr>
      <w:tr w:rsidR="00053918" w:rsidRPr="00174113" w14:paraId="7D5164D3"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D1" w14:textId="77777777" w:rsidR="009B2BB9" w:rsidRPr="00174113" w:rsidRDefault="009B2BB9" w:rsidP="00594428">
            <w:pPr>
              <w:pStyle w:val="APAParagraph"/>
              <w:spacing w:line="240" w:lineRule="auto"/>
              <w:jc w:val="left"/>
            </w:pPr>
            <w:r w:rsidRPr="00174113">
              <w:t>ORI</w:t>
            </w:r>
          </w:p>
        </w:tc>
        <w:tc>
          <w:tcPr>
            <w:tcW w:w="6228" w:type="dxa"/>
            <w:vAlign w:val="center"/>
          </w:tcPr>
          <w:p w14:paraId="7D5164D2"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Orientation</w:t>
            </w:r>
          </w:p>
        </w:tc>
      </w:tr>
      <w:tr w:rsidR="001E24F0" w:rsidRPr="00174113" w14:paraId="7D5164D6"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D4" w14:textId="77777777" w:rsidR="001E24F0" w:rsidRPr="00174113" w:rsidRDefault="001E24F0" w:rsidP="00594428">
            <w:pPr>
              <w:pStyle w:val="APAParagraph"/>
              <w:spacing w:line="240" w:lineRule="auto"/>
              <w:jc w:val="left"/>
            </w:pPr>
            <w:r w:rsidRPr="00174113">
              <w:t>PE</w:t>
            </w:r>
          </w:p>
        </w:tc>
        <w:tc>
          <w:tcPr>
            <w:tcW w:w="6228" w:type="dxa"/>
            <w:vAlign w:val="center"/>
          </w:tcPr>
          <w:p w14:paraId="7D5164D5" w14:textId="77777777" w:rsidR="001E24F0" w:rsidRPr="00174113" w:rsidRDefault="00DF52EE"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P</w:t>
            </w:r>
            <w:r w:rsidR="001E24F0" w:rsidRPr="00174113">
              <w:t xml:space="preserve">erformance </w:t>
            </w:r>
            <w:r w:rsidRPr="00174113">
              <w:t>E</w:t>
            </w:r>
            <w:r w:rsidR="001E24F0" w:rsidRPr="00174113">
              <w:t>xpectancy</w:t>
            </w:r>
          </w:p>
        </w:tc>
      </w:tr>
      <w:tr w:rsidR="000E46A4" w:rsidRPr="00174113" w14:paraId="7D5164D9"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D7" w14:textId="77777777" w:rsidR="000E46A4" w:rsidRPr="00174113" w:rsidRDefault="000E46A4" w:rsidP="00594428">
            <w:pPr>
              <w:pStyle w:val="APAParagraph"/>
              <w:spacing w:line="240" w:lineRule="auto"/>
              <w:jc w:val="left"/>
            </w:pPr>
            <w:r w:rsidRPr="00174113">
              <w:t>PHI</w:t>
            </w:r>
          </w:p>
        </w:tc>
        <w:tc>
          <w:tcPr>
            <w:tcW w:w="6228" w:type="dxa"/>
            <w:vAlign w:val="center"/>
          </w:tcPr>
          <w:p w14:paraId="7D5164D8" w14:textId="77777777" w:rsidR="000E46A4" w:rsidRPr="00174113" w:rsidRDefault="000E46A4"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Personal Health Information</w:t>
            </w:r>
          </w:p>
        </w:tc>
      </w:tr>
      <w:tr w:rsidR="00DF52EE" w:rsidRPr="00174113" w14:paraId="7D5164DC"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DA" w14:textId="77777777" w:rsidR="009B2BB9" w:rsidRPr="00174113" w:rsidRDefault="009B2BB9" w:rsidP="00594428">
            <w:pPr>
              <w:pStyle w:val="APAParagraph"/>
              <w:spacing w:line="240" w:lineRule="auto"/>
              <w:jc w:val="left"/>
            </w:pPr>
            <w:r w:rsidRPr="00174113">
              <w:t>QM</w:t>
            </w:r>
          </w:p>
        </w:tc>
        <w:tc>
          <w:tcPr>
            <w:tcW w:w="6228" w:type="dxa"/>
            <w:vAlign w:val="center"/>
          </w:tcPr>
          <w:p w14:paraId="7D5164DB"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Quality Management</w:t>
            </w:r>
          </w:p>
        </w:tc>
      </w:tr>
      <w:tr w:rsidR="00DF52EE" w:rsidRPr="00174113" w14:paraId="7D5164DF"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DD" w14:textId="77777777" w:rsidR="009B2BB9" w:rsidRPr="00174113" w:rsidRDefault="009B2BB9" w:rsidP="00594428">
            <w:pPr>
              <w:pStyle w:val="APAParagraph"/>
              <w:spacing w:line="240" w:lineRule="auto"/>
              <w:jc w:val="left"/>
            </w:pPr>
            <w:r w:rsidRPr="00174113">
              <w:lastRenderedPageBreak/>
              <w:t>RMSEA</w:t>
            </w:r>
          </w:p>
        </w:tc>
        <w:tc>
          <w:tcPr>
            <w:tcW w:w="6228" w:type="dxa"/>
            <w:vAlign w:val="center"/>
          </w:tcPr>
          <w:p w14:paraId="7D5164DE"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Root Mean Square Error of Approximation</w:t>
            </w:r>
          </w:p>
        </w:tc>
      </w:tr>
      <w:tr w:rsidR="00DF52EE" w:rsidRPr="00174113" w14:paraId="7D5164E2"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E0" w14:textId="77777777" w:rsidR="009B2BB9" w:rsidRPr="00174113" w:rsidRDefault="009B2BB9" w:rsidP="00594428">
            <w:pPr>
              <w:pStyle w:val="APAParagraph"/>
              <w:spacing w:line="240" w:lineRule="auto"/>
              <w:jc w:val="left"/>
            </w:pPr>
            <w:r w:rsidRPr="00174113">
              <w:t>RMSR</w:t>
            </w:r>
          </w:p>
        </w:tc>
        <w:tc>
          <w:tcPr>
            <w:tcW w:w="6228" w:type="dxa"/>
            <w:vAlign w:val="center"/>
          </w:tcPr>
          <w:p w14:paraId="7D5164E1"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Root-Mean-Square Residual</w:t>
            </w:r>
          </w:p>
        </w:tc>
      </w:tr>
      <w:tr w:rsidR="00FB7561" w:rsidRPr="00174113" w14:paraId="7D5164E5"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E3" w14:textId="77777777" w:rsidR="009B2BB9" w:rsidRPr="00174113" w:rsidRDefault="009B2BB9" w:rsidP="00594428">
            <w:pPr>
              <w:pStyle w:val="APAParagraph"/>
              <w:spacing w:line="240" w:lineRule="auto"/>
              <w:jc w:val="left"/>
            </w:pPr>
            <w:r w:rsidRPr="00174113">
              <w:t>RTGB</w:t>
            </w:r>
          </w:p>
        </w:tc>
        <w:tc>
          <w:tcPr>
            <w:tcW w:w="6228" w:type="dxa"/>
            <w:vAlign w:val="center"/>
          </w:tcPr>
          <w:p w14:paraId="7D5164E4" w14:textId="7F553BC5"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 xml:space="preserve">Readiness </w:t>
            </w:r>
            <w:r w:rsidR="005366F0">
              <w:t>for</w:t>
            </w:r>
            <w:r w:rsidRPr="00174113">
              <w:t xml:space="preserve"> Big Data and IoT</w:t>
            </w:r>
          </w:p>
        </w:tc>
      </w:tr>
      <w:tr w:rsidR="003E5DE4" w:rsidRPr="00174113" w14:paraId="7D5164E8"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E6" w14:textId="77777777" w:rsidR="003E5DE4" w:rsidRPr="00174113" w:rsidRDefault="003E5DE4" w:rsidP="00594428">
            <w:pPr>
              <w:pStyle w:val="APAParagraph"/>
              <w:spacing w:line="240" w:lineRule="auto"/>
              <w:jc w:val="left"/>
            </w:pPr>
            <w:r w:rsidRPr="00174113">
              <w:t>SaaS</w:t>
            </w:r>
          </w:p>
        </w:tc>
        <w:tc>
          <w:tcPr>
            <w:tcW w:w="6228" w:type="dxa"/>
            <w:vAlign w:val="center"/>
          </w:tcPr>
          <w:p w14:paraId="7D5164E7" w14:textId="77777777" w:rsidR="003E5DE4" w:rsidRPr="00174113" w:rsidRDefault="003E5DE4"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Software-as-a-Service</w:t>
            </w:r>
          </w:p>
        </w:tc>
      </w:tr>
      <w:tr w:rsidR="001E24F0" w:rsidRPr="00174113" w14:paraId="7D5164EE"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EC" w14:textId="77777777" w:rsidR="009B2BB9" w:rsidRPr="00174113" w:rsidRDefault="009B2BB9" w:rsidP="00594428">
            <w:pPr>
              <w:pStyle w:val="APAParagraph"/>
              <w:spacing w:line="240" w:lineRule="auto"/>
              <w:jc w:val="left"/>
            </w:pPr>
            <w:r w:rsidRPr="00174113">
              <w:t>SEM</w:t>
            </w:r>
          </w:p>
        </w:tc>
        <w:tc>
          <w:tcPr>
            <w:tcW w:w="6228" w:type="dxa"/>
            <w:vAlign w:val="center"/>
          </w:tcPr>
          <w:p w14:paraId="7D5164ED" w14:textId="77777777" w:rsidR="009B2BB9" w:rsidRPr="00174113" w:rsidRDefault="009B2BB9"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Structural Equation Modeling</w:t>
            </w:r>
          </w:p>
        </w:tc>
      </w:tr>
      <w:tr w:rsidR="00DF52EE" w:rsidRPr="00174113" w14:paraId="7D5164F1"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EF" w14:textId="77777777" w:rsidR="009B2BB9" w:rsidRPr="00174113" w:rsidRDefault="009B2BB9" w:rsidP="00594428">
            <w:pPr>
              <w:pStyle w:val="APAParagraph"/>
              <w:spacing w:line="240" w:lineRule="auto"/>
              <w:jc w:val="left"/>
            </w:pPr>
            <w:r w:rsidRPr="00174113">
              <w:t>SG</w:t>
            </w:r>
          </w:p>
        </w:tc>
        <w:tc>
          <w:tcPr>
            <w:tcW w:w="6228" w:type="dxa"/>
            <w:vAlign w:val="center"/>
          </w:tcPr>
          <w:p w14:paraId="7D5164F0" w14:textId="77777777" w:rsidR="009B2BB9" w:rsidRPr="00174113" w:rsidRDefault="009B2BB9"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Strategic Governance</w:t>
            </w:r>
          </w:p>
        </w:tc>
      </w:tr>
      <w:tr w:rsidR="00DF52EE" w:rsidRPr="00174113" w14:paraId="7D5164F4"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F2" w14:textId="77777777" w:rsidR="00DF52EE" w:rsidRPr="00174113" w:rsidRDefault="00DF52EE" w:rsidP="00594428">
            <w:pPr>
              <w:pStyle w:val="APAParagraph"/>
              <w:spacing w:line="240" w:lineRule="auto"/>
              <w:jc w:val="left"/>
            </w:pPr>
            <w:r w:rsidRPr="00174113">
              <w:t>SI</w:t>
            </w:r>
          </w:p>
        </w:tc>
        <w:tc>
          <w:tcPr>
            <w:tcW w:w="6228" w:type="dxa"/>
            <w:vAlign w:val="center"/>
          </w:tcPr>
          <w:p w14:paraId="7D5164F3" w14:textId="77777777" w:rsidR="00DF52EE" w:rsidRPr="00174113" w:rsidRDefault="00DF52EE"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Social Influence</w:t>
            </w:r>
          </w:p>
        </w:tc>
      </w:tr>
      <w:tr w:rsidR="00AA5B83" w:rsidRPr="00174113" w14:paraId="7D5164F7"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F5" w14:textId="77777777" w:rsidR="00AA5B83" w:rsidRPr="00174113" w:rsidRDefault="00AA5B83" w:rsidP="00594428">
            <w:pPr>
              <w:pStyle w:val="APAParagraph"/>
              <w:spacing w:line="240" w:lineRule="auto"/>
              <w:jc w:val="left"/>
            </w:pPr>
            <w:r w:rsidRPr="00174113">
              <w:t>TAM</w:t>
            </w:r>
          </w:p>
        </w:tc>
        <w:tc>
          <w:tcPr>
            <w:tcW w:w="6228" w:type="dxa"/>
            <w:vAlign w:val="center"/>
          </w:tcPr>
          <w:p w14:paraId="7D5164F6" w14:textId="77777777" w:rsidR="00AA5B83" w:rsidRPr="00174113" w:rsidRDefault="00A140E3"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Technology Acceptance Model</w:t>
            </w:r>
          </w:p>
        </w:tc>
      </w:tr>
      <w:tr w:rsidR="00A140E3" w:rsidRPr="00174113" w14:paraId="7D5164FA"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F8" w14:textId="77777777" w:rsidR="00A140E3" w:rsidRPr="00174113" w:rsidRDefault="00A140E3" w:rsidP="00594428">
            <w:pPr>
              <w:pStyle w:val="APAParagraph"/>
              <w:spacing w:line="240" w:lineRule="auto"/>
              <w:jc w:val="left"/>
            </w:pPr>
            <w:r w:rsidRPr="00174113">
              <w:t>TAM2</w:t>
            </w:r>
          </w:p>
        </w:tc>
        <w:tc>
          <w:tcPr>
            <w:tcW w:w="6228" w:type="dxa"/>
            <w:vAlign w:val="center"/>
          </w:tcPr>
          <w:p w14:paraId="7D5164F9" w14:textId="77777777" w:rsidR="00A140E3" w:rsidRPr="00174113" w:rsidRDefault="00A140E3" w:rsidP="00594428">
            <w:pPr>
              <w:pStyle w:val="APAParagraph"/>
              <w:spacing w:line="240" w:lineRule="auto"/>
              <w:ind w:left="720" w:firstLine="0"/>
              <w:jc w:val="left"/>
              <w:cnfStyle w:val="000000000000" w:firstRow="0" w:lastRow="0" w:firstColumn="0" w:lastColumn="0" w:oddVBand="0" w:evenVBand="0" w:oddHBand="0" w:evenHBand="0" w:firstRowFirstColumn="0" w:firstRowLastColumn="0" w:lastRowFirstColumn="0" w:lastRowLastColumn="0"/>
            </w:pPr>
            <w:r w:rsidRPr="00174113">
              <w:t>Technology Acceptance Model 2 (updated specification of TAM)</w:t>
            </w:r>
          </w:p>
        </w:tc>
      </w:tr>
      <w:tr w:rsidR="00DD2766" w:rsidRPr="00174113" w14:paraId="7D5164FD"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FB" w14:textId="77777777" w:rsidR="00A140E3" w:rsidRPr="00174113" w:rsidRDefault="00A140E3" w:rsidP="00594428">
            <w:pPr>
              <w:pStyle w:val="APAParagraph"/>
              <w:spacing w:line="240" w:lineRule="auto"/>
              <w:jc w:val="left"/>
            </w:pPr>
            <w:r w:rsidRPr="00174113">
              <w:t>TEBA</w:t>
            </w:r>
          </w:p>
        </w:tc>
        <w:tc>
          <w:tcPr>
            <w:tcW w:w="6228" w:type="dxa"/>
            <w:vAlign w:val="center"/>
          </w:tcPr>
          <w:p w14:paraId="7D5164FC" w14:textId="77777777" w:rsidR="00A140E3" w:rsidRPr="00174113" w:rsidRDefault="00A140E3"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Technical Barriers</w:t>
            </w:r>
          </w:p>
        </w:tc>
      </w:tr>
      <w:tr w:rsidR="009E77EB" w:rsidRPr="00174113" w14:paraId="7D516500"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4FE" w14:textId="77777777" w:rsidR="00A140E3" w:rsidRPr="00174113" w:rsidRDefault="00A140E3" w:rsidP="00594428">
            <w:pPr>
              <w:pStyle w:val="APAParagraph"/>
              <w:spacing w:line="240" w:lineRule="auto"/>
              <w:jc w:val="left"/>
            </w:pPr>
            <w:r w:rsidRPr="00174113">
              <w:t>TI</w:t>
            </w:r>
          </w:p>
        </w:tc>
        <w:tc>
          <w:tcPr>
            <w:tcW w:w="6228" w:type="dxa"/>
            <w:vAlign w:val="center"/>
          </w:tcPr>
          <w:p w14:paraId="7D5164FF" w14:textId="77777777" w:rsidR="00A140E3" w:rsidRPr="00174113" w:rsidRDefault="00A140E3"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Technology Infrastructure</w:t>
            </w:r>
          </w:p>
        </w:tc>
      </w:tr>
      <w:tr w:rsidR="00DD2766" w:rsidRPr="00174113" w14:paraId="7D516503"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501" w14:textId="77777777" w:rsidR="00A140E3" w:rsidRPr="00174113" w:rsidRDefault="00A140E3" w:rsidP="00594428">
            <w:pPr>
              <w:pStyle w:val="APAParagraph"/>
              <w:spacing w:line="240" w:lineRule="auto"/>
              <w:jc w:val="left"/>
            </w:pPr>
            <w:r w:rsidRPr="00174113">
              <w:t>TLI</w:t>
            </w:r>
          </w:p>
        </w:tc>
        <w:tc>
          <w:tcPr>
            <w:tcW w:w="6228" w:type="dxa"/>
            <w:vAlign w:val="center"/>
          </w:tcPr>
          <w:p w14:paraId="7D516502" w14:textId="77777777" w:rsidR="00A140E3" w:rsidRPr="00174113" w:rsidRDefault="00A140E3"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Tucker-Lewis Index</w:t>
            </w:r>
          </w:p>
        </w:tc>
      </w:tr>
      <w:tr w:rsidR="00A140E3" w:rsidRPr="00174113" w14:paraId="7D516506" w14:textId="77777777" w:rsidTr="00594428">
        <w:trPr>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504" w14:textId="77777777" w:rsidR="00A140E3" w:rsidRPr="00174113" w:rsidRDefault="00A140E3" w:rsidP="00594428">
            <w:pPr>
              <w:pStyle w:val="APAParagraph"/>
              <w:spacing w:line="240" w:lineRule="auto"/>
              <w:jc w:val="left"/>
            </w:pPr>
            <w:r w:rsidRPr="00174113">
              <w:t>UTAUT</w:t>
            </w:r>
          </w:p>
        </w:tc>
        <w:tc>
          <w:tcPr>
            <w:tcW w:w="6228" w:type="dxa"/>
            <w:vAlign w:val="center"/>
          </w:tcPr>
          <w:p w14:paraId="7D516505" w14:textId="77777777" w:rsidR="00A140E3" w:rsidRPr="00174113" w:rsidRDefault="00A140E3" w:rsidP="00594428">
            <w:pPr>
              <w:pStyle w:val="APAParagraph"/>
              <w:spacing w:line="240" w:lineRule="auto"/>
              <w:jc w:val="left"/>
              <w:cnfStyle w:val="000000000000" w:firstRow="0" w:lastRow="0" w:firstColumn="0" w:lastColumn="0" w:oddVBand="0" w:evenVBand="0" w:oddHBand="0" w:evenHBand="0" w:firstRowFirstColumn="0" w:firstRowLastColumn="0" w:lastRowFirstColumn="0" w:lastRowLastColumn="0"/>
            </w:pPr>
            <w:r w:rsidRPr="00174113">
              <w:t>Unified Technology Acceptance and Use of Technology</w:t>
            </w:r>
          </w:p>
        </w:tc>
      </w:tr>
      <w:tr w:rsidR="00DD2766" w:rsidRPr="00174113" w14:paraId="7D516509" w14:textId="77777777" w:rsidTr="0059442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D516507" w14:textId="77777777" w:rsidR="00A140E3" w:rsidRPr="00174113" w:rsidRDefault="00A140E3" w:rsidP="00594428">
            <w:pPr>
              <w:pStyle w:val="APAParagraph"/>
              <w:spacing w:line="240" w:lineRule="auto"/>
              <w:jc w:val="left"/>
            </w:pPr>
            <w:r w:rsidRPr="00174113">
              <w:t>UAE</w:t>
            </w:r>
          </w:p>
        </w:tc>
        <w:tc>
          <w:tcPr>
            <w:tcW w:w="6228" w:type="dxa"/>
            <w:vAlign w:val="center"/>
          </w:tcPr>
          <w:p w14:paraId="7D516508" w14:textId="77777777" w:rsidR="00A140E3" w:rsidRPr="00174113" w:rsidRDefault="00A140E3" w:rsidP="00594428">
            <w:pPr>
              <w:pStyle w:val="APAParagraph"/>
              <w:spacing w:line="240" w:lineRule="auto"/>
              <w:jc w:val="left"/>
              <w:cnfStyle w:val="000000100000" w:firstRow="0" w:lastRow="0" w:firstColumn="0" w:lastColumn="0" w:oddVBand="0" w:evenVBand="0" w:oddHBand="1" w:evenHBand="0" w:firstRowFirstColumn="0" w:firstRowLastColumn="0" w:lastRowFirstColumn="0" w:lastRowLastColumn="0"/>
            </w:pPr>
            <w:r w:rsidRPr="00174113">
              <w:t>United Arab Emirates</w:t>
            </w:r>
          </w:p>
        </w:tc>
      </w:tr>
    </w:tbl>
    <w:p w14:paraId="7D51650A" w14:textId="77777777" w:rsidR="005051DA" w:rsidRPr="00174113" w:rsidRDefault="005051DA" w:rsidP="009C1EAB">
      <w:pPr>
        <w:pStyle w:val="APAParagraph"/>
      </w:pPr>
    </w:p>
    <w:p w14:paraId="7D51650B" w14:textId="77777777" w:rsidR="005B05E3" w:rsidRPr="00174113" w:rsidRDefault="005B05E3">
      <w:pPr>
        <w:rPr>
          <w:rFonts w:eastAsiaTheme="majorEastAsia" w:cstheme="majorBidi"/>
          <w:b/>
          <w:bCs/>
          <w:i/>
          <w:smallCaps/>
          <w:sz w:val="32"/>
          <w:szCs w:val="32"/>
          <w:u w:val="single"/>
        </w:rPr>
      </w:pPr>
      <w:bookmarkStart w:id="18" w:name="_Toc532800278"/>
      <w:bookmarkStart w:id="19" w:name="_Toc534028522"/>
      <w:bookmarkStart w:id="20" w:name="_Toc534028907"/>
      <w:r w:rsidRPr="00174113">
        <w:br w:type="page"/>
      </w:r>
    </w:p>
    <w:p w14:paraId="0E87E09D" w14:textId="77777777" w:rsidR="0089160B" w:rsidRDefault="0089160B" w:rsidP="00790070">
      <w:pPr>
        <w:pStyle w:val="ChapterTitle"/>
        <w:sectPr w:rsidR="0089160B" w:rsidSect="00594428">
          <w:headerReference w:type="default" r:id="rId12"/>
          <w:footerReference w:type="even" r:id="rId13"/>
          <w:footerReference w:type="default" r:id="rId14"/>
          <w:pgSz w:w="12240" w:h="15840" w:code="1"/>
          <w:pgMar w:top="2880" w:right="2160" w:bottom="1800" w:left="2160" w:header="720" w:footer="720" w:gutter="0"/>
          <w:pgNumType w:fmt="lowerRoman" w:start="1"/>
          <w:cols w:space="720"/>
          <w:docGrid w:linePitch="360"/>
        </w:sectPr>
      </w:pPr>
    </w:p>
    <w:p w14:paraId="7D51650C" w14:textId="0734C575" w:rsidR="005B05E3" w:rsidRPr="00174113" w:rsidRDefault="005B05E3" w:rsidP="001B3D51">
      <w:pPr>
        <w:pStyle w:val="ChapterTitle"/>
        <w:ind w:left="720" w:hanging="720"/>
        <w:rPr>
          <w:i/>
          <w:lang w:bidi="ar-DZ"/>
        </w:rPr>
      </w:pPr>
      <w:bookmarkStart w:id="21" w:name="_Toc24447754"/>
      <w:r w:rsidRPr="00174113">
        <w:lastRenderedPageBreak/>
        <w:t>Abstract</w:t>
      </w:r>
      <w:bookmarkEnd w:id="21"/>
    </w:p>
    <w:p w14:paraId="7D51650D" w14:textId="77777777" w:rsidR="005B05E3" w:rsidRPr="00174113" w:rsidRDefault="005B05E3" w:rsidP="00866B4B">
      <w:pPr>
        <w:pStyle w:val="APAParagraph"/>
      </w:pPr>
      <w:r w:rsidRPr="00174113">
        <w:t xml:space="preserve">Health </w:t>
      </w:r>
      <w:r w:rsidR="004327F9" w:rsidRPr="00174113">
        <w:t>i</w:t>
      </w:r>
      <w:r w:rsidRPr="00174113">
        <w:t xml:space="preserve">nformation </w:t>
      </w:r>
      <w:r w:rsidR="004327F9" w:rsidRPr="00174113">
        <w:t>t</w:t>
      </w:r>
      <w:r w:rsidRPr="00174113">
        <w:t xml:space="preserve">echnology (HIT) is a huge and growing industry </w:t>
      </w:r>
      <w:r w:rsidR="00887EB9" w:rsidRPr="00174113">
        <w:t>that shows</w:t>
      </w:r>
      <w:r w:rsidRPr="00174113">
        <w:t xml:space="preserve"> considerable promise as a means to revolutionize and transform the healthcare sector by providing timelier, more efficient, and higher-quality care. Yet</w:t>
      </w:r>
      <w:r w:rsidR="006C4A04" w:rsidRPr="00174113">
        <w:t>,</w:t>
      </w:r>
      <w:r w:rsidRPr="00174113">
        <w:t xml:space="preserve"> despite its promise, it is seeing slower growth than desired because </w:t>
      </w:r>
      <w:r w:rsidR="00770892" w:rsidRPr="00174113">
        <w:t>of the numerous</w:t>
      </w:r>
      <w:r w:rsidR="00554A15">
        <w:t xml:space="preserve"> </w:t>
      </w:r>
      <w:r w:rsidRPr="00174113">
        <w:t xml:space="preserve">barriers and </w:t>
      </w:r>
      <w:r w:rsidR="00770892" w:rsidRPr="00174113">
        <w:t>the</w:t>
      </w:r>
      <w:r w:rsidRPr="00174113">
        <w:t xml:space="preserve"> lack of motivation surrounding it</w:t>
      </w:r>
      <w:r w:rsidR="00770892" w:rsidRPr="00174113">
        <w:t>s implementation</w:t>
      </w:r>
      <w:r w:rsidRPr="00174113">
        <w:t xml:space="preserve"> and usage, even in the United Arab Emirates (UAE), a country that has seen more growth than most in th</w:t>
      </w:r>
      <w:r w:rsidR="00887EB9" w:rsidRPr="00174113">
        <w:t>e</w:t>
      </w:r>
      <w:r w:rsidR="00554A15" w:rsidRPr="00174113">
        <w:t xml:space="preserve"> </w:t>
      </w:r>
      <w:r w:rsidR="006C4A04" w:rsidRPr="00174113">
        <w:t>region</w:t>
      </w:r>
      <w:r w:rsidRPr="00174113">
        <w:t xml:space="preserve">. Three studies were conducted </w:t>
      </w:r>
      <w:r w:rsidR="006C4A04" w:rsidRPr="00174113">
        <w:t xml:space="preserve">to </w:t>
      </w:r>
      <w:r w:rsidRPr="00174113">
        <w:t>understand these motivators and barriers in the UAE</w:t>
      </w:r>
      <w:r w:rsidR="00981196" w:rsidRPr="00174113">
        <w:t xml:space="preserve"> as</w:t>
      </w:r>
      <w:r w:rsidRPr="00174113">
        <w:t xml:space="preserve"> perceived by representatives of four healthcare stakeholder categories—employers, patients, UAE citizens, and foresight experts. Initial interviews (</w:t>
      </w:r>
      <w:r w:rsidRPr="00174113">
        <w:rPr>
          <w:i/>
        </w:rPr>
        <w:t>N</w:t>
      </w:r>
      <w:r w:rsidRPr="00174113">
        <w:t xml:space="preserve"> = 115) were conducted to gain in-depth data about motivators and barriers. Then, participants were surveyed to provide their ratings of 41 motivators (</w:t>
      </w:r>
      <w:r w:rsidRPr="00174113">
        <w:rPr>
          <w:i/>
        </w:rPr>
        <w:t>N</w:t>
      </w:r>
      <w:r w:rsidRPr="00174113">
        <w:t xml:space="preserve"> = 391) and 47 barriers (</w:t>
      </w:r>
      <w:r w:rsidRPr="00174113">
        <w:rPr>
          <w:i/>
        </w:rPr>
        <w:t>N</w:t>
      </w:r>
      <w:r w:rsidRPr="00174113">
        <w:t xml:space="preserve"> = 150). Exploratory factor analyses were conducted on the responses, revealing four latent motivational constructs (quality management, information sharing, strategic governance, and technology infrastructure) and four latent barrier constructs (organizational strategy, technical barriers, readiness </w:t>
      </w:r>
      <w:r w:rsidR="00131EEB" w:rsidRPr="00174113">
        <w:t xml:space="preserve">for </w:t>
      </w:r>
      <w:r w:rsidRPr="00174113">
        <w:t xml:space="preserve">big data and </w:t>
      </w:r>
      <w:r w:rsidR="00981196" w:rsidRPr="00174113">
        <w:t xml:space="preserve">the </w:t>
      </w:r>
      <w:r w:rsidR="00654333" w:rsidRPr="00174113">
        <w:t>internet of things (</w:t>
      </w:r>
      <w:r w:rsidRPr="00174113">
        <w:t>I</w:t>
      </w:r>
      <w:r w:rsidR="00654333" w:rsidRPr="00174113">
        <w:t>o</w:t>
      </w:r>
      <w:r w:rsidRPr="00174113">
        <w:t>T</w:t>
      </w:r>
      <w:r w:rsidR="00654333" w:rsidRPr="00174113">
        <w:t>)</w:t>
      </w:r>
      <w:r w:rsidRPr="00174113">
        <w:t xml:space="preserve">, and orientation). Confirmatory factor analyses revealed strong </w:t>
      </w:r>
      <w:r w:rsidR="00770892" w:rsidRPr="00174113">
        <w:t>impacts</w:t>
      </w:r>
      <w:r w:rsidR="00554A15" w:rsidRPr="00174113">
        <w:t xml:space="preserve"> </w:t>
      </w:r>
      <w:r w:rsidRPr="00174113">
        <w:t xml:space="preserve">of each of the four motivational factors on HIT adoption (≥ </w:t>
      </w:r>
      <w:r w:rsidR="00131EEB" w:rsidRPr="00174113">
        <w:t>0</w:t>
      </w:r>
      <w:r w:rsidRPr="00174113">
        <w:t xml:space="preserve">.78) and a moderate </w:t>
      </w:r>
      <w:r w:rsidR="00770892" w:rsidRPr="00174113">
        <w:t>effect</w:t>
      </w:r>
      <w:r w:rsidR="002D2D40">
        <w:t xml:space="preserve"> </w:t>
      </w:r>
      <w:r w:rsidRPr="00174113">
        <w:t>(</w:t>
      </w:r>
      <w:r w:rsidR="00131EEB" w:rsidRPr="00174113">
        <w:t>0</w:t>
      </w:r>
      <w:r w:rsidRPr="00174113">
        <w:t xml:space="preserve">.66) </w:t>
      </w:r>
      <w:r w:rsidR="00770892" w:rsidRPr="00174113">
        <w:t>o</w:t>
      </w:r>
      <w:r w:rsidR="00131EEB" w:rsidRPr="00174113">
        <w:t>n</w:t>
      </w:r>
      <w:r w:rsidR="00770892" w:rsidRPr="00174113">
        <w:t xml:space="preserve"> the</w:t>
      </w:r>
      <w:r w:rsidR="00554A15" w:rsidRPr="00174113">
        <w:t xml:space="preserve"> </w:t>
      </w:r>
      <w:r w:rsidRPr="00174113">
        <w:t xml:space="preserve">readiness </w:t>
      </w:r>
      <w:r w:rsidR="00131EEB" w:rsidRPr="00174113">
        <w:t xml:space="preserve">for </w:t>
      </w:r>
      <w:r w:rsidRPr="00174113">
        <w:t>big data and I</w:t>
      </w:r>
      <w:r w:rsidR="00770892" w:rsidRPr="00174113">
        <w:t>o</w:t>
      </w:r>
      <w:r w:rsidRPr="00174113">
        <w:t>T in HIT adoption</w:t>
      </w:r>
      <w:r w:rsidR="00770892" w:rsidRPr="00174113">
        <w:t xml:space="preserve">. </w:t>
      </w:r>
      <w:r w:rsidR="004547F6" w:rsidRPr="00174113">
        <w:t>S</w:t>
      </w:r>
      <w:r w:rsidRPr="00174113">
        <w:t xml:space="preserve">trong </w:t>
      </w:r>
      <w:r w:rsidR="00770892" w:rsidRPr="00174113">
        <w:t>impacts</w:t>
      </w:r>
      <w:r w:rsidR="00554A15" w:rsidRPr="00174113">
        <w:t xml:space="preserve"> </w:t>
      </w:r>
      <w:r w:rsidRPr="00174113">
        <w:t>of the other barrier factors on HIT adoption</w:t>
      </w:r>
      <w:r w:rsidR="00554A15" w:rsidRPr="00174113">
        <w:t xml:space="preserve"> </w:t>
      </w:r>
      <w:r w:rsidR="004547F6" w:rsidRPr="00174113">
        <w:t xml:space="preserve">were also </w:t>
      </w:r>
      <w:r w:rsidR="00770892" w:rsidRPr="00174113">
        <w:t>identified</w:t>
      </w:r>
      <w:r w:rsidRPr="00174113">
        <w:t xml:space="preserve"> (≥ </w:t>
      </w:r>
      <w:r w:rsidR="004547F6" w:rsidRPr="00174113">
        <w:t>0</w:t>
      </w:r>
      <w:r w:rsidRPr="00174113">
        <w:t xml:space="preserve">.83). These findings suggest that, in order to improve widespread use and </w:t>
      </w:r>
      <w:r w:rsidRPr="00174113">
        <w:lastRenderedPageBreak/>
        <w:t>implantation of healthcare technologies and growth of the HIT sector, important areas of investment are governmental vision and support, data security and privacy, professional development, and long-term usability of the technology.</w:t>
      </w:r>
    </w:p>
    <w:p w14:paraId="7D51650E" w14:textId="77777777" w:rsidR="005B05E3" w:rsidRPr="00174113" w:rsidRDefault="005B05E3" w:rsidP="005B05E3">
      <w:pPr>
        <w:spacing w:line="480" w:lineRule="auto"/>
        <w:contextualSpacing/>
        <w:mirrorIndents/>
      </w:pPr>
      <w:r w:rsidRPr="00174113">
        <w:br w:type="page"/>
      </w:r>
    </w:p>
    <w:p w14:paraId="7D51650F" w14:textId="77777777" w:rsidR="00C8151F" w:rsidRPr="00174113" w:rsidRDefault="00C8151F" w:rsidP="003A1141">
      <w:pPr>
        <w:pStyle w:val="ChapterTitle"/>
        <w:rPr>
          <w:i/>
        </w:rPr>
      </w:pPr>
      <w:bookmarkStart w:id="22" w:name="_Toc24447755"/>
      <w:r w:rsidRPr="00174113">
        <w:lastRenderedPageBreak/>
        <w:t>Acknowledgments</w:t>
      </w:r>
      <w:bookmarkEnd w:id="18"/>
      <w:bookmarkEnd w:id="19"/>
      <w:bookmarkEnd w:id="20"/>
      <w:bookmarkEnd w:id="22"/>
    </w:p>
    <w:p w14:paraId="7D516510" w14:textId="69BAE380" w:rsidR="00DD1197" w:rsidRPr="00A76642" w:rsidRDefault="00DD1197" w:rsidP="00C0447D">
      <w:pPr>
        <w:pStyle w:val="APAParagraph"/>
      </w:pPr>
      <w:r w:rsidRPr="00A76642">
        <w:t xml:space="preserve">Firstly, I would like to express my sincere gratitude to my advisor Dr. Mehmood Khan for the continuous support of my Doctoral study and related research, for his patience, motivation, and immense knowledge. His guidance helped me </w:t>
      </w:r>
      <w:r w:rsidR="00B378E0" w:rsidRPr="00A76642">
        <w:t>throughout my</w:t>
      </w:r>
      <w:r w:rsidRPr="00A76642">
        <w:t xml:space="preserve"> research and </w:t>
      </w:r>
      <w:r w:rsidR="00B378E0" w:rsidRPr="00A76642">
        <w:t xml:space="preserve">the </w:t>
      </w:r>
      <w:r w:rsidRPr="00A76642">
        <w:t>writing of this dissertation. I could not have imagined having a better advisor and mentor for my Doctoral study. Besides my advisor, I would like to thank my dissertation committee member</w:t>
      </w:r>
      <w:r w:rsidR="00A162B8" w:rsidRPr="00A76642">
        <w:t>,</w:t>
      </w:r>
      <w:r w:rsidRPr="00A76642">
        <w:t xml:space="preserve"> Dr. Matloub Hussain, </w:t>
      </w:r>
      <w:r w:rsidR="00A162B8" w:rsidRPr="00A76642">
        <w:t>not</w:t>
      </w:r>
      <w:r w:rsidR="00F75489">
        <w:t xml:space="preserve"> only</w:t>
      </w:r>
      <w:r w:rsidR="00A162B8" w:rsidRPr="00A76642">
        <w:t xml:space="preserve"> </w:t>
      </w:r>
      <w:r w:rsidRPr="00A76642">
        <w:t xml:space="preserve">for his insightful comments and encouragement, but also for the </w:t>
      </w:r>
      <w:r w:rsidR="00A162B8" w:rsidRPr="00A76642">
        <w:t>difficult</w:t>
      </w:r>
      <w:r w:rsidRPr="00A76642">
        <w:t xml:space="preserve"> questions </w:t>
      </w:r>
      <w:r w:rsidR="00A162B8" w:rsidRPr="00A76642">
        <w:t xml:space="preserve">that </w:t>
      </w:r>
      <w:r w:rsidRPr="00A76642">
        <w:t>incent</w:t>
      </w:r>
      <w:r w:rsidR="00A162B8" w:rsidRPr="00A76642">
        <w:t>ivized</w:t>
      </w:r>
      <w:r w:rsidRPr="00A76642">
        <w:t xml:space="preserve"> me to widen my research from various perspectives.</w:t>
      </w:r>
    </w:p>
    <w:p w14:paraId="7D516511" w14:textId="4472F61F" w:rsidR="00DD1197" w:rsidRPr="00A76642" w:rsidRDefault="00DD1197" w:rsidP="00DD1197">
      <w:pPr>
        <w:spacing w:line="480" w:lineRule="auto"/>
        <w:rPr>
          <w:rFonts w:asciiTheme="majorBidi" w:hAnsiTheme="majorBidi" w:cstheme="majorBidi"/>
        </w:rPr>
      </w:pPr>
      <w:r w:rsidRPr="00A76642">
        <w:rPr>
          <w:rFonts w:asciiTheme="majorBidi" w:hAnsiTheme="majorBidi" w:cstheme="majorBidi"/>
        </w:rPr>
        <w:t>I would like to thank my fellow doctoral students for their feedback, cooperation</w:t>
      </w:r>
      <w:r w:rsidR="00A162B8" w:rsidRPr="00A76642">
        <w:rPr>
          <w:rFonts w:asciiTheme="majorBidi" w:hAnsiTheme="majorBidi" w:cstheme="majorBidi"/>
        </w:rPr>
        <w:t>,</w:t>
      </w:r>
      <w:r w:rsidRPr="00A76642">
        <w:rPr>
          <w:rFonts w:asciiTheme="majorBidi" w:hAnsiTheme="majorBidi" w:cstheme="majorBidi"/>
        </w:rPr>
        <w:t xml:space="preserve"> and</w:t>
      </w:r>
      <w:r w:rsidR="00A162B8" w:rsidRPr="00A76642">
        <w:rPr>
          <w:rFonts w:asciiTheme="majorBidi" w:hAnsiTheme="majorBidi" w:cstheme="majorBidi"/>
        </w:rPr>
        <w:t>,</w:t>
      </w:r>
      <w:r w:rsidRPr="00A76642">
        <w:rPr>
          <w:rFonts w:asciiTheme="majorBidi" w:hAnsiTheme="majorBidi" w:cstheme="majorBidi"/>
        </w:rPr>
        <w:t xml:space="preserve"> of course</w:t>
      </w:r>
      <w:r w:rsidR="00A162B8" w:rsidRPr="00A76642">
        <w:rPr>
          <w:rFonts w:asciiTheme="majorBidi" w:hAnsiTheme="majorBidi" w:cstheme="majorBidi"/>
        </w:rPr>
        <w:t>,</w:t>
      </w:r>
      <w:r w:rsidRPr="00A76642">
        <w:rPr>
          <w:rFonts w:asciiTheme="majorBidi" w:hAnsiTheme="majorBidi" w:cstheme="majorBidi"/>
        </w:rPr>
        <w:t xml:space="preserve"> friendship. In addition</w:t>
      </w:r>
      <w:r w:rsidR="00A162B8" w:rsidRPr="00A76642">
        <w:rPr>
          <w:rFonts w:asciiTheme="majorBidi" w:hAnsiTheme="majorBidi" w:cstheme="majorBidi"/>
        </w:rPr>
        <w:t>,</w:t>
      </w:r>
      <w:r w:rsidRPr="00A76642">
        <w:rPr>
          <w:rFonts w:asciiTheme="majorBidi" w:hAnsiTheme="majorBidi" w:cstheme="majorBidi"/>
        </w:rPr>
        <w:t xml:space="preserve"> I would like to express my gratitude to the faculty members of Abu Dhabi University for their constant support and provision.</w:t>
      </w:r>
    </w:p>
    <w:p w14:paraId="7D516512" w14:textId="6F424B7B" w:rsidR="00DD1197" w:rsidRPr="00A76642" w:rsidRDefault="00DD1197" w:rsidP="00C0447D">
      <w:pPr>
        <w:pStyle w:val="APAParagraph"/>
      </w:pPr>
      <w:r w:rsidRPr="00A76642">
        <w:t xml:space="preserve">I would like to thank my friends for accepting nothing less than excellence from me. Last but not the least, I would like to thank my family, my parents, my husband, </w:t>
      </w:r>
      <w:r w:rsidR="00C87C99" w:rsidRPr="00A76642">
        <w:t xml:space="preserve">and </w:t>
      </w:r>
      <w:r w:rsidRPr="00A76642">
        <w:t xml:space="preserve">my little ones for being there for me during this journey, and </w:t>
      </w:r>
      <w:r w:rsidR="00C87C99" w:rsidRPr="00A76642">
        <w:t>also</w:t>
      </w:r>
      <w:r w:rsidRPr="00A76642">
        <w:t xml:space="preserve"> my brothers and sisters, for supporting me spiritually throughout writing this dissertation</w:t>
      </w:r>
      <w:r w:rsidR="00C87C99" w:rsidRPr="00A76642">
        <w:t>;</w:t>
      </w:r>
      <w:r w:rsidRPr="00A76642">
        <w:t xml:space="preserve"> you mean the world to me.</w:t>
      </w:r>
    </w:p>
    <w:p w14:paraId="7D516513" w14:textId="77777777" w:rsidR="00DD1197" w:rsidRPr="00A76642" w:rsidRDefault="00DD1197" w:rsidP="00DD1197">
      <w:pPr>
        <w:spacing w:line="480" w:lineRule="auto"/>
        <w:rPr>
          <w:rFonts w:asciiTheme="majorBidi" w:hAnsiTheme="majorBidi" w:cstheme="majorBidi"/>
        </w:rPr>
      </w:pPr>
      <w:r w:rsidRPr="00A76642">
        <w:rPr>
          <w:rFonts w:asciiTheme="majorBidi" w:hAnsiTheme="majorBidi" w:cstheme="majorBidi"/>
        </w:rPr>
        <w:t>I would like to end this with a quote:</w:t>
      </w:r>
    </w:p>
    <w:p w14:paraId="7D516515" w14:textId="65235B17" w:rsidR="00DD1197" w:rsidRPr="00A76642" w:rsidRDefault="00DD1197" w:rsidP="001B3D51">
      <w:pPr>
        <w:pStyle w:val="APAParagraph"/>
        <w:ind w:firstLine="630"/>
      </w:pPr>
      <w:r w:rsidRPr="00A76642">
        <w:t>“Education is like a lantern which lights your way in a dark alley</w:t>
      </w:r>
      <w:r w:rsidR="0060499F" w:rsidRPr="00A76642">
        <w:t>.</w:t>
      </w:r>
      <w:r w:rsidRPr="00A76642">
        <w:t>”</w:t>
      </w:r>
      <w:r w:rsidR="001B3D51">
        <w:br/>
      </w:r>
      <w:r w:rsidR="0060499F" w:rsidRPr="00A76642">
        <w:t>[</w:t>
      </w:r>
      <w:r w:rsidRPr="00A76642">
        <w:t>The founding president of the UAE, Sheikh Zayed</w:t>
      </w:r>
      <w:r w:rsidR="001B3D51">
        <w:br/>
      </w:r>
      <w:r w:rsidRPr="00A76642">
        <w:t>(may his soul</w:t>
      </w:r>
      <w:r w:rsidR="001B3D51">
        <w:t xml:space="preserve"> </w:t>
      </w:r>
      <w:r w:rsidRPr="00A76642">
        <w:t>rest in peace)</w:t>
      </w:r>
      <w:r w:rsidR="0060499F" w:rsidRPr="00A76642">
        <w:t>]</w:t>
      </w:r>
    </w:p>
    <w:p w14:paraId="7D516516" w14:textId="4B9CDAF2" w:rsidR="00F75489" w:rsidRDefault="00DD1197" w:rsidP="00DD1197">
      <w:pPr>
        <w:spacing w:line="480" w:lineRule="auto"/>
        <w:rPr>
          <w:rFonts w:asciiTheme="majorBidi" w:hAnsiTheme="majorBidi" w:cstheme="majorBidi"/>
        </w:rPr>
      </w:pPr>
      <w:r w:rsidRPr="00A76642">
        <w:rPr>
          <w:rFonts w:asciiTheme="majorBidi" w:hAnsiTheme="majorBidi" w:cstheme="majorBidi"/>
        </w:rPr>
        <w:lastRenderedPageBreak/>
        <w:t>Finally, I dedicate my research to the greatest love in my heart, my country. May this research be a small contribution for a great future.</w:t>
      </w:r>
    </w:p>
    <w:p w14:paraId="5B88517A" w14:textId="77777777" w:rsidR="00F75489" w:rsidRDefault="00F75489">
      <w:pPr>
        <w:rPr>
          <w:rFonts w:asciiTheme="majorBidi" w:hAnsiTheme="majorBidi" w:cstheme="majorBidi"/>
        </w:rPr>
      </w:pPr>
      <w:r>
        <w:rPr>
          <w:rFonts w:asciiTheme="majorBidi" w:hAnsiTheme="majorBidi" w:cstheme="majorBidi"/>
        </w:rPr>
        <w:br w:type="page"/>
      </w:r>
    </w:p>
    <w:p w14:paraId="7D516518" w14:textId="77777777" w:rsidR="005B05E3" w:rsidRPr="00174113" w:rsidRDefault="00757B9D" w:rsidP="003A1141">
      <w:pPr>
        <w:pStyle w:val="ChapterTitle"/>
        <w:rPr>
          <w:i/>
        </w:rPr>
      </w:pPr>
      <w:bookmarkStart w:id="23" w:name="_Toc24447756"/>
      <w:r w:rsidRPr="00174113">
        <w:lastRenderedPageBreak/>
        <w:t xml:space="preserve">Structure of the </w:t>
      </w:r>
      <w:r w:rsidR="00893E05" w:rsidRPr="00790070">
        <w:rPr>
          <w:smallCaps/>
        </w:rPr>
        <w:t>D</w:t>
      </w:r>
      <w:r w:rsidRPr="00174113">
        <w:t>issertation</w:t>
      </w:r>
      <w:bookmarkEnd w:id="23"/>
    </w:p>
    <w:p w14:paraId="7D516519" w14:textId="77777777" w:rsidR="004F5D88" w:rsidRPr="00174113" w:rsidRDefault="004F5D88" w:rsidP="004F5D88">
      <w:pPr>
        <w:pStyle w:val="APAReference"/>
        <w:rPr>
          <w:color w:val="auto"/>
        </w:rPr>
      </w:pPr>
      <w:r w:rsidRPr="00DD1197">
        <w:rPr>
          <w:noProof/>
          <w:color w:val="auto"/>
        </w:rPr>
        <w:drawing>
          <wp:inline distT="0" distB="0" distL="0" distR="0" wp14:anchorId="7D516D98" wp14:editId="6F17B0E9">
            <wp:extent cx="4819650" cy="3200400"/>
            <wp:effectExtent l="0" t="0" r="19050" b="0"/>
            <wp:docPr id="9"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D51651A" w14:textId="77777777" w:rsidR="004F5D88" w:rsidRPr="00174113" w:rsidRDefault="004F5D88" w:rsidP="004F5D88">
      <w:pPr>
        <w:pStyle w:val="APAReference"/>
        <w:jc w:val="both"/>
        <w:rPr>
          <w:color w:val="auto"/>
        </w:rPr>
      </w:pPr>
    </w:p>
    <w:p w14:paraId="7D51651B" w14:textId="77777777" w:rsidR="00C8151F" w:rsidRPr="00174113" w:rsidRDefault="004F5D88" w:rsidP="00945515">
      <w:pPr>
        <w:pStyle w:val="APAReference"/>
        <w:tabs>
          <w:tab w:val="left" w:pos="0"/>
        </w:tabs>
        <w:ind w:left="0" w:firstLine="0"/>
        <w:jc w:val="both"/>
        <w:rPr>
          <w:color w:val="auto"/>
          <w:lang w:bidi="ar-DZ"/>
        </w:rPr>
      </w:pPr>
      <w:r w:rsidRPr="00174113">
        <w:rPr>
          <w:color w:val="auto"/>
        </w:rPr>
        <w:t>The dissertation is structured as follows. Chapter one identifies the statement of the problem, the objectives and purposes of th</w:t>
      </w:r>
      <w:r w:rsidR="00372F3B" w:rsidRPr="00174113">
        <w:rPr>
          <w:color w:val="auto"/>
        </w:rPr>
        <w:t>is</w:t>
      </w:r>
      <w:r w:rsidR="00554A15" w:rsidRPr="00174113">
        <w:rPr>
          <w:color w:val="auto"/>
        </w:rPr>
        <w:t xml:space="preserve"> </w:t>
      </w:r>
      <w:r w:rsidR="00372F3B" w:rsidRPr="00174113">
        <w:rPr>
          <w:color w:val="auto"/>
        </w:rPr>
        <w:t>research</w:t>
      </w:r>
      <w:r w:rsidRPr="00174113">
        <w:rPr>
          <w:color w:val="auto"/>
        </w:rPr>
        <w:t xml:space="preserve">, research gaps, and the research context. Chapter two covers the literature review. Chapter three discusses the theoretical background, </w:t>
      </w:r>
      <w:r w:rsidR="00733027" w:rsidRPr="00174113">
        <w:rPr>
          <w:color w:val="auto"/>
        </w:rPr>
        <w:t>while</w:t>
      </w:r>
      <w:r w:rsidRPr="00174113">
        <w:rPr>
          <w:color w:val="auto"/>
        </w:rPr>
        <w:t xml:space="preserve"> chapter four discusses the </w:t>
      </w:r>
      <w:r w:rsidR="00733027" w:rsidRPr="00174113">
        <w:rPr>
          <w:color w:val="auto"/>
        </w:rPr>
        <w:t xml:space="preserve">data collection and </w:t>
      </w:r>
      <w:r w:rsidRPr="00174113">
        <w:rPr>
          <w:color w:val="auto"/>
        </w:rPr>
        <w:t xml:space="preserve">research methodology. Chapter five </w:t>
      </w:r>
      <w:r w:rsidR="00733027" w:rsidRPr="00174113">
        <w:rPr>
          <w:color w:val="auto"/>
        </w:rPr>
        <w:t>presents</w:t>
      </w:r>
      <w:r w:rsidRPr="00174113">
        <w:rPr>
          <w:color w:val="auto"/>
        </w:rPr>
        <w:t xml:space="preserve"> an analysis of the findings, </w:t>
      </w:r>
      <w:r w:rsidR="00733027" w:rsidRPr="00174113">
        <w:rPr>
          <w:color w:val="auto"/>
        </w:rPr>
        <w:t xml:space="preserve">while </w:t>
      </w:r>
      <w:r w:rsidRPr="00174113">
        <w:rPr>
          <w:color w:val="auto"/>
        </w:rPr>
        <w:t xml:space="preserve">chapter six discusses the </w:t>
      </w:r>
      <w:r w:rsidR="00107CE6" w:rsidRPr="00174113">
        <w:rPr>
          <w:color w:val="auto"/>
        </w:rPr>
        <w:t>implications and possible directions for future research</w:t>
      </w:r>
      <w:r w:rsidRPr="00174113">
        <w:rPr>
          <w:color w:val="auto"/>
        </w:rPr>
        <w:t xml:space="preserve">. Finally, chapter seven </w:t>
      </w:r>
      <w:r w:rsidR="00107CE6" w:rsidRPr="00174113">
        <w:rPr>
          <w:color w:val="auto"/>
        </w:rPr>
        <w:t>summarizes and provides the</w:t>
      </w:r>
      <w:r w:rsidR="00F72E21" w:rsidRPr="00174113">
        <w:rPr>
          <w:color w:val="auto"/>
        </w:rPr>
        <w:t xml:space="preserve"> conclusions for the dissertation</w:t>
      </w:r>
      <w:r w:rsidRPr="00174113">
        <w:rPr>
          <w:color w:val="auto"/>
        </w:rPr>
        <w:t>.</w:t>
      </w:r>
      <w:r w:rsidR="00C8151F" w:rsidRPr="00174113">
        <w:rPr>
          <w:color w:val="auto"/>
        </w:rPr>
        <w:br w:type="page"/>
      </w:r>
    </w:p>
    <w:p w14:paraId="7D51651C" w14:textId="77777777" w:rsidR="00DA49D8" w:rsidRPr="00174113" w:rsidRDefault="00DA49D8" w:rsidP="00823E9D">
      <w:pPr>
        <w:pStyle w:val="ChapterTitle"/>
        <w:sectPr w:rsidR="00DA49D8" w:rsidRPr="00174113" w:rsidSect="001B3D51">
          <w:pgSz w:w="11900" w:h="16840" w:code="9"/>
          <w:pgMar w:top="1800" w:right="2160" w:bottom="1800" w:left="2160" w:header="720" w:footer="720" w:gutter="0"/>
          <w:pgNumType w:start="1"/>
          <w:cols w:space="720"/>
          <w:docGrid w:linePitch="360"/>
        </w:sectPr>
      </w:pPr>
      <w:bookmarkStart w:id="24" w:name="_Toc532800281"/>
      <w:bookmarkStart w:id="25" w:name="_Toc534028525"/>
      <w:bookmarkStart w:id="26" w:name="_Toc534028910"/>
    </w:p>
    <w:p w14:paraId="7D51651D" w14:textId="77777777" w:rsidR="00C8151F" w:rsidRPr="00790070" w:rsidRDefault="00445E76" w:rsidP="00790070">
      <w:pPr>
        <w:pStyle w:val="ChapterTitle"/>
      </w:pPr>
      <w:bookmarkStart w:id="27" w:name="_Toc24447757"/>
      <w:r w:rsidRPr="00174113">
        <w:rPr>
          <w:caps w:val="0"/>
        </w:rPr>
        <w:lastRenderedPageBreak/>
        <w:t xml:space="preserve">CHAPTER </w:t>
      </w:r>
      <w:r w:rsidR="00C8151F" w:rsidRPr="00174113">
        <w:t xml:space="preserve">1: </w:t>
      </w:r>
      <w:r w:rsidR="00C8151F" w:rsidRPr="00F066C7">
        <w:rPr>
          <w:color w:val="FF0000"/>
        </w:rPr>
        <w:t>Introduction</w:t>
      </w:r>
      <w:bookmarkEnd w:id="24"/>
      <w:bookmarkEnd w:id="25"/>
      <w:bookmarkEnd w:id="26"/>
      <w:bookmarkEnd w:id="27"/>
    </w:p>
    <w:p w14:paraId="7D51651E" w14:textId="77777777" w:rsidR="0089714B" w:rsidRPr="00790070" w:rsidRDefault="009326F2" w:rsidP="00790070">
      <w:pPr>
        <w:jc w:val="center"/>
        <w:rPr>
          <w:b/>
          <w:bCs/>
          <w:sz w:val="30"/>
          <w:szCs w:val="30"/>
        </w:rPr>
      </w:pPr>
      <w:r w:rsidRPr="00790070">
        <w:rPr>
          <w:b/>
          <w:bCs/>
          <w:sz w:val="30"/>
          <w:szCs w:val="30"/>
        </w:rPr>
        <w:t xml:space="preserve">Structure of </w:t>
      </w:r>
      <w:r w:rsidR="002858FB" w:rsidRPr="00790070">
        <w:rPr>
          <w:b/>
          <w:bCs/>
          <w:sz w:val="30"/>
          <w:szCs w:val="30"/>
        </w:rPr>
        <w:t>C</w:t>
      </w:r>
      <w:r w:rsidRPr="00790070">
        <w:rPr>
          <w:b/>
          <w:bCs/>
          <w:sz w:val="30"/>
          <w:szCs w:val="30"/>
        </w:rPr>
        <w:t xml:space="preserve">hapter </w:t>
      </w:r>
      <w:r w:rsidR="00C3038B" w:rsidRPr="00174113">
        <w:rPr>
          <w:b/>
          <w:bCs/>
          <w:sz w:val="30"/>
          <w:szCs w:val="30"/>
        </w:rPr>
        <w:t>One</w:t>
      </w:r>
    </w:p>
    <w:p w14:paraId="7D51651F" w14:textId="77777777" w:rsidR="0089714B" w:rsidRPr="00174113" w:rsidRDefault="0089714B" w:rsidP="0089714B"/>
    <w:p w14:paraId="7D516520" w14:textId="77777777" w:rsidR="0089714B" w:rsidRPr="00174113" w:rsidRDefault="0089714B" w:rsidP="0089714B">
      <w:r w:rsidRPr="00174113">
        <w:rPr>
          <w:noProof/>
        </w:rPr>
        <w:drawing>
          <wp:inline distT="0" distB="0" distL="0" distR="0" wp14:anchorId="7D516D9A" wp14:editId="7D516D9B">
            <wp:extent cx="5486400" cy="3124200"/>
            <wp:effectExtent l="0" t="0" r="19050" b="19050"/>
            <wp:docPr id="1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D516521" w14:textId="77777777" w:rsidR="0089714B" w:rsidRPr="00174113" w:rsidRDefault="0089714B" w:rsidP="0089714B"/>
    <w:p w14:paraId="7D516522" w14:textId="77777777" w:rsidR="009326F2" w:rsidRPr="00174113" w:rsidRDefault="009C3CC2" w:rsidP="00594428">
      <w:pPr>
        <w:spacing w:line="480" w:lineRule="auto"/>
        <w:jc w:val="both"/>
        <w:rPr>
          <w:rFonts w:asciiTheme="majorBidi" w:hAnsiTheme="majorBidi" w:cstheme="majorBidi"/>
        </w:rPr>
      </w:pPr>
      <w:r w:rsidRPr="00174113">
        <w:rPr>
          <w:rFonts w:asciiTheme="majorBidi" w:hAnsiTheme="majorBidi" w:cstheme="majorBidi"/>
        </w:rPr>
        <w:t xml:space="preserve">This chapter starts by highlighting the problems in </w:t>
      </w:r>
      <w:r w:rsidR="0057492A" w:rsidRPr="00174113">
        <w:rPr>
          <w:rFonts w:asciiTheme="majorBidi" w:hAnsiTheme="majorBidi" w:cstheme="majorBidi"/>
        </w:rPr>
        <w:t>healthcare information technology (</w:t>
      </w:r>
      <w:r w:rsidR="006B0C90" w:rsidRPr="00174113">
        <w:rPr>
          <w:rFonts w:asciiTheme="majorBidi" w:hAnsiTheme="majorBidi" w:cstheme="majorBidi"/>
        </w:rPr>
        <w:t>HIT</w:t>
      </w:r>
      <w:r w:rsidR="0057492A" w:rsidRPr="00174113">
        <w:rPr>
          <w:rFonts w:asciiTheme="majorBidi" w:hAnsiTheme="majorBidi" w:cstheme="majorBidi"/>
        </w:rPr>
        <w:t>)</w:t>
      </w:r>
      <w:r w:rsidR="001A3C3E" w:rsidRPr="00174113">
        <w:rPr>
          <w:rFonts w:asciiTheme="majorBidi" w:hAnsiTheme="majorBidi" w:cstheme="majorBidi"/>
        </w:rPr>
        <w:t xml:space="preserve"> adoption in the healthcare sector</w:t>
      </w:r>
      <w:r w:rsidRPr="00174113">
        <w:rPr>
          <w:rFonts w:asciiTheme="majorBidi" w:hAnsiTheme="majorBidi" w:cstheme="majorBidi"/>
        </w:rPr>
        <w:t xml:space="preserve">. Then, the context of the dissertation, the healthcare sector in the United Arab Emirates (UAE), is introduced. </w:t>
      </w:r>
      <w:r w:rsidR="006B0C90" w:rsidRPr="00174113">
        <w:rPr>
          <w:rFonts w:asciiTheme="majorBidi" w:hAnsiTheme="majorBidi" w:cstheme="majorBidi"/>
        </w:rPr>
        <w:t>T</w:t>
      </w:r>
      <w:r w:rsidRPr="00174113">
        <w:rPr>
          <w:rFonts w:asciiTheme="majorBidi" w:hAnsiTheme="majorBidi" w:cstheme="majorBidi"/>
        </w:rPr>
        <w:t xml:space="preserve">he chapter </w:t>
      </w:r>
      <w:r w:rsidR="006B0C90" w:rsidRPr="00174113">
        <w:rPr>
          <w:rFonts w:asciiTheme="majorBidi" w:hAnsiTheme="majorBidi" w:cstheme="majorBidi"/>
        </w:rPr>
        <w:t xml:space="preserve">then </w:t>
      </w:r>
      <w:r w:rsidRPr="00174113">
        <w:rPr>
          <w:rFonts w:asciiTheme="majorBidi" w:hAnsiTheme="majorBidi" w:cstheme="majorBidi"/>
        </w:rPr>
        <w:t xml:space="preserve">highlights the research gaps from both academic and industry perspectives and emphasizes the importance of this </w:t>
      </w:r>
      <w:r w:rsidR="00480D41" w:rsidRPr="00174113">
        <w:t>research</w:t>
      </w:r>
      <w:r w:rsidRPr="00174113">
        <w:rPr>
          <w:rFonts w:asciiTheme="majorBidi" w:hAnsiTheme="majorBidi" w:cstheme="majorBidi"/>
        </w:rPr>
        <w:t xml:space="preserve">. Research contributions are then discussed, and the chapter closes with the outline of this dissertation, which introduces the two phases. </w:t>
      </w:r>
    </w:p>
    <w:p w14:paraId="7D516523" w14:textId="77777777" w:rsidR="00FB7A51" w:rsidRPr="00174113" w:rsidRDefault="00FB7A51" w:rsidP="00594428">
      <w:pPr>
        <w:pStyle w:val="Heading1"/>
        <w:jc w:val="both"/>
      </w:pPr>
      <w:bookmarkStart w:id="28" w:name="_Toc24447758"/>
      <w:r w:rsidRPr="00174113">
        <w:lastRenderedPageBreak/>
        <w:t>1.1</w:t>
      </w:r>
      <w:r w:rsidR="00514F5B">
        <w:t>.</w:t>
      </w:r>
      <w:r w:rsidRPr="00174113">
        <w:t xml:space="preserve"> </w:t>
      </w:r>
      <w:r w:rsidRPr="00F066C7">
        <w:rPr>
          <w:color w:val="FF0000"/>
        </w:rPr>
        <w:t>Introduction</w:t>
      </w:r>
      <w:bookmarkEnd w:id="28"/>
    </w:p>
    <w:p w14:paraId="7D516524" w14:textId="64AD854C" w:rsidR="00C8151F" w:rsidRPr="00174113" w:rsidRDefault="00C8151F" w:rsidP="00594428">
      <w:pPr>
        <w:pStyle w:val="APAParagraph"/>
      </w:pPr>
      <w:r w:rsidRPr="00174113">
        <w:t>In today’s increasingly technological</w:t>
      </w:r>
      <w:r w:rsidR="00770892" w:rsidRPr="00174113">
        <w:t>ly inclined</w:t>
      </w:r>
      <w:r w:rsidRPr="00174113">
        <w:t xml:space="preserve"> societ</w:t>
      </w:r>
      <w:r w:rsidR="00170FC8" w:rsidRPr="00174113">
        <w:t>y</w:t>
      </w:r>
      <w:r w:rsidRPr="00174113">
        <w:t xml:space="preserve">, technology has taken on an important role in healthcare. </w:t>
      </w:r>
      <w:r w:rsidR="00170FC8" w:rsidRPr="00174113">
        <w:t xml:space="preserve">As a result, </w:t>
      </w:r>
      <w:r w:rsidR="00F56DB0" w:rsidRPr="00174113">
        <w:t xml:space="preserve">different types of </w:t>
      </w:r>
      <w:r w:rsidRPr="00174113">
        <w:t xml:space="preserve">HIT </w:t>
      </w:r>
      <w:r w:rsidR="00170FC8" w:rsidRPr="00174113">
        <w:t>have emerged</w:t>
      </w:r>
      <w:r w:rsidR="00F6375F" w:rsidRPr="00174113">
        <w:t xml:space="preserve"> that</w:t>
      </w:r>
      <w:r w:rsidR="00554A15" w:rsidRPr="00174113">
        <w:t xml:space="preserve"> </w:t>
      </w:r>
      <w:r w:rsidRPr="00174113">
        <w:t>can be used by all parties involved, from patients to doctors</w:t>
      </w:r>
      <w:r w:rsidR="00170FC8" w:rsidRPr="00174113">
        <w:t>,</w:t>
      </w:r>
      <w:r w:rsidRPr="00174113">
        <w:t xml:space="preserve"> nurses</w:t>
      </w:r>
      <w:r w:rsidR="00170FC8" w:rsidRPr="00174113">
        <w:t>,</w:t>
      </w:r>
      <w:r w:rsidRPr="00174113">
        <w:t xml:space="preserve"> administrators</w:t>
      </w:r>
      <w:r w:rsidR="00170FC8" w:rsidRPr="00174113">
        <w:t>, or</w:t>
      </w:r>
      <w:r w:rsidRPr="00174113">
        <w:t xml:space="preserve"> laboratories</w:t>
      </w:r>
      <w:r w:rsidR="00170FC8" w:rsidRPr="00174113">
        <w:t xml:space="preserve">. </w:t>
      </w:r>
      <w:r w:rsidR="00FB7A51" w:rsidRPr="00174113">
        <w:t xml:space="preserve">This </w:t>
      </w:r>
      <w:r w:rsidR="00480D41" w:rsidRPr="00174113">
        <w:t xml:space="preserve">research </w:t>
      </w:r>
      <w:r w:rsidR="00FB7A51" w:rsidRPr="00174113">
        <w:t xml:space="preserve">will use Ahlan and Ahmad’s (2014) definition of HIT (i.e. the use of computers for digital assistance by physicians, </w:t>
      </w:r>
      <w:r w:rsidR="00B250BA" w:rsidRPr="00174113">
        <w:t xml:space="preserve">e.g. </w:t>
      </w:r>
      <w:r w:rsidR="00F20A69" w:rsidRPr="00174113">
        <w:t xml:space="preserve">the </w:t>
      </w:r>
      <w:r w:rsidR="00FB7A51" w:rsidRPr="00174113">
        <w:t xml:space="preserve">electronic storage of health records and patient histories and </w:t>
      </w:r>
      <w:r w:rsidR="002E5511" w:rsidRPr="00174113">
        <w:t xml:space="preserve">the </w:t>
      </w:r>
      <w:r w:rsidR="00FB7A51" w:rsidRPr="00174113">
        <w:t>computeriz</w:t>
      </w:r>
      <w:r w:rsidR="002E5511" w:rsidRPr="00174113">
        <w:t>ing</w:t>
      </w:r>
      <w:r w:rsidR="00554A15" w:rsidRPr="00174113">
        <w:t xml:space="preserve"> </w:t>
      </w:r>
      <w:r w:rsidR="002E5511" w:rsidRPr="00174113">
        <w:t xml:space="preserve">of </w:t>
      </w:r>
      <w:r w:rsidR="00FB7A51" w:rsidRPr="00174113">
        <w:t>entries of physicians’ orders by healthcare professionals, such as other doctors, nurses, care-givers, hospitals, test centers and laboratories, and patients).</w:t>
      </w:r>
      <w:r w:rsidR="0022645B" w:rsidRPr="00174113">
        <w:t xml:space="preserve"> The various </w:t>
      </w:r>
      <w:r w:rsidR="002E5511" w:rsidRPr="00174113">
        <w:t xml:space="preserve">forms of </w:t>
      </w:r>
      <w:r w:rsidR="0022645B" w:rsidRPr="00174113">
        <w:t xml:space="preserve">HIT </w:t>
      </w:r>
      <w:r w:rsidR="00E34BEC" w:rsidRPr="00174113">
        <w:t xml:space="preserve">aim to facilitate </w:t>
      </w:r>
      <w:r w:rsidRPr="00174113">
        <w:t>the effective and time-efficient management, storage, processing, and transmission of healthcare data, such as patient records and physician orders (Ahlan</w:t>
      </w:r>
      <w:r w:rsidR="005E7A62">
        <w:t xml:space="preserve"> &amp; </w:t>
      </w:r>
      <w:r w:rsidRPr="00174113">
        <w:t>Ahmad, 2014; Liddell</w:t>
      </w:r>
      <w:r w:rsidR="00A6417A" w:rsidRPr="00174113">
        <w:t xml:space="preserve">, </w:t>
      </w:r>
      <w:r w:rsidR="00E270EC" w:rsidRPr="00174113">
        <w:t>Adshead,</w:t>
      </w:r>
      <w:r w:rsidR="005E7A62">
        <w:t xml:space="preserve"> &amp; </w:t>
      </w:r>
      <w:r w:rsidR="00E270EC" w:rsidRPr="00174113">
        <w:t>Burgess</w:t>
      </w:r>
      <w:r w:rsidRPr="00174113">
        <w:t>, 2008; Lucas, 2015; Stead</w:t>
      </w:r>
      <w:r w:rsidR="005E7A62">
        <w:t xml:space="preserve"> &amp; </w:t>
      </w:r>
      <w:r w:rsidRPr="00174113">
        <w:t xml:space="preserve">Lin, 2009). In addition to </w:t>
      </w:r>
      <w:r w:rsidR="00170FC8" w:rsidRPr="00174113">
        <w:t xml:space="preserve">the </w:t>
      </w:r>
      <w:r w:rsidRPr="00174113">
        <w:t xml:space="preserve">greater efficiency </w:t>
      </w:r>
      <w:r w:rsidR="00170FC8" w:rsidRPr="00174113">
        <w:t xml:space="preserve">in </w:t>
      </w:r>
      <w:r w:rsidRPr="00174113">
        <w:t xml:space="preserve">data storage and sharing, HIT </w:t>
      </w:r>
      <w:r w:rsidR="00170FC8" w:rsidRPr="00174113">
        <w:t>also</w:t>
      </w:r>
      <w:r w:rsidRPr="00174113">
        <w:t xml:space="preserve"> improve</w:t>
      </w:r>
      <w:r w:rsidR="009A6A9B" w:rsidRPr="00174113">
        <w:t>s</w:t>
      </w:r>
      <w:r w:rsidRPr="00174113">
        <w:t xml:space="preserve"> the quality of care, minimize</w:t>
      </w:r>
      <w:r w:rsidR="009A6A9B" w:rsidRPr="00174113">
        <w:t>s</w:t>
      </w:r>
      <w:r w:rsidRPr="00174113">
        <w:t xml:space="preserve"> errors, and reduce</w:t>
      </w:r>
      <w:r w:rsidR="009A6A9B" w:rsidRPr="00174113">
        <w:t>s</w:t>
      </w:r>
      <w:r w:rsidRPr="00174113">
        <w:t xml:space="preserve"> the cost of maintaining physical records (Alsadan</w:t>
      </w:r>
      <w:r w:rsidR="00E270EC" w:rsidRPr="00174113">
        <w:t xml:space="preserve">, Metwally, </w:t>
      </w:r>
      <w:r w:rsidR="00FF4E82" w:rsidRPr="00174113">
        <w:t>Ali</w:t>
      </w:r>
      <w:r w:rsidR="006B2970">
        <w:t>,</w:t>
      </w:r>
      <w:r w:rsidR="005E7A62">
        <w:t xml:space="preserve"> &amp; </w:t>
      </w:r>
      <w:r w:rsidR="00FF4E82" w:rsidRPr="00174113">
        <w:t>Jamal</w:t>
      </w:r>
      <w:r w:rsidRPr="00174113">
        <w:t>, 2015; Ehteshami</w:t>
      </w:r>
      <w:r w:rsidR="00FF4E82" w:rsidRPr="00174113">
        <w:t>, Peyman, Nahid,</w:t>
      </w:r>
      <w:r w:rsidR="005E7A62">
        <w:t xml:space="preserve"> &amp; </w:t>
      </w:r>
      <w:r w:rsidR="00675F8C" w:rsidRPr="00174113">
        <w:t>Mahtab</w:t>
      </w:r>
      <w:r w:rsidRPr="00174113">
        <w:t>, 2013; Shekelle</w:t>
      </w:r>
      <w:r w:rsidR="00675F8C" w:rsidRPr="00174113">
        <w:t>, Morton,</w:t>
      </w:r>
      <w:r w:rsidR="005E7A62">
        <w:t xml:space="preserve"> &amp; </w:t>
      </w:r>
      <w:r w:rsidR="00675F8C" w:rsidRPr="00174113">
        <w:t>Keeler</w:t>
      </w:r>
      <w:r w:rsidRPr="00174113">
        <w:t>, 2006; Wang</w:t>
      </w:r>
      <w:r w:rsidR="007E5804" w:rsidRPr="00174113">
        <w:t>, Kung,</w:t>
      </w:r>
      <w:r w:rsidR="005E7A62">
        <w:t xml:space="preserve"> &amp; </w:t>
      </w:r>
      <w:r w:rsidR="007E5804" w:rsidRPr="00174113">
        <w:t>Byrd</w:t>
      </w:r>
      <w:r w:rsidRPr="00174113">
        <w:t>, 2018).</w:t>
      </w:r>
    </w:p>
    <w:p w14:paraId="7D516525" w14:textId="6FDFA54D" w:rsidR="00A3141F" w:rsidRPr="00174113" w:rsidRDefault="00DE7F13" w:rsidP="00594428">
      <w:pPr>
        <w:pStyle w:val="APAParagraph"/>
      </w:pPr>
      <w:r w:rsidRPr="00174113">
        <w:t>The literature indicates numerous HIT motivators,</w:t>
      </w:r>
      <w:r w:rsidR="00A3141F" w:rsidRPr="00174113">
        <w:t xml:space="preserve"> including the desire for integration, access to real</w:t>
      </w:r>
      <w:r w:rsidR="009A6A9B" w:rsidRPr="00174113">
        <w:t>-</w:t>
      </w:r>
      <w:r w:rsidR="00A3141F" w:rsidRPr="00174113">
        <w:t>time information, modernization and dissatisfaction with older systems, image considerations, decision</w:t>
      </w:r>
      <w:r w:rsidR="009A6A9B" w:rsidRPr="00174113">
        <w:t>-</w:t>
      </w:r>
      <w:r w:rsidR="00A3141F" w:rsidRPr="00174113">
        <w:t xml:space="preserve">making and complexity, process performance and productivity, response time, reduced operating costs, </w:t>
      </w:r>
      <w:r w:rsidR="00A3141F" w:rsidRPr="00174113">
        <w:lastRenderedPageBreak/>
        <w:t>strategic decision-making, management reporting, business flexibility, transactional efficiency, performance expectancy, effort expectan</w:t>
      </w:r>
      <w:r w:rsidR="00EE7B14" w:rsidRPr="00174113">
        <w:t xml:space="preserve">cy, and facilitating conditions </w:t>
      </w:r>
      <w:r w:rsidR="00A3141F" w:rsidRPr="00174113">
        <w:t>(Gattiker</w:t>
      </w:r>
      <w:r w:rsidR="005E7A62">
        <w:t xml:space="preserve"> &amp; </w:t>
      </w:r>
      <w:r w:rsidR="00A3141F" w:rsidRPr="00174113">
        <w:t xml:space="preserve">Goodhue, </w:t>
      </w:r>
      <w:r w:rsidR="00A3141F" w:rsidRPr="00CC3B7B">
        <w:t>2005;</w:t>
      </w:r>
      <w:r w:rsidR="00A3141F" w:rsidRPr="00174113">
        <w:t xml:space="preserve"> Kamhawi, </w:t>
      </w:r>
      <w:r w:rsidR="00A3141F" w:rsidRPr="00CC3B7B">
        <w:t>2008;</w:t>
      </w:r>
      <w:r w:rsidR="00A3141F" w:rsidRPr="00174113">
        <w:t xml:space="preserve"> Oliver</w:t>
      </w:r>
      <w:r w:rsidR="005E7A62">
        <w:t xml:space="preserve"> &amp; </w:t>
      </w:r>
      <w:r w:rsidR="00A3141F" w:rsidRPr="00174113">
        <w:t>Romm, 2002; Phichitchaisopa</w:t>
      </w:r>
      <w:r w:rsidR="005E7A62">
        <w:t xml:space="preserve"> &amp; </w:t>
      </w:r>
      <w:r w:rsidR="00A3141F" w:rsidRPr="00174113">
        <w:t>Naenna, 2013; Ruivo</w:t>
      </w:r>
      <w:r w:rsidR="002D2D40">
        <w:t>, Johanssonb, Oliveira</w:t>
      </w:r>
      <w:r w:rsidR="006B2970">
        <w:t>,</w:t>
      </w:r>
      <w:r w:rsidR="005E7A62">
        <w:t xml:space="preserve"> &amp; </w:t>
      </w:r>
      <w:r w:rsidR="002D2D40">
        <w:t>Neto,</w:t>
      </w:r>
      <w:r w:rsidR="00A3141F" w:rsidRPr="00174113">
        <w:t xml:space="preserve"> 2012; Tortorella</w:t>
      </w:r>
      <w:r w:rsidR="005E7A62">
        <w:t xml:space="preserve"> &amp; </w:t>
      </w:r>
      <w:r w:rsidR="00A3141F" w:rsidRPr="00174113">
        <w:t xml:space="preserve">Fries, 2015). Despite the multitude of analyses that have documented various determinants of HIT adoption, </w:t>
      </w:r>
      <w:r w:rsidR="00C865E6" w:rsidRPr="00174113">
        <w:t>there are no comprehensive quantitative studies in the UAE context</w:t>
      </w:r>
      <w:r w:rsidR="00A3141F" w:rsidRPr="00174113">
        <w:t>.</w:t>
      </w:r>
    </w:p>
    <w:p w14:paraId="7D516526" w14:textId="5CC7C3C5" w:rsidR="00282533" w:rsidRPr="00053918" w:rsidRDefault="00C8151F" w:rsidP="00594428">
      <w:pPr>
        <w:pStyle w:val="APAParagraph"/>
      </w:pPr>
      <w:r w:rsidRPr="00174113">
        <w:t xml:space="preserve">However, despite </w:t>
      </w:r>
      <w:r w:rsidR="00DE7F13" w:rsidRPr="00174113">
        <w:t>its</w:t>
      </w:r>
      <w:r w:rsidRPr="00174113">
        <w:t xml:space="preserve"> benefits, </w:t>
      </w:r>
      <w:r w:rsidR="00170FC8" w:rsidRPr="00174113">
        <w:t xml:space="preserve">HIT </w:t>
      </w:r>
      <w:r w:rsidRPr="00174113">
        <w:t>adoption is slower than desired, particularly in</w:t>
      </w:r>
      <w:r w:rsidR="00170FC8" w:rsidRPr="00174113">
        <w:t xml:space="preserve"> developing and</w:t>
      </w:r>
      <w:r w:rsidRPr="00174113">
        <w:t xml:space="preserve"> less developed countries (Boonstra</w:t>
      </w:r>
      <w:r w:rsidR="005E7A62">
        <w:t xml:space="preserve"> &amp; </w:t>
      </w:r>
      <w:r w:rsidRPr="00053918">
        <w:t>Broekhuis, 2010; Ebrahim</w:t>
      </w:r>
      <w:r w:rsidR="005E7A62">
        <w:t xml:space="preserve"> &amp; </w:t>
      </w:r>
      <w:r w:rsidRPr="00053918">
        <w:t>Irani, 2005; Laerum</w:t>
      </w:r>
      <w:r w:rsidR="00C8538F" w:rsidRPr="00053918">
        <w:t>, Ellingesen,</w:t>
      </w:r>
      <w:r w:rsidR="005E7A62">
        <w:t xml:space="preserve"> &amp; </w:t>
      </w:r>
      <w:r w:rsidR="000650DB" w:rsidRPr="00053918">
        <w:t>Faxvaag</w:t>
      </w:r>
      <w:r w:rsidRPr="00053918">
        <w:t>, 2001; Simon et al., 2007; Stewart</w:t>
      </w:r>
      <w:r w:rsidR="000650DB" w:rsidRPr="00053918">
        <w:t>, Mohamed,</w:t>
      </w:r>
      <w:r w:rsidR="005E7A62">
        <w:t xml:space="preserve"> &amp; </w:t>
      </w:r>
      <w:r w:rsidR="00323376" w:rsidRPr="00053918">
        <w:t>Marosszeky</w:t>
      </w:r>
      <w:r w:rsidRPr="00053918">
        <w:t xml:space="preserve">, 2004). </w:t>
      </w:r>
      <w:r w:rsidR="003A6017" w:rsidRPr="00053918">
        <w:t>Nevertheless,</w:t>
      </w:r>
      <w:r w:rsidRPr="00053918">
        <w:t xml:space="preserve"> some countries—especially those with the financial resources and governmental support to implement</w:t>
      </w:r>
      <w:r w:rsidR="00170FC8" w:rsidRPr="00053918">
        <w:t xml:space="preserve"> such</w:t>
      </w:r>
      <w:r w:rsidRPr="00053918">
        <w:t xml:space="preserve"> innovative technological initiatives—have </w:t>
      </w:r>
      <w:r w:rsidR="00170FC8" w:rsidRPr="00053918">
        <w:t xml:space="preserve">witnessed </w:t>
      </w:r>
      <w:r w:rsidRPr="00053918">
        <w:t xml:space="preserve">more progress. </w:t>
      </w:r>
      <w:r w:rsidR="00282533" w:rsidRPr="00053918">
        <w:t>A particularly noteworthy example is</w:t>
      </w:r>
      <w:r w:rsidR="00CC3B7B" w:rsidRPr="00053918">
        <w:t xml:space="preserve"> </w:t>
      </w:r>
      <w:r w:rsidRPr="00053918">
        <w:t xml:space="preserve">the United Arab Emirates (UAE). This small nation has been investing significant sums of money towards becoming </w:t>
      </w:r>
      <w:r w:rsidR="00256AC0" w:rsidRPr="00053918">
        <w:t xml:space="preserve">a </w:t>
      </w:r>
      <w:r w:rsidRPr="00053918">
        <w:t>top healthcare destination world</w:t>
      </w:r>
      <w:r w:rsidR="00256AC0" w:rsidRPr="00053918">
        <w:t>wide</w:t>
      </w:r>
      <w:r w:rsidRPr="00053918">
        <w:t xml:space="preserve">, </w:t>
      </w:r>
      <w:r w:rsidR="00770892" w:rsidRPr="00053918">
        <w:t>a</w:t>
      </w:r>
      <w:r w:rsidRPr="00053918">
        <w:t xml:space="preserve"> goal it hopes to achieve </w:t>
      </w:r>
      <w:r w:rsidR="00770892" w:rsidRPr="00053918">
        <w:t>in</w:t>
      </w:r>
      <w:r w:rsidR="00CC3B7B">
        <w:t xml:space="preserve"> </w:t>
      </w:r>
      <w:r w:rsidRPr="00053918">
        <w:t>a few years’ time (The United Arab Emirates Government, 2016)</w:t>
      </w:r>
      <w:r w:rsidR="00B14FEF" w:rsidRPr="00053918">
        <w:t>,</w:t>
      </w:r>
      <w:r w:rsidRPr="00053918">
        <w:t xml:space="preserve"> largely</w:t>
      </w:r>
      <w:r w:rsidR="00376960" w:rsidRPr="00053918">
        <w:t xml:space="preserve"> due</w:t>
      </w:r>
      <w:r w:rsidRPr="00053918">
        <w:t xml:space="preserve"> to </w:t>
      </w:r>
      <w:r w:rsidR="00376960" w:rsidRPr="00053918">
        <w:t xml:space="preserve">HIT </w:t>
      </w:r>
      <w:r w:rsidRPr="00053918">
        <w:t xml:space="preserve">implementation. </w:t>
      </w:r>
      <w:r w:rsidR="00CA2818" w:rsidRPr="00053918">
        <w:t>It is</w:t>
      </w:r>
      <w:r w:rsidR="00FB249C" w:rsidRPr="00053918">
        <w:t>, therefore, important to understand</w:t>
      </w:r>
      <w:r w:rsidR="00282533" w:rsidRPr="00053918">
        <w:t xml:space="preserve"> what the motivators </w:t>
      </w:r>
      <w:r w:rsidR="00C41388" w:rsidRPr="00053918">
        <w:t>for</w:t>
      </w:r>
      <w:r w:rsidR="00282533" w:rsidRPr="00053918">
        <w:t xml:space="preserve"> HIT </w:t>
      </w:r>
      <w:r w:rsidR="00FB249C" w:rsidRPr="00053918">
        <w:t xml:space="preserve">adoption are </w:t>
      </w:r>
      <w:r w:rsidRPr="00053918">
        <w:t>in the UAE</w:t>
      </w:r>
      <w:r w:rsidR="00376960" w:rsidRPr="00053918">
        <w:t xml:space="preserve"> and </w:t>
      </w:r>
      <w:r w:rsidRPr="00053918">
        <w:t xml:space="preserve">how </w:t>
      </w:r>
      <w:r w:rsidR="00FB249C" w:rsidRPr="00053918">
        <w:t>this</w:t>
      </w:r>
      <w:r w:rsidRPr="00053918">
        <w:t xml:space="preserve"> knowledge </w:t>
      </w:r>
      <w:r w:rsidR="00FB249C" w:rsidRPr="00053918">
        <w:t xml:space="preserve">can </w:t>
      </w:r>
      <w:r w:rsidRPr="00053918">
        <w:t xml:space="preserve">be transferred to other nations, helping them to </w:t>
      </w:r>
      <w:r w:rsidR="00FB249C" w:rsidRPr="00053918">
        <w:t>achieve</w:t>
      </w:r>
      <w:r w:rsidRPr="00053918">
        <w:t xml:space="preserve"> similar progress. </w:t>
      </w:r>
    </w:p>
    <w:p w14:paraId="7D516527" w14:textId="493CBD67" w:rsidR="00C8151F" w:rsidRPr="00053918" w:rsidRDefault="00C8151F" w:rsidP="00594428">
      <w:pPr>
        <w:pStyle w:val="APAParagraph"/>
      </w:pPr>
      <w:r w:rsidRPr="00053918">
        <w:t xml:space="preserve">While there are numerous studies examining </w:t>
      </w:r>
      <w:r w:rsidR="0005677F" w:rsidRPr="00053918">
        <w:t xml:space="preserve">the </w:t>
      </w:r>
      <w:r w:rsidRPr="00053918">
        <w:t>motivators for HIT adoption</w:t>
      </w:r>
      <w:r w:rsidR="0005677F" w:rsidRPr="00053918">
        <w:t xml:space="preserve"> worl</w:t>
      </w:r>
      <w:r w:rsidR="00770892" w:rsidRPr="00053918">
        <w:t>d</w:t>
      </w:r>
      <w:r w:rsidR="0005677F" w:rsidRPr="00053918">
        <w:t>wide</w:t>
      </w:r>
      <w:r w:rsidRPr="00053918">
        <w:t xml:space="preserve"> (e.g. Buntin</w:t>
      </w:r>
      <w:r w:rsidR="00323376" w:rsidRPr="00053918">
        <w:t>, Jain,</w:t>
      </w:r>
      <w:r w:rsidR="005E7A62">
        <w:t xml:space="preserve"> &amp; </w:t>
      </w:r>
      <w:r w:rsidR="00B56B9B" w:rsidRPr="00053918">
        <w:t>Blumenthal</w:t>
      </w:r>
      <w:r w:rsidRPr="00053918">
        <w:t>, 2010; Heisey-Grove</w:t>
      </w:r>
      <w:r w:rsidR="005E7A62">
        <w:t xml:space="preserve"> &amp; </w:t>
      </w:r>
      <w:r w:rsidRPr="00053918">
        <w:lastRenderedPageBreak/>
        <w:t>Patel, 2014; McLeod</w:t>
      </w:r>
      <w:r w:rsidR="00B56B9B" w:rsidRPr="00053918">
        <w:t>, Carpenter,</w:t>
      </w:r>
      <w:r w:rsidR="005E7A62">
        <w:t xml:space="preserve"> &amp; </w:t>
      </w:r>
      <w:r w:rsidR="00B56B9B" w:rsidRPr="00053918">
        <w:t>Clark</w:t>
      </w:r>
      <w:r w:rsidRPr="00053918">
        <w:t>, 2008; Melville</w:t>
      </w:r>
      <w:r w:rsidR="00533369" w:rsidRPr="00053918">
        <w:t>, Kraemer,</w:t>
      </w:r>
      <w:r w:rsidR="005E7A62">
        <w:t xml:space="preserve"> &amp; </w:t>
      </w:r>
      <w:r w:rsidR="00533369" w:rsidRPr="00053918">
        <w:t>Gurbaxani</w:t>
      </w:r>
      <w:r w:rsidRPr="00053918">
        <w:t xml:space="preserve">, 2004; Wolper, 2013; for more, see Chapter </w:t>
      </w:r>
      <w:r w:rsidR="00823E9D" w:rsidRPr="00053918">
        <w:t>two</w:t>
      </w:r>
      <w:r w:rsidRPr="00053918">
        <w:t>)</w:t>
      </w:r>
      <w:r w:rsidR="0005677F" w:rsidRPr="00053918">
        <w:t>, as well as</w:t>
      </w:r>
      <w:r w:rsidRPr="00053918">
        <w:t xml:space="preserve"> in the UAE</w:t>
      </w:r>
      <w:r w:rsidR="0005677F" w:rsidRPr="00053918">
        <w:t xml:space="preserve"> context</w:t>
      </w:r>
      <w:r w:rsidRPr="00053918">
        <w:t xml:space="preserve"> (Al Alawi</w:t>
      </w:r>
      <w:r w:rsidR="00533369" w:rsidRPr="00053918">
        <w:t>, Al Dhaherir, Al Baloushi,</w:t>
      </w:r>
      <w:r w:rsidR="005E7A62">
        <w:t xml:space="preserve"> &amp; </w:t>
      </w:r>
      <w:r w:rsidR="00533369" w:rsidRPr="00053918">
        <w:t>Prinsloo</w:t>
      </w:r>
      <w:r w:rsidRPr="00053918">
        <w:t>, 2015; Alsadan et al., 2015; Rae</w:t>
      </w:r>
      <w:r w:rsidR="005E7A62">
        <w:t xml:space="preserve"> &amp; </w:t>
      </w:r>
      <w:r w:rsidRPr="00053918">
        <w:t>Nasser, 2011; Uluc</w:t>
      </w:r>
      <w:r w:rsidR="005E7A62">
        <w:t xml:space="preserve"> &amp; </w:t>
      </w:r>
      <w:r w:rsidRPr="00053918">
        <w:t xml:space="preserve">Ferman, 2016), no comprehensive quantitative studies </w:t>
      </w:r>
      <w:r w:rsidR="0005677F" w:rsidRPr="00053918">
        <w:t>on</w:t>
      </w:r>
      <w:r w:rsidRPr="00053918">
        <w:t xml:space="preserve"> the UAE</w:t>
      </w:r>
      <w:r w:rsidR="0005677F" w:rsidRPr="00053918">
        <w:t xml:space="preserve"> exist</w:t>
      </w:r>
      <w:r w:rsidRPr="00053918">
        <w:t xml:space="preserve">. </w:t>
      </w:r>
      <w:r w:rsidR="0005677F" w:rsidRPr="00053918">
        <w:t>As such, b</w:t>
      </w:r>
      <w:r w:rsidRPr="00053918">
        <w:t xml:space="preserve">y understanding HIT adoption </w:t>
      </w:r>
      <w:r w:rsidR="000149AB" w:rsidRPr="00053918">
        <w:t>drivers</w:t>
      </w:r>
      <w:r w:rsidR="0005677F" w:rsidRPr="00053918">
        <w:t xml:space="preserve"> and barriers</w:t>
      </w:r>
      <w:r w:rsidRPr="00053918">
        <w:t xml:space="preserve"> in the UAE, we can </w:t>
      </w:r>
      <w:r w:rsidR="0005677F" w:rsidRPr="00053918">
        <w:t xml:space="preserve">perhaps </w:t>
      </w:r>
      <w:r w:rsidR="003A6017" w:rsidRPr="00053918">
        <w:t>shed light on</w:t>
      </w:r>
      <w:r w:rsidRPr="00053918">
        <w:t xml:space="preserve"> how to motivate other nations to utilize these important technologies.</w:t>
      </w:r>
    </w:p>
    <w:p w14:paraId="7D516528" w14:textId="77777777" w:rsidR="00765B4B" w:rsidRPr="00053918" w:rsidRDefault="00765B4B" w:rsidP="00594428">
      <w:pPr>
        <w:pStyle w:val="APAParagraph"/>
      </w:pPr>
      <w:r w:rsidRPr="00053918">
        <w:t xml:space="preserve">Given the significant financial resources of the UAE, cost might not be as strong of a deterrent, meaning the other </w:t>
      </w:r>
      <w:r w:rsidR="000149AB" w:rsidRPr="00053918">
        <w:t>factors</w:t>
      </w:r>
      <w:r w:rsidRPr="00053918">
        <w:t xml:space="preserve"> may come to the forefront instead. Overall, there is a significant lack of research on what hinder</w:t>
      </w:r>
      <w:r w:rsidR="000149AB" w:rsidRPr="00053918">
        <w:t>s</w:t>
      </w:r>
      <w:r w:rsidRPr="00053918">
        <w:t xml:space="preserve"> HIT adoption in the UAE. By examining these barriers, we can better understand </w:t>
      </w:r>
      <w:r w:rsidR="000149AB" w:rsidRPr="00053918">
        <w:t>which ones</w:t>
      </w:r>
      <w:r w:rsidR="00CC3B7B" w:rsidRPr="00053918">
        <w:t xml:space="preserve"> </w:t>
      </w:r>
      <w:r w:rsidR="005F52DB" w:rsidRPr="00053918">
        <w:t>persist even in settings of stro</w:t>
      </w:r>
      <w:r w:rsidRPr="00053918">
        <w:t xml:space="preserve">ng HIT use. </w:t>
      </w:r>
    </w:p>
    <w:p w14:paraId="7D516529" w14:textId="5043A661" w:rsidR="00765B4B" w:rsidRPr="00053918" w:rsidRDefault="00765B4B" w:rsidP="00594428">
      <w:pPr>
        <w:pStyle w:val="APAParagraph"/>
      </w:pPr>
      <w:r w:rsidRPr="00053918">
        <w:t xml:space="preserve">Practical evidence and scholarly debate show that </w:t>
      </w:r>
      <w:r w:rsidR="002D7916" w:rsidRPr="00053918">
        <w:t xml:space="preserve">the </w:t>
      </w:r>
      <w:r w:rsidRPr="00053918">
        <w:t>accept</w:t>
      </w:r>
      <w:r w:rsidR="002D7916" w:rsidRPr="00053918">
        <w:t>ance of</w:t>
      </w:r>
      <w:r w:rsidRPr="00053918">
        <w:t xml:space="preserve"> innovative technologies by healthcare stakeholders is challenging due to various barriers. </w:t>
      </w:r>
      <w:r w:rsidR="005F52DB" w:rsidRPr="00053918">
        <w:t xml:space="preserve">For example, barriers for </w:t>
      </w:r>
      <w:r w:rsidRPr="00053918">
        <w:t xml:space="preserve">rapid or larger scale </w:t>
      </w:r>
      <w:r w:rsidR="005F52DB" w:rsidRPr="00053918">
        <w:t xml:space="preserve">HIT </w:t>
      </w:r>
      <w:r w:rsidRPr="00053918">
        <w:t xml:space="preserve">adoption </w:t>
      </w:r>
      <w:r w:rsidR="005F52DB" w:rsidRPr="00053918">
        <w:t xml:space="preserve">may </w:t>
      </w:r>
      <w:r w:rsidR="003A54B2" w:rsidRPr="00053918">
        <w:t>include</w:t>
      </w:r>
      <w:r w:rsidRPr="00053918">
        <w:t xml:space="preserve"> finance</w:t>
      </w:r>
      <w:r w:rsidR="005F52DB" w:rsidRPr="00053918">
        <w:t>s, functionalities</w:t>
      </w:r>
      <w:r w:rsidRPr="00053918">
        <w:t>, user</w:t>
      </w:r>
      <w:r w:rsidR="005F52DB" w:rsidRPr="00053918">
        <w:t>s</w:t>
      </w:r>
      <w:r w:rsidR="003A54B2" w:rsidRPr="00053918">
        <w:t>,</w:t>
      </w:r>
      <w:r w:rsidRPr="00053918">
        <w:t xml:space="preserve"> and</w:t>
      </w:r>
      <w:r w:rsidR="005F52DB" w:rsidRPr="00053918">
        <w:t xml:space="preserve">/or </w:t>
      </w:r>
      <w:r w:rsidRPr="00053918">
        <w:t>environment. Further, aside from government regulations, the adoption of HIT is likened to social contagion, since users’ decisions may be influenced by the actions of peer institutions (Angst</w:t>
      </w:r>
      <w:r w:rsidR="00074643">
        <w:t>,</w:t>
      </w:r>
      <w:r w:rsidRPr="00053918">
        <w:t xml:space="preserve"> </w:t>
      </w:r>
      <w:r w:rsidR="00074643">
        <w:t>Agarwal, Sambamurthy</w:t>
      </w:r>
      <w:r w:rsidR="009F2FA4">
        <w:t>,</w:t>
      </w:r>
      <w:r w:rsidR="005E7A62">
        <w:t xml:space="preserve"> &amp; </w:t>
      </w:r>
      <w:r w:rsidR="00074643">
        <w:t>Kelley,</w:t>
      </w:r>
      <w:r w:rsidR="00074643" w:rsidRPr="00053918">
        <w:t xml:space="preserve"> </w:t>
      </w:r>
      <w:r w:rsidRPr="00053918">
        <w:t>2010). Hence, the decision to adopt new technologies is influenced by peer feedback or recommendations.</w:t>
      </w:r>
    </w:p>
    <w:p w14:paraId="7D51652A" w14:textId="4E38E6A9" w:rsidR="00765B4B" w:rsidRPr="00053918" w:rsidRDefault="00765B4B" w:rsidP="00594428">
      <w:pPr>
        <w:pStyle w:val="APAParagraph"/>
      </w:pPr>
      <w:r w:rsidRPr="00053918">
        <w:t xml:space="preserve">The most severe barriers to HIT adoption emphasized in the literature include initial high costs, acceptance, disruption of workflow, privacy and </w:t>
      </w:r>
      <w:r w:rsidRPr="00053918">
        <w:lastRenderedPageBreak/>
        <w:t xml:space="preserve">confidentiality risks, and </w:t>
      </w:r>
      <w:r w:rsidR="00DF1C8C" w:rsidRPr="00053918">
        <w:t xml:space="preserve">the </w:t>
      </w:r>
      <w:r w:rsidRPr="00053918">
        <w:t>absence of documentation procedures (</w:t>
      </w:r>
      <w:r w:rsidR="00DF1C8C" w:rsidRPr="00053918">
        <w:t>Ajami</w:t>
      </w:r>
      <w:r w:rsidR="005E7A62">
        <w:t xml:space="preserve"> &amp; </w:t>
      </w:r>
      <w:r w:rsidR="00DF1C8C" w:rsidRPr="00053918">
        <w:t xml:space="preserve">Baheri-Tadi, 2013; </w:t>
      </w:r>
      <w:r w:rsidRPr="00053918">
        <w:t>Farsi</w:t>
      </w:r>
      <w:r w:rsidR="005E7A62">
        <w:t xml:space="preserve"> &amp; </w:t>
      </w:r>
      <w:r w:rsidRPr="00053918">
        <w:t>West, 2006; Ludwick</w:t>
      </w:r>
      <w:r w:rsidR="005E7A62">
        <w:t xml:space="preserve"> &amp; </w:t>
      </w:r>
      <w:r w:rsidRPr="00053918">
        <w:t xml:space="preserve">Doucette, 2009). </w:t>
      </w:r>
      <w:r w:rsidR="00761BC5" w:rsidRPr="00053918">
        <w:t>One</w:t>
      </w:r>
      <w:r w:rsidRPr="00053918">
        <w:t xml:space="preserve"> research stream </w:t>
      </w:r>
      <w:r w:rsidR="00761BC5" w:rsidRPr="00053918">
        <w:t xml:space="preserve">has </w:t>
      </w:r>
      <w:r w:rsidRPr="00053918">
        <w:t>identifie</w:t>
      </w:r>
      <w:r w:rsidR="00761BC5" w:rsidRPr="00053918">
        <w:t>d</w:t>
      </w:r>
      <w:r w:rsidRPr="00053918">
        <w:t xml:space="preserve"> the main deterrent of technology adoption as the substantial implementation cost (</w:t>
      </w:r>
      <w:r w:rsidR="00041AFF" w:rsidRPr="00053918">
        <w:t>Christodoulakis</w:t>
      </w:r>
      <w:r w:rsidR="008E50AB" w:rsidRPr="00053918">
        <w:t>, Asgarian,</w:t>
      </w:r>
      <w:r w:rsidR="005E7A62">
        <w:t xml:space="preserve"> &amp; </w:t>
      </w:r>
      <w:r w:rsidR="008E50AB" w:rsidRPr="00053918">
        <w:t>Easterbrook</w:t>
      </w:r>
      <w:r w:rsidR="00041AFF" w:rsidRPr="00053918">
        <w:t xml:space="preserve">, 2017; </w:t>
      </w:r>
      <w:r w:rsidRPr="00053918">
        <w:t>Ford</w:t>
      </w:r>
      <w:r w:rsidR="00FA04EE" w:rsidRPr="00053918">
        <w:t>, Menachemi,</w:t>
      </w:r>
      <w:r w:rsidR="005E7A62">
        <w:t xml:space="preserve"> &amp; </w:t>
      </w:r>
      <w:r w:rsidR="00FA04EE" w:rsidRPr="00053918">
        <w:t>Phillips</w:t>
      </w:r>
      <w:r w:rsidRPr="00053918">
        <w:t>, 2006; Rao</w:t>
      </w:r>
      <w:r w:rsidR="006203F7" w:rsidRPr="00053918">
        <w:t>, DesRoches, Donelan, Campbell,</w:t>
      </w:r>
      <w:r w:rsidR="005E7A62">
        <w:t xml:space="preserve"> &amp; </w:t>
      </w:r>
      <w:r w:rsidR="006203F7" w:rsidRPr="00053918">
        <w:t>Miralles</w:t>
      </w:r>
      <w:r w:rsidRPr="00053918">
        <w:t>, 2011</w:t>
      </w:r>
      <w:r w:rsidR="00041AFF" w:rsidRPr="00053918">
        <w:t>; Ross, 2009</w:t>
      </w:r>
      <w:r w:rsidRPr="00053918">
        <w:t xml:space="preserve">). However, another </w:t>
      </w:r>
      <w:r w:rsidR="00041AFF" w:rsidRPr="00053918">
        <w:t xml:space="preserve">body of </w:t>
      </w:r>
      <w:r w:rsidRPr="00053918">
        <w:t xml:space="preserve">research </w:t>
      </w:r>
      <w:r w:rsidR="008B3A8E" w:rsidRPr="00053918">
        <w:t xml:space="preserve">has </w:t>
      </w:r>
      <w:r w:rsidRPr="00053918">
        <w:t>argue</w:t>
      </w:r>
      <w:r w:rsidR="008B3A8E" w:rsidRPr="00053918">
        <w:t>d</w:t>
      </w:r>
      <w:r w:rsidRPr="00053918">
        <w:t xml:space="preserve"> that design and technical concerns are the most important barriers to technology adoption (e.g. Ajami</w:t>
      </w:r>
      <w:r w:rsidR="005E7A62">
        <w:t xml:space="preserve"> &amp; </w:t>
      </w:r>
      <w:r w:rsidRPr="00053918">
        <w:t>Baheri-Tadi, 2013; Thorn</w:t>
      </w:r>
      <w:r w:rsidR="00190E04" w:rsidRPr="00053918">
        <w:t>, Carter,</w:t>
      </w:r>
      <w:r w:rsidR="005E7A62">
        <w:t xml:space="preserve"> &amp; </w:t>
      </w:r>
      <w:r w:rsidR="00190E04" w:rsidRPr="00053918">
        <w:t>Bailey</w:t>
      </w:r>
      <w:r w:rsidRPr="00053918">
        <w:t>, 2014; Yau</w:t>
      </w:r>
      <w:r w:rsidR="00190E04" w:rsidRPr="00053918">
        <w:t>, Williams,</w:t>
      </w:r>
      <w:r w:rsidR="005E7A62">
        <w:t xml:space="preserve"> &amp; </w:t>
      </w:r>
      <w:r w:rsidR="00190E04" w:rsidRPr="00053918">
        <w:t>Brown</w:t>
      </w:r>
      <w:r w:rsidRPr="00053918">
        <w:t xml:space="preserve">, 2011). Despite the differences in the results of the above cited studies, the identified barriers to HIT implementation are connected. For example, HIT implementation leads to redesigning information and decision activities. </w:t>
      </w:r>
    </w:p>
    <w:p w14:paraId="7D51652B" w14:textId="77777777" w:rsidR="00765B4B" w:rsidRPr="00053918" w:rsidRDefault="0076065B" w:rsidP="00594428">
      <w:pPr>
        <w:pStyle w:val="APAParagraph"/>
      </w:pPr>
      <w:r w:rsidRPr="00053918">
        <w:t>There are many different categories of individuals using HIT, and each category</w:t>
      </w:r>
      <w:r w:rsidR="00146551" w:rsidRPr="00053918">
        <w:t xml:space="preserve"> </w:t>
      </w:r>
      <w:r w:rsidRPr="00053918">
        <w:t xml:space="preserve">can have different perspectives on what motivates </w:t>
      </w:r>
      <w:r w:rsidR="00021588" w:rsidRPr="00053918">
        <w:t xml:space="preserve">or deters </w:t>
      </w:r>
      <w:r w:rsidRPr="00053918">
        <w:t xml:space="preserve">HIT use—that is, they each have different stakes in HIT adoption. Administrators might be concerned most with how costly such technologies will be to implement in their hospitals, whereas doctors and nurses might be concerned most with how quickly and easily they can learn to use such technologies, </w:t>
      </w:r>
      <w:r w:rsidR="00141197" w:rsidRPr="00053918">
        <w:t>while</w:t>
      </w:r>
      <w:r w:rsidRPr="00053918">
        <w:t xml:space="preserve"> patients might be most concerned with the security of their health records. With so many potentially competing positions, </w:t>
      </w:r>
      <w:r w:rsidR="00141197" w:rsidRPr="00053918">
        <w:t>to</w:t>
      </w:r>
      <w:r w:rsidRPr="00053918">
        <w:t xml:space="preserve"> obtain a full picture of the most common and, arguably, the most important motivators and barriers, the viewpoints of all relevant stakeholders need to be considered. This is a viewpoint that has not yet been </w:t>
      </w:r>
      <w:r w:rsidRPr="00053918">
        <w:lastRenderedPageBreak/>
        <w:t xml:space="preserve">addressed in the academic study of HIT motivators and barriers. </w:t>
      </w:r>
      <w:r w:rsidR="002C75F3" w:rsidRPr="00053918">
        <w:t>Comprehensive, integrated papers on</w:t>
      </w:r>
      <w:r w:rsidRPr="00053918">
        <w:t xml:space="preserve"> the motivators and barriers </w:t>
      </w:r>
      <w:r w:rsidR="002C75F3" w:rsidRPr="00053918">
        <w:t xml:space="preserve">for institutions, physicians, nurses, front office, and other stakeholders within a healthcare facility are still scarce. Thus, </w:t>
      </w:r>
      <w:r w:rsidR="002D5838" w:rsidRPr="00053918">
        <w:t xml:space="preserve">the present </w:t>
      </w:r>
      <w:r w:rsidR="002C75F3" w:rsidRPr="00053918">
        <w:t xml:space="preserve">work aims </w:t>
      </w:r>
      <w:r w:rsidRPr="00053918">
        <w:t xml:space="preserve">to </w:t>
      </w:r>
      <w:r w:rsidR="002C75F3" w:rsidRPr="00053918">
        <w:t>combine</w:t>
      </w:r>
      <w:r w:rsidRPr="00053918">
        <w:t xml:space="preserve"> four stakeholder </w:t>
      </w:r>
      <w:r w:rsidR="002D5838" w:rsidRPr="00053918">
        <w:t>groups (</w:t>
      </w:r>
      <w:r w:rsidRPr="00053918">
        <w:t>employees</w:t>
      </w:r>
      <w:r w:rsidR="002C75F3" w:rsidRPr="00053918">
        <w:t>,</w:t>
      </w:r>
      <w:r w:rsidRPr="00053918">
        <w:t xml:space="preserve"> patients, UAE citizens and residents, and foresight experts</w:t>
      </w:r>
      <w:r w:rsidR="002D5838" w:rsidRPr="00053918">
        <w:t>)</w:t>
      </w:r>
      <w:r w:rsidR="002C75F3" w:rsidRPr="00053918">
        <w:t>to present a unique perspective on what influences their adoption of HIT in the UAE context. The analysis of</w:t>
      </w:r>
      <w:r w:rsidRPr="00053918">
        <w:t xml:space="preserve"> future </w:t>
      </w:r>
      <w:r w:rsidR="002C75F3" w:rsidRPr="00053918">
        <w:t>foresight experts’ opinions is a novel approach in academic research, which has not been tested before</w:t>
      </w:r>
      <w:r w:rsidR="009626E2" w:rsidRPr="00053918">
        <w:t>,</w:t>
      </w:r>
      <w:r w:rsidR="002C75F3" w:rsidRPr="00053918">
        <w:t xml:space="preserve"> provid</w:t>
      </w:r>
      <w:r w:rsidR="00EF648D" w:rsidRPr="00053918">
        <w:t>ing</w:t>
      </w:r>
      <w:r w:rsidR="002C75F3" w:rsidRPr="00053918">
        <w:t xml:space="preserve"> a new way of directly involving the industry’s planning capacity in studying HIT adoption dynamics.</w:t>
      </w:r>
    </w:p>
    <w:p w14:paraId="7D51652C" w14:textId="77777777" w:rsidR="00FB7A51" w:rsidRPr="003B4042" w:rsidRDefault="00FB7A51" w:rsidP="003A1141">
      <w:pPr>
        <w:pStyle w:val="Heading1"/>
        <w:rPr>
          <w:color w:val="FF0000"/>
        </w:rPr>
      </w:pPr>
      <w:bookmarkStart w:id="29" w:name="_Toc24447759"/>
      <w:r w:rsidRPr="003B4042">
        <w:rPr>
          <w:color w:val="FF0000"/>
        </w:rPr>
        <w:t xml:space="preserve">1.2. Statement of the </w:t>
      </w:r>
      <w:r w:rsidR="0083709E" w:rsidRPr="003B4042">
        <w:rPr>
          <w:color w:val="FF0000"/>
        </w:rPr>
        <w:t>P</w:t>
      </w:r>
      <w:r w:rsidRPr="003B4042">
        <w:rPr>
          <w:color w:val="FF0000"/>
        </w:rPr>
        <w:t>roblem</w:t>
      </w:r>
      <w:bookmarkEnd w:id="29"/>
    </w:p>
    <w:p w14:paraId="7D51652D" w14:textId="717BA52D" w:rsidR="0076065B" w:rsidRPr="00053918" w:rsidRDefault="0076065B" w:rsidP="009C1EAB">
      <w:pPr>
        <w:pStyle w:val="APAParagraph"/>
      </w:pPr>
      <w:r w:rsidRPr="00053918">
        <w:t>The literature has focused, since the 1960s, on clarifying the mechanisms of technology acceptance and the attitudes of healthcare stakeholders towards its application, based on various perspectives, such as the theories of reasoned action (Fishbein</w:t>
      </w:r>
      <w:r w:rsidR="005E7A62">
        <w:t xml:space="preserve"> &amp; </w:t>
      </w:r>
      <w:r w:rsidRPr="00053918">
        <w:t>Ajzen, 1975) and planned behavior (Ajzen, 1985), the technology acceptance model (TAM) (Davis, 1986), and TAM2 as a new specification of TAM (Venkatesh</w:t>
      </w:r>
      <w:r w:rsidR="005E7A62">
        <w:t xml:space="preserve"> &amp; </w:t>
      </w:r>
      <w:r w:rsidRPr="00053918">
        <w:t xml:space="preserve">Davis, 2000). These theories mainly explore the issue of HIT, but an integrated approach of the viewpoints of all relevant stakeholders is still lacking in the literature. Some studies </w:t>
      </w:r>
      <w:r w:rsidR="00EF648D" w:rsidRPr="00053918">
        <w:t xml:space="preserve">have </w:t>
      </w:r>
      <w:r w:rsidRPr="00053918">
        <w:t>recognize</w:t>
      </w:r>
      <w:r w:rsidR="00EF648D" w:rsidRPr="00053918">
        <w:t>d</w:t>
      </w:r>
      <w:r w:rsidRPr="00053918">
        <w:t xml:space="preserve"> this </w:t>
      </w:r>
      <w:r w:rsidR="0063123B" w:rsidRPr="00053918">
        <w:t xml:space="preserve">as a </w:t>
      </w:r>
      <w:r w:rsidRPr="00053918">
        <w:t>research gap. For instance, Kumar</w:t>
      </w:r>
      <w:r w:rsidR="00074643">
        <w:t>,</w:t>
      </w:r>
      <w:r w:rsidRPr="00053918">
        <w:t xml:space="preserve"> </w:t>
      </w:r>
      <w:r w:rsidR="00074643">
        <w:t>Rahman</w:t>
      </w:r>
      <w:r w:rsidR="005E7A62">
        <w:t xml:space="preserve"> &amp; </w:t>
      </w:r>
      <w:r w:rsidR="00074643">
        <w:t>Kazmi</w:t>
      </w:r>
      <w:r w:rsidRPr="00053918">
        <w:t xml:space="preserve"> (2016) explain</w:t>
      </w:r>
      <w:r w:rsidR="00EF648D" w:rsidRPr="00053918">
        <w:t>ed</w:t>
      </w:r>
      <w:r w:rsidRPr="00053918">
        <w:t xml:space="preserve"> that stakeholder groups are interconnected and, thus, have to be investigated in an integrated manner. </w:t>
      </w:r>
      <w:r w:rsidRPr="00053918">
        <w:lastRenderedPageBreak/>
        <w:t xml:space="preserve">Although stakeholder theory has been used to this end, its focus </w:t>
      </w:r>
      <w:r w:rsidR="005F630F" w:rsidRPr="00053918">
        <w:t>has tended to be</w:t>
      </w:r>
      <w:r w:rsidRPr="00053918">
        <w:t xml:space="preserve"> on one or two categories</w:t>
      </w:r>
      <w:r w:rsidR="00AD2826" w:rsidRPr="00053918">
        <w:t xml:space="preserve"> only</w:t>
      </w:r>
      <w:r w:rsidR="007B7AFB">
        <w:t xml:space="preserve"> </w:t>
      </w:r>
      <w:r w:rsidR="003E1259" w:rsidRPr="00053918">
        <w:t>[</w:t>
      </w:r>
      <w:r w:rsidRPr="00053918">
        <w:t>e.g.</w:t>
      </w:r>
      <w:r w:rsidR="009F2FA4">
        <w:t xml:space="preserve"> </w:t>
      </w:r>
      <w:r w:rsidR="00AD2826" w:rsidRPr="00053918">
        <w:t>De Almeida, Farias,</w:t>
      </w:r>
      <w:r w:rsidR="005E7A62">
        <w:t xml:space="preserve"> &amp; </w:t>
      </w:r>
      <w:r w:rsidR="00AD2826" w:rsidRPr="00053918">
        <w:t>Carvalho, 2017 (hospital managers); Hung, Tsai,</w:t>
      </w:r>
      <w:r w:rsidR="005E7A62">
        <w:t xml:space="preserve"> &amp; </w:t>
      </w:r>
      <w:r w:rsidR="00AD2826" w:rsidRPr="00053918">
        <w:t xml:space="preserve">Chuang, 2014 (nurses); </w:t>
      </w:r>
      <w:hyperlink r:id="rId25" w:anchor="B28" w:history="1">
        <w:r w:rsidR="00AD2826" w:rsidRPr="00053918">
          <w:t>Lai, Lin,</w:t>
        </w:r>
        <w:r w:rsidR="005E7A62">
          <w:t xml:space="preserve"> &amp; </w:t>
        </w:r>
        <w:r w:rsidR="00AD2826" w:rsidRPr="00053918">
          <w:t>Tseng, 2014</w:t>
        </w:r>
      </w:hyperlink>
      <w:r w:rsidR="00AD2826" w:rsidRPr="00053918">
        <w:t xml:space="preserve"> (hospitals); Marsan</w:t>
      </w:r>
      <w:r w:rsidR="005E7A62">
        <w:t xml:space="preserve"> &amp; </w:t>
      </w:r>
      <w:r w:rsidR="00AD2826" w:rsidRPr="00053918">
        <w:t xml:space="preserve">Paré, 2013 (IT experts from the health and social services sector); </w:t>
      </w:r>
      <w:r w:rsidR="00E30AA2" w:rsidRPr="00053918">
        <w:t>Palvia, Lowe, Nemati</w:t>
      </w:r>
      <w:r w:rsidR="00A849C8" w:rsidRPr="00053918">
        <w:t>,</w:t>
      </w:r>
      <w:r w:rsidR="005E7A62">
        <w:t xml:space="preserve"> &amp; </w:t>
      </w:r>
      <w:r w:rsidR="00E30AA2" w:rsidRPr="00053918">
        <w:t>Jacks, 2012 (hospitals); Paul, Ezz</w:t>
      </w:r>
      <w:r w:rsidR="00420DFA" w:rsidRPr="00053918">
        <w:t>,</w:t>
      </w:r>
      <w:r w:rsidR="005E7A62">
        <w:t xml:space="preserve"> &amp; </w:t>
      </w:r>
      <w:r w:rsidR="00E30AA2" w:rsidRPr="00053918">
        <w:t>Kuljis, 2012 (patients)</w:t>
      </w:r>
      <w:r w:rsidR="003E1259" w:rsidRPr="00053918">
        <w:t>]</w:t>
      </w:r>
      <w:r w:rsidR="00E30AA2" w:rsidRPr="00053918">
        <w:t xml:space="preserve">. </w:t>
      </w:r>
      <w:r w:rsidRPr="00053918">
        <w:t xml:space="preserve">Ultimately, focusing on a limited number of stakeholders does not guarantee an optimal outcome. In other words, it is recommended that all stakeholders be simultaneously involved in the </w:t>
      </w:r>
      <w:r w:rsidR="0063123B" w:rsidRPr="00053918">
        <w:t>process of technology adoption</w:t>
      </w:r>
      <w:r w:rsidRPr="00053918">
        <w:t xml:space="preserve">. </w:t>
      </w:r>
    </w:p>
    <w:p w14:paraId="7D51652E" w14:textId="77777777" w:rsidR="003F6DBD" w:rsidRPr="008432AC" w:rsidRDefault="00A3141F" w:rsidP="00790070">
      <w:pPr>
        <w:pStyle w:val="APAParagraph"/>
      </w:pPr>
      <w:r w:rsidRPr="00053918">
        <w:t>There is a dearth of research examining the combined perspectives of employees, patients, the public, and foresight experts. Eliciting views from these four stakeholder groups, which are the focus of this research, is critical because of their individual and combined salience. Furt</w:t>
      </w:r>
      <w:r w:rsidR="0063123B" w:rsidRPr="00053918">
        <w:t>hermore, inclusion of the last</w:t>
      </w:r>
      <w:r w:rsidRPr="00053918">
        <w:t xml:space="preserve"> group, foresight experts, in our analysis is entirely new in this domain of research. Foresight experts assist companies </w:t>
      </w:r>
      <w:r w:rsidR="00643753" w:rsidRPr="00053918">
        <w:t>in</w:t>
      </w:r>
      <w:r w:rsidRPr="00053918">
        <w:t xml:space="preserve"> navigat</w:t>
      </w:r>
      <w:r w:rsidR="00643753" w:rsidRPr="00053918">
        <w:t>ing</w:t>
      </w:r>
      <w:r w:rsidRPr="00053918">
        <w:t xml:space="preserve"> likely changes by presenting an early assessment of forthcoming opportunities (and obstacles). However, these specialists do more than forecasting: they examine various current phenomena and processes, such as networks, because optimizing </w:t>
      </w:r>
      <w:r w:rsidR="0063123B" w:rsidRPr="00053918">
        <w:t xml:space="preserve">the process of </w:t>
      </w:r>
      <w:r w:rsidRPr="00053918">
        <w:t>planning and decision</w:t>
      </w:r>
      <w:r w:rsidR="00643753" w:rsidRPr="00053918">
        <w:t>-</w:t>
      </w:r>
      <w:r w:rsidRPr="008432AC">
        <w:t>making necessarily requires understanding the extent to which current and historical practices have been adequate.</w:t>
      </w:r>
      <w:r w:rsidR="00710F6F" w:rsidRPr="008432AC">
        <w:t xml:space="preserve"> </w:t>
      </w:r>
      <w:r w:rsidR="003F6DBD" w:rsidRPr="008432AC">
        <w:t xml:space="preserve">Some authors describe the foresight professional as an individual engaged in </w:t>
      </w:r>
      <w:r w:rsidR="00E21208" w:rsidRPr="008432AC">
        <w:t>“</w:t>
      </w:r>
      <w:r w:rsidR="003F6DBD" w:rsidRPr="00790070">
        <w:t xml:space="preserve">a systematic, future-oriented, analytical and interactive process that partly contributes to shared visions concerning long-term developments within science, technology, business and society and partly </w:t>
      </w:r>
      <w:r w:rsidR="003F6DBD" w:rsidRPr="00790070">
        <w:lastRenderedPageBreak/>
        <w:t>facilitates the alignment of relevant stakeholder groupings around desirable developments through relevant strategies, decisions and actions</w:t>
      </w:r>
      <w:r w:rsidR="00E21208" w:rsidRPr="008432AC">
        <w:t>”</w:t>
      </w:r>
      <w:r w:rsidR="003F6DBD" w:rsidRPr="008432AC">
        <w:t xml:space="preserve"> (Andersen</w:t>
      </w:r>
      <w:r w:rsidR="00E21208" w:rsidRPr="008432AC">
        <w:t xml:space="preserve"> et al.</w:t>
      </w:r>
      <w:r w:rsidR="003F6DBD" w:rsidRPr="008432AC">
        <w:t>, 2007</w:t>
      </w:r>
      <w:r w:rsidR="00B62405" w:rsidRPr="008432AC">
        <w:t>, pp. 6</w:t>
      </w:r>
      <w:r w:rsidR="00E21208" w:rsidRPr="008432AC">
        <w:t>–</w:t>
      </w:r>
      <w:r w:rsidR="00B62405" w:rsidRPr="008432AC">
        <w:t>7</w:t>
      </w:r>
      <w:r w:rsidR="003F6DBD" w:rsidRPr="008432AC">
        <w:t xml:space="preserve">). </w:t>
      </w:r>
    </w:p>
    <w:p w14:paraId="7D51652F" w14:textId="77777777" w:rsidR="00FB7A51" w:rsidRPr="008432AC" w:rsidRDefault="0076065B" w:rsidP="009C1EAB">
      <w:pPr>
        <w:pStyle w:val="APAParagraph"/>
      </w:pPr>
      <w:r w:rsidRPr="008432AC">
        <w:t xml:space="preserve">Consequently, this </w:t>
      </w:r>
      <w:r w:rsidR="00480D41" w:rsidRPr="008432AC">
        <w:t>research</w:t>
      </w:r>
      <w:r w:rsidRPr="008432AC">
        <w:t xml:space="preserve"> attempts to fill this research gap by considering all four major stakeholder categories (employees, patients, society members, and future foresight experts) in the healthcare system. This approach, although challenging, allows </w:t>
      </w:r>
      <w:r w:rsidR="00E21208" w:rsidRPr="008432AC">
        <w:t xml:space="preserve">an </w:t>
      </w:r>
      <w:r w:rsidRPr="008432AC">
        <w:t>analy</w:t>
      </w:r>
      <w:r w:rsidR="00E21208" w:rsidRPr="008432AC">
        <w:t xml:space="preserve">sis of </w:t>
      </w:r>
      <w:r w:rsidRPr="008432AC">
        <w:t xml:space="preserve">the motivators </w:t>
      </w:r>
      <w:r w:rsidR="00C41388" w:rsidRPr="008432AC">
        <w:t>for</w:t>
      </w:r>
      <w:r w:rsidR="001C0881" w:rsidRPr="008432AC">
        <w:t xml:space="preserve"> </w:t>
      </w:r>
      <w:r w:rsidRPr="008432AC">
        <w:t xml:space="preserve">and barriers to HIT adoption in the healthcare sector. </w:t>
      </w:r>
      <w:r w:rsidR="00FB7A51" w:rsidRPr="008432AC">
        <w:t>Typically, government</w:t>
      </w:r>
      <w:r w:rsidR="007961B4" w:rsidRPr="008432AC">
        <w:t>s and their</w:t>
      </w:r>
      <w:r w:rsidR="00FB7A51" w:rsidRPr="008432AC">
        <w:t xml:space="preserve"> regulations are expected to improve the status of</w:t>
      </w:r>
      <w:r w:rsidR="00AC7D81" w:rsidRPr="008432AC">
        <w:t xml:space="preserve"> the</w:t>
      </w:r>
      <w:r w:rsidR="007961B4" w:rsidRPr="008432AC">
        <w:t>ir</w:t>
      </w:r>
      <w:r w:rsidR="00FB7A51" w:rsidRPr="008432AC">
        <w:t xml:space="preserve"> healthcare sector</w:t>
      </w:r>
      <w:r w:rsidR="007961B4" w:rsidRPr="008432AC">
        <w:t>s</w:t>
      </w:r>
      <w:r w:rsidR="00FB7A51" w:rsidRPr="008432AC">
        <w:t xml:space="preserve"> by introducing innovations that are recognized worldwide. For instance, the Organization for Economic Co-operation and Development (OECD) describes innovation performance as a “crucial determinant of competitiveness and national progress” (OECD, 2007), which means that a state’s ability to adopt improvement measures</w:t>
      </w:r>
      <w:r w:rsidR="00166679" w:rsidRPr="008432AC">
        <w:t>,</w:t>
      </w:r>
      <w:r w:rsidR="00FB7A51" w:rsidRPr="008432AC">
        <w:t xml:space="preserve"> and the related technology</w:t>
      </w:r>
      <w:r w:rsidR="00166679" w:rsidRPr="008432AC">
        <w:t>,</w:t>
      </w:r>
      <w:r w:rsidR="00FB7A51" w:rsidRPr="008432AC">
        <w:t xml:space="preserve"> that will ultimately improve its constituents’ quality of life is a determinant of the country’s ability to survive in the current globalized and dynamic society. Hence, the government’s view on the provision of healthcare services </w:t>
      </w:r>
      <w:r w:rsidR="00F232A8" w:rsidRPr="008432AC">
        <w:t>needs</w:t>
      </w:r>
      <w:r w:rsidR="0039363E" w:rsidRPr="008432AC">
        <w:t xml:space="preserve"> </w:t>
      </w:r>
      <w:r w:rsidR="007961B4" w:rsidRPr="008432AC">
        <w:t xml:space="preserve">to be </w:t>
      </w:r>
      <w:r w:rsidR="00FB7A51" w:rsidRPr="008432AC">
        <w:t>considered when researching the status of th</w:t>
      </w:r>
      <w:r w:rsidR="009A76F9" w:rsidRPr="008432AC">
        <w:t>e healthcare</w:t>
      </w:r>
      <w:r w:rsidR="00FB7A51" w:rsidRPr="008432AC">
        <w:t xml:space="preserve"> sector.</w:t>
      </w:r>
    </w:p>
    <w:p w14:paraId="7D516530" w14:textId="77777777" w:rsidR="00B0687A" w:rsidRPr="008432AC" w:rsidRDefault="00B0687A" w:rsidP="009C1EAB">
      <w:pPr>
        <w:pStyle w:val="APAParagraph"/>
      </w:pPr>
      <w:r w:rsidRPr="008432AC">
        <w:t xml:space="preserve">To this end, this </w:t>
      </w:r>
      <w:r w:rsidR="00480D41" w:rsidRPr="008432AC">
        <w:t>research</w:t>
      </w:r>
      <w:r w:rsidRPr="008432AC">
        <w:t xml:space="preserve"> explores and analyzes the motivators</w:t>
      </w:r>
      <w:r w:rsidR="0039363E" w:rsidRPr="008432AC">
        <w:t xml:space="preserve"> </w:t>
      </w:r>
      <w:r w:rsidR="00C41388" w:rsidRPr="008432AC">
        <w:t>for</w:t>
      </w:r>
      <w:r w:rsidRPr="008432AC">
        <w:t xml:space="preserve"> and barriers to HIT adoption across four relevant stakeholder groups: employees (e.g. doctors, nurses, administrators, etc.), patients</w:t>
      </w:r>
      <w:r w:rsidR="0058045B" w:rsidRPr="008432AC">
        <w:t>;</w:t>
      </w:r>
      <w:r w:rsidRPr="008432AC">
        <w:t xml:space="preserve"> UAE citizens and residents</w:t>
      </w:r>
      <w:r w:rsidR="0058045B" w:rsidRPr="008432AC">
        <w:t>;</w:t>
      </w:r>
      <w:r w:rsidRPr="008432AC">
        <w:t xml:space="preserve"> and </w:t>
      </w:r>
      <w:r w:rsidRPr="008432AC">
        <w:lastRenderedPageBreak/>
        <w:t xml:space="preserve">foresight experts (i.e. specialists who examine current trends to predict future needs and trends). </w:t>
      </w:r>
    </w:p>
    <w:p w14:paraId="7D516531" w14:textId="62519E1C" w:rsidR="0076065B" w:rsidRPr="008432AC" w:rsidRDefault="00FB7A51" w:rsidP="009C1EAB">
      <w:pPr>
        <w:pStyle w:val="APAParagraph"/>
      </w:pPr>
      <w:r w:rsidRPr="008432AC">
        <w:t xml:space="preserve">However, </w:t>
      </w:r>
      <w:r w:rsidR="009A76F9" w:rsidRPr="008432AC">
        <w:t xml:space="preserve">the </w:t>
      </w:r>
      <w:r w:rsidRPr="008432AC">
        <w:t>healthcare sector is influenced by laws and policies for private stakeholders such as hospitals and pharmaceutical companies. These stakeholders also recognize the need to innovate and adopt new technologies to provide better products and services by improving their efficiency (PwC, 2013</w:t>
      </w:r>
      <w:r w:rsidR="009569FB" w:rsidRPr="008432AC">
        <w:t>). T</w:t>
      </w:r>
      <w:r w:rsidRPr="008432AC">
        <w:t>echnology now plays an important role in healthcare systems, especially for managing and processing healthcare data and communicating reports in</w:t>
      </w:r>
      <w:r w:rsidR="009042F2" w:rsidRPr="008432AC">
        <w:t>stantaneously</w:t>
      </w:r>
      <w:r w:rsidRPr="008432AC">
        <w:t xml:space="preserve"> (Liddell et al., 2008; Lucas, 2015; Stead</w:t>
      </w:r>
      <w:r w:rsidR="005E7A62">
        <w:t xml:space="preserve"> &amp; </w:t>
      </w:r>
      <w:r w:rsidRPr="008432AC">
        <w:t>Lin, 2009). Additionally, several stakeholders manage, use, and maintain such systems, i</w:t>
      </w:r>
      <w:r w:rsidR="009569FB" w:rsidRPr="008432AC">
        <w:t>ncluding funding agencies, tech</w:t>
      </w:r>
      <w:r w:rsidRPr="008432AC">
        <w:t xml:space="preserve"> providers, users, </w:t>
      </w:r>
      <w:r w:rsidR="002B40CE" w:rsidRPr="008432AC">
        <w:t xml:space="preserve">and </w:t>
      </w:r>
      <w:r w:rsidRPr="008432AC">
        <w:t>patients and their families. HIT has been found to benefit such stakeholders in</w:t>
      </w:r>
      <w:r w:rsidR="002B40CE" w:rsidRPr="008432AC">
        <w:t>:</w:t>
      </w:r>
      <w:r w:rsidRPr="008432AC">
        <w:t xml:space="preserve"> improving </w:t>
      </w:r>
      <w:r w:rsidR="007961B4" w:rsidRPr="008432AC">
        <w:t xml:space="preserve">the </w:t>
      </w:r>
      <w:r w:rsidRPr="008432AC">
        <w:t xml:space="preserve">quality, timeliness, and efficiency of information flow in healthcare; minimizing errors; and reducing the cost of maintaining physical records (Alsadan et al., 2015; Ehteshami et al., 2013; Shekelle et al., 2006; Wang et al., 2018). </w:t>
      </w:r>
    </w:p>
    <w:p w14:paraId="7D516532" w14:textId="77777777" w:rsidR="00B0687A" w:rsidRPr="008432AC" w:rsidRDefault="00AE63B0" w:rsidP="009C1EAB">
      <w:pPr>
        <w:pStyle w:val="APAParagraph"/>
      </w:pPr>
      <w:r w:rsidRPr="008432AC">
        <w:t xml:space="preserve">In addition, by combining stakeholder theory and the unified technology acceptance and use of technology (UTAUT) model, this research aims to present an integrated view of key healthcare stakeholders </w:t>
      </w:r>
      <w:r w:rsidR="00065082" w:rsidRPr="008432AC">
        <w:t xml:space="preserve">on HIT acceptance in the UAE. </w:t>
      </w:r>
    </w:p>
    <w:p w14:paraId="7D516533" w14:textId="77777777" w:rsidR="00FB7A51" w:rsidRPr="008432AC" w:rsidRDefault="00FB7A51" w:rsidP="003A1141">
      <w:pPr>
        <w:pStyle w:val="Heading1"/>
      </w:pPr>
      <w:bookmarkStart w:id="30" w:name="_Toc24447760"/>
      <w:r w:rsidRPr="008432AC">
        <w:t xml:space="preserve">1.3. Research </w:t>
      </w:r>
      <w:r w:rsidR="00706F6C" w:rsidRPr="008432AC">
        <w:t>C</w:t>
      </w:r>
      <w:r w:rsidRPr="008432AC">
        <w:t>ontext</w:t>
      </w:r>
      <w:bookmarkEnd w:id="30"/>
    </w:p>
    <w:p w14:paraId="7D516534" w14:textId="77777777" w:rsidR="0022645B" w:rsidRPr="008432AC" w:rsidRDefault="00F95BF6" w:rsidP="009C1EAB">
      <w:pPr>
        <w:pStyle w:val="APAParagraph"/>
      </w:pPr>
      <w:r w:rsidRPr="008432AC">
        <w:t xml:space="preserve">According to data from the US–UAE Business Council </w:t>
      </w:r>
      <w:r w:rsidRPr="00710F6F">
        <w:t>(2018),</w:t>
      </w:r>
      <w:r w:rsidRPr="008432AC">
        <w:t xml:space="preserve"> the value of the healthcare industry in the UAE is estimated to be </w:t>
      </w:r>
      <w:r w:rsidR="00054F0D" w:rsidRPr="008432AC">
        <w:t>over</w:t>
      </w:r>
      <w:r w:rsidRPr="008432AC">
        <w:t xml:space="preserve"> USD 20 billion by </w:t>
      </w:r>
      <w:r w:rsidRPr="008432AC">
        <w:lastRenderedPageBreak/>
        <w:t>2020 and nearly USD 25 billion by 2025, an increase primarily driven by the increase in population, changes in demographic patterns, lifestyle changes, medical tourism, government efforts to introduce universal health insurance, and an increase in wealth, which overall translate into an additional demand for higher-quality medical services.</w:t>
      </w:r>
      <w:r w:rsidR="0039363E">
        <w:t xml:space="preserve"> </w:t>
      </w:r>
      <w:r w:rsidR="0022645B" w:rsidRPr="008432AC">
        <w:t>As such, to meet the growing demand for healthcare and increase its attractiveness as a medical tourism hub, the government launched UAE Vision 2021 (The United Arab Emirates Government, 2016), which seeks to transform the UAE into a world-class healthcare destination and includes the setup of integrated IT systems and electronic data.</w:t>
      </w:r>
    </w:p>
    <w:p w14:paraId="7D516535" w14:textId="77777777" w:rsidR="0022645B" w:rsidRPr="008432AC" w:rsidRDefault="00F95BF6" w:rsidP="009C1EAB">
      <w:pPr>
        <w:pStyle w:val="APAParagraph"/>
      </w:pPr>
      <w:r w:rsidRPr="008432AC">
        <w:t xml:space="preserve">Therefore, the healthcare industry is predicted to be required to become more equitable, efficient, and offer high-quality services, </w:t>
      </w:r>
      <w:r w:rsidR="00BF6D23" w:rsidRPr="008432AC">
        <w:t xml:space="preserve">also </w:t>
      </w:r>
      <w:r w:rsidRPr="008432AC">
        <w:t>in line with the targets of the UAE Vision 2030 plan (The United Arab Emirates Government, 2016).</w:t>
      </w:r>
      <w:r w:rsidR="0022645B" w:rsidRPr="008432AC">
        <w:t xml:space="preserve"> These goals can only be met if modern technology is implemented throughout the system for a seamless integration of all stakeholders. To this end, the UAE is planning to implement initiatives such as mobile applications for patient engagement, data analytics, and digitization of electronic medical records (The United Arab Emirates Government, 2016).</w:t>
      </w:r>
    </w:p>
    <w:p w14:paraId="7D516536" w14:textId="048EFBA3" w:rsidR="008F7EC1" w:rsidRPr="008432AC" w:rsidRDefault="008F7EC1" w:rsidP="009C1EAB">
      <w:pPr>
        <w:pStyle w:val="APAParagraph"/>
      </w:pPr>
      <w:r w:rsidRPr="008432AC">
        <w:t>The healthcare sector is undoubtedly complex, as it includes various industries, sub-industries, and privately-owned companies. A company is considered to belong to the healthcare sector if it delivers products and services related to health and medical care. The sector is commonly divided into six main industries: 1) pharmaceutical</w:t>
      </w:r>
      <w:r w:rsidR="00E923C6" w:rsidRPr="008432AC">
        <w:t>;</w:t>
      </w:r>
      <w:r w:rsidRPr="008432AC">
        <w:t xml:space="preserve"> 2) biotechnology</w:t>
      </w:r>
      <w:r w:rsidR="00E923C6" w:rsidRPr="008432AC">
        <w:t>;</w:t>
      </w:r>
      <w:r w:rsidRPr="008432AC">
        <w:t xml:space="preserve"> 3) equipment</w:t>
      </w:r>
      <w:r w:rsidR="00E923C6" w:rsidRPr="008432AC">
        <w:t>;</w:t>
      </w:r>
      <w:r w:rsidRPr="008432AC">
        <w:t xml:space="preserve"> 4) distribution</w:t>
      </w:r>
      <w:r w:rsidR="00E923C6" w:rsidRPr="008432AC">
        <w:t>;</w:t>
      </w:r>
      <w:r w:rsidRPr="008432AC">
        <w:t xml:space="preserve"> 5) </w:t>
      </w:r>
      <w:r w:rsidRPr="008432AC">
        <w:lastRenderedPageBreak/>
        <w:t>facilities</w:t>
      </w:r>
      <w:r w:rsidR="00E923C6" w:rsidRPr="008432AC">
        <w:t>;</w:t>
      </w:r>
      <w:r w:rsidRPr="008432AC">
        <w:t xml:space="preserve"> and 6) managed healthcare (Ledesma</w:t>
      </w:r>
      <w:r w:rsidR="00074643">
        <w:t>,</w:t>
      </w:r>
      <w:r w:rsidR="0073797B">
        <w:t xml:space="preserve"> </w:t>
      </w:r>
      <w:r w:rsidR="00074643">
        <w:t>McCulloh, Wieck,</w:t>
      </w:r>
      <w:r w:rsidR="005E7A62">
        <w:t xml:space="preserve"> &amp; </w:t>
      </w:r>
      <w:r w:rsidR="00074643">
        <w:t>Yang,</w:t>
      </w:r>
      <w:r w:rsidR="00074643" w:rsidRPr="008432AC">
        <w:t xml:space="preserve"> </w:t>
      </w:r>
      <w:r w:rsidRPr="008432AC">
        <w:t>2014).</w:t>
      </w:r>
    </w:p>
    <w:p w14:paraId="7D516537" w14:textId="77777777" w:rsidR="008F7EC1" w:rsidRPr="008432AC" w:rsidRDefault="008F7EC1" w:rsidP="009C1EAB">
      <w:pPr>
        <w:pStyle w:val="APAParagraph"/>
      </w:pPr>
      <w:r w:rsidRPr="008432AC">
        <w:t xml:space="preserve">The pharmaceutical industry is concerned with developing and producing medicines for use by hospitals and general public. Their attributions also include quality control and marketing (Tait, </w:t>
      </w:r>
      <w:r w:rsidR="00257C7B">
        <w:t>1998</w:t>
      </w:r>
      <w:r w:rsidRPr="008432AC">
        <w:t xml:space="preserve">). </w:t>
      </w:r>
      <w:r w:rsidR="000D2586" w:rsidRPr="008432AC">
        <w:t>T</w:t>
      </w:r>
      <w:r w:rsidRPr="008432AC">
        <w:t xml:space="preserve">he biotechnology industry develops, produces, and markets the patented medicines. These processes involve everything from research through </w:t>
      </w:r>
      <w:r w:rsidR="000D2586" w:rsidRPr="008432AC">
        <w:t xml:space="preserve">to </w:t>
      </w:r>
      <w:r w:rsidRPr="008432AC">
        <w:t>the promotion phase of a medicine (Ledesma et al., 2014). However, unlike pharmaceutical companies</w:t>
      </w:r>
      <w:r w:rsidR="000D2586" w:rsidRPr="008432AC">
        <w:t>, which</w:t>
      </w:r>
      <w:r w:rsidRPr="008432AC">
        <w:t xml:space="preserve"> develop drugs using chemical processes, biotechnological companies use primarily biological processes. Nonetheless, this industry earns significant revenue, especially if the drug produced targets a chronic disease (Wang, 2014). In conclusion, although both industries focus on the development of new medicines, they differ in their production processes. </w:t>
      </w:r>
    </w:p>
    <w:p w14:paraId="7D516538" w14:textId="77777777" w:rsidR="008F7EC1" w:rsidRPr="008432AC" w:rsidRDefault="008F7EC1" w:rsidP="009C1EAB">
      <w:pPr>
        <w:pStyle w:val="APAParagraph"/>
      </w:pPr>
      <w:r w:rsidRPr="008432AC">
        <w:t>Medicines are not the only products in the healthcare sector. This sector also depends on the equipment industry for the creation and production of various medical instruments (Ledesma et al., 2014), such as drug delivery systems, cardiovascular and orthopedic devices, and diagnostic equipment. Subsequently, the distribution industry sells and distributes the products of the healthcare sector to end users (i.e. medical facilities and patients) (Ledesma et al., 2014). The companies in this industry also estimate the demand for products in their respective markets.</w:t>
      </w:r>
    </w:p>
    <w:p w14:paraId="7D516539" w14:textId="77777777" w:rsidR="008F7EC1" w:rsidRPr="008432AC" w:rsidRDefault="008F7EC1" w:rsidP="009C1EAB">
      <w:pPr>
        <w:pStyle w:val="APAParagraph"/>
      </w:pPr>
      <w:r w:rsidRPr="008432AC">
        <w:lastRenderedPageBreak/>
        <w:t xml:space="preserve">Further, the facilities industry caters to healthcare service providers, from large hospitals to small clinics (Ledesma et al., 2014). Ultimately, these are the providers of healthcare to patients. Finally, the managed healthcare industry ensures health insurance </w:t>
      </w:r>
      <w:r w:rsidR="00900B91" w:rsidRPr="008432AC">
        <w:t>for</w:t>
      </w:r>
      <w:r w:rsidRPr="008432AC">
        <w:t xml:space="preserve"> the patients in a community. </w:t>
      </w:r>
    </w:p>
    <w:p w14:paraId="7D51653A" w14:textId="77777777" w:rsidR="008F7EC1" w:rsidRPr="008432AC" w:rsidRDefault="008F7EC1" w:rsidP="009C1EAB">
      <w:pPr>
        <w:pStyle w:val="APAParagraph"/>
      </w:pPr>
      <w:r w:rsidRPr="008432AC">
        <w:t xml:space="preserve">Given the interplay </w:t>
      </w:r>
      <w:r w:rsidR="00C71817" w:rsidRPr="008432AC">
        <w:t>between</w:t>
      </w:r>
      <w:r w:rsidR="007C0CDA" w:rsidRPr="008432AC">
        <w:t xml:space="preserve"> these industries, one can grasp the complexity of the modern</w:t>
      </w:r>
      <w:r w:rsidRPr="008432AC">
        <w:t xml:space="preserve"> healthcare sector</w:t>
      </w:r>
      <w:r w:rsidR="007C0CDA" w:rsidRPr="008432AC">
        <w:t xml:space="preserve">; therefore, it makes perfect sense to explore </w:t>
      </w:r>
      <w:r w:rsidRPr="008432AC">
        <w:t xml:space="preserve">its functioning and </w:t>
      </w:r>
      <w:r w:rsidR="00C71817" w:rsidRPr="008432AC">
        <w:t xml:space="preserve">the </w:t>
      </w:r>
      <w:r w:rsidRPr="008432AC">
        <w:t>instit</w:t>
      </w:r>
      <w:r w:rsidR="007C0CDA" w:rsidRPr="008432AC">
        <w:t>utions involved in this process.</w:t>
      </w:r>
    </w:p>
    <w:p w14:paraId="7D51653B" w14:textId="76AE519A" w:rsidR="00F95BF6" w:rsidRPr="008432AC" w:rsidRDefault="008F7EC1" w:rsidP="009C1EAB">
      <w:pPr>
        <w:pStyle w:val="APAParagraph"/>
      </w:pPr>
      <w:r w:rsidRPr="008432AC">
        <w:t xml:space="preserve">The </w:t>
      </w:r>
      <w:r w:rsidR="00CC0DF8" w:rsidRPr="008432AC">
        <w:t>UAE</w:t>
      </w:r>
      <w:r w:rsidRPr="008432AC">
        <w:t xml:space="preserve"> government’s plans for 2030 consider that the country’s healthcare system has already benefitted from massive investments over the past decades, which is evident from statistics such as 2.2 hospital beds for every 1,000 people, world-class medical specialists, and an average increase in life expectancy from 66 to 74 years over the past three decades (The United Arab Emirates Government, 2016). Furthermore, the government plans to put hospitals and healthcare centers to better use and also maximize their capabilities.</w:t>
      </w:r>
    </w:p>
    <w:p w14:paraId="7D51653C" w14:textId="203832EB" w:rsidR="008F7EC1" w:rsidRPr="008432AC" w:rsidRDefault="008F7EC1" w:rsidP="009C1EAB">
      <w:pPr>
        <w:pStyle w:val="APAParagraph"/>
      </w:pPr>
      <w:r w:rsidRPr="008432AC">
        <w:t xml:space="preserve">The </w:t>
      </w:r>
      <w:r w:rsidR="00BF6D23" w:rsidRPr="008432AC">
        <w:t>UAE</w:t>
      </w:r>
      <w:r w:rsidRPr="008432AC">
        <w:t xml:space="preserve"> also focuses on preventive healthcare services to promote preventive care for infectious and chronic diseases, which include educating the general public on providing immediate home care when necessary (The United Arab Emirates Government, 2016). The government </w:t>
      </w:r>
      <w:r w:rsidR="00276570" w:rsidRPr="008432AC">
        <w:t xml:space="preserve">is redesigning </w:t>
      </w:r>
      <w:r w:rsidRPr="008432AC">
        <w:t xml:space="preserve">the regulatory and supervisory roles of healthcare to provide better health services. Such services are currently provided through public facilities to prepare them for privatization in the </w:t>
      </w:r>
      <w:r w:rsidR="006313FE" w:rsidRPr="008432AC">
        <w:t>future</w:t>
      </w:r>
      <w:r w:rsidRPr="008432AC">
        <w:t xml:space="preserve">. </w:t>
      </w:r>
      <w:r w:rsidR="00BF6D23" w:rsidRPr="008432AC">
        <w:t>UAE</w:t>
      </w:r>
      <w:r w:rsidRPr="008432AC">
        <w:t xml:space="preserve"> officials are also involved in the managed healthcare industry by </w:t>
      </w:r>
      <w:r w:rsidRPr="008432AC">
        <w:lastRenderedPageBreak/>
        <w:t>planning a comprehensive health insurance system (The United Arab Emirates Government, 2016).</w:t>
      </w:r>
    </w:p>
    <w:p w14:paraId="7D51653D" w14:textId="77777777" w:rsidR="008F7EC1" w:rsidRPr="008432AC" w:rsidRDefault="008F7EC1" w:rsidP="009C1EAB">
      <w:pPr>
        <w:pStyle w:val="APAParagraph"/>
      </w:pPr>
      <w:r w:rsidRPr="008432AC">
        <w:t>Based on UAE’s government involvement in the</w:t>
      </w:r>
      <w:r w:rsidR="00F95BF6" w:rsidRPr="008432AC">
        <w:t xml:space="preserve"> sector</w:t>
      </w:r>
      <w:r w:rsidRPr="008432AC">
        <w:t xml:space="preserve">, citizens can assume that the widespread adoption of technology will help </w:t>
      </w:r>
      <w:r w:rsidR="00F95BF6" w:rsidRPr="008432AC">
        <w:t xml:space="preserve">it </w:t>
      </w:r>
      <w:r w:rsidRPr="008432AC">
        <w:t>realize the above goals for healthcare by 2030. The UAE funds its healthcare sector based on domestic resources, within a mixed public</w:t>
      </w:r>
      <w:r w:rsidR="00185243" w:rsidRPr="008432AC">
        <w:t>–</w:t>
      </w:r>
      <w:r w:rsidRPr="008432AC">
        <w:t xml:space="preserve">private system. Currently, only Emirati citizens have access to the public system, which is centrally managed and funded. </w:t>
      </w:r>
    </w:p>
    <w:p w14:paraId="7D51653E" w14:textId="77777777" w:rsidR="00FB7A51" w:rsidRPr="008432AC" w:rsidRDefault="00FB7A51" w:rsidP="003A1141">
      <w:pPr>
        <w:pStyle w:val="Heading1"/>
      </w:pPr>
      <w:bookmarkStart w:id="31" w:name="_Toc24447761"/>
      <w:r w:rsidRPr="008432AC">
        <w:t xml:space="preserve">1.4. Justification for the </w:t>
      </w:r>
      <w:r w:rsidR="00680E9A" w:rsidRPr="008432AC">
        <w:t>Research</w:t>
      </w:r>
      <w:bookmarkEnd w:id="31"/>
    </w:p>
    <w:p w14:paraId="7D51653F" w14:textId="5CF1FCEE" w:rsidR="0076065B" w:rsidRPr="008432AC" w:rsidRDefault="009A76F9" w:rsidP="009C1EAB">
      <w:pPr>
        <w:pStyle w:val="APAParagraph"/>
      </w:pPr>
      <w:r w:rsidRPr="008432AC">
        <w:t xml:space="preserve">Technology has come to play an important role in healthcare systems in terms of managing and processing healthcare data and transmitting reports over large distances in a fraction of </w:t>
      </w:r>
      <w:r w:rsidR="00992644" w:rsidRPr="008432AC">
        <w:t>the</w:t>
      </w:r>
      <w:r w:rsidRPr="008432AC">
        <w:t xml:space="preserve"> time previously required (Liddell et al., 2008; Lucas, 2015; Stead</w:t>
      </w:r>
      <w:r w:rsidR="005E7A62">
        <w:t xml:space="preserve"> &amp; </w:t>
      </w:r>
      <w:r w:rsidRPr="008432AC">
        <w:t xml:space="preserve">Lin, 2009). </w:t>
      </w:r>
      <w:r w:rsidR="00185243" w:rsidRPr="008432AC">
        <w:t>Many</w:t>
      </w:r>
      <w:r w:rsidR="00257C7B" w:rsidRPr="008432AC">
        <w:t xml:space="preserve"> </w:t>
      </w:r>
      <w:r w:rsidRPr="008432AC">
        <w:t xml:space="preserve">stakeholders are involved in the management, use, and maintenance of such systems, including funding agencies, </w:t>
      </w:r>
      <w:r w:rsidR="00992644" w:rsidRPr="008432AC">
        <w:t>technology providers, users,</w:t>
      </w:r>
      <w:r w:rsidR="00257C7B">
        <w:t xml:space="preserve"> </w:t>
      </w:r>
      <w:r w:rsidR="00185243" w:rsidRPr="008432AC">
        <w:t xml:space="preserve">and </w:t>
      </w:r>
      <w:r w:rsidRPr="008432AC">
        <w:t>patients and their families</w:t>
      </w:r>
      <w:r w:rsidR="00A3141F" w:rsidRPr="008432AC">
        <w:t>.</w:t>
      </w:r>
    </w:p>
    <w:p w14:paraId="7D516540" w14:textId="2D3B5C13" w:rsidR="008F7EC1" w:rsidRPr="008432AC" w:rsidRDefault="009A76F9" w:rsidP="009C1EAB">
      <w:pPr>
        <w:pStyle w:val="APAParagraph"/>
      </w:pPr>
      <w:r w:rsidRPr="008432AC">
        <w:t xml:space="preserve">Given the roles played by </w:t>
      </w:r>
      <w:r w:rsidR="000C759F" w:rsidRPr="008432AC">
        <w:t xml:space="preserve">these </w:t>
      </w:r>
      <w:r w:rsidRPr="008432AC">
        <w:t xml:space="preserve">different </w:t>
      </w:r>
      <w:r w:rsidR="000C759F" w:rsidRPr="008432AC">
        <w:t xml:space="preserve">groups </w:t>
      </w:r>
      <w:r w:rsidRPr="008432AC">
        <w:t>involved in HIT, it is imperative to explore the underlying rationale for their participation (Hartzler et al., 2013; Sittig</w:t>
      </w:r>
      <w:r w:rsidR="0096763E" w:rsidRPr="008432AC">
        <w:t>, Belmont,</w:t>
      </w:r>
      <w:r w:rsidR="005E7A62">
        <w:t xml:space="preserve"> &amp; </w:t>
      </w:r>
      <w:r w:rsidR="0096763E" w:rsidRPr="008432AC">
        <w:t>Singh</w:t>
      </w:r>
      <w:r w:rsidRPr="008432AC">
        <w:t>, 2018; Van Limburg et al., 2011). Based on an exploratory methodology that uses in-depth interviews as da</w:t>
      </w:r>
      <w:r w:rsidR="00992644" w:rsidRPr="008432AC">
        <w:t xml:space="preserve">ta collection method, this </w:t>
      </w:r>
      <w:r w:rsidR="00480D41" w:rsidRPr="008432AC">
        <w:t>research</w:t>
      </w:r>
      <w:r w:rsidRPr="008432AC">
        <w:t xml:space="preserve"> examines the motivators</w:t>
      </w:r>
      <w:r w:rsidR="00276570" w:rsidRPr="008432AC">
        <w:t xml:space="preserve"> and barriers</w:t>
      </w:r>
      <w:r w:rsidRPr="008432AC">
        <w:t xml:space="preserve"> of four main categories of stakeholders in the national healthcare system, namely employees, patients, UAE citizens and residents, and accredited foresight experts.</w:t>
      </w:r>
    </w:p>
    <w:p w14:paraId="7D516541" w14:textId="77777777" w:rsidR="00FB7A51" w:rsidRPr="008432AC" w:rsidRDefault="00FB7A51" w:rsidP="00D36C42">
      <w:pPr>
        <w:pStyle w:val="Heading2"/>
      </w:pPr>
      <w:bookmarkStart w:id="32" w:name="_Toc24447762"/>
      <w:r w:rsidRPr="008432AC">
        <w:lastRenderedPageBreak/>
        <w:t xml:space="preserve">1.4.1. Academic </w:t>
      </w:r>
      <w:r w:rsidR="00821182" w:rsidRPr="008432AC">
        <w:t>P</w:t>
      </w:r>
      <w:r w:rsidRPr="008432AC">
        <w:t>erspective</w:t>
      </w:r>
      <w:bookmarkEnd w:id="32"/>
    </w:p>
    <w:p w14:paraId="7D516542" w14:textId="3BF6118B" w:rsidR="00CC0DF8" w:rsidRPr="008432AC" w:rsidRDefault="003C0D7D" w:rsidP="009C1EAB">
      <w:pPr>
        <w:pStyle w:val="APAParagraph"/>
      </w:pPr>
      <w:r w:rsidRPr="008432AC">
        <w:t xml:space="preserve">Despite several studies emphasizing the benefits of HIT implementation, </w:t>
      </w:r>
      <w:r w:rsidR="00613537" w:rsidRPr="008432AC">
        <w:t>technology</w:t>
      </w:r>
      <w:r w:rsidR="00572470" w:rsidRPr="008432AC">
        <w:t xml:space="preserve"> has proven difficult to implement, the use of IT among healthcare stakeholders is still generally low (Greaves</w:t>
      </w:r>
      <w:r w:rsidR="005E7A62">
        <w:t xml:space="preserve"> &amp; </w:t>
      </w:r>
      <w:r w:rsidR="00572470" w:rsidRPr="008432AC">
        <w:t>Rozenblum, 2017), and the progress of some nations is slower than that of others.</w:t>
      </w:r>
      <w:r w:rsidR="00257C7B" w:rsidRPr="008432AC">
        <w:t xml:space="preserve"> </w:t>
      </w:r>
      <w:r w:rsidR="00CC0DF8" w:rsidRPr="008432AC">
        <w:t>This research provides a deeper understanding of the interrelatedness of these various factors and how they affect HIT adoption.</w:t>
      </w:r>
    </w:p>
    <w:p w14:paraId="7D516543" w14:textId="77777777" w:rsidR="000C759F" w:rsidRPr="008432AC" w:rsidRDefault="00572470" w:rsidP="009C1EAB">
      <w:pPr>
        <w:pStyle w:val="APAParagraph"/>
      </w:pPr>
      <w:r w:rsidRPr="008432AC">
        <w:t xml:space="preserve">By studying the motivators and barriers faced by various stakeholders, from providers to patients to institutions, </w:t>
      </w:r>
      <w:r w:rsidR="00FF0E8E" w:rsidRPr="008432AC">
        <w:t xml:space="preserve">this </w:t>
      </w:r>
      <w:r w:rsidR="00480D41" w:rsidRPr="008432AC">
        <w:t>research</w:t>
      </w:r>
      <w:r w:rsidRPr="008432AC">
        <w:t xml:space="preserve"> can offer suggestions on how to better equip them in adopting these innovative and important technologie</w:t>
      </w:r>
      <w:r w:rsidR="00613537" w:rsidRPr="008432AC">
        <w:t>s.</w:t>
      </w:r>
      <w:r w:rsidR="00257C7B" w:rsidRPr="008432AC">
        <w:t xml:space="preserve"> </w:t>
      </w:r>
      <w:r w:rsidR="000C759F" w:rsidRPr="008432AC">
        <w:t>The literature review did not reveal any comprehensive study on the motivators and barriers for institutions, physicians, nurses, front office, and other stakeholders within a healthcare facility. This shows the need to identify the adoption determinants for the different stakeholders to better understand what factors appeal to different sets of employees.</w:t>
      </w:r>
    </w:p>
    <w:p w14:paraId="7D516544" w14:textId="77777777" w:rsidR="000C759F" w:rsidRPr="008432AC" w:rsidRDefault="000C759F" w:rsidP="009C1EAB">
      <w:pPr>
        <w:pStyle w:val="APAParagraph"/>
      </w:pPr>
      <w:r w:rsidRPr="008432AC">
        <w:t xml:space="preserve">In a field of research that consists of many qualitative </w:t>
      </w:r>
      <w:r w:rsidR="00333C3E" w:rsidRPr="008432AC">
        <w:t>studies</w:t>
      </w:r>
      <w:r w:rsidRPr="008432AC">
        <w:t>, the present research is highly quantitative, and therefore uniquely informative.</w:t>
      </w:r>
      <w:r w:rsidR="00257C7B" w:rsidRPr="008432AC">
        <w:t xml:space="preserve"> </w:t>
      </w:r>
      <w:r w:rsidR="00016C1B" w:rsidRPr="008432AC">
        <w:t>It has</w:t>
      </w:r>
      <w:r w:rsidR="00333C3E" w:rsidRPr="008432AC">
        <w:t xml:space="preserve"> used the triangulation research method, thus blending both quantitative and qualitative approaches.</w:t>
      </w:r>
    </w:p>
    <w:p w14:paraId="7D516545" w14:textId="496190AB" w:rsidR="00EB1282" w:rsidRPr="008432AC" w:rsidRDefault="00EB1282" w:rsidP="009C1EAB">
      <w:pPr>
        <w:pStyle w:val="APAParagraph"/>
      </w:pPr>
      <w:r w:rsidRPr="008432AC">
        <w:t xml:space="preserve">The </w:t>
      </w:r>
      <w:r w:rsidR="00333C3E" w:rsidRPr="008432AC">
        <w:t xml:space="preserve">use </w:t>
      </w:r>
      <w:r w:rsidRPr="008432AC">
        <w:t xml:space="preserve">of </w:t>
      </w:r>
      <w:r w:rsidR="00016C1B" w:rsidRPr="008432AC">
        <w:t>stakeholder theory</w:t>
      </w:r>
      <w:r w:rsidR="00257C7B" w:rsidRPr="008432AC">
        <w:t xml:space="preserve"> </w:t>
      </w:r>
      <w:r w:rsidRPr="008432AC">
        <w:t>in the context of HIT implementation enables a better understanding of why the diffusion of valuable innovation occurs more slowly th</w:t>
      </w:r>
      <w:r w:rsidR="00016C1B" w:rsidRPr="008432AC">
        <w:t>an</w:t>
      </w:r>
      <w:r w:rsidRPr="008432AC">
        <w:t xml:space="preserve"> many stakeholders desire. Traditionally, researchers have focused on </w:t>
      </w:r>
      <w:r w:rsidRPr="008432AC">
        <w:lastRenderedPageBreak/>
        <w:t>the measurement of technology adoption mainly by physicians and on what motivates them to implement a new technology in their practice (Hatz</w:t>
      </w:r>
      <w:r w:rsidR="0099414B" w:rsidRPr="008432AC">
        <w:t>, Schreyögg, Torbica, Boriani,</w:t>
      </w:r>
      <w:r w:rsidR="005E7A62">
        <w:t xml:space="preserve"> &amp; </w:t>
      </w:r>
      <w:r w:rsidR="0099414B" w:rsidRPr="008432AC">
        <w:t>Blankart</w:t>
      </w:r>
      <w:r w:rsidRPr="008432AC">
        <w:t xml:space="preserve">, 2017). </w:t>
      </w:r>
      <w:r w:rsidR="00333C3E" w:rsidRPr="008432AC">
        <w:t>As</w:t>
      </w:r>
      <w:r w:rsidRPr="008432AC">
        <w:t xml:space="preserve"> none of these studies have explored the perspective of foresight experts</w:t>
      </w:r>
      <w:r w:rsidR="00333C3E" w:rsidRPr="008432AC">
        <w:t xml:space="preserve">, </w:t>
      </w:r>
      <w:r w:rsidR="00A97BA0" w:rsidRPr="008432AC">
        <w:t xml:space="preserve">this </w:t>
      </w:r>
      <w:r w:rsidR="00480D41" w:rsidRPr="008432AC">
        <w:t>research</w:t>
      </w:r>
      <w:r w:rsidR="00A97BA0" w:rsidRPr="008432AC">
        <w:t xml:space="preserve"> has </w:t>
      </w:r>
      <w:r w:rsidRPr="008432AC">
        <w:t>use</w:t>
      </w:r>
      <w:r w:rsidR="00333C3E" w:rsidRPr="008432AC">
        <w:t>d</w:t>
      </w:r>
      <w:r w:rsidRPr="008432AC">
        <w:t xml:space="preserve"> the stakeholder theory to </w:t>
      </w:r>
      <w:r w:rsidR="00333C3E" w:rsidRPr="008432AC">
        <w:t xml:space="preserve">include this group and </w:t>
      </w:r>
      <w:r w:rsidRPr="008432AC">
        <w:t xml:space="preserve">improve the understanding of the interplay between all </w:t>
      </w:r>
      <w:r w:rsidR="00333C3E" w:rsidRPr="008432AC">
        <w:t xml:space="preserve">relevant </w:t>
      </w:r>
      <w:r w:rsidRPr="008432AC">
        <w:t xml:space="preserve">participants in the </w:t>
      </w:r>
      <w:r w:rsidR="00333C3E" w:rsidRPr="008432AC">
        <w:t>system.</w:t>
      </w:r>
    </w:p>
    <w:p w14:paraId="7D516546" w14:textId="77777777" w:rsidR="008F7EC1" w:rsidRPr="008432AC" w:rsidRDefault="00571271" w:rsidP="009C1EAB">
      <w:pPr>
        <w:pStyle w:val="APAParagraph"/>
      </w:pPr>
      <w:r w:rsidRPr="008432AC">
        <w:t>Finally, t</w:t>
      </w:r>
      <w:r w:rsidR="00EF7FFC" w:rsidRPr="008432AC">
        <w:t xml:space="preserve">his </w:t>
      </w:r>
      <w:r w:rsidR="00480D41" w:rsidRPr="008432AC">
        <w:t xml:space="preserve">research </w:t>
      </w:r>
      <w:r w:rsidR="00EF7FFC" w:rsidRPr="008432AC">
        <w:t xml:space="preserve">blends the stakeholder theory and the UTAUT model to offer deeper </w:t>
      </w:r>
      <w:r w:rsidR="00EB1282" w:rsidRPr="008432AC">
        <w:t xml:space="preserve">insight into </w:t>
      </w:r>
      <w:r w:rsidR="00EF7FFC" w:rsidRPr="008432AC">
        <w:t>the patterns of HIT adoption in the UAE.</w:t>
      </w:r>
    </w:p>
    <w:p w14:paraId="7D516547" w14:textId="77777777" w:rsidR="00FB7A51" w:rsidRPr="008432AC" w:rsidRDefault="00FB7A51" w:rsidP="00D36C42">
      <w:pPr>
        <w:pStyle w:val="Heading2"/>
      </w:pPr>
      <w:bookmarkStart w:id="33" w:name="_Toc24447763"/>
      <w:r w:rsidRPr="008432AC">
        <w:t xml:space="preserve">1.4.2. Industry </w:t>
      </w:r>
      <w:r w:rsidR="00571271" w:rsidRPr="008432AC">
        <w:t>P</w:t>
      </w:r>
      <w:r w:rsidRPr="008432AC">
        <w:t>erspective</w:t>
      </w:r>
      <w:bookmarkEnd w:id="33"/>
    </w:p>
    <w:p w14:paraId="7D516548" w14:textId="77777777" w:rsidR="0045680A" w:rsidRPr="008432AC" w:rsidRDefault="00F13509" w:rsidP="009C1EAB">
      <w:pPr>
        <w:pStyle w:val="APAParagraph"/>
      </w:pPr>
      <w:r w:rsidRPr="008432AC">
        <w:t xml:space="preserve">The results of the present </w:t>
      </w:r>
      <w:r w:rsidR="00E10462" w:rsidRPr="008432AC">
        <w:t>research</w:t>
      </w:r>
      <w:r w:rsidRPr="008432AC">
        <w:t xml:space="preserve"> are of utmost importance to the policy</w:t>
      </w:r>
      <w:r w:rsidR="00BD5306" w:rsidRPr="008432AC">
        <w:t>-</w:t>
      </w:r>
      <w:r w:rsidRPr="008432AC">
        <w:t>makers and health professionals that must address the issue of rising care cost</w:t>
      </w:r>
      <w:r w:rsidR="00571271" w:rsidRPr="008432AC">
        <w:t>s</w:t>
      </w:r>
      <w:r w:rsidRPr="008432AC">
        <w:t xml:space="preserve"> and disjointed demographic changes in their attempts improve the quality of healthcare services delivered to patients via tech-based innovations. </w:t>
      </w:r>
      <w:r w:rsidR="00A347D3" w:rsidRPr="008432AC">
        <w:t>E</w:t>
      </w:r>
      <w:r w:rsidRPr="008432AC">
        <w:t>ffective avenues for enhancing the adoption of these technologies should be aimed less at convincing people of the security of the technologies</w:t>
      </w:r>
      <w:r w:rsidR="000D3566" w:rsidRPr="008432AC">
        <w:t xml:space="preserve"> and</w:t>
      </w:r>
      <w:r w:rsidR="00257C7B" w:rsidRPr="008432AC">
        <w:t xml:space="preserve"> </w:t>
      </w:r>
      <w:r w:rsidR="000D3566" w:rsidRPr="008432AC">
        <w:t xml:space="preserve">more </w:t>
      </w:r>
      <w:r w:rsidRPr="008432AC">
        <w:t>at developing technologies that will be user</w:t>
      </w:r>
      <w:r w:rsidR="000D3566" w:rsidRPr="008432AC">
        <w:t>-</w:t>
      </w:r>
      <w:r w:rsidRPr="008432AC">
        <w:t>friendly, training people to use these technologies, and ensuring that changes are implemented smoothly.</w:t>
      </w:r>
    </w:p>
    <w:p w14:paraId="7D516549" w14:textId="5A3B0719" w:rsidR="003C0D7D" w:rsidRPr="008432AC" w:rsidRDefault="003C0D7D" w:rsidP="009C1EAB">
      <w:pPr>
        <w:pStyle w:val="APAParagraph"/>
      </w:pPr>
      <w:r w:rsidRPr="008432AC">
        <w:t xml:space="preserve">The effects of the most common barriers to HIT acceptance, such as perceived lack of value for patients, reluctance to change, additional time needed to understand its functioning, implementation costs, absence of computer skills, system failure, no administrative support, and lack of trust in the </w:t>
      </w:r>
      <w:r w:rsidR="00576B30" w:rsidRPr="008432AC">
        <w:t xml:space="preserve">reliability of </w:t>
      </w:r>
      <w:r w:rsidR="00576B30" w:rsidRPr="008432AC">
        <w:lastRenderedPageBreak/>
        <w:t>electronic health record (</w:t>
      </w:r>
      <w:r w:rsidRPr="008432AC">
        <w:t>EHR</w:t>
      </w:r>
      <w:r w:rsidR="00576B30" w:rsidRPr="008432AC">
        <w:t>)</w:t>
      </w:r>
      <w:r w:rsidRPr="008432AC">
        <w:t xml:space="preserve"> system</w:t>
      </w:r>
      <w:r w:rsidR="00576B30" w:rsidRPr="008432AC">
        <w:t>s</w:t>
      </w:r>
      <w:r w:rsidRPr="008432AC">
        <w:t xml:space="preserve"> (</w:t>
      </w:r>
      <w:r w:rsidR="008677FE" w:rsidRPr="008432AC">
        <w:t>Ajami</w:t>
      </w:r>
      <w:r w:rsidR="005E7A62">
        <w:t xml:space="preserve"> &amp; </w:t>
      </w:r>
      <w:r w:rsidR="008677FE" w:rsidRPr="008432AC">
        <w:t>Bagheri-Tadi, 2013; Alharthi</w:t>
      </w:r>
      <w:r w:rsidR="0050637F" w:rsidRPr="008432AC">
        <w:t>, Youssef, Radwan, Al-Muallim,</w:t>
      </w:r>
      <w:r w:rsidR="005E7A62">
        <w:t xml:space="preserve"> &amp; </w:t>
      </w:r>
      <w:r w:rsidR="0050637F" w:rsidRPr="008432AC">
        <w:t>Al-Tuwaileb</w:t>
      </w:r>
      <w:r w:rsidR="008677FE" w:rsidRPr="008432AC">
        <w:t xml:space="preserve">, 2014; </w:t>
      </w:r>
      <w:r w:rsidRPr="008432AC">
        <w:t>Alquraini</w:t>
      </w:r>
      <w:r w:rsidR="00B915FC" w:rsidRPr="008432AC">
        <w:t>, Alheshem, Shah,</w:t>
      </w:r>
      <w:r w:rsidR="005E7A62">
        <w:t xml:space="preserve"> &amp; </w:t>
      </w:r>
      <w:r w:rsidR="00B915FC" w:rsidRPr="008432AC">
        <w:t>Chowdhury</w:t>
      </w:r>
      <w:r w:rsidRPr="008432AC">
        <w:t>, 2007</w:t>
      </w:r>
      <w:r w:rsidR="00C862A1" w:rsidRPr="008432AC">
        <w:t>; Hamid and Cline, 2015</w:t>
      </w:r>
      <w:r w:rsidRPr="008432AC">
        <w:t>; Miller et al., 2014</w:t>
      </w:r>
      <w:r w:rsidR="00C862A1" w:rsidRPr="008432AC">
        <w:t>; Takian</w:t>
      </w:r>
      <w:r w:rsidR="000538F9" w:rsidRPr="008432AC">
        <w:t>, Sheikh,</w:t>
      </w:r>
      <w:r w:rsidR="005E7A62">
        <w:t xml:space="preserve"> &amp; </w:t>
      </w:r>
      <w:r w:rsidR="000538F9" w:rsidRPr="008432AC">
        <w:t>Barber</w:t>
      </w:r>
      <w:r w:rsidR="00C862A1" w:rsidRPr="008432AC">
        <w:t>, 2012; Yan</w:t>
      </w:r>
      <w:r w:rsidR="00521A16" w:rsidRPr="008432AC">
        <w:t>, Gardner,</w:t>
      </w:r>
      <w:r w:rsidR="005E7A62">
        <w:t xml:space="preserve"> &amp; </w:t>
      </w:r>
      <w:r w:rsidR="00521A16" w:rsidRPr="008432AC">
        <w:t>Baier</w:t>
      </w:r>
      <w:r w:rsidR="00C862A1" w:rsidRPr="008432AC">
        <w:t>, 2012</w:t>
      </w:r>
      <w:r w:rsidRPr="008432AC">
        <w:t>) need to be carefully analyzed as the resulting knowledge could substantially influence HIT adoption in medical facilities and improve service operation and planning.</w:t>
      </w:r>
    </w:p>
    <w:p w14:paraId="7D51654A" w14:textId="77777777" w:rsidR="0045680A" w:rsidRPr="008432AC" w:rsidRDefault="0045680A" w:rsidP="009C1EAB">
      <w:pPr>
        <w:pStyle w:val="APAParagraph"/>
      </w:pPr>
      <w:r w:rsidRPr="008432AC">
        <w:t>Additional research is needed to enable the full acceptance of new technologies.</w:t>
      </w:r>
      <w:r w:rsidR="00257C7B" w:rsidRPr="008432AC">
        <w:t xml:space="preserve"> </w:t>
      </w:r>
      <w:r w:rsidR="00F13509" w:rsidRPr="008432AC">
        <w:t xml:space="preserve">Despite the obvious, documented benefits of HIT to all health stakeholders, the diffusion of technology in the UAE is still </w:t>
      </w:r>
      <w:r w:rsidR="009C238C" w:rsidRPr="008432AC">
        <w:t>s</w:t>
      </w:r>
      <w:r w:rsidR="00F13509" w:rsidRPr="008432AC">
        <w:t xml:space="preserve">low. </w:t>
      </w:r>
    </w:p>
    <w:p w14:paraId="7D51654B" w14:textId="77777777" w:rsidR="0045680A" w:rsidRPr="008432AC" w:rsidRDefault="003A623E" w:rsidP="009C1EAB">
      <w:pPr>
        <w:pStyle w:val="APAParagraph"/>
      </w:pPr>
      <w:r w:rsidRPr="008432AC">
        <w:t>Finally, t</w:t>
      </w:r>
      <w:r w:rsidR="0045680A" w:rsidRPr="008432AC">
        <w:t xml:space="preserve">he analysis of future foresight experts’ opinions is a novel approach in academic research and involves the industry directly in the shaping of HIT adoption in the UAE. </w:t>
      </w:r>
    </w:p>
    <w:p w14:paraId="7D51654C" w14:textId="515B850C" w:rsidR="00FB7A51" w:rsidRPr="001B6659" w:rsidRDefault="00FB7A51" w:rsidP="006B6F61">
      <w:pPr>
        <w:pStyle w:val="Heading1"/>
        <w:rPr>
          <w:color w:val="FF0000"/>
        </w:rPr>
      </w:pPr>
      <w:bookmarkStart w:id="34" w:name="_Toc24447764"/>
      <w:r w:rsidRPr="001B6659">
        <w:rPr>
          <w:color w:val="FF0000"/>
        </w:rPr>
        <w:t xml:space="preserve">1.5. Research </w:t>
      </w:r>
      <w:r w:rsidR="003A623E" w:rsidRPr="001B6659">
        <w:rPr>
          <w:color w:val="FF0000"/>
        </w:rPr>
        <w:t>O</w:t>
      </w:r>
      <w:r w:rsidRPr="001B6659">
        <w:rPr>
          <w:color w:val="FF0000"/>
        </w:rPr>
        <w:t>bjectives</w:t>
      </w:r>
      <w:r w:rsidR="006B6F61">
        <w:rPr>
          <w:color w:val="FF0000"/>
        </w:rPr>
        <w:t xml:space="preserve"> (ROs) </w:t>
      </w:r>
      <w:r w:rsidR="006B6F61" w:rsidRPr="001B6659">
        <w:rPr>
          <w:color w:val="FF0000"/>
        </w:rPr>
        <w:t xml:space="preserve">and </w:t>
      </w:r>
      <w:r w:rsidR="006B6F61">
        <w:rPr>
          <w:color w:val="FF0000"/>
        </w:rPr>
        <w:t xml:space="preserve">Research </w:t>
      </w:r>
      <w:r w:rsidR="006B6F61" w:rsidRPr="001B6659">
        <w:rPr>
          <w:color w:val="FF0000"/>
        </w:rPr>
        <w:t xml:space="preserve">Questions </w:t>
      </w:r>
      <w:r w:rsidR="006B6F61">
        <w:rPr>
          <w:color w:val="FF0000"/>
        </w:rPr>
        <w:t>(RQs)</w:t>
      </w:r>
      <w:bookmarkEnd w:id="34"/>
    </w:p>
    <w:p w14:paraId="4A4B286E" w14:textId="77777777" w:rsidR="00951E6E" w:rsidRPr="001B6659" w:rsidRDefault="00951E6E" w:rsidP="009C1EAB">
      <w:pPr>
        <w:pStyle w:val="APAParagraph"/>
        <w:rPr>
          <w:color w:val="FF0000"/>
        </w:rPr>
      </w:pPr>
    </w:p>
    <w:p w14:paraId="7D51654D" w14:textId="201DF187" w:rsidR="00172CCC" w:rsidRPr="001B6659" w:rsidRDefault="003A623E" w:rsidP="009F77E2">
      <w:pPr>
        <w:pStyle w:val="APAParagraph"/>
        <w:rPr>
          <w:color w:val="FF0000"/>
        </w:rPr>
      </w:pPr>
      <w:r w:rsidRPr="001B6659">
        <w:rPr>
          <w:color w:val="FF0000"/>
        </w:rPr>
        <w:t>T</w:t>
      </w:r>
      <w:r w:rsidR="008F7EC1" w:rsidRPr="001B6659">
        <w:rPr>
          <w:color w:val="FF0000"/>
        </w:rPr>
        <w:t xml:space="preserve">his </w:t>
      </w:r>
      <w:r w:rsidR="00E10462" w:rsidRPr="001B6659">
        <w:rPr>
          <w:color w:val="FF0000"/>
        </w:rPr>
        <w:t>research</w:t>
      </w:r>
      <w:r w:rsidR="008F7EC1" w:rsidRPr="001B6659">
        <w:rPr>
          <w:color w:val="FF0000"/>
        </w:rPr>
        <w:t xml:space="preserve"> seeks to determine both the motivators</w:t>
      </w:r>
      <w:r w:rsidR="00257C7B" w:rsidRPr="001B6659">
        <w:rPr>
          <w:color w:val="FF0000"/>
        </w:rPr>
        <w:t xml:space="preserve"> </w:t>
      </w:r>
      <w:r w:rsidR="008F7EC1" w:rsidRPr="001B6659">
        <w:rPr>
          <w:color w:val="FF0000"/>
        </w:rPr>
        <w:t xml:space="preserve">and barriers that affect the adoption of information technology </w:t>
      </w:r>
      <w:r w:rsidR="00A2001E" w:rsidRPr="001B6659">
        <w:rPr>
          <w:color w:val="FF0000"/>
        </w:rPr>
        <w:t xml:space="preserve">(IT) </w:t>
      </w:r>
      <w:r w:rsidR="008F7EC1" w:rsidRPr="001B6659">
        <w:rPr>
          <w:color w:val="FF0000"/>
        </w:rPr>
        <w:t>in modern healthcare systems, based on a case study of the UAE</w:t>
      </w:r>
      <w:r w:rsidR="00951E6E" w:rsidRPr="001B6659">
        <w:rPr>
          <w:color w:val="FF0000"/>
        </w:rPr>
        <w:t>. The research objectives (ROs) of this</w:t>
      </w:r>
      <w:r w:rsidR="009F77E2" w:rsidRPr="001B6659">
        <w:rPr>
          <w:color w:val="FF0000"/>
        </w:rPr>
        <w:t xml:space="preserve"> study are:</w:t>
      </w:r>
      <w:r w:rsidR="00951E6E" w:rsidRPr="001B6659">
        <w:rPr>
          <w:color w:val="FF0000"/>
        </w:rPr>
        <w:t xml:space="preserve"> </w:t>
      </w:r>
      <w:r w:rsidR="00257C7B" w:rsidRPr="001B6659">
        <w:rPr>
          <w:color w:val="FF0000"/>
        </w:rPr>
        <w:t xml:space="preserve"> </w:t>
      </w:r>
    </w:p>
    <w:p w14:paraId="37C79AD7" w14:textId="77777777" w:rsidR="009F77E2" w:rsidRPr="001B6659" w:rsidRDefault="009F77E2" w:rsidP="009F77E2">
      <w:pPr>
        <w:pStyle w:val="APAParagraph"/>
        <w:numPr>
          <w:ilvl w:val="0"/>
          <w:numId w:val="28"/>
        </w:numPr>
        <w:rPr>
          <w:color w:val="FF0000"/>
        </w:rPr>
      </w:pPr>
      <w:r w:rsidRPr="001B6659">
        <w:rPr>
          <w:color w:val="FF0000"/>
        </w:rPr>
        <w:t>Understanding the adoption of HIT in the healthcare industry from the perspective of stakeholder theory.</w:t>
      </w:r>
    </w:p>
    <w:p w14:paraId="7F8BF8ED" w14:textId="77777777" w:rsidR="009F77E2" w:rsidRPr="001B6659" w:rsidRDefault="009F77E2" w:rsidP="009F77E2">
      <w:pPr>
        <w:pStyle w:val="APAParagraph"/>
        <w:numPr>
          <w:ilvl w:val="0"/>
          <w:numId w:val="28"/>
        </w:numPr>
        <w:rPr>
          <w:color w:val="FF0000"/>
        </w:rPr>
      </w:pPr>
      <w:r w:rsidRPr="001B6659">
        <w:rPr>
          <w:color w:val="FF0000"/>
        </w:rPr>
        <w:t>Exploring the motivators and barriers for HIT adoption.</w:t>
      </w:r>
    </w:p>
    <w:p w14:paraId="37D99F99" w14:textId="77777777" w:rsidR="009F77E2" w:rsidRPr="001B6659" w:rsidRDefault="009F77E2" w:rsidP="009F77E2">
      <w:pPr>
        <w:pStyle w:val="APAParagraph"/>
        <w:numPr>
          <w:ilvl w:val="0"/>
          <w:numId w:val="28"/>
        </w:numPr>
        <w:rPr>
          <w:color w:val="FF0000"/>
        </w:rPr>
      </w:pPr>
      <w:r w:rsidRPr="001B6659">
        <w:rPr>
          <w:color w:val="FF0000"/>
        </w:rPr>
        <w:lastRenderedPageBreak/>
        <w:t>Categorizing the motivators and barriers identified across various stakeholders.</w:t>
      </w:r>
    </w:p>
    <w:p w14:paraId="32CC8208" w14:textId="77777777" w:rsidR="009F77E2" w:rsidRPr="001B6659" w:rsidRDefault="009F77E2" w:rsidP="009F77E2">
      <w:pPr>
        <w:pStyle w:val="APAParagraph"/>
        <w:numPr>
          <w:ilvl w:val="0"/>
          <w:numId w:val="28"/>
        </w:numPr>
        <w:rPr>
          <w:color w:val="FF0000"/>
        </w:rPr>
      </w:pPr>
      <w:r w:rsidRPr="001B6659">
        <w:rPr>
          <w:color w:val="FF0000"/>
        </w:rPr>
        <w:t>Developing a comprehensive framework to explain how stakeholders have identified these barriers and motivators within the UAE context.</w:t>
      </w:r>
    </w:p>
    <w:p w14:paraId="6AA53163" w14:textId="77777777" w:rsidR="009F77E2" w:rsidRPr="001B6659" w:rsidRDefault="009F77E2" w:rsidP="009F77E2">
      <w:pPr>
        <w:pStyle w:val="APAParagraph"/>
        <w:numPr>
          <w:ilvl w:val="0"/>
          <w:numId w:val="28"/>
        </w:numPr>
        <w:rPr>
          <w:color w:val="FF0000"/>
        </w:rPr>
      </w:pPr>
      <w:r w:rsidRPr="001B6659">
        <w:rPr>
          <w:color w:val="FF0000"/>
        </w:rPr>
        <w:t>Calculating the significance both of the motivators and barriers using structural equation modeling (SEM).</w:t>
      </w:r>
    </w:p>
    <w:p w14:paraId="006348F0" w14:textId="77777777" w:rsidR="009F77E2" w:rsidRPr="001B6659" w:rsidRDefault="009F77E2" w:rsidP="009F77E2">
      <w:pPr>
        <w:pStyle w:val="APAParagraph"/>
        <w:rPr>
          <w:color w:val="FF0000"/>
        </w:rPr>
      </w:pPr>
      <w:r w:rsidRPr="001B6659">
        <w:rPr>
          <w:color w:val="FF0000"/>
        </w:rPr>
        <w:t>Given these research objectives (ROs), the main research questions (RQs) of the study can be summarized as follows:</w:t>
      </w:r>
    </w:p>
    <w:p w14:paraId="7D51654E" w14:textId="77777777" w:rsidR="0045680A" w:rsidRPr="001B6659" w:rsidRDefault="00172CCC" w:rsidP="009C1EAB">
      <w:pPr>
        <w:pStyle w:val="APAParagraph"/>
        <w:numPr>
          <w:ilvl w:val="0"/>
          <w:numId w:val="17"/>
        </w:numPr>
        <w:rPr>
          <w:color w:val="FF0000"/>
        </w:rPr>
      </w:pPr>
      <w:r w:rsidRPr="001B6659">
        <w:rPr>
          <w:color w:val="FF0000"/>
        </w:rPr>
        <w:t>What are the motivators and barriers that influence</w:t>
      </w:r>
      <w:r w:rsidR="008918C0" w:rsidRPr="001B6659">
        <w:rPr>
          <w:color w:val="FF0000"/>
        </w:rPr>
        <w:t xml:space="preserve"> the adoption of HIT in the UAE?</w:t>
      </w:r>
    </w:p>
    <w:p w14:paraId="7D51654F" w14:textId="77777777" w:rsidR="00172CCC" w:rsidRPr="001B6659" w:rsidRDefault="008918C0" w:rsidP="009C1EAB">
      <w:pPr>
        <w:pStyle w:val="APAParagraph"/>
        <w:numPr>
          <w:ilvl w:val="0"/>
          <w:numId w:val="17"/>
        </w:numPr>
        <w:rPr>
          <w:color w:val="FF0000"/>
        </w:rPr>
      </w:pPr>
      <w:r w:rsidRPr="001B6659">
        <w:rPr>
          <w:color w:val="FF0000"/>
        </w:rPr>
        <w:t xml:space="preserve">How </w:t>
      </w:r>
      <w:r w:rsidR="00342F09" w:rsidRPr="001B6659">
        <w:rPr>
          <w:color w:val="FF0000"/>
        </w:rPr>
        <w:t xml:space="preserve">significant are </w:t>
      </w:r>
      <w:r w:rsidRPr="001B6659">
        <w:rPr>
          <w:color w:val="FF0000"/>
        </w:rPr>
        <w:t>these factors (motivators/barriers)</w:t>
      </w:r>
      <w:r w:rsidR="001908F5" w:rsidRPr="001B6659">
        <w:rPr>
          <w:color w:val="FF0000"/>
        </w:rPr>
        <w:t>,</w:t>
      </w:r>
      <w:r w:rsidR="00342F09" w:rsidRPr="001B6659">
        <w:rPr>
          <w:color w:val="FF0000"/>
        </w:rPr>
        <w:t xml:space="preserve">as </w:t>
      </w:r>
      <w:r w:rsidRPr="001B6659">
        <w:rPr>
          <w:color w:val="FF0000"/>
        </w:rPr>
        <w:t xml:space="preserve">perceived by the various stakeholder </w:t>
      </w:r>
      <w:r w:rsidR="00342F09" w:rsidRPr="001B6659">
        <w:rPr>
          <w:color w:val="FF0000"/>
        </w:rPr>
        <w:t>groups</w:t>
      </w:r>
      <w:r w:rsidR="001908F5" w:rsidRPr="001B6659">
        <w:rPr>
          <w:color w:val="FF0000"/>
        </w:rPr>
        <w:t>, for technology adoption</w:t>
      </w:r>
      <w:r w:rsidRPr="001B6659">
        <w:rPr>
          <w:color w:val="FF0000"/>
        </w:rPr>
        <w:t>?</w:t>
      </w:r>
    </w:p>
    <w:p w14:paraId="7BF1DFEC" w14:textId="62E8B6F6" w:rsidR="009F77E2" w:rsidRPr="001B6659" w:rsidRDefault="009F77E2" w:rsidP="001B6659">
      <w:pPr>
        <w:pStyle w:val="APAParagraph"/>
        <w:rPr>
          <w:color w:val="FF0000"/>
        </w:rPr>
      </w:pPr>
      <w:r w:rsidRPr="001B6659">
        <w:rPr>
          <w:color w:val="FF0000"/>
        </w:rPr>
        <w:t xml:space="preserve">The focus of this research will start with the help of the stakeholders identified because of their direct relation to the technology adoption in the healthcare sector, </w:t>
      </w:r>
      <w:r w:rsidR="001B6659" w:rsidRPr="001B6659">
        <w:rPr>
          <w:color w:val="FF0000"/>
        </w:rPr>
        <w:t>whether</w:t>
      </w:r>
      <w:r w:rsidRPr="001B6659">
        <w:rPr>
          <w:color w:val="FF0000"/>
        </w:rPr>
        <w:t xml:space="preserve"> they are a patient that is using the service,</w:t>
      </w:r>
      <w:r w:rsidR="001B6659" w:rsidRPr="001B6659">
        <w:rPr>
          <w:color w:val="FF0000"/>
        </w:rPr>
        <w:t xml:space="preserve"> an employee that is</w:t>
      </w:r>
      <w:r w:rsidRPr="001B6659">
        <w:rPr>
          <w:color w:val="FF0000"/>
        </w:rPr>
        <w:t xml:space="preserve"> adapting the technology from his wor</w:t>
      </w:r>
      <w:r w:rsidR="001B6659" w:rsidRPr="001B6659">
        <w:rPr>
          <w:color w:val="FF0000"/>
        </w:rPr>
        <w:t>k place, a society member that has witnessed the usage of these technology, or even a future foresight that helped the government choosing and selecting these technologies, all will give us the right direction of this research and will contribute by adding the right constructs needed.</w:t>
      </w:r>
    </w:p>
    <w:p w14:paraId="7D516556" w14:textId="77777777" w:rsidR="00FB7A51" w:rsidRPr="008432AC" w:rsidRDefault="00FB7A51" w:rsidP="003A1141">
      <w:pPr>
        <w:pStyle w:val="Heading1"/>
      </w:pPr>
      <w:bookmarkStart w:id="35" w:name="_Toc24447765"/>
      <w:r w:rsidRPr="008432AC">
        <w:lastRenderedPageBreak/>
        <w:t>1.</w:t>
      </w:r>
      <w:r w:rsidR="00BF6D23" w:rsidRPr="008432AC">
        <w:t>6</w:t>
      </w:r>
      <w:r w:rsidRPr="008432AC">
        <w:t xml:space="preserve">. Research </w:t>
      </w:r>
      <w:r w:rsidR="002B5F20" w:rsidRPr="008432AC">
        <w:t>C</w:t>
      </w:r>
      <w:r w:rsidRPr="008432AC">
        <w:t>ontribution</w:t>
      </w:r>
      <w:bookmarkEnd w:id="35"/>
    </w:p>
    <w:p w14:paraId="7D516557" w14:textId="77777777" w:rsidR="00CC0DF8" w:rsidRPr="008432AC" w:rsidRDefault="00E2348A" w:rsidP="009C1EAB">
      <w:pPr>
        <w:pStyle w:val="APAParagraph"/>
      </w:pPr>
      <w:r w:rsidRPr="008432AC">
        <w:t>The literature lacks comprehensive studies on the motivators</w:t>
      </w:r>
      <w:r w:rsidR="002B5F20" w:rsidRPr="008432AC">
        <w:t xml:space="preserve"> and </w:t>
      </w:r>
      <w:r w:rsidRPr="008432AC">
        <w:t>barriers for institutions, physicians, nurses, front office, and other stakeholders within a facility, and particularly foresight experts, showing th</w:t>
      </w:r>
      <w:r w:rsidR="00992644" w:rsidRPr="008432AC">
        <w:t>e need to identify the</w:t>
      </w:r>
      <w:r w:rsidR="002B5F20" w:rsidRPr="008432AC">
        <w:t>se</w:t>
      </w:r>
      <w:r w:rsidR="00257C7B">
        <w:t xml:space="preserve"> </w:t>
      </w:r>
      <w:r w:rsidRPr="008432AC">
        <w:t>motivators</w:t>
      </w:r>
      <w:r w:rsidR="00257C7B">
        <w:t xml:space="preserve"> </w:t>
      </w:r>
      <w:r w:rsidR="00313E3B" w:rsidRPr="008432AC">
        <w:t>for</w:t>
      </w:r>
      <w:r w:rsidR="002B5F20" w:rsidRPr="008432AC">
        <w:t xml:space="preserve"> and </w:t>
      </w:r>
      <w:r w:rsidRPr="008432AC">
        <w:t xml:space="preserve">barriers </w:t>
      </w:r>
      <w:r w:rsidR="002B5F20" w:rsidRPr="008432AC">
        <w:t>t</w:t>
      </w:r>
      <w:r w:rsidR="00992644" w:rsidRPr="008432AC">
        <w:t xml:space="preserve">o technology adoption </w:t>
      </w:r>
      <w:r w:rsidRPr="008432AC">
        <w:t xml:space="preserve">for different stakeholder groups to better understand what factors appeal to different </w:t>
      </w:r>
      <w:r w:rsidR="00E74A1E" w:rsidRPr="008432AC">
        <w:t>groups of stakeholders</w:t>
      </w:r>
      <w:r w:rsidRPr="008432AC">
        <w:t xml:space="preserve">. Therefore, this </w:t>
      </w:r>
      <w:r w:rsidR="00E10462" w:rsidRPr="008432AC">
        <w:t>research</w:t>
      </w:r>
      <w:r w:rsidRPr="008432AC">
        <w:t xml:space="preserve"> will be among the first </w:t>
      </w:r>
      <w:r w:rsidR="00BB4D96" w:rsidRPr="008432AC">
        <w:t xml:space="preserve">to investigate </w:t>
      </w:r>
      <w:r w:rsidRPr="008432AC">
        <w:t xml:space="preserve">the barriers </w:t>
      </w:r>
      <w:r w:rsidR="00BB4D96" w:rsidRPr="008432AC">
        <w:t xml:space="preserve">to </w:t>
      </w:r>
      <w:r w:rsidRPr="008432AC">
        <w:t xml:space="preserve">and motivators </w:t>
      </w:r>
      <w:r w:rsidR="00313E3B" w:rsidRPr="008432AC">
        <w:t>for</w:t>
      </w:r>
      <w:r w:rsidRPr="008432AC">
        <w:t xml:space="preserve"> the adoption of technology in healthcare using stakeholders’ points of view in the UAE context. Additionally, it will </w:t>
      </w:r>
      <w:r w:rsidR="00942405" w:rsidRPr="008432AC">
        <w:t>explore</w:t>
      </w:r>
      <w:r w:rsidRPr="008432AC">
        <w:t xml:space="preserve"> the commonalities of the viewpoints of </w:t>
      </w:r>
      <w:r w:rsidR="00942405" w:rsidRPr="008432AC">
        <w:t xml:space="preserve">different </w:t>
      </w:r>
      <w:r w:rsidRPr="008432AC">
        <w:t>stakeholder groups. The use of stakeholder theory thus highlights the interaction between the different groups affected by changes in the technologies used in the healthcare sector.</w:t>
      </w:r>
    </w:p>
    <w:p w14:paraId="7D516558" w14:textId="77777777" w:rsidR="00B0687A" w:rsidRPr="008432AC" w:rsidRDefault="00942405" w:rsidP="009C1EAB">
      <w:pPr>
        <w:pStyle w:val="APAParagraph"/>
      </w:pPr>
      <w:r w:rsidRPr="008432AC">
        <w:t xml:space="preserve">The </w:t>
      </w:r>
      <w:r w:rsidR="00E10462" w:rsidRPr="008432AC">
        <w:t xml:space="preserve">research </w:t>
      </w:r>
      <w:r w:rsidR="00A24412" w:rsidRPr="008432AC">
        <w:t>examined approximately</w:t>
      </w:r>
      <w:r w:rsidR="009569FB" w:rsidRPr="008432AC">
        <w:t xml:space="preserve"> 100 responses </w:t>
      </w:r>
      <w:r w:rsidR="00A24412" w:rsidRPr="008432AC">
        <w:t>regarding the</w:t>
      </w:r>
      <w:r w:rsidR="009569FB" w:rsidRPr="008432AC">
        <w:t xml:space="preserve"> motivators</w:t>
      </w:r>
      <w:r w:rsidR="00A24412" w:rsidRPr="008432AC">
        <w:t xml:space="preserve"> and </w:t>
      </w:r>
      <w:r w:rsidR="009569FB" w:rsidRPr="008432AC">
        <w:t xml:space="preserve">barriers </w:t>
      </w:r>
      <w:r w:rsidR="00957305" w:rsidRPr="008432AC">
        <w:t xml:space="preserve">identified by selected stakeholders that affect </w:t>
      </w:r>
      <w:r w:rsidR="009569FB" w:rsidRPr="008432AC">
        <w:t xml:space="preserve">HIT adoption rates in general, </w:t>
      </w:r>
      <w:r w:rsidR="00826845" w:rsidRPr="008432AC">
        <w:t>with specific focus on the</w:t>
      </w:r>
      <w:r w:rsidR="009569FB" w:rsidRPr="008432AC">
        <w:t xml:space="preserve"> UAE</w:t>
      </w:r>
      <w:r w:rsidR="00826845" w:rsidRPr="008432AC">
        <w:t>’</w:t>
      </w:r>
      <w:r w:rsidR="009569FB" w:rsidRPr="008432AC">
        <w:t>s healthcare system.</w:t>
      </w:r>
      <w:r w:rsidR="00957305" w:rsidRPr="008432AC">
        <w:t xml:space="preserve"> Most of the literature on technology acceptance in healthcare </w:t>
      </w:r>
      <w:r w:rsidR="00826845" w:rsidRPr="008432AC">
        <w:t xml:space="preserve">has </w:t>
      </w:r>
      <w:r w:rsidR="00957305" w:rsidRPr="008432AC">
        <w:t xml:space="preserve">focused on Western nations, which makes it impossible to apply its findings in the context of the UAE and of countries with </w:t>
      </w:r>
      <w:r w:rsidR="001107E2" w:rsidRPr="008432AC">
        <w:t xml:space="preserve">a </w:t>
      </w:r>
      <w:r w:rsidR="00957305" w:rsidRPr="008432AC">
        <w:t xml:space="preserve">similar profile. </w:t>
      </w:r>
    </w:p>
    <w:p w14:paraId="7D516559" w14:textId="77777777" w:rsidR="00DC4EE5" w:rsidRPr="008432AC" w:rsidRDefault="001107E2" w:rsidP="009C1EAB">
      <w:pPr>
        <w:pStyle w:val="APAParagraph"/>
      </w:pPr>
      <w:r w:rsidRPr="008432AC">
        <w:t>In summary, this research makes the following contributions:</w:t>
      </w:r>
    </w:p>
    <w:p w14:paraId="7D51655A" w14:textId="77777777" w:rsidR="00E2348A" w:rsidRPr="008432AC" w:rsidRDefault="00E2348A" w:rsidP="009C1EAB">
      <w:pPr>
        <w:pStyle w:val="APAParagraph"/>
        <w:numPr>
          <w:ilvl w:val="0"/>
          <w:numId w:val="14"/>
        </w:numPr>
      </w:pPr>
      <w:r w:rsidRPr="008432AC">
        <w:t>Identification of the barriers</w:t>
      </w:r>
      <w:r w:rsidR="001107E2" w:rsidRPr="008432AC">
        <w:t xml:space="preserve"> to</w:t>
      </w:r>
      <w:r w:rsidRPr="008432AC">
        <w:t xml:space="preserve"> and motivators </w:t>
      </w:r>
      <w:r w:rsidR="00313E3B" w:rsidRPr="008432AC">
        <w:t>for</w:t>
      </w:r>
      <w:r w:rsidRPr="008432AC">
        <w:t xml:space="preserve"> HIT adoption in the UAE</w:t>
      </w:r>
      <w:r w:rsidR="001107E2" w:rsidRPr="008432AC">
        <w:t>.</w:t>
      </w:r>
    </w:p>
    <w:p w14:paraId="7D51655B" w14:textId="77777777" w:rsidR="00E2348A" w:rsidRPr="008432AC" w:rsidRDefault="00E2348A" w:rsidP="009C1EAB">
      <w:pPr>
        <w:pStyle w:val="APAParagraph"/>
        <w:numPr>
          <w:ilvl w:val="0"/>
          <w:numId w:val="14"/>
        </w:numPr>
      </w:pPr>
      <w:r w:rsidRPr="008432AC">
        <w:lastRenderedPageBreak/>
        <w:t xml:space="preserve">Extension of stakeholder theory by including </w:t>
      </w:r>
      <w:r w:rsidR="00992644" w:rsidRPr="008432AC">
        <w:t>future</w:t>
      </w:r>
      <w:r w:rsidRPr="008432AC">
        <w:t xml:space="preserve"> foresight experts</w:t>
      </w:r>
      <w:r w:rsidR="001107E2" w:rsidRPr="008432AC">
        <w:t>.</w:t>
      </w:r>
    </w:p>
    <w:p w14:paraId="7D51655C" w14:textId="77777777" w:rsidR="00E2348A" w:rsidRPr="008432AC" w:rsidRDefault="001107E2" w:rsidP="009C1EAB">
      <w:pPr>
        <w:pStyle w:val="APAParagraph"/>
        <w:numPr>
          <w:ilvl w:val="0"/>
          <w:numId w:val="14"/>
        </w:numPr>
      </w:pPr>
      <w:r w:rsidRPr="008432AC">
        <w:t>M</w:t>
      </w:r>
      <w:r w:rsidR="00E2348A" w:rsidRPr="008432AC">
        <w:t xml:space="preserve">erging stakeholder theory and </w:t>
      </w:r>
      <w:r w:rsidR="00EE7B14" w:rsidRPr="008432AC">
        <w:t xml:space="preserve">the </w:t>
      </w:r>
      <w:r w:rsidR="00E2348A" w:rsidRPr="008432AC">
        <w:t>UTAUT model</w:t>
      </w:r>
      <w:r w:rsidRPr="008432AC">
        <w:t>.</w:t>
      </w:r>
    </w:p>
    <w:p w14:paraId="7D51655D" w14:textId="77777777" w:rsidR="00E2348A" w:rsidRPr="008432AC" w:rsidRDefault="00E2348A" w:rsidP="009C1EAB">
      <w:pPr>
        <w:pStyle w:val="APAParagraph"/>
        <w:numPr>
          <w:ilvl w:val="0"/>
          <w:numId w:val="14"/>
        </w:numPr>
      </w:pPr>
      <w:r w:rsidRPr="008432AC">
        <w:t>Assessment of technology adoption</w:t>
      </w:r>
      <w:r w:rsidR="001107E2" w:rsidRPr="008432AC">
        <w:t>.</w:t>
      </w:r>
    </w:p>
    <w:p w14:paraId="7D51655E" w14:textId="77777777" w:rsidR="00E2348A" w:rsidRPr="008432AC" w:rsidRDefault="00E2348A" w:rsidP="009C1EAB">
      <w:pPr>
        <w:pStyle w:val="APAParagraph"/>
        <w:numPr>
          <w:ilvl w:val="0"/>
          <w:numId w:val="14"/>
        </w:numPr>
      </w:pPr>
      <w:r w:rsidRPr="008432AC">
        <w:t>Prioritization of the motivators</w:t>
      </w:r>
      <w:r w:rsidR="00257C7B">
        <w:t xml:space="preserve"> </w:t>
      </w:r>
      <w:r w:rsidR="00313E3B" w:rsidRPr="008432AC">
        <w:t>for</w:t>
      </w:r>
      <w:r w:rsidRPr="008432AC">
        <w:t xml:space="preserve"> and barriers to HIT implementation </w:t>
      </w:r>
      <w:r w:rsidR="00C4277D" w:rsidRPr="008432AC">
        <w:t xml:space="preserve">identified </w:t>
      </w:r>
      <w:r w:rsidRPr="008432AC">
        <w:t>by major stakeholder groups</w:t>
      </w:r>
      <w:r w:rsidR="001107E2" w:rsidRPr="008432AC">
        <w:t>.</w:t>
      </w:r>
    </w:p>
    <w:p w14:paraId="7D51655F" w14:textId="77777777" w:rsidR="00FB7A51" w:rsidRPr="008432AC" w:rsidRDefault="00BF6D23" w:rsidP="00D36C42">
      <w:pPr>
        <w:pStyle w:val="Heading2"/>
      </w:pPr>
      <w:bookmarkStart w:id="36" w:name="_Toc24447766"/>
      <w:r w:rsidRPr="008432AC">
        <w:t>1.6</w:t>
      </w:r>
      <w:r w:rsidR="00FB7A51" w:rsidRPr="008432AC">
        <w:t xml:space="preserve">.1. Academic </w:t>
      </w:r>
      <w:r w:rsidR="001107E2" w:rsidRPr="008432AC">
        <w:t>C</w:t>
      </w:r>
      <w:r w:rsidR="00FB7A51" w:rsidRPr="008432AC">
        <w:t>ontribution</w:t>
      </w:r>
      <w:bookmarkEnd w:id="36"/>
    </w:p>
    <w:p w14:paraId="7D516560" w14:textId="77777777" w:rsidR="00172CCC" w:rsidRPr="008432AC" w:rsidRDefault="007C0CDA" w:rsidP="009C1EAB">
      <w:pPr>
        <w:pStyle w:val="APAParagraph"/>
      </w:pPr>
      <w:r w:rsidRPr="008432AC">
        <w:t xml:space="preserve">This </w:t>
      </w:r>
      <w:r w:rsidR="00E10462" w:rsidRPr="008432AC">
        <w:t xml:space="preserve">research </w:t>
      </w:r>
      <w:r w:rsidRPr="008432AC">
        <w:t>seeks</w:t>
      </w:r>
      <w:r w:rsidR="00172CCC" w:rsidRPr="008432AC">
        <w:t xml:space="preserve"> to identify, explore, and prioritize the motivators and barriers that affect the adoption of HIT by major industry stakeholder grou</w:t>
      </w:r>
      <w:r w:rsidR="00027B94" w:rsidRPr="008432AC">
        <w:t>ps in the UAE</w:t>
      </w:r>
      <w:r w:rsidR="00E16DDD" w:rsidRPr="008432AC">
        <w:t>’s</w:t>
      </w:r>
      <w:r w:rsidR="00027B94" w:rsidRPr="008432AC">
        <w:t xml:space="preserve"> healthcare system. The underlying</w:t>
      </w:r>
      <w:r w:rsidR="00172CCC" w:rsidRPr="008432AC">
        <w:t xml:space="preserve"> methodology is applicable to different contexts and could be generalized to similar countries, providing broad guidelines for the healthcare industry. </w:t>
      </w:r>
      <w:r w:rsidR="00E16DDD" w:rsidRPr="008432AC">
        <w:t>B</w:t>
      </w:r>
      <w:r w:rsidR="00172CCC" w:rsidRPr="008432AC">
        <w:t xml:space="preserve">y revealing the incentives for HIT adoption in the daily routines of the four main categories of healthcare stakeholders (employees, patients, UAE citizens and residents, and foresight experts) and by creating a model that identifies the practical implementation and management steps, </w:t>
      </w:r>
      <w:r w:rsidR="00E16DDD" w:rsidRPr="008432AC">
        <w:t>this resea</w:t>
      </w:r>
      <w:r w:rsidR="00C5154F" w:rsidRPr="008432AC">
        <w:t>rch</w:t>
      </w:r>
      <w:r w:rsidR="00172CCC" w:rsidRPr="008432AC">
        <w:t xml:space="preserve"> provide</w:t>
      </w:r>
      <w:r w:rsidR="00C5154F" w:rsidRPr="008432AC">
        <w:t>s</w:t>
      </w:r>
      <w:r w:rsidR="00172CCC" w:rsidRPr="008432AC">
        <w:t xml:space="preserve"> guidelines to policy</w:t>
      </w:r>
      <w:r w:rsidR="00BD5306" w:rsidRPr="008432AC">
        <w:t>-</w:t>
      </w:r>
      <w:r w:rsidR="00172CCC" w:rsidRPr="008432AC">
        <w:t>makers on how to control and enhance such motivators. Therefore, this unique contribution to the field is also enriched by presenting, in an integrated manner, the opinions of the four different stakeholder groups closely associated with healthcare systems and HIT adoption in the UAE. The in-depth interviews with these groups reveal the motivators</w:t>
      </w:r>
      <w:r w:rsidR="00257C7B">
        <w:t xml:space="preserve"> </w:t>
      </w:r>
      <w:r w:rsidR="00313E3B" w:rsidRPr="008432AC">
        <w:t>for</w:t>
      </w:r>
      <w:r w:rsidR="004B0FE8" w:rsidRPr="008432AC">
        <w:t xml:space="preserve"> and </w:t>
      </w:r>
      <w:r w:rsidR="00172CCC" w:rsidRPr="008432AC">
        <w:t>barriers to HIT adoption</w:t>
      </w:r>
      <w:r w:rsidR="004B0FE8" w:rsidRPr="008432AC">
        <w:t>, as well as</w:t>
      </w:r>
      <w:r w:rsidR="00172CCC" w:rsidRPr="008432AC">
        <w:t xml:space="preserve"> their priority levels, enabling the government and healthcare agencies to adapt their current policies </w:t>
      </w:r>
      <w:r w:rsidR="00172CCC" w:rsidRPr="008432AC">
        <w:lastRenderedPageBreak/>
        <w:t>and practices.</w:t>
      </w:r>
      <w:r w:rsidR="00257C7B">
        <w:t xml:space="preserve"> </w:t>
      </w:r>
      <w:r w:rsidR="004774A7" w:rsidRPr="008432AC">
        <w:t>At the theoretical level, the applicability of stakeholder theory to the healthcare sector is also improved, which allows policymakers to use the proposed framework for more diligent and inclusive future policy proposals.</w:t>
      </w:r>
    </w:p>
    <w:p w14:paraId="7D516561" w14:textId="77777777" w:rsidR="00AC7D81" w:rsidRPr="008432AC" w:rsidRDefault="00AC7D81" w:rsidP="009C1EAB">
      <w:pPr>
        <w:pStyle w:val="APAParagraph"/>
      </w:pPr>
      <w:r w:rsidRPr="008432AC">
        <w:t xml:space="preserve">This </w:t>
      </w:r>
      <w:r w:rsidR="00E10462" w:rsidRPr="008432AC">
        <w:t xml:space="preserve">research </w:t>
      </w:r>
      <w:r w:rsidRPr="008432AC">
        <w:t xml:space="preserve">brings </w:t>
      </w:r>
      <w:r w:rsidR="004B0FE8" w:rsidRPr="008432AC">
        <w:t>several</w:t>
      </w:r>
      <w:r w:rsidRPr="008432AC">
        <w:t xml:space="preserve"> novel viewpoints to the literature</w:t>
      </w:r>
      <w:r w:rsidR="004206D6" w:rsidRPr="008432AC">
        <w:t>, along with</w:t>
      </w:r>
      <w:r w:rsidRPr="008432AC">
        <w:t xml:space="preserve"> their corresponding implications, which can be summarized as follows:</w:t>
      </w:r>
    </w:p>
    <w:p w14:paraId="7D516562" w14:textId="77777777" w:rsidR="00AC7D81" w:rsidRPr="008432AC" w:rsidRDefault="00AC7D81" w:rsidP="009C1EAB">
      <w:pPr>
        <w:pStyle w:val="APAParagraph"/>
        <w:numPr>
          <w:ilvl w:val="0"/>
          <w:numId w:val="17"/>
        </w:numPr>
      </w:pPr>
      <w:r w:rsidRPr="008432AC">
        <w:t xml:space="preserve">Data from stakeholder groups in the UAE </w:t>
      </w:r>
      <w:r w:rsidR="00B45D96" w:rsidRPr="008432AC">
        <w:t>are</w:t>
      </w:r>
      <w:r w:rsidRPr="008432AC">
        <w:t xml:space="preserve"> collected and analyzed for the already identified HIT motivators</w:t>
      </w:r>
      <w:r w:rsidR="00B45D96" w:rsidRPr="008432AC">
        <w:t xml:space="preserve"> and </w:t>
      </w:r>
      <w:r w:rsidRPr="008432AC">
        <w:t>barriers</w:t>
      </w:r>
      <w:r w:rsidR="00B45D96" w:rsidRPr="008432AC">
        <w:t>.</w:t>
      </w:r>
    </w:p>
    <w:p w14:paraId="7D516563" w14:textId="77777777" w:rsidR="00CC0DF8" w:rsidRPr="008432AC" w:rsidRDefault="00B45D96" w:rsidP="009C1EAB">
      <w:pPr>
        <w:pStyle w:val="APAParagraph"/>
        <w:numPr>
          <w:ilvl w:val="0"/>
          <w:numId w:val="29"/>
        </w:numPr>
      </w:pPr>
      <w:r w:rsidRPr="008432AC">
        <w:t>F</w:t>
      </w:r>
      <w:r w:rsidR="00CC0DF8" w:rsidRPr="008432AC">
        <w:t>oresight experts ha</w:t>
      </w:r>
      <w:r w:rsidR="00220DC1" w:rsidRPr="008432AC">
        <w:t xml:space="preserve">ve not previously </w:t>
      </w:r>
      <w:r w:rsidR="00CC0DF8" w:rsidRPr="008432AC">
        <w:t>been included in research models, making this research theoretically valuable</w:t>
      </w:r>
      <w:r w:rsidR="00220DC1" w:rsidRPr="008432AC">
        <w:t xml:space="preserve"> as it </w:t>
      </w:r>
      <w:r w:rsidR="00CC0DF8" w:rsidRPr="008432AC">
        <w:t>fills in an important gap in the knowledge of HIT.</w:t>
      </w:r>
    </w:p>
    <w:p w14:paraId="7D516564" w14:textId="77777777" w:rsidR="00AC7D81" w:rsidRPr="008432AC" w:rsidRDefault="00333C3E" w:rsidP="009C1EAB">
      <w:pPr>
        <w:pStyle w:val="APAParagraph"/>
        <w:numPr>
          <w:ilvl w:val="0"/>
          <w:numId w:val="17"/>
        </w:numPr>
      </w:pPr>
      <w:r w:rsidRPr="008432AC">
        <w:t>From different resources,</w:t>
      </w:r>
      <w:r w:rsidR="00AC7D81" w:rsidRPr="008432AC">
        <w:t xml:space="preserve"> responses </w:t>
      </w:r>
      <w:r w:rsidR="00220DC1" w:rsidRPr="008432AC">
        <w:t xml:space="preserve">regarding the </w:t>
      </w:r>
      <w:r w:rsidR="00AC7D81" w:rsidRPr="008432AC">
        <w:t>motivators</w:t>
      </w:r>
      <w:r w:rsidR="00257C7B">
        <w:t xml:space="preserve"> </w:t>
      </w:r>
      <w:r w:rsidR="00313E3B" w:rsidRPr="008432AC">
        <w:t>for</w:t>
      </w:r>
      <w:r w:rsidR="00C80EEF" w:rsidRPr="008432AC">
        <w:t xml:space="preserve"> and </w:t>
      </w:r>
      <w:r w:rsidR="00AC7D81" w:rsidRPr="008432AC">
        <w:t xml:space="preserve">barriers to technology adoption </w:t>
      </w:r>
      <w:r w:rsidR="00C80EEF" w:rsidRPr="008432AC">
        <w:t>are</w:t>
      </w:r>
      <w:r w:rsidR="00AC7D81" w:rsidRPr="008432AC">
        <w:t xml:space="preserve"> collected to identify the major changes needed to achieve higher HIT adoption rates in general, and in the case of UAEs healthcare system in particular. </w:t>
      </w:r>
    </w:p>
    <w:p w14:paraId="7D516565" w14:textId="77777777" w:rsidR="00AC7D81" w:rsidRPr="008432AC" w:rsidRDefault="00AC7D81" w:rsidP="009C1EAB">
      <w:pPr>
        <w:pStyle w:val="APAParagraph"/>
        <w:numPr>
          <w:ilvl w:val="0"/>
          <w:numId w:val="17"/>
        </w:numPr>
      </w:pPr>
      <w:r w:rsidRPr="008432AC">
        <w:t xml:space="preserve">While the exploratory research identifies the barriers </w:t>
      </w:r>
      <w:r w:rsidR="00C80EEF" w:rsidRPr="008432AC">
        <w:t xml:space="preserve">and </w:t>
      </w:r>
      <w:r w:rsidRPr="008432AC">
        <w:t>motivators, SEM examine</w:t>
      </w:r>
      <w:r w:rsidR="00C80EEF" w:rsidRPr="008432AC">
        <w:t>s</w:t>
      </w:r>
      <w:r w:rsidRPr="008432AC">
        <w:t xml:space="preserve"> the various relationships between the healthcare system, stakeholders, and motivators/barriers, while simultaneously estimating measurement error.</w:t>
      </w:r>
    </w:p>
    <w:p w14:paraId="7D516566" w14:textId="77777777" w:rsidR="00AC7D81" w:rsidRPr="008432AC" w:rsidRDefault="00AC7D81" w:rsidP="009C1EAB">
      <w:pPr>
        <w:pStyle w:val="APAParagraph"/>
        <w:numPr>
          <w:ilvl w:val="0"/>
          <w:numId w:val="17"/>
        </w:numPr>
      </w:pPr>
      <w:r w:rsidRPr="008432AC">
        <w:t>The proposed methodology can also be applied to different contexts and similar countries, offering broad guidelines to healthcare participants.</w:t>
      </w:r>
    </w:p>
    <w:p w14:paraId="7D516567" w14:textId="77777777" w:rsidR="00FB7A51" w:rsidRPr="008432AC" w:rsidRDefault="00BF6D23" w:rsidP="00D36C42">
      <w:pPr>
        <w:pStyle w:val="Heading2"/>
      </w:pPr>
      <w:bookmarkStart w:id="37" w:name="_Toc24447767"/>
      <w:r w:rsidRPr="008432AC">
        <w:lastRenderedPageBreak/>
        <w:t>1.6</w:t>
      </w:r>
      <w:r w:rsidR="00FB7A51" w:rsidRPr="008432AC">
        <w:t xml:space="preserve">.2. Practical </w:t>
      </w:r>
      <w:r w:rsidR="00C80EEF" w:rsidRPr="008432AC">
        <w:t>C</w:t>
      </w:r>
      <w:r w:rsidR="00FB7A51" w:rsidRPr="008432AC">
        <w:t>ontribution</w:t>
      </w:r>
      <w:bookmarkEnd w:id="37"/>
    </w:p>
    <w:p w14:paraId="7D516568" w14:textId="77777777" w:rsidR="00AC7D81" w:rsidRPr="008432AC" w:rsidRDefault="00AC7D81" w:rsidP="009C1EAB">
      <w:pPr>
        <w:pStyle w:val="APAParagraph"/>
      </w:pPr>
      <w:r w:rsidRPr="008432AC">
        <w:t>The in-depth interviews with the</w:t>
      </w:r>
      <w:r w:rsidR="00D45720" w:rsidRPr="008432AC">
        <w:t xml:space="preserve"> target</w:t>
      </w:r>
      <w:r w:rsidRPr="008432AC">
        <w:t xml:space="preserve"> groups reveal the </w:t>
      </w:r>
      <w:r w:rsidR="00E155DE" w:rsidRPr="008432AC">
        <w:t xml:space="preserve">set of </w:t>
      </w:r>
      <w:r w:rsidRPr="008432AC">
        <w:t>motivators</w:t>
      </w:r>
      <w:r w:rsidR="00257C7B">
        <w:t xml:space="preserve"> </w:t>
      </w:r>
      <w:r w:rsidR="00313E3B" w:rsidRPr="008432AC">
        <w:t>for</w:t>
      </w:r>
      <w:r w:rsidR="00C80EEF" w:rsidRPr="008432AC">
        <w:t xml:space="preserve"> and </w:t>
      </w:r>
      <w:r w:rsidRPr="008432AC">
        <w:t xml:space="preserve">barriers </w:t>
      </w:r>
      <w:r w:rsidR="00C80EEF" w:rsidRPr="008432AC">
        <w:t xml:space="preserve">to </w:t>
      </w:r>
      <w:r w:rsidRPr="008432AC">
        <w:t xml:space="preserve">HIT adoption and their priority levels, enabling the government and healthcare agencies to adapt their current policies and practices. </w:t>
      </w:r>
      <w:r w:rsidR="00D45720" w:rsidRPr="008432AC">
        <w:t>Further, involving foresight experts is a novel way to directly gain insight from practi</w:t>
      </w:r>
      <w:r w:rsidR="00432D70" w:rsidRPr="008432AC">
        <w:t>ti</w:t>
      </w:r>
      <w:r w:rsidR="00D45720" w:rsidRPr="008432AC">
        <w:t xml:space="preserve">oners and analyze it along </w:t>
      </w:r>
      <w:r w:rsidR="006929E3" w:rsidRPr="008432AC">
        <w:t xml:space="preserve">combined </w:t>
      </w:r>
      <w:r w:rsidR="00D45720" w:rsidRPr="008432AC">
        <w:t>with the insights from the other stakeholder groups.</w:t>
      </w:r>
      <w:r w:rsidR="006929E3" w:rsidRPr="008432AC">
        <w:t xml:space="preserve"> The practical contributions of this research can be summarized as follow</w:t>
      </w:r>
      <w:r w:rsidR="002E31A1" w:rsidRPr="008432AC">
        <w:t>s</w:t>
      </w:r>
      <w:r w:rsidR="006929E3" w:rsidRPr="008432AC">
        <w:t>:</w:t>
      </w:r>
    </w:p>
    <w:p w14:paraId="7D516569" w14:textId="77777777" w:rsidR="00885BCD" w:rsidRPr="008432AC" w:rsidRDefault="00172CCC" w:rsidP="009C1EAB">
      <w:pPr>
        <w:pStyle w:val="APAParagraph"/>
        <w:numPr>
          <w:ilvl w:val="0"/>
          <w:numId w:val="24"/>
        </w:numPr>
      </w:pPr>
      <w:r w:rsidRPr="008432AC">
        <w:t xml:space="preserve">In practical terms, this </w:t>
      </w:r>
      <w:r w:rsidR="002E31A1" w:rsidRPr="008432AC">
        <w:t xml:space="preserve">research </w:t>
      </w:r>
      <w:r w:rsidRPr="008432AC">
        <w:t>standardizes the basic tenets of HIT adoption and enriches organizations’ perspective</w:t>
      </w:r>
      <w:r w:rsidR="004774A7" w:rsidRPr="008432AC">
        <w:t>s</w:t>
      </w:r>
      <w:r w:rsidR="00257C7B">
        <w:t xml:space="preserve"> </w:t>
      </w:r>
      <w:r w:rsidR="006929E3" w:rsidRPr="008432AC">
        <w:t xml:space="preserve">regarding </w:t>
      </w:r>
      <w:r w:rsidRPr="008432AC">
        <w:t xml:space="preserve">technological innovation within the healthcare ecosystem to proactively respond to social needs. </w:t>
      </w:r>
    </w:p>
    <w:p w14:paraId="7D51656A" w14:textId="77777777" w:rsidR="00885BCD" w:rsidRPr="008432AC" w:rsidRDefault="00172CCC" w:rsidP="009C1EAB">
      <w:pPr>
        <w:pStyle w:val="APAParagraph"/>
        <w:numPr>
          <w:ilvl w:val="0"/>
          <w:numId w:val="24"/>
        </w:numPr>
      </w:pPr>
      <w:r w:rsidRPr="008432AC">
        <w:t xml:space="preserve">The results also show that the landscape of the healthcare systems, in view of the emergence of e-health systems, supports coordination across healthcare organizations in the UAE and is evolving, showing </w:t>
      </w:r>
      <w:r w:rsidR="0003206E" w:rsidRPr="008432AC">
        <w:t>several</w:t>
      </w:r>
      <w:r w:rsidRPr="008432AC">
        <w:t xml:space="preserve"> emergent features. Its evolution seems to be the results of four development directions</w:t>
      </w:r>
      <w:r w:rsidR="00885BCD" w:rsidRPr="008432AC">
        <w:t>:</w:t>
      </w:r>
    </w:p>
    <w:p w14:paraId="7D51656B" w14:textId="77777777" w:rsidR="00885BCD" w:rsidRPr="008432AC" w:rsidRDefault="00172CCC" w:rsidP="009C1EAB">
      <w:pPr>
        <w:pStyle w:val="APAParagraph"/>
        <w:numPr>
          <w:ilvl w:val="1"/>
          <w:numId w:val="21"/>
        </w:numPr>
      </w:pPr>
      <w:r w:rsidRPr="008432AC">
        <w:t xml:space="preserve">top-down national influence through HIT adoption programs, directions for development, and information governance; </w:t>
      </w:r>
    </w:p>
    <w:p w14:paraId="7D51656C" w14:textId="77777777" w:rsidR="00885BCD" w:rsidRPr="008432AC" w:rsidRDefault="00172CCC" w:rsidP="009C1EAB">
      <w:pPr>
        <w:pStyle w:val="APAParagraph"/>
        <w:numPr>
          <w:ilvl w:val="1"/>
          <w:numId w:val="21"/>
        </w:numPr>
      </w:pPr>
      <w:r w:rsidRPr="008432AC">
        <w:t>local priorities for inter-organizational cooperation;</w:t>
      </w:r>
    </w:p>
    <w:p w14:paraId="7D51656D" w14:textId="77777777" w:rsidR="00885BCD" w:rsidRPr="008432AC" w:rsidRDefault="00172CCC" w:rsidP="009C1EAB">
      <w:pPr>
        <w:pStyle w:val="APAParagraph"/>
        <w:numPr>
          <w:ilvl w:val="1"/>
          <w:numId w:val="21"/>
        </w:numPr>
      </w:pPr>
      <w:r w:rsidRPr="008432AC">
        <w:t>awareness amongst the patient community, which creates pressure from the bottom up for further improving the system; and</w:t>
      </w:r>
    </w:p>
    <w:p w14:paraId="7D51656E" w14:textId="77777777" w:rsidR="00885BCD" w:rsidRPr="008432AC" w:rsidRDefault="00172CCC" w:rsidP="009C1EAB">
      <w:pPr>
        <w:pStyle w:val="APAParagraph"/>
        <w:numPr>
          <w:ilvl w:val="1"/>
          <w:numId w:val="21"/>
        </w:numPr>
      </w:pPr>
      <w:r w:rsidRPr="008432AC">
        <w:lastRenderedPageBreak/>
        <w:t xml:space="preserve">IT policies and strategies to create a resilient infrastructure that can cope with the emerging demands </w:t>
      </w:r>
      <w:r w:rsidR="00115CE2" w:rsidRPr="008432AC">
        <w:t>noted</w:t>
      </w:r>
      <w:r w:rsidRPr="008432AC">
        <w:t xml:space="preserve"> above. </w:t>
      </w:r>
    </w:p>
    <w:p w14:paraId="7D51656F" w14:textId="77777777" w:rsidR="00885BCD" w:rsidRPr="008432AC" w:rsidRDefault="004F6197" w:rsidP="009C1EAB">
      <w:pPr>
        <w:pStyle w:val="APAParagraph"/>
        <w:numPr>
          <w:ilvl w:val="0"/>
          <w:numId w:val="23"/>
        </w:numPr>
      </w:pPr>
      <w:r w:rsidRPr="008432AC">
        <w:t>This</w:t>
      </w:r>
      <w:r w:rsidR="00257C7B">
        <w:t xml:space="preserve"> </w:t>
      </w:r>
      <w:r w:rsidR="00F07431" w:rsidRPr="008432AC">
        <w:t>research</w:t>
      </w:r>
      <w:r w:rsidR="00172CCC" w:rsidRPr="008432AC">
        <w:t xml:space="preserve"> can be considered a starting point for the debate on whether the design of the e-healthcare system in the UAE should be approached from a top</w:t>
      </w:r>
      <w:r w:rsidR="00F07431" w:rsidRPr="008432AC">
        <w:t>-</w:t>
      </w:r>
      <w:r w:rsidR="00172CCC" w:rsidRPr="008432AC">
        <w:t>down or bottom</w:t>
      </w:r>
      <w:r w:rsidR="00F07431" w:rsidRPr="008432AC">
        <w:t>-</w:t>
      </w:r>
      <w:r w:rsidR="00172CCC" w:rsidRPr="008432AC">
        <w:t xml:space="preserve">up perspective. </w:t>
      </w:r>
    </w:p>
    <w:p w14:paraId="7D516570" w14:textId="77777777" w:rsidR="00885BCD" w:rsidRPr="008432AC" w:rsidRDefault="00F07431" w:rsidP="009C1EAB">
      <w:pPr>
        <w:pStyle w:val="APAParagraph"/>
        <w:numPr>
          <w:ilvl w:val="0"/>
          <w:numId w:val="23"/>
        </w:numPr>
      </w:pPr>
      <w:r w:rsidRPr="008432AC">
        <w:t>This research</w:t>
      </w:r>
      <w:r w:rsidR="00172CCC" w:rsidRPr="008432AC">
        <w:t xml:space="preserve"> demonstrates that current practice has both top-down and bottom-up, as well as middle</w:t>
      </w:r>
      <w:r w:rsidR="00CA0E20" w:rsidRPr="008432AC">
        <w:t>-</w:t>
      </w:r>
      <w:r w:rsidR="00172CCC" w:rsidRPr="008432AC">
        <w:t xml:space="preserve">out contributions, stemming from all involved stakeholder categories. </w:t>
      </w:r>
    </w:p>
    <w:p w14:paraId="7D516571" w14:textId="77777777" w:rsidR="004F6197" w:rsidRPr="008432AC" w:rsidRDefault="00885BCD" w:rsidP="009C1EAB">
      <w:pPr>
        <w:pStyle w:val="APAParagraph"/>
        <w:numPr>
          <w:ilvl w:val="0"/>
          <w:numId w:val="23"/>
        </w:numPr>
      </w:pPr>
      <w:r w:rsidRPr="008432AC">
        <w:t>A</w:t>
      </w:r>
      <w:r w:rsidR="00172CCC" w:rsidRPr="008432AC">
        <w:t>lthough the results would differ in other contexts, the methodology can be applied to different contexts and countries, offering broad guidelines for healthcare participants’ involvement in the creation of e-healthcare.</w:t>
      </w:r>
    </w:p>
    <w:p w14:paraId="7D516572" w14:textId="77777777" w:rsidR="004F6197" w:rsidRPr="008432AC" w:rsidRDefault="00C8275E" w:rsidP="009C1EAB">
      <w:pPr>
        <w:pStyle w:val="APAParagraph"/>
        <w:numPr>
          <w:ilvl w:val="0"/>
          <w:numId w:val="23"/>
        </w:numPr>
      </w:pPr>
      <w:r w:rsidRPr="008432AC">
        <w:t>Regarding policy making, the</w:t>
      </w:r>
      <w:r w:rsidR="00CA0E20" w:rsidRPr="008432AC">
        <w:t xml:space="preserve"> research reveals that the</w:t>
      </w:r>
      <w:r w:rsidRPr="008432AC">
        <w:t xml:space="preserve"> UAE is in a good position </w:t>
      </w:r>
      <w:r w:rsidR="00885BCD" w:rsidRPr="008432AC">
        <w:t xml:space="preserve">when it comes to </w:t>
      </w:r>
      <w:r w:rsidRPr="008432AC">
        <w:t xml:space="preserve">the implementation of innovative healthcare technology for the populace. </w:t>
      </w:r>
    </w:p>
    <w:p w14:paraId="7D516573" w14:textId="77777777" w:rsidR="004F6197" w:rsidRPr="008432AC" w:rsidRDefault="00C8275E" w:rsidP="009C1EAB">
      <w:pPr>
        <w:pStyle w:val="APAParagraph"/>
        <w:numPr>
          <w:ilvl w:val="0"/>
          <w:numId w:val="23"/>
        </w:numPr>
      </w:pPr>
      <w:r w:rsidRPr="008432AC">
        <w:t xml:space="preserve">The present </w:t>
      </w:r>
      <w:r w:rsidR="004A43F4" w:rsidRPr="008432AC">
        <w:t>research</w:t>
      </w:r>
      <w:r w:rsidRPr="008432AC">
        <w:t xml:space="preserve">, by enhancing the current knowledge of key stakeholders’ views on adopting HIT in the UAE—particularly if combined with similar studies </w:t>
      </w:r>
      <w:r w:rsidR="00DA1FA0" w:rsidRPr="008432AC">
        <w:t>i</w:t>
      </w:r>
      <w:r w:rsidRPr="008432AC">
        <w:t>n other countries—can help us to better understand why and how the UAE is leading this healthcare technology revolution and how it can be used as an example to get other countries in the region—and around the world—to start adopting these valuable innovations.</w:t>
      </w:r>
    </w:p>
    <w:p w14:paraId="7D516574" w14:textId="77777777" w:rsidR="004F6197" w:rsidRPr="008432AC" w:rsidRDefault="00B77A0A" w:rsidP="009C1EAB">
      <w:pPr>
        <w:pStyle w:val="APAParagraph"/>
        <w:numPr>
          <w:ilvl w:val="0"/>
          <w:numId w:val="23"/>
        </w:numPr>
      </w:pPr>
      <w:r w:rsidRPr="008432AC">
        <w:lastRenderedPageBreak/>
        <w:t xml:space="preserve">The results of the present </w:t>
      </w:r>
      <w:r w:rsidR="004A43F4" w:rsidRPr="008432AC">
        <w:t>research</w:t>
      </w:r>
      <w:r w:rsidR="00257C7B">
        <w:t xml:space="preserve"> </w:t>
      </w:r>
      <w:r w:rsidRPr="008432AC">
        <w:t xml:space="preserve">are of </w:t>
      </w:r>
      <w:r w:rsidR="00DA1FA0" w:rsidRPr="008432AC">
        <w:t xml:space="preserve">the </w:t>
      </w:r>
      <w:r w:rsidRPr="008432AC">
        <w:t>utmost importance to policy</w:t>
      </w:r>
      <w:r w:rsidR="00BD5306" w:rsidRPr="008432AC">
        <w:t>-</w:t>
      </w:r>
      <w:r w:rsidRPr="008432AC">
        <w:t xml:space="preserve">makers and health professionals </w:t>
      </w:r>
      <w:r w:rsidR="00DA1FA0" w:rsidRPr="008432AC">
        <w:t>who</w:t>
      </w:r>
      <w:r w:rsidRPr="008432AC">
        <w:t xml:space="preserve"> must address the issue of rising care cost</w:t>
      </w:r>
      <w:r w:rsidR="005C5BB2" w:rsidRPr="008432AC">
        <w:t>s</w:t>
      </w:r>
      <w:r w:rsidRPr="008432AC">
        <w:t xml:space="preserve"> and disjointed demographic changes in their attempts</w:t>
      </w:r>
      <w:r w:rsidR="004F6197" w:rsidRPr="008432AC">
        <w:t xml:space="preserve"> to</w:t>
      </w:r>
      <w:r w:rsidRPr="008432AC">
        <w:t xml:space="preserve"> improve the quality of healthcare services delivered to patients via tech-based innovations. </w:t>
      </w:r>
    </w:p>
    <w:p w14:paraId="7D516575" w14:textId="77777777" w:rsidR="004F6197" w:rsidRPr="008432AC" w:rsidRDefault="005C5BB2" w:rsidP="009C1EAB">
      <w:pPr>
        <w:pStyle w:val="APAParagraph"/>
        <w:numPr>
          <w:ilvl w:val="0"/>
          <w:numId w:val="23"/>
        </w:numPr>
      </w:pPr>
      <w:r w:rsidRPr="008432AC">
        <w:t>Notably</w:t>
      </w:r>
      <w:r w:rsidR="00B77A0A" w:rsidRPr="008432AC">
        <w:t>, data</w:t>
      </w:r>
      <w:r w:rsidRPr="008432AC">
        <w:t>-</w:t>
      </w:r>
      <w:r w:rsidR="00B77A0A" w:rsidRPr="008432AC">
        <w:t>security concerns are not as strong deterrents as concerns about organization, policy, and the practicability and longevit</w:t>
      </w:r>
      <w:r w:rsidR="004F6197" w:rsidRPr="008432AC">
        <w:t>y of the proposed technologies.</w:t>
      </w:r>
    </w:p>
    <w:p w14:paraId="7D516576" w14:textId="77777777" w:rsidR="004F6197" w:rsidRPr="008432AC" w:rsidRDefault="00B77A0A" w:rsidP="009C1EAB">
      <w:pPr>
        <w:pStyle w:val="APAParagraph"/>
        <w:numPr>
          <w:ilvl w:val="0"/>
          <w:numId w:val="23"/>
        </w:numPr>
      </w:pPr>
      <w:r w:rsidRPr="008432AC">
        <w:t xml:space="preserve">Despite the obvious, documented benefits of HIT to all health stakeholders, the diffusion of technology in the UAE is still low—and even lower </w:t>
      </w:r>
      <w:r w:rsidR="00733A67" w:rsidRPr="008432AC">
        <w:t>i</w:t>
      </w:r>
      <w:r w:rsidRPr="008432AC">
        <w:t xml:space="preserve">n most other Arab nations—and meets resistance from medical specialists. </w:t>
      </w:r>
    </w:p>
    <w:p w14:paraId="7D516577" w14:textId="77777777" w:rsidR="00C50073" w:rsidRPr="008432AC" w:rsidRDefault="004F6197" w:rsidP="009C1EAB">
      <w:pPr>
        <w:pStyle w:val="APAParagraph"/>
        <w:numPr>
          <w:ilvl w:val="0"/>
          <w:numId w:val="23"/>
        </w:numPr>
      </w:pPr>
      <w:r w:rsidRPr="008432AC">
        <w:t>T</w:t>
      </w:r>
      <w:r w:rsidR="00B77A0A" w:rsidRPr="008432AC">
        <w:t>hese findings suggest that effective avenues for enhancing the adoption of these technologies should be aimed less at convincing people of the security of the technologies</w:t>
      </w:r>
      <w:r w:rsidR="00D50EEF" w:rsidRPr="008432AC">
        <w:t xml:space="preserve"> and more </w:t>
      </w:r>
      <w:r w:rsidR="00B77A0A" w:rsidRPr="008432AC">
        <w:t>at developing technologies that will be user</w:t>
      </w:r>
      <w:r w:rsidR="00D50EEF" w:rsidRPr="008432AC">
        <w:t>-</w:t>
      </w:r>
      <w:r w:rsidR="00B77A0A" w:rsidRPr="008432AC">
        <w:t>friendly, training people to use these technologies, and ensuring that changes are implemented smoothly.</w:t>
      </w:r>
    </w:p>
    <w:p w14:paraId="7D516578" w14:textId="77777777" w:rsidR="00276570" w:rsidRPr="008432AC" w:rsidRDefault="00BF6D23" w:rsidP="003A1141">
      <w:pPr>
        <w:pStyle w:val="Heading1"/>
      </w:pPr>
      <w:bookmarkStart w:id="38" w:name="_Toc24447768"/>
      <w:r w:rsidRPr="008432AC">
        <w:t>1.7</w:t>
      </w:r>
      <w:r w:rsidR="00FB7A51" w:rsidRPr="008432AC">
        <w:t>. Summary</w:t>
      </w:r>
      <w:bookmarkEnd w:id="38"/>
    </w:p>
    <w:p w14:paraId="7D516579" w14:textId="77777777" w:rsidR="00054E3E" w:rsidRPr="008432AC" w:rsidRDefault="00121BCA" w:rsidP="009C1EAB">
      <w:pPr>
        <w:pStyle w:val="APAParagraph"/>
      </w:pPr>
      <w:r w:rsidRPr="008432AC">
        <w:t>T</w:t>
      </w:r>
      <w:r w:rsidR="00054E3E" w:rsidRPr="008432AC">
        <w:t xml:space="preserve">his </w:t>
      </w:r>
      <w:r w:rsidR="004A43F4" w:rsidRPr="008432AC">
        <w:t>research</w:t>
      </w:r>
      <w:r w:rsidR="00257C7B" w:rsidRPr="008432AC">
        <w:t xml:space="preserve"> </w:t>
      </w:r>
      <w:r w:rsidR="00054E3E" w:rsidRPr="008432AC">
        <w:t>identif</w:t>
      </w:r>
      <w:r w:rsidRPr="008432AC">
        <w:t>ies</w:t>
      </w:r>
      <w:r w:rsidR="00054E3E" w:rsidRPr="008432AC">
        <w:t xml:space="preserve"> the key motivators</w:t>
      </w:r>
      <w:r w:rsidR="00257C7B" w:rsidRPr="008432AC">
        <w:t xml:space="preserve"> </w:t>
      </w:r>
      <w:r w:rsidR="00054E3E" w:rsidRPr="008432AC">
        <w:t xml:space="preserve">and barriers for various stakeholders groups </w:t>
      </w:r>
      <w:r w:rsidR="00D50EEF" w:rsidRPr="008432AC">
        <w:t xml:space="preserve">regarding </w:t>
      </w:r>
      <w:r w:rsidR="00054E3E" w:rsidRPr="008432AC">
        <w:t>the adoption of technology in the healthcare sector</w:t>
      </w:r>
      <w:r w:rsidRPr="008432AC">
        <w:t xml:space="preserve"> by using a two-phase methodology</w:t>
      </w:r>
      <w:r w:rsidR="00054E3E" w:rsidRPr="008432AC">
        <w:t xml:space="preserve">. Interviews with members of the identified </w:t>
      </w:r>
      <w:r w:rsidR="00054E3E" w:rsidRPr="008432AC">
        <w:lastRenderedPageBreak/>
        <w:t>stakeholder groups and the analysis of their responses w</w:t>
      </w:r>
      <w:r w:rsidRPr="008432AC">
        <w:t>ere</w:t>
      </w:r>
      <w:r w:rsidR="00054E3E" w:rsidRPr="008432AC">
        <w:t xml:space="preserve"> used to determine similarities and differences. On one hand, motivators </w:t>
      </w:r>
      <w:r w:rsidRPr="008432AC">
        <w:t>were</w:t>
      </w:r>
      <w:r w:rsidR="00054E3E" w:rsidRPr="008432AC">
        <w:t xml:space="preserve"> grouped into the broad categories of government support, knowledge sharing, high demand, infrastructure, social awareness, and the environment. Barriers, on the other hand, </w:t>
      </w:r>
      <w:r w:rsidRPr="008432AC">
        <w:t>were</w:t>
      </w:r>
      <w:r w:rsidR="00054E3E" w:rsidRPr="008432AC">
        <w:t xml:space="preserve"> grouped into data</w:t>
      </w:r>
      <w:r w:rsidR="00101BD6" w:rsidRPr="008432AC">
        <w:t>-</w:t>
      </w:r>
      <w:r w:rsidR="00054E3E" w:rsidRPr="008432AC">
        <w:t>privacy issues, lack of knowledge or the need for more training, implementation, leadership, cost, and social awareness.</w:t>
      </w:r>
    </w:p>
    <w:p w14:paraId="7D51657A" w14:textId="77777777" w:rsidR="00276570" w:rsidRPr="008432AC" w:rsidRDefault="00276570" w:rsidP="009C1EAB">
      <w:pPr>
        <w:pStyle w:val="APAParagraph"/>
      </w:pPr>
      <w:r w:rsidRPr="008432AC">
        <w:t>However, this approach comes with specific challenges. First, all major stakeholders may provide interesting but contradictory results. Second, the analysis of future foresight experts’ opinions is a novel approach in academic research</w:t>
      </w:r>
      <w:r w:rsidR="00121BCA" w:rsidRPr="008432AC">
        <w:t>, which has not been tested before, but provides a new way of directly involving the industry’s planning capacity in studying HIT adoption.</w:t>
      </w:r>
    </w:p>
    <w:p w14:paraId="7D51657B" w14:textId="77777777" w:rsidR="000B4A57" w:rsidRPr="008432AC" w:rsidRDefault="000B4A57" w:rsidP="009C1EAB">
      <w:pPr>
        <w:pStyle w:val="APAParagraph"/>
      </w:pPr>
      <w:r w:rsidRPr="008432AC">
        <w:t xml:space="preserve">Included in this section are </w:t>
      </w:r>
      <w:r w:rsidR="00E35612" w:rsidRPr="008432AC">
        <w:t xml:space="preserve">the statement of the problem, the research context, the justification for </w:t>
      </w:r>
      <w:r w:rsidR="00910651" w:rsidRPr="008432AC">
        <w:t xml:space="preserve">the </w:t>
      </w:r>
      <w:r w:rsidR="004A43F4" w:rsidRPr="008432AC">
        <w:t>research</w:t>
      </w:r>
      <w:r w:rsidR="00E35612" w:rsidRPr="008432AC">
        <w:t xml:space="preserve">, the research questions and objectives, and the research contribution. </w:t>
      </w:r>
    </w:p>
    <w:p w14:paraId="7D51657C" w14:textId="77777777" w:rsidR="00282533" w:rsidRPr="008432AC" w:rsidRDefault="00282533" w:rsidP="009C1EAB">
      <w:pPr>
        <w:pStyle w:val="APAParagraph"/>
      </w:pPr>
      <w:r w:rsidRPr="008432AC">
        <w:t xml:space="preserve">Chapter </w:t>
      </w:r>
      <w:r w:rsidR="00910651" w:rsidRPr="008432AC">
        <w:t>two</w:t>
      </w:r>
      <w:r w:rsidRPr="008432AC">
        <w:t xml:space="preserve"> reviews the literature to establish the current understanding of technology in healthcare, the state of healthcare and HIT in the UAE, and what is known about the motivators </w:t>
      </w:r>
      <w:r w:rsidR="00313E3B" w:rsidRPr="008432AC">
        <w:t>for</w:t>
      </w:r>
      <w:r w:rsidR="00257C7B" w:rsidRPr="008432AC">
        <w:t xml:space="preserve"> </w:t>
      </w:r>
      <w:r w:rsidRPr="008432AC">
        <w:t>and barriers</w:t>
      </w:r>
      <w:r w:rsidR="00257C7B" w:rsidRPr="008432AC">
        <w:t xml:space="preserve"> </w:t>
      </w:r>
      <w:r w:rsidR="00307F56" w:rsidRPr="008432AC">
        <w:t>t</w:t>
      </w:r>
      <w:r w:rsidR="00864889" w:rsidRPr="008432AC">
        <w:t>o HIT adoption</w:t>
      </w:r>
      <w:r w:rsidRPr="008432AC">
        <w:t xml:space="preserve"> in the UAE. Chapter </w:t>
      </w:r>
      <w:r w:rsidR="009D5724" w:rsidRPr="008432AC">
        <w:t>three</w:t>
      </w:r>
      <w:r w:rsidRPr="008432AC">
        <w:t xml:space="preserve"> highlights the value of using stakeholder theory in this line of research. Chapter </w:t>
      </w:r>
      <w:r w:rsidR="009D5724" w:rsidRPr="008432AC">
        <w:t>four</w:t>
      </w:r>
      <w:r w:rsidRPr="008432AC">
        <w:t xml:space="preserve"> provides the design and data</w:t>
      </w:r>
      <w:r w:rsidR="009D5724" w:rsidRPr="008432AC">
        <w:t>-</w:t>
      </w:r>
      <w:r w:rsidRPr="008432AC">
        <w:t>collection methods across a series of five studies that examined the motivators</w:t>
      </w:r>
      <w:r w:rsidR="00257C7B" w:rsidRPr="008432AC">
        <w:t xml:space="preserve"> </w:t>
      </w:r>
      <w:r w:rsidR="00313E3B" w:rsidRPr="008432AC">
        <w:t>for</w:t>
      </w:r>
      <w:r w:rsidRPr="008432AC">
        <w:t xml:space="preserve"> and barriers </w:t>
      </w:r>
      <w:r w:rsidR="00313E3B" w:rsidRPr="008432AC">
        <w:t>t</w:t>
      </w:r>
      <w:r w:rsidRPr="008432AC">
        <w:t xml:space="preserve">o HIT adoption in the UAE, while Chapter </w:t>
      </w:r>
      <w:r w:rsidR="009D5724" w:rsidRPr="008432AC">
        <w:t>five</w:t>
      </w:r>
      <w:r w:rsidRPr="008432AC">
        <w:t xml:space="preserve"> presents and discusses the findings. Chapter </w:t>
      </w:r>
      <w:r w:rsidR="009D5724" w:rsidRPr="008432AC">
        <w:t xml:space="preserve">six </w:t>
      </w:r>
      <w:r w:rsidRPr="008432AC">
        <w:lastRenderedPageBreak/>
        <w:t xml:space="preserve">elaborates on the implications of these findings, including suggesting avenues for future research, </w:t>
      </w:r>
      <w:r w:rsidR="00AD2626" w:rsidRPr="008432AC">
        <w:t>while</w:t>
      </w:r>
      <w:r w:rsidRPr="008432AC">
        <w:t xml:space="preserve"> Chapter </w:t>
      </w:r>
      <w:r w:rsidR="00AD2626" w:rsidRPr="008432AC">
        <w:t>seven</w:t>
      </w:r>
      <w:r w:rsidRPr="008432AC">
        <w:t xml:space="preserve"> offers</w:t>
      </w:r>
      <w:r w:rsidR="00257C7B" w:rsidRPr="008432AC">
        <w:t xml:space="preserve"> </w:t>
      </w:r>
      <w:r w:rsidRPr="008432AC">
        <w:t>concluding remarks.</w:t>
      </w:r>
    </w:p>
    <w:p w14:paraId="7D51657D" w14:textId="77777777" w:rsidR="00282533" w:rsidRPr="008432AC" w:rsidRDefault="00282533" w:rsidP="009C1EAB">
      <w:pPr>
        <w:pStyle w:val="APAParagraph"/>
      </w:pPr>
    </w:p>
    <w:p w14:paraId="7D51657E" w14:textId="77777777" w:rsidR="00C8151F" w:rsidRPr="008432AC" w:rsidRDefault="00C8151F" w:rsidP="009C1EAB">
      <w:pPr>
        <w:pStyle w:val="APAParagraph"/>
      </w:pPr>
      <w:r w:rsidRPr="008432AC">
        <w:br w:type="page"/>
      </w:r>
    </w:p>
    <w:p w14:paraId="7D51657F" w14:textId="77777777" w:rsidR="00C8151F" w:rsidRPr="008432AC" w:rsidRDefault="00445E76" w:rsidP="00790070">
      <w:pPr>
        <w:pStyle w:val="ChapterTitle"/>
        <w:rPr>
          <w:i/>
        </w:rPr>
      </w:pPr>
      <w:bookmarkStart w:id="39" w:name="_Toc532800282"/>
      <w:bookmarkStart w:id="40" w:name="_Toc534028526"/>
      <w:bookmarkStart w:id="41" w:name="_Toc534028911"/>
      <w:bookmarkStart w:id="42" w:name="_Toc24447769"/>
      <w:r w:rsidRPr="008432AC">
        <w:rPr>
          <w:caps w:val="0"/>
        </w:rPr>
        <w:lastRenderedPageBreak/>
        <w:t xml:space="preserve">CHAPTER </w:t>
      </w:r>
      <w:r w:rsidR="00C8151F" w:rsidRPr="008432AC">
        <w:t>2: Literature Review</w:t>
      </w:r>
      <w:bookmarkEnd w:id="39"/>
      <w:bookmarkEnd w:id="40"/>
      <w:bookmarkEnd w:id="41"/>
      <w:bookmarkEnd w:id="42"/>
    </w:p>
    <w:p w14:paraId="7D516580" w14:textId="77777777" w:rsidR="00635C2A" w:rsidRPr="00790070" w:rsidRDefault="009326F2" w:rsidP="00790070">
      <w:pPr>
        <w:jc w:val="center"/>
        <w:rPr>
          <w:b/>
          <w:bCs/>
          <w:sz w:val="30"/>
          <w:szCs w:val="30"/>
        </w:rPr>
      </w:pPr>
      <w:bookmarkStart w:id="43" w:name="_Toc532800283"/>
      <w:bookmarkStart w:id="44" w:name="_Toc534028527"/>
      <w:bookmarkStart w:id="45" w:name="_Toc534028912"/>
      <w:r w:rsidRPr="00790070">
        <w:rPr>
          <w:b/>
          <w:bCs/>
          <w:sz w:val="30"/>
          <w:szCs w:val="30"/>
        </w:rPr>
        <w:t xml:space="preserve">Structure of </w:t>
      </w:r>
      <w:r w:rsidR="005922C2" w:rsidRPr="008432AC">
        <w:rPr>
          <w:b/>
          <w:bCs/>
          <w:sz w:val="30"/>
          <w:szCs w:val="30"/>
        </w:rPr>
        <w:t>C</w:t>
      </w:r>
      <w:r w:rsidRPr="00790070">
        <w:rPr>
          <w:b/>
          <w:bCs/>
          <w:sz w:val="30"/>
          <w:szCs w:val="30"/>
        </w:rPr>
        <w:t xml:space="preserve">hapter </w:t>
      </w:r>
      <w:r w:rsidR="005922C2" w:rsidRPr="008432AC">
        <w:rPr>
          <w:b/>
          <w:bCs/>
          <w:sz w:val="30"/>
          <w:szCs w:val="30"/>
        </w:rPr>
        <w:t>T</w:t>
      </w:r>
      <w:r w:rsidRPr="00790070">
        <w:rPr>
          <w:b/>
          <w:bCs/>
          <w:sz w:val="30"/>
          <w:szCs w:val="30"/>
        </w:rPr>
        <w:t>wo</w:t>
      </w:r>
    </w:p>
    <w:p w14:paraId="7D516581" w14:textId="77777777" w:rsidR="00635C2A" w:rsidRPr="008432AC" w:rsidRDefault="00635C2A">
      <w:pPr>
        <w:rPr>
          <w:b/>
          <w:bCs/>
        </w:rPr>
      </w:pPr>
    </w:p>
    <w:p w14:paraId="7D516582" w14:textId="77777777" w:rsidR="001A3C3E" w:rsidRPr="008432AC" w:rsidRDefault="00635C2A">
      <w:pPr>
        <w:rPr>
          <w:b/>
          <w:bCs/>
        </w:rPr>
      </w:pPr>
      <w:r w:rsidRPr="00DD1197">
        <w:rPr>
          <w:b/>
          <w:bCs/>
          <w:noProof/>
        </w:rPr>
        <w:drawing>
          <wp:inline distT="0" distB="0" distL="0" distR="0" wp14:anchorId="7D516D9C" wp14:editId="63D04964">
            <wp:extent cx="4811150" cy="1923415"/>
            <wp:effectExtent l="0" t="0" r="27940" b="635"/>
            <wp:docPr id="11"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7D516583" w14:textId="77777777" w:rsidR="001A3C3E" w:rsidRPr="008432AC" w:rsidRDefault="001A3C3E">
      <w:pPr>
        <w:rPr>
          <w:b/>
          <w:bCs/>
        </w:rPr>
      </w:pPr>
    </w:p>
    <w:p w14:paraId="7D516584" w14:textId="77777777" w:rsidR="009326F2" w:rsidRPr="008432AC" w:rsidRDefault="001A3C3E" w:rsidP="002C07D1">
      <w:pPr>
        <w:spacing w:line="480" w:lineRule="auto"/>
        <w:jc w:val="both"/>
        <w:rPr>
          <w:rFonts w:eastAsiaTheme="majorEastAsia" w:cstheme="majorBidi"/>
        </w:rPr>
      </w:pPr>
      <w:r w:rsidRPr="008432AC">
        <w:t xml:space="preserve">This chapter </w:t>
      </w:r>
      <w:r w:rsidR="000410B2" w:rsidRPr="008432AC">
        <w:t>examines</w:t>
      </w:r>
      <w:r w:rsidRPr="008432AC">
        <w:t xml:space="preserve"> the literature related to HIT in general and then focuses specifically on the healthcare system of the UAE. It then discusses previous studies that have explored and prioritized the motivators and barriers behind the HIT adoption, followed by a discussion of the role of stakeholder</w:t>
      </w:r>
      <w:r w:rsidR="000410B2" w:rsidRPr="008432AC">
        <w:t>s</w:t>
      </w:r>
      <w:r w:rsidRPr="008432AC">
        <w:t xml:space="preserve"> in th</w:t>
      </w:r>
      <w:r w:rsidR="00940A60" w:rsidRPr="008432AC">
        <w:t>is</w:t>
      </w:r>
      <w:r w:rsidRPr="008432AC">
        <w:t xml:space="preserve"> area.</w:t>
      </w:r>
    </w:p>
    <w:p w14:paraId="7D516585" w14:textId="77777777" w:rsidR="00C8151F" w:rsidRPr="008432AC" w:rsidRDefault="00F13509" w:rsidP="003A1141">
      <w:pPr>
        <w:pStyle w:val="Heading1"/>
      </w:pPr>
      <w:bookmarkStart w:id="46" w:name="_Toc24447770"/>
      <w:r w:rsidRPr="008432AC">
        <w:t xml:space="preserve">2.1. </w:t>
      </w:r>
      <w:r w:rsidR="00C8151F" w:rsidRPr="008432AC">
        <w:t>HIT Overview</w:t>
      </w:r>
      <w:bookmarkEnd w:id="43"/>
      <w:bookmarkEnd w:id="44"/>
      <w:bookmarkEnd w:id="45"/>
      <w:bookmarkEnd w:id="46"/>
    </w:p>
    <w:p w14:paraId="7D516586" w14:textId="77777777" w:rsidR="00F13509" w:rsidRPr="008432AC" w:rsidRDefault="00F13509" w:rsidP="009C1EAB">
      <w:pPr>
        <w:pStyle w:val="APAParagraph"/>
      </w:pPr>
      <w:r w:rsidRPr="008432AC">
        <w:t>Public health is the art and science of disease prevention, life extension, and well-being</w:t>
      </w:r>
      <w:r w:rsidR="00863F6A" w:rsidRPr="008432AC">
        <w:t>,</w:t>
      </w:r>
      <w:r w:rsidRPr="008432AC">
        <w:t xml:space="preserve"> promotion via organized actions and informed decisions of the society, organizations, communities, and individuals (Sinha, 2010). This can only be optimally achieved when patients’ health information reaches the professionals, planners, policy-makers, and managers at the right time, where and when required. In today’s technologically advanced society, such information </w:t>
      </w:r>
      <w:r w:rsidRPr="008432AC">
        <w:lastRenderedPageBreak/>
        <w:t>storage and sharing must be done through modern technologies (apps, programs, databases, etc.) to be truly effective.</w:t>
      </w:r>
    </w:p>
    <w:p w14:paraId="7D516587" w14:textId="1073F21F" w:rsidR="00C8151F" w:rsidRPr="008432AC" w:rsidRDefault="00F13509" w:rsidP="009C1EAB">
      <w:pPr>
        <w:pStyle w:val="APAParagraph"/>
      </w:pPr>
      <w:r w:rsidRPr="008432AC">
        <w:t>However, t</w:t>
      </w:r>
      <w:r w:rsidR="00C8151F" w:rsidRPr="008432AC">
        <w:t xml:space="preserve">he healthcare industry is </w:t>
      </w:r>
      <w:r w:rsidR="00863F6A" w:rsidRPr="008432AC">
        <w:t xml:space="preserve">currently </w:t>
      </w:r>
      <w:r w:rsidR="00C8151F" w:rsidRPr="008432AC">
        <w:t xml:space="preserve">at a major crossroads. The current models of care are increasingly perceived as unsustainable by policy-makers, and it is </w:t>
      </w:r>
      <w:r w:rsidR="00BD5306" w:rsidRPr="008432AC">
        <w:t xml:space="preserve">becoming </w:t>
      </w:r>
      <w:r w:rsidR="00C8151F" w:rsidRPr="008432AC">
        <w:t xml:space="preserve">increasingly challenging to deal with the demands of dynamic populations in countries around the world (Vogel, 2016), creating a self-evident need for new healthcare thinking. Medical professionals, along with others in the healthcare community, understand that, in order to deliver safe, high-quality care services, it is necessary to move away from traditional, doctor-centered care models towards innovative, patient-centered care models. However, this endeavor would be </w:t>
      </w:r>
      <w:r w:rsidR="002F5ACA" w:rsidRPr="008432AC">
        <w:t xml:space="preserve">extremely </w:t>
      </w:r>
      <w:r w:rsidR="00C8151F" w:rsidRPr="008432AC">
        <w:t>difficult—if not impossible—without access to comprehensive medical information (Barzegar, 2012; Sittig</w:t>
      </w:r>
      <w:r w:rsidR="005E7A62">
        <w:t xml:space="preserve"> &amp; </w:t>
      </w:r>
      <w:r w:rsidR="00C8151F" w:rsidRPr="008432AC">
        <w:t>Singh, 2011). In other words, the healthcare system must change the way it stores and shares information. Given the recent, massive growth of the IT industry and its corresponding infrastructure, including computers and mobile devices that make such storage and sharing easy and efficient, the delivery of healthcare services is increasingly taking place through and/or with the assist</w:t>
      </w:r>
      <w:r w:rsidR="00047310" w:rsidRPr="008432AC">
        <w:t>ance of</w:t>
      </w:r>
      <w:r w:rsidR="00C8151F" w:rsidRPr="008432AC">
        <w:t xml:space="preserve"> these technologies. This use of technology provides medical professionals, patients, and healthcare facilities quick and easy access to vital information, which allows for efficient decision-making, and, in turn, improves the quality of care provided (Negash</w:t>
      </w:r>
      <w:r w:rsidR="00BE15EB" w:rsidRPr="008432AC">
        <w:t>, Musa, Vogel,</w:t>
      </w:r>
      <w:r w:rsidR="005E7A62">
        <w:t xml:space="preserve"> &amp; </w:t>
      </w:r>
      <w:r w:rsidR="00BE15EB" w:rsidRPr="008432AC">
        <w:t>Sahay</w:t>
      </w:r>
      <w:r w:rsidR="00C8151F" w:rsidRPr="008432AC">
        <w:t>, 2018).</w:t>
      </w:r>
    </w:p>
    <w:p w14:paraId="7D516588" w14:textId="2706251C" w:rsidR="00F13509" w:rsidRPr="008432AC" w:rsidRDefault="00C8151F" w:rsidP="009C1EAB">
      <w:pPr>
        <w:pStyle w:val="APAParagraph"/>
      </w:pPr>
      <w:r w:rsidRPr="008432AC">
        <w:lastRenderedPageBreak/>
        <w:t>HIT is an umbrella term referring to the large array of computer-based technologies that are used to the store, analyze, and share data in healthcare systems (Buntin</w:t>
      </w:r>
      <w:r w:rsidR="00BE15EB" w:rsidRPr="008432AC">
        <w:t>, Burke, Hoaglin,</w:t>
      </w:r>
      <w:r w:rsidR="005E7A62">
        <w:t xml:space="preserve"> &amp; </w:t>
      </w:r>
      <w:r w:rsidR="00BE15EB" w:rsidRPr="008432AC">
        <w:t>Blumenthal</w:t>
      </w:r>
      <w:r w:rsidRPr="008432AC">
        <w:t xml:space="preserve">, 2011; Chaudhry et al., 2006; Sittig et al., 2018). </w:t>
      </w:r>
      <w:r w:rsidR="00F13509" w:rsidRPr="008432AC">
        <w:t>These technologies have been hailed by many scholars as tools with the potential to transform the entire healthcare system. HIT has evolved to become a fundamental need of modern medical establishments and is regarded as a vital prerequisite of a safe, effective, and efficient care industry (Hayajneh</w:t>
      </w:r>
      <w:r w:rsidR="005E7A62">
        <w:t xml:space="preserve"> &amp; </w:t>
      </w:r>
      <w:r w:rsidR="00F13509" w:rsidRPr="008432AC">
        <w:t xml:space="preserve">Zaghloul, 2012). There is increasing recognition that technology adoption is the best way to deal with the issues of access, quality, and </w:t>
      </w:r>
      <w:r w:rsidR="007C41E9" w:rsidRPr="008432AC">
        <w:t xml:space="preserve">the </w:t>
      </w:r>
      <w:r w:rsidR="00F13509" w:rsidRPr="008432AC">
        <w:t>cost of health services (Ojo, Janowski</w:t>
      </w:r>
      <w:r w:rsidR="00FE6BEE" w:rsidRPr="008432AC">
        <w:t>,</w:t>
      </w:r>
      <w:r w:rsidR="005E7A62">
        <w:t xml:space="preserve"> &amp; </w:t>
      </w:r>
      <w:r w:rsidR="00F13509" w:rsidRPr="008432AC">
        <w:t xml:space="preserve">Estrevez, 2007). Worldwide, countries are making extensive efforts to implement various HIT forms, but certain barriers hinder or even halt the </w:t>
      </w:r>
      <w:r w:rsidR="007B7AFB" w:rsidRPr="008432AC">
        <w:t>mass acceptance</w:t>
      </w:r>
      <w:r w:rsidR="00F13509" w:rsidRPr="008432AC">
        <w:t xml:space="preserve"> of such IT innovations (Kaye, Kokia, Shalev, Idar</w:t>
      </w:r>
      <w:r w:rsidR="00FE6BEE" w:rsidRPr="008432AC">
        <w:t>,</w:t>
      </w:r>
      <w:r w:rsidR="005E7A62">
        <w:t xml:space="preserve"> &amp; </w:t>
      </w:r>
      <w:r w:rsidR="00F13509" w:rsidRPr="008432AC">
        <w:t>Chinitx, 2010). Despite the many benefits of HIT, the diffusion of IT among healthcare stakeholders in generally low (Greaves</w:t>
      </w:r>
      <w:r w:rsidR="005E7A62">
        <w:t xml:space="preserve"> &amp; </w:t>
      </w:r>
      <w:r w:rsidR="00F13509" w:rsidRPr="008432AC">
        <w:t>Rozenblum, 2017). The most severe barriers reported by the current literature are the cost and complexity of technology implementation, which require substantial changes in routine activities and organizational cultures (Anwar, Shamim</w:t>
      </w:r>
      <w:r w:rsidR="00863FBD" w:rsidRPr="008432AC">
        <w:t>,</w:t>
      </w:r>
      <w:r w:rsidR="005E7A62">
        <w:t xml:space="preserve"> &amp; </w:t>
      </w:r>
      <w:r w:rsidR="00F13509" w:rsidRPr="008432AC">
        <w:t>Khan, 2012). Certain particularities of the healthcare system, such as payment policies that focus on volumes (rather than quality) and a fragmented delivery environment, also affect the adoption of HIT.</w:t>
      </w:r>
    </w:p>
    <w:p w14:paraId="7D516589" w14:textId="02859306" w:rsidR="00C8151F" w:rsidRPr="008432AC" w:rsidRDefault="00C8151F" w:rsidP="009C1EAB">
      <w:pPr>
        <w:pStyle w:val="APAParagraph"/>
      </w:pPr>
      <w:r w:rsidRPr="008432AC">
        <w:t xml:space="preserve">Cloud-based information systems and the use of EHRs, which have found widespread acceptance and have contributed to the considerable growth of the </w:t>
      </w:r>
      <w:r w:rsidRPr="008432AC">
        <w:lastRenderedPageBreak/>
        <w:t xml:space="preserve">HIT market (O’Dowd, 2017), are key innovations for easily storing and sharing information. Another related technology that has grown in popularity recently is software-as-a-service (SaaS) apps, which can be used to document and manage patient information (Oh et al., 2015), and which, when used with cloud-based storage, offer accessible, durable, and secure data storage (The National Institute of Standards and Technology, 2012). Because of its ability to efficiently collate otherwise scattered patient data, HIT has the potential to not only control healthcare costs but </w:t>
      </w:r>
      <w:r w:rsidR="00515732" w:rsidRPr="008432AC">
        <w:t xml:space="preserve">also to </w:t>
      </w:r>
      <w:r w:rsidRPr="008432AC">
        <w:t>improve the quality of care provided and increase access to such care (Kruse</w:t>
      </w:r>
      <w:r w:rsidR="005E7A62">
        <w:t xml:space="preserve"> &amp; </w:t>
      </w:r>
      <w:r w:rsidRPr="008432AC">
        <w:t>Beane, 2018; Ojo</w:t>
      </w:r>
      <w:r w:rsidR="00257C7B">
        <w:t xml:space="preserve"> </w:t>
      </w:r>
      <w:r w:rsidRPr="008432AC">
        <w:rPr>
          <w:iCs/>
        </w:rPr>
        <w:t>et al.,</w:t>
      </w:r>
      <w:r w:rsidRPr="008432AC">
        <w:t xml:space="preserve"> 2007). In addition to better care with lower costs, hospitals and other care facilities that implement HIT could see other benefits, such as improved staff productivity, increased stakeholder satisfaction, reduced errors, and more (Ahmadi</w:t>
      </w:r>
      <w:r w:rsidR="00396523" w:rsidRPr="008432AC">
        <w:t>, Nilashi, Shahmoradi,</w:t>
      </w:r>
      <w:r w:rsidR="005E7A62">
        <w:t xml:space="preserve"> &amp; </w:t>
      </w:r>
      <w:r w:rsidR="00396523" w:rsidRPr="008432AC">
        <w:t>Ibrahim</w:t>
      </w:r>
      <w:r w:rsidRPr="008432AC">
        <w:t>, 201</w:t>
      </w:r>
      <w:r w:rsidR="00D31194">
        <w:t>7</w:t>
      </w:r>
      <w:r w:rsidRPr="008432AC">
        <w:t>; Alsadan et al., 2015; Ayatollahi</w:t>
      </w:r>
      <w:r w:rsidR="00DD0ED2" w:rsidRPr="008432AC">
        <w:t>, Langarizadeh,</w:t>
      </w:r>
      <w:r w:rsidR="005E7A62">
        <w:t xml:space="preserve"> &amp; </w:t>
      </w:r>
      <w:r w:rsidR="00DD0ED2" w:rsidRPr="008432AC">
        <w:t>Chenani</w:t>
      </w:r>
      <w:r w:rsidRPr="008432AC">
        <w:t>, 2016; Black</w:t>
      </w:r>
      <w:r w:rsidR="00DD0ED2" w:rsidRPr="008432AC">
        <w:t>, Car,</w:t>
      </w:r>
      <w:r w:rsidR="005E7A62">
        <w:t xml:space="preserve"> &amp; </w:t>
      </w:r>
      <w:r w:rsidR="00DD0ED2" w:rsidRPr="008432AC">
        <w:t>Pagliari</w:t>
      </w:r>
      <w:r w:rsidRPr="008432AC">
        <w:t>, 2011; Chang</w:t>
      </w:r>
      <w:r w:rsidR="000163A9" w:rsidRPr="008432AC">
        <w:t>, Hwang, Yen,</w:t>
      </w:r>
      <w:r w:rsidR="005E7A62">
        <w:t xml:space="preserve"> &amp; </w:t>
      </w:r>
      <w:r w:rsidR="000163A9" w:rsidRPr="008432AC">
        <w:t>Lian</w:t>
      </w:r>
      <w:r w:rsidRPr="008432AC">
        <w:t>, 2006; Ehteshami et al., 2013; Shekelle et al., 2006; Wang et al., 2018), thereby positioning themselves for long-term sustainability (Kruse</w:t>
      </w:r>
      <w:r w:rsidR="005E7A62">
        <w:t xml:space="preserve"> &amp; </w:t>
      </w:r>
      <w:r w:rsidRPr="008432AC">
        <w:t>Beane, 2018). Thus, medical professionals—and the other key healthcare players—can no longer ignore the use of HIT (Gour</w:t>
      </w:r>
      <w:r w:rsidR="005E7A62">
        <w:t xml:space="preserve"> &amp; </w:t>
      </w:r>
      <w:r w:rsidRPr="008432AC">
        <w:t>Srivastava, 2010), as it has revolutionized—and will continue to revolutionize—the practices and delivery of modern care services.</w:t>
      </w:r>
    </w:p>
    <w:p w14:paraId="7D51658A" w14:textId="638ED9CE" w:rsidR="00C8151F" w:rsidRPr="008432AC" w:rsidRDefault="00C8151F" w:rsidP="009C1EAB">
      <w:pPr>
        <w:pStyle w:val="APAParagraph"/>
      </w:pPr>
      <w:r w:rsidRPr="008432AC">
        <w:t xml:space="preserve">In consideration of these myriad benefits, it can easily be seen why HIT has been championed as a vital component </w:t>
      </w:r>
      <w:r w:rsidR="008364F5" w:rsidRPr="008432AC">
        <w:t>of</w:t>
      </w:r>
      <w:r w:rsidRPr="008432AC">
        <w:t xml:space="preserve"> modern medic</w:t>
      </w:r>
      <w:r w:rsidR="008364F5" w:rsidRPr="008432AC">
        <w:t>al system</w:t>
      </w:r>
      <w:r w:rsidR="00515732" w:rsidRPr="008432AC">
        <w:t>s</w:t>
      </w:r>
      <w:r w:rsidRPr="008432AC">
        <w:t xml:space="preserve"> and as an instrument that can transform healthcare (Bates</w:t>
      </w:r>
      <w:r w:rsidR="005E7A62">
        <w:t xml:space="preserve"> &amp; </w:t>
      </w:r>
      <w:r w:rsidRPr="008432AC">
        <w:t xml:space="preserve">Gawande, 2003; Blumenthal, </w:t>
      </w:r>
      <w:r w:rsidRPr="008432AC">
        <w:lastRenderedPageBreak/>
        <w:t>2010; Jha</w:t>
      </w:r>
      <w:r w:rsidR="000163A9" w:rsidRPr="008432AC">
        <w:t>, Doolan,</w:t>
      </w:r>
      <w:r w:rsidR="005E7A62">
        <w:t xml:space="preserve"> &amp; </w:t>
      </w:r>
      <w:r w:rsidR="000163A9" w:rsidRPr="008432AC">
        <w:t>Grand</w:t>
      </w:r>
      <w:r w:rsidRPr="008432AC">
        <w:t>, 2008; Lee</w:t>
      </w:r>
      <w:r w:rsidR="005D4EC2" w:rsidRPr="008432AC">
        <w:t>, McCullough,</w:t>
      </w:r>
      <w:r w:rsidR="005E7A62">
        <w:t xml:space="preserve"> &amp; </w:t>
      </w:r>
      <w:r w:rsidR="005D4EC2" w:rsidRPr="008432AC">
        <w:t>Town</w:t>
      </w:r>
      <w:r w:rsidRPr="008432AC">
        <w:t>, 2013; Morrison</w:t>
      </w:r>
      <w:r w:rsidR="005D4EC2" w:rsidRPr="008432AC">
        <w:t>, Robertson,</w:t>
      </w:r>
      <w:r w:rsidR="005E7A62">
        <w:t xml:space="preserve"> &amp; </w:t>
      </w:r>
      <w:r w:rsidR="005D4EC2" w:rsidRPr="008432AC">
        <w:t>Cresw</w:t>
      </w:r>
      <w:r w:rsidR="00E7049E">
        <w:t>e</w:t>
      </w:r>
      <w:r w:rsidR="005D4EC2" w:rsidRPr="008432AC">
        <w:t>ll</w:t>
      </w:r>
      <w:r w:rsidRPr="008432AC">
        <w:t xml:space="preserve">, 2011). HIT has </w:t>
      </w:r>
      <w:r w:rsidR="008364F5" w:rsidRPr="008432AC">
        <w:t xml:space="preserve">already </w:t>
      </w:r>
      <w:r w:rsidRPr="008432AC">
        <w:t>become a fundamental need of modern medical establishments and is regarded as a requirement for safe, effective, efficient, and sustainable healthcare (Hayajneh</w:t>
      </w:r>
      <w:r w:rsidR="005E7A62">
        <w:t xml:space="preserve"> &amp; </w:t>
      </w:r>
      <w:r w:rsidRPr="008432AC">
        <w:t>Zaghloul, 2012; Kruse</w:t>
      </w:r>
      <w:r w:rsidR="005E7A62">
        <w:t xml:space="preserve"> &amp; </w:t>
      </w:r>
      <w:r w:rsidRPr="008432AC">
        <w:t xml:space="preserve">Beane, 2018); as such, it has attracted substantial investments from governments worldwide, and it is expected to continue grow, with estimates putting the global revenue close to </w:t>
      </w:r>
      <w:r w:rsidR="005073BF" w:rsidRPr="008432AC">
        <w:t>US</w:t>
      </w:r>
      <w:r w:rsidRPr="008432AC">
        <w:t>$200 billion for 2018 (Cresswell</w:t>
      </w:r>
      <w:r w:rsidR="005E7A62">
        <w:t xml:space="preserve"> &amp; </w:t>
      </w:r>
      <w:r w:rsidRPr="008432AC">
        <w:t>Sheikh, 2015). Developed nations, in particular, are seeing such progress in the utilization of HIT, but specialists predict growth in developing nations as well, though they will need large-scale transformation of how they manage data—a transformation that will present significant opportunities for investors (Kaye et al., 2010; Lupton, 2014), requir</w:t>
      </w:r>
      <w:r w:rsidR="005073BF" w:rsidRPr="008432AC">
        <w:t>ing also perhaps</w:t>
      </w:r>
      <w:r w:rsidRPr="008432AC">
        <w:t xml:space="preserve"> the government and other policy</w:t>
      </w:r>
      <w:r w:rsidR="00BD5306" w:rsidRPr="008432AC">
        <w:t>-</w:t>
      </w:r>
      <w:r w:rsidRPr="008432AC">
        <w:t>makers</w:t>
      </w:r>
      <w:r w:rsidR="006C7506" w:rsidRPr="008432AC">
        <w:t xml:space="preserve"> to play a key role</w:t>
      </w:r>
      <w:r w:rsidRPr="008432AC">
        <w:t>. The US is the global leader for HIT conversion, owing to an early an</w:t>
      </w:r>
      <w:r w:rsidR="008364F5" w:rsidRPr="008432AC">
        <w:t>d</w:t>
      </w:r>
      <w:r w:rsidRPr="008432AC">
        <w:t xml:space="preserve"> strong legislative framework and to numerous environmental pressures on the healthcare industry, from federal policies (e.g. penalties for professionals who fail to implement technologies) to local competition (Kruse</w:t>
      </w:r>
      <w:r w:rsidR="00965F90" w:rsidRPr="008432AC">
        <w:t>, DeeShazo, Kim,</w:t>
      </w:r>
      <w:r w:rsidR="005E7A62">
        <w:t xml:space="preserve"> &amp; </w:t>
      </w:r>
      <w:r w:rsidR="00965F90" w:rsidRPr="008432AC">
        <w:t>Fulton</w:t>
      </w:r>
      <w:r w:rsidRPr="008432AC">
        <w:t>, 2014).</w:t>
      </w:r>
    </w:p>
    <w:p w14:paraId="7D51658B" w14:textId="04E5FBC6" w:rsidR="00C8151F" w:rsidRPr="008432AC" w:rsidRDefault="00C8151F" w:rsidP="009C1EAB">
      <w:pPr>
        <w:pStyle w:val="APAParagraph"/>
      </w:pPr>
      <w:r w:rsidRPr="008432AC">
        <w:t>Despite the many, well-documented benefits of HIT, the use of IT among healthcare stakeholders i</w:t>
      </w:r>
      <w:r w:rsidR="001A07E6" w:rsidRPr="008432AC">
        <w:t>s</w:t>
      </w:r>
      <w:r w:rsidRPr="008432AC">
        <w:t xml:space="preserve"> still generally low (Greaves</w:t>
      </w:r>
      <w:r w:rsidR="005E7A62">
        <w:t xml:space="preserve"> &amp; </w:t>
      </w:r>
      <w:r w:rsidRPr="008432AC">
        <w:t xml:space="preserve">Rozenblum, 2017), and the progress of some nations is slower than that of others, which raises an important question: If the development and implementation of HIT is so vital for providing of high-quality care, why are these technologies not more widely used? </w:t>
      </w:r>
      <w:r w:rsidRPr="008432AC">
        <w:lastRenderedPageBreak/>
        <w:t xml:space="preserve">What makes some people, facilities, and countries slower and/or more reluctant to adopt such technologies? By studying the motivators and barriers </w:t>
      </w:r>
      <w:r w:rsidR="00D1071D" w:rsidRPr="008432AC">
        <w:t xml:space="preserve">perceived </w:t>
      </w:r>
      <w:r w:rsidRPr="008432AC">
        <w:t>by various stakeholders, from providers to patients to institutions, perhaps we can offer suggestions on how to better equip them in adopting these innovative and important technologies. In particular, studying a particular nation that has seen marked progress, would serve as an excellent way to understand what works for</w:t>
      </w:r>
      <w:r w:rsidR="00D1071D" w:rsidRPr="008432AC">
        <w:t>,</w:t>
      </w:r>
      <w:r w:rsidRPr="008432AC">
        <w:t xml:space="preserve"> and what still stands in the way of</w:t>
      </w:r>
      <w:r w:rsidR="00D1071D" w:rsidRPr="008432AC">
        <w:t>,</w:t>
      </w:r>
      <w:r w:rsidRPr="008432AC">
        <w:t xml:space="preserve"> adopting HIT.</w:t>
      </w:r>
    </w:p>
    <w:p w14:paraId="7D51658C" w14:textId="77777777" w:rsidR="00C8151F" w:rsidRPr="008432AC" w:rsidRDefault="00EE7B14" w:rsidP="003A1141">
      <w:pPr>
        <w:pStyle w:val="Heading1"/>
      </w:pPr>
      <w:bookmarkStart w:id="47" w:name="_Toc532800284"/>
      <w:bookmarkStart w:id="48" w:name="_Toc534028528"/>
      <w:bookmarkStart w:id="49" w:name="_Toc534028913"/>
      <w:bookmarkStart w:id="50" w:name="_Toc24447771"/>
      <w:r w:rsidRPr="008432AC">
        <w:t xml:space="preserve">2.2. </w:t>
      </w:r>
      <w:r w:rsidR="00C8151F" w:rsidRPr="008432AC">
        <w:t xml:space="preserve">HIT in </w:t>
      </w:r>
      <w:bookmarkEnd w:id="47"/>
      <w:bookmarkEnd w:id="48"/>
      <w:bookmarkEnd w:id="49"/>
      <w:r w:rsidR="00D1071D" w:rsidRPr="008432AC">
        <w:t>H</w:t>
      </w:r>
      <w:r w:rsidR="00AF3DBB" w:rsidRPr="008432AC">
        <w:t xml:space="preserve">ealthcare </w:t>
      </w:r>
      <w:r w:rsidR="00D1071D" w:rsidRPr="008432AC">
        <w:t>S</w:t>
      </w:r>
      <w:r w:rsidR="00AF3DBB" w:rsidRPr="008432AC">
        <w:t>ystems</w:t>
      </w:r>
      <w:bookmarkEnd w:id="50"/>
    </w:p>
    <w:p w14:paraId="7D51658D" w14:textId="41DAE8F1" w:rsidR="00C8151F" w:rsidRPr="008432AC" w:rsidRDefault="00C8151F" w:rsidP="009C1EAB">
      <w:pPr>
        <w:pStyle w:val="APAParagraph"/>
      </w:pPr>
      <w:r w:rsidRPr="008432AC">
        <w:t xml:space="preserve">The past </w:t>
      </w:r>
      <w:r w:rsidR="00D1071D" w:rsidRPr="008432AC">
        <w:t>10</w:t>
      </w:r>
      <w:r w:rsidRPr="008432AC">
        <w:t xml:space="preserve"> years have seen dramatic changes and significant developments in the healthcare industries of the Arab world, including—and particularly—in the UAE. This is represented by the UAE’s top position on the leaderboard of the 2016 Philips’ Future Health Index (Institute for the Future, 2016), an index that measures how health leaders acknowledge the need for an integrated approach to healthcare (i.e. using HIT) to maximize efficiency, enhance the patient experience, and improve people’s health. This success can arguably be attributed to the widespread use of EHRs across Dubai and the Northern Emirates (introduced in 2008 and implemented in all public healthcare establishments over the next three years; Al Alawi et al., 201</w:t>
      </w:r>
      <w:r w:rsidR="00B50823" w:rsidRPr="008432AC">
        <w:t>4</w:t>
      </w:r>
      <w:r w:rsidRPr="008432AC">
        <w:t>) and the fact that the UAE’s Ministry of Health (MoH) has partnered with various IT providers to integrate new technologies into the healthcare sector (Rae</w:t>
      </w:r>
      <w:r w:rsidR="005E7A62">
        <w:t xml:space="preserve"> &amp; </w:t>
      </w:r>
      <w:r w:rsidRPr="008432AC">
        <w:t xml:space="preserve">Nasser, 2011) in order to increase </w:t>
      </w:r>
      <w:r w:rsidRPr="008432AC">
        <w:lastRenderedPageBreak/>
        <w:t>the quality of healthcare services provided (</w:t>
      </w:r>
      <w:r w:rsidR="006144C9" w:rsidRPr="008432AC">
        <w:t>United Arab Emirates Ministry of Health</w:t>
      </w:r>
      <w:r w:rsidRPr="008432AC">
        <w:t>, 2013).</w:t>
      </w:r>
    </w:p>
    <w:p w14:paraId="7D51658E" w14:textId="77777777" w:rsidR="00C8151F" w:rsidRPr="008432AC" w:rsidRDefault="00C8151F" w:rsidP="009C1EAB">
      <w:pPr>
        <w:pStyle w:val="APAParagraph"/>
      </w:pPr>
      <w:r w:rsidRPr="008432AC">
        <w:t xml:space="preserve">The UAE’s healthcare system is both public and private (though it has remained largely centrally managed and funded) and relies heavily on domestic resources. However, in response to the public’s demands for accountability from the government (Alsadan et al., 2015), and to better meet the needs of the growing population, healthcare reforms are being put into place that </w:t>
      </w:r>
      <w:r w:rsidR="00BD2BE8" w:rsidRPr="008432AC">
        <w:t xml:space="preserve">increasingly </w:t>
      </w:r>
      <w:r w:rsidRPr="008432AC">
        <w:t>shift the economic risk and burden from public to private, by transitioning from a government-funded paradigm to a more classical, privately managed paradigm. Furthermore, to enhance the nation’s attractiveness a medical tourism hub, the government’s UAE Vision 2021 includes strategies that seek to make the UAE a top global healthcare destination (The United Arab Emirates Government, 2016).</w:t>
      </w:r>
    </w:p>
    <w:p w14:paraId="7D51658F" w14:textId="77777777" w:rsidR="00C8151F" w:rsidRPr="008432AC" w:rsidRDefault="00C8151F" w:rsidP="009C1EAB">
      <w:pPr>
        <w:pStyle w:val="APAParagraph"/>
      </w:pPr>
      <w:r w:rsidRPr="008432AC">
        <w:t>This transition in UAE’s healthcare paradigm has not been without its challenges, and the Vision 2021 will not be achieved without facing further challenges. The nation has faced numerous health-related problems (e.g. high incidences of cardiovascular diseases and cancers</w:t>
      </w:r>
      <w:r w:rsidR="00BD2BE8" w:rsidRPr="008432AC">
        <w:t>,</w:t>
      </w:r>
      <w:r w:rsidR="00DD06BB" w:rsidRPr="008432AC">
        <w:t xml:space="preserve"> </w:t>
      </w:r>
      <w:r w:rsidR="00BD2BE8" w:rsidRPr="008432AC">
        <w:t xml:space="preserve">the </w:t>
      </w:r>
      <w:r w:rsidRPr="008432AC">
        <w:t>increasing occurrence of congenital diseases</w:t>
      </w:r>
      <w:r w:rsidR="00BD2BE8" w:rsidRPr="008432AC">
        <w:t>,</w:t>
      </w:r>
      <w:r w:rsidR="00DD06BB" w:rsidRPr="008432AC">
        <w:t xml:space="preserve"> </w:t>
      </w:r>
      <w:r w:rsidR="00BD2BE8" w:rsidRPr="008432AC">
        <w:t xml:space="preserve">the </w:t>
      </w:r>
      <w:r w:rsidRPr="008432AC">
        <w:t xml:space="preserve">dramatically increasing prevalence of obesity and other metabolic syndromes, </w:t>
      </w:r>
      <w:r w:rsidR="007B45DF" w:rsidRPr="008432AC">
        <w:t xml:space="preserve">all </w:t>
      </w:r>
      <w:r w:rsidRPr="008432AC">
        <w:t xml:space="preserve">attributable to an increasingly affluent society and sedentary lifestyle), all of which place high demands and notable pressures on the limited healthcare resources. Because of the innovativeness and effectiveness of HIT, these health concerns further magnify the need for the development and use of HIT. As a result, IT in the UAE’s healthcare sector is expected to see 11% </w:t>
      </w:r>
      <w:r w:rsidRPr="008432AC">
        <w:lastRenderedPageBreak/>
        <w:t>growth between 2014 and 2019 (Technavio, 2015). The federal government has already been working to develop and implement HIT tools and initiatives to increase patient engagement, enhance data analytics, and improve the digitization of EHRs.</w:t>
      </w:r>
    </w:p>
    <w:p w14:paraId="7D516590" w14:textId="77777777" w:rsidR="00C8151F" w:rsidRPr="008432AC" w:rsidRDefault="00C8151F" w:rsidP="009C1EAB">
      <w:pPr>
        <w:pStyle w:val="APAParagraph"/>
      </w:pPr>
      <w:r w:rsidRPr="008432AC">
        <w:t>One of these initiatives is Wareed, an electronic healthcare information system launched by the UAE’s MoH in 2008. Wareed is a virtual link, connecting all the MoH’s hospitals and clinics in Dubai and the Northern Emirates and serving as a centralized platform for storing patient data. Additional features include online communication between patients and doctors and the decision</w:t>
      </w:r>
      <w:r w:rsidR="00D70936" w:rsidRPr="008432AC">
        <w:t>-</w:t>
      </w:r>
      <w:r w:rsidRPr="008432AC">
        <w:t>support system, which acts as a safeguard against errors (e.g. duplicated prescriptions) in addition to improving efficiency (McLeod et al., 2008).</w:t>
      </w:r>
    </w:p>
    <w:p w14:paraId="7D516591" w14:textId="77777777" w:rsidR="00C8151F" w:rsidRPr="008432AC" w:rsidRDefault="00C8151F" w:rsidP="009C1EAB">
      <w:pPr>
        <w:pStyle w:val="APAParagraph"/>
      </w:pPr>
      <w:r w:rsidRPr="008432AC">
        <w:t xml:space="preserve">Another strategically important initiative </w:t>
      </w:r>
      <w:r w:rsidR="001079D6" w:rsidRPr="008432AC">
        <w:t>regarding</w:t>
      </w:r>
      <w:r w:rsidRPr="008432AC">
        <w:t xml:space="preserve"> data storage and security</w:t>
      </w:r>
      <w:r w:rsidR="000553B6" w:rsidRPr="008432AC">
        <w:t xml:space="preserve"> involve</w:t>
      </w:r>
      <w:r w:rsidR="001079D6" w:rsidRPr="008432AC">
        <w:t>s</w:t>
      </w:r>
      <w:r w:rsidRPr="008432AC">
        <w:t xml:space="preserve"> Du, a telecommunications company, and NMC Healthcare partner</w:t>
      </w:r>
      <w:r w:rsidR="000553B6" w:rsidRPr="008432AC">
        <w:t>ing</w:t>
      </w:r>
      <w:r w:rsidRPr="008432AC">
        <w:t xml:space="preserve"> together to implement the storage and sharing of EHRs using </w:t>
      </w:r>
      <w:r w:rsidR="000553B6" w:rsidRPr="008432AC">
        <w:t>b</w:t>
      </w:r>
      <w:r w:rsidRPr="008432AC">
        <w:t xml:space="preserve">lockchain technology. This initiative is expected to enhance data security and integrity, thereby ensuring a high level of confidence as personal health information (PHI) flows between providers and patients. Given that security could be a barrier to HIT adoption, the ability to provide secure storage and access could prove instrumental in </w:t>
      </w:r>
      <w:r w:rsidR="00664CCB" w:rsidRPr="008432AC">
        <w:t>encouraging</w:t>
      </w:r>
      <w:r w:rsidRPr="008432AC">
        <w:t xml:space="preserve"> stakeholders to adopt these technologies.</w:t>
      </w:r>
    </w:p>
    <w:p w14:paraId="7D516592" w14:textId="77777777" w:rsidR="00C8151F" w:rsidRPr="008432AC" w:rsidRDefault="00C8151F" w:rsidP="009C1EAB">
      <w:pPr>
        <w:pStyle w:val="APAParagraph"/>
      </w:pPr>
      <w:r w:rsidRPr="008432AC">
        <w:t xml:space="preserve">Other recent initiatives have </w:t>
      </w:r>
      <w:r w:rsidR="00664CCB" w:rsidRPr="008432AC">
        <w:t xml:space="preserve">also </w:t>
      </w:r>
      <w:r w:rsidRPr="008432AC">
        <w:t>focused on preventive care. In Abu Dhabi, the largest of the UAE’s seven emirates, the Health Authority of Abu Dhabi (HAAD) implemented two programs: the Weqaya</w:t>
      </w:r>
      <w:r w:rsidR="00DD06BB">
        <w:t xml:space="preserve"> </w:t>
      </w:r>
      <w:r w:rsidR="008B01BE">
        <w:t>p</w:t>
      </w:r>
      <w:r w:rsidRPr="008432AC">
        <w:t xml:space="preserve">rogram, which is a preventive </w:t>
      </w:r>
      <w:r w:rsidRPr="008432AC">
        <w:lastRenderedPageBreak/>
        <w:t>public health service</w:t>
      </w:r>
      <w:r w:rsidR="007E03A7" w:rsidRPr="008432AC">
        <w:t>;</w:t>
      </w:r>
      <w:r w:rsidRPr="008432AC">
        <w:t xml:space="preserve"> and the Abu Dhabi Telemedicine Centre, which is a 24/7 telemedicine service offering consultations with a staff of general practitioners specially trained in telemedicine. Harnessing technology to build healthy habits in order to prevent—or at least reduce the risk of—health complications, the Dubai Health Authority (DHA) recently launched a number of smart</w:t>
      </w:r>
      <w:r w:rsidR="007E03A7" w:rsidRPr="008432AC">
        <w:t>-</w:t>
      </w:r>
      <w:r w:rsidRPr="008432AC">
        <w:t xml:space="preserve">phone applications to encourage adolescents to develop good health practices, such as drinking water and brushing their teeth. The DHA has also used mobile technologies to facilitate and promote the professional development of healthcare providers through a smartphone app that allows doctors to easily and electronically access the Rashid Medical Library’s digital content, including journals, books, and other information important for continuing education. Even these seemingly simple technological innovations can—and hopefully will—have a dramatic effect on the well-being of the population of the UAE, thereby helping them to achieve their Vision 2021 and making them an example for other countries </w:t>
      </w:r>
      <w:r w:rsidR="00BF34FB" w:rsidRPr="008432AC">
        <w:t>in terms of</w:t>
      </w:r>
      <w:r w:rsidRPr="008432AC">
        <w:t xml:space="preserve"> provid</w:t>
      </w:r>
      <w:r w:rsidR="00BF34FB" w:rsidRPr="008432AC">
        <w:t>ing</w:t>
      </w:r>
      <w:r w:rsidRPr="008432AC">
        <w:t xml:space="preserve"> the highest quality care.</w:t>
      </w:r>
    </w:p>
    <w:p w14:paraId="7D516593" w14:textId="77777777" w:rsidR="00C8151F" w:rsidRPr="008432AC" w:rsidRDefault="00C8151F" w:rsidP="009C1EAB">
      <w:pPr>
        <w:pStyle w:val="APAParagraph"/>
      </w:pPr>
      <w:r w:rsidRPr="008432AC">
        <w:t xml:space="preserve">However, despite having similar substantial financial resources, most other Arab states still lag behind the UAE when it comes to adopting technology, largely due to a lack of dedicated funding and professional abilities (Alsadan et al., 2015). Private facilities face major financial constraints </w:t>
      </w:r>
      <w:r w:rsidR="00BF34FB" w:rsidRPr="008432AC">
        <w:t>i</w:t>
      </w:r>
      <w:r w:rsidRPr="008432AC">
        <w:t>n adopting HIT, yet even public establishments exhibit low levels of technology usage. These countries need viable solutions for removing barriers and building motivation to adopt HIT so that they can provide higher</w:t>
      </w:r>
      <w:r w:rsidR="00DD06BB" w:rsidRPr="008432AC">
        <w:t xml:space="preserve"> </w:t>
      </w:r>
      <w:r w:rsidRPr="008432AC">
        <w:t xml:space="preserve">quality and enjoy competitive </w:t>
      </w:r>
      <w:r w:rsidRPr="008432AC">
        <w:lastRenderedPageBreak/>
        <w:t xml:space="preserve">advantages. By better understanding how the UAE has achieved its success in adopting and implementing these healthcare technologies, policies and decisions can </w:t>
      </w:r>
      <w:r w:rsidR="00071EDA" w:rsidRPr="008432AC">
        <w:t xml:space="preserve">perhaps </w:t>
      </w:r>
      <w:r w:rsidRPr="008432AC">
        <w:t>be suggested and implemented in other nations that will motivate key stakeholders to adopt these valuable technologies and begin to provide the better care that their citizens need and deserve. To this end, it is necessary to understand what factors motivate HIT adoption, both in general and specifically in the UAE.</w:t>
      </w:r>
    </w:p>
    <w:p w14:paraId="7D516594" w14:textId="77777777" w:rsidR="00AF3DBB" w:rsidRPr="008432AC" w:rsidRDefault="00EE7B14" w:rsidP="003A1141">
      <w:pPr>
        <w:pStyle w:val="Heading1"/>
      </w:pPr>
      <w:bookmarkStart w:id="51" w:name="_Toc532800287"/>
      <w:bookmarkStart w:id="52" w:name="_Toc534028531"/>
      <w:bookmarkStart w:id="53" w:name="_Toc534028916"/>
      <w:bookmarkStart w:id="54" w:name="_Toc24447772"/>
      <w:r w:rsidRPr="008432AC">
        <w:t xml:space="preserve">2.3. </w:t>
      </w:r>
      <w:r w:rsidR="003A563A" w:rsidRPr="008432AC">
        <w:t xml:space="preserve">The </w:t>
      </w:r>
      <w:r w:rsidR="00AF3DBB" w:rsidRPr="008432AC">
        <w:t>Role of Stakeholders</w:t>
      </w:r>
      <w:bookmarkEnd w:id="51"/>
      <w:bookmarkEnd w:id="52"/>
      <w:bookmarkEnd w:id="53"/>
      <w:bookmarkEnd w:id="54"/>
    </w:p>
    <w:p w14:paraId="7D516595" w14:textId="077C94F0" w:rsidR="00D7725E" w:rsidRPr="008432AC" w:rsidRDefault="00D7725E" w:rsidP="009C1EAB">
      <w:pPr>
        <w:pStyle w:val="APAParagraph"/>
      </w:pPr>
      <w:r w:rsidRPr="008432AC">
        <w:t xml:space="preserve">Over the </w:t>
      </w:r>
      <w:r w:rsidR="00BC6811" w:rsidRPr="008432AC">
        <w:t>past</w:t>
      </w:r>
      <w:r w:rsidRPr="008432AC">
        <w:t xml:space="preserve"> decades, the term stakeholder has been extensively used by academic</w:t>
      </w:r>
      <w:r w:rsidR="003A563A" w:rsidRPr="008432AC">
        <w:t>s</w:t>
      </w:r>
      <w:r w:rsidRPr="008432AC">
        <w:t xml:space="preserve"> (</w:t>
      </w:r>
      <w:r w:rsidR="003A563A" w:rsidRPr="008432AC">
        <w:t xml:space="preserve">see, for example, </w:t>
      </w:r>
      <w:r w:rsidRPr="008432AC">
        <w:t>Pouloudi, Currie</w:t>
      </w:r>
      <w:r w:rsidR="008B01BE">
        <w:t>,</w:t>
      </w:r>
      <w:r w:rsidR="005E7A62">
        <w:t xml:space="preserve"> &amp; </w:t>
      </w:r>
      <w:r w:rsidRPr="008432AC">
        <w:t xml:space="preserve">Whitley, 2016), </w:t>
      </w:r>
      <w:r w:rsidR="00A631CB" w:rsidRPr="008432AC">
        <w:t>a</w:t>
      </w:r>
      <w:r w:rsidR="00BC6811" w:rsidRPr="008432AC">
        <w:t>l</w:t>
      </w:r>
      <w:r w:rsidRPr="008432AC">
        <w:t>though the roots of stakeholder theory can be linked to strategic management (e.g. Freeman, 1984; Frooman, 1999) and organizational theory (Rowley, 1997).</w:t>
      </w:r>
      <w:r w:rsidR="00BC6811" w:rsidRPr="008432AC">
        <w:t xml:space="preserve"> Enjoying popularity within </w:t>
      </w:r>
      <w:r w:rsidR="00324580" w:rsidRPr="008432AC">
        <w:t xml:space="preserve">the </w:t>
      </w:r>
      <w:r w:rsidR="00BC6811" w:rsidRPr="008432AC">
        <w:t xml:space="preserve">social sciences, </w:t>
      </w:r>
      <w:r w:rsidR="002756E1" w:rsidRPr="008432AC">
        <w:t xml:space="preserve">the </w:t>
      </w:r>
      <w:r w:rsidR="00BC6811" w:rsidRPr="008432AC">
        <w:t>stakeholder, as inherently managerial and pragmatic, represents a powerful instrument to analyze the interplay between organizations, groups, and individuals (Donaldson</w:t>
      </w:r>
      <w:r w:rsidR="005E7A62">
        <w:t xml:space="preserve"> &amp; </w:t>
      </w:r>
      <w:r w:rsidR="00BC6811" w:rsidRPr="008432AC">
        <w:t xml:space="preserve">Preston, 1995). In the context of HIT, studies using stakeholder are not numerous, despite many stakeholder categories </w:t>
      </w:r>
      <w:r w:rsidR="00324580" w:rsidRPr="008432AC">
        <w:t>being</w:t>
      </w:r>
      <w:r w:rsidR="00BC6811" w:rsidRPr="008432AC">
        <w:t xml:space="preserve"> involved in HIT adoption within the complex healthcare system. </w:t>
      </w:r>
    </w:p>
    <w:p w14:paraId="7D516596" w14:textId="02640A2D" w:rsidR="00AF3DBB" w:rsidRPr="008432AC" w:rsidRDefault="00BC6811" w:rsidP="009C1EAB">
      <w:pPr>
        <w:pStyle w:val="APAParagraph"/>
      </w:pPr>
      <w:r w:rsidRPr="008432AC">
        <w:t>Specifically, t</w:t>
      </w:r>
      <w:r w:rsidR="00AF3DBB" w:rsidRPr="008432AC">
        <w:t xml:space="preserve">he healthcare system is a complex environment with many different players, from patients to providers to payers, each of whom has a different stake in the success of the system. Thus, each of these players can be considered a healthcare stakeholder. </w:t>
      </w:r>
      <w:r w:rsidR="002756E1" w:rsidRPr="008432AC">
        <w:t>Here, s</w:t>
      </w:r>
      <w:r w:rsidR="00AF3DBB" w:rsidRPr="008432AC">
        <w:t>takeholders</w:t>
      </w:r>
      <w:r w:rsidR="002756E1" w:rsidRPr="008432AC">
        <w:t xml:space="preserve"> can be</w:t>
      </w:r>
      <w:r w:rsidR="00AF3DBB" w:rsidRPr="008432AC">
        <w:t xml:space="preserve"> quintessentially </w:t>
      </w:r>
      <w:r w:rsidR="00AF3DBB" w:rsidRPr="008432AC">
        <w:lastRenderedPageBreak/>
        <w:t xml:space="preserve">defined as </w:t>
      </w:r>
      <w:r w:rsidR="00AF3DBB" w:rsidRPr="000B3A40">
        <w:rPr>
          <w:rStyle w:val="QuoteChar"/>
          <w:i w:val="0"/>
          <w:color w:val="auto"/>
        </w:rPr>
        <w:t>“any person, group, or organization that can place a claim on an organization</w:t>
      </w:r>
      <w:r w:rsidR="000A3124" w:rsidRPr="008432AC">
        <w:rPr>
          <w:rStyle w:val="QuoteChar"/>
          <w:i w:val="0"/>
          <w:color w:val="auto"/>
        </w:rPr>
        <w:t>’</w:t>
      </w:r>
      <w:r w:rsidR="00AF3DBB" w:rsidRPr="000B3A40">
        <w:rPr>
          <w:rStyle w:val="QuoteChar"/>
          <w:i w:val="0"/>
          <w:color w:val="auto"/>
        </w:rPr>
        <w:t>s attention, resources, or output or is affected by that output”</w:t>
      </w:r>
      <w:r w:rsidR="00AF3DBB" w:rsidRPr="008432AC">
        <w:t>(Bryson, 1995, p. 27)</w:t>
      </w:r>
      <w:r w:rsidR="00145A31" w:rsidRPr="008432AC">
        <w:t xml:space="preserve">; they </w:t>
      </w:r>
      <w:r w:rsidR="00AF3DBB" w:rsidRPr="008432AC">
        <w:t xml:space="preserve">are vital contributors to their respective organizations, which rely on them to obtain funding and achieve </w:t>
      </w:r>
      <w:r w:rsidR="00A46EFC" w:rsidRPr="008432AC">
        <w:t xml:space="preserve">the </w:t>
      </w:r>
      <w:r w:rsidR="00AF3DBB" w:rsidRPr="008432AC">
        <w:t>function</w:t>
      </w:r>
      <w:r w:rsidR="00A46EFC" w:rsidRPr="008432AC">
        <w:t>ality</w:t>
      </w:r>
      <w:r w:rsidR="00AF3DBB" w:rsidRPr="008432AC">
        <w:t xml:space="preserve"> that are essential to their existence and growth (Fontaine</w:t>
      </w:r>
      <w:r w:rsidR="00D15FE2" w:rsidRPr="008432AC">
        <w:t>, Haarman,</w:t>
      </w:r>
      <w:r w:rsidR="005E7A62">
        <w:t xml:space="preserve"> &amp; </w:t>
      </w:r>
      <w:r w:rsidR="00D15FE2" w:rsidRPr="008432AC">
        <w:t>Schmid</w:t>
      </w:r>
      <w:r w:rsidR="00AF3DBB" w:rsidRPr="008432AC">
        <w:t>, 2006). As such, for any organization—for instance, a hospital—to succeed, its stakeholders’ views and opinions need to be considered. In recent decades, the notion of stakeholders has become more commonplace in the public sector, in line with the new wave of public management (Osborne</w:t>
      </w:r>
      <w:r w:rsidR="005E7A62">
        <w:t xml:space="preserve"> &amp; </w:t>
      </w:r>
      <w:r w:rsidR="00AF3DBB" w:rsidRPr="008432AC">
        <w:t>Gaebler, 1993), and now has many applications associated with e-government (Balta</w:t>
      </w:r>
      <w:r w:rsidR="00EC1A13" w:rsidRPr="008432AC">
        <w:t>, Greger, Wolf</w:t>
      </w:r>
      <w:r w:rsidR="009B4467" w:rsidRPr="008432AC">
        <w:t>,</w:t>
      </w:r>
      <w:r w:rsidR="005E7A62">
        <w:t xml:space="preserve"> &amp; </w:t>
      </w:r>
      <w:r w:rsidR="009B4467" w:rsidRPr="008432AC">
        <w:t>Krcmar</w:t>
      </w:r>
      <w:r w:rsidR="00AF3DBB" w:rsidRPr="008432AC">
        <w:t>, 2015; Center for Technology in Government, 2000; Fedorowicz</w:t>
      </w:r>
      <w:r w:rsidR="009B4467" w:rsidRPr="008432AC">
        <w:t>, Gogan,</w:t>
      </w:r>
      <w:r w:rsidR="005E7A62">
        <w:t xml:space="preserve"> &amp; </w:t>
      </w:r>
      <w:r w:rsidR="009B4467" w:rsidRPr="008432AC">
        <w:t>Culnan</w:t>
      </w:r>
      <w:r w:rsidR="00AF3DBB" w:rsidRPr="008432AC">
        <w:t>, 2010; Flak</w:t>
      </w:r>
      <w:r w:rsidR="005E7A62">
        <w:t xml:space="preserve"> &amp; </w:t>
      </w:r>
      <w:r w:rsidR="00AF3DBB" w:rsidRPr="008432AC">
        <w:t>Rose, 2005; Kamal</w:t>
      </w:r>
      <w:r w:rsidR="00F04B57" w:rsidRPr="008432AC">
        <w:t>, Weerakkody,</w:t>
      </w:r>
      <w:r w:rsidR="005E7A62">
        <w:t xml:space="preserve"> &amp; </w:t>
      </w:r>
      <w:r w:rsidR="00F04B57" w:rsidRPr="008432AC">
        <w:t>Irani</w:t>
      </w:r>
      <w:r w:rsidR="00AF3DBB" w:rsidRPr="008432AC">
        <w:t>, 2011; Rose</w:t>
      </w:r>
      <w:r w:rsidR="00F04B57" w:rsidRPr="008432AC">
        <w:t>, Flak,</w:t>
      </w:r>
      <w:r w:rsidR="005E7A62">
        <w:t xml:space="preserve"> &amp; </w:t>
      </w:r>
      <w:r w:rsidR="00F04B57" w:rsidRPr="008432AC">
        <w:t>Saebo</w:t>
      </w:r>
      <w:r w:rsidR="00AF3DBB" w:rsidRPr="008432AC">
        <w:t>, 2018; Scholl, 2001), e-commerce (Papazafeiropoulou</w:t>
      </w:r>
      <w:r w:rsidR="00BF61A9" w:rsidRPr="008432AC">
        <w:t>, Pouloudi,</w:t>
      </w:r>
      <w:r w:rsidR="005E7A62">
        <w:t xml:space="preserve"> &amp; </w:t>
      </w:r>
      <w:r w:rsidR="00BF61A9" w:rsidRPr="008432AC">
        <w:t>Curie</w:t>
      </w:r>
      <w:r w:rsidR="00AF3DBB" w:rsidRPr="008432AC">
        <w:t>, 2001), information systems domains (Mishra</w:t>
      </w:r>
      <w:r w:rsidR="005E7A62">
        <w:t xml:space="preserve"> &amp; </w:t>
      </w:r>
      <w:r w:rsidR="00AF3DBB" w:rsidRPr="008432AC">
        <w:t>Dwivedi, 201</w:t>
      </w:r>
      <w:r w:rsidR="001F6D95" w:rsidRPr="008432AC">
        <w:t>2</w:t>
      </w:r>
      <w:r w:rsidR="00AF3DBB" w:rsidRPr="008432AC">
        <w:t>; Smith</w:t>
      </w:r>
      <w:r w:rsidR="005E7A62">
        <w:t xml:space="preserve"> &amp; </w:t>
      </w:r>
      <w:r w:rsidR="00AF3DBB" w:rsidRPr="008432AC">
        <w:t>Hasnas, 1999), business ethics (Yuthas</w:t>
      </w:r>
      <w:r w:rsidR="005E7A62">
        <w:t xml:space="preserve"> &amp; </w:t>
      </w:r>
      <w:r w:rsidR="00AF3DBB" w:rsidRPr="008432AC">
        <w:t>Dillard, 1999), business intelligence systems (Chung</w:t>
      </w:r>
      <w:r w:rsidR="001F6D95" w:rsidRPr="008432AC">
        <w:t>, Cyhen,</w:t>
      </w:r>
      <w:r w:rsidR="005E7A62">
        <w:t xml:space="preserve"> &amp; </w:t>
      </w:r>
      <w:r w:rsidR="001F6D95" w:rsidRPr="008432AC">
        <w:t>Reid</w:t>
      </w:r>
      <w:r w:rsidR="00AF3DBB" w:rsidRPr="008432AC">
        <w:t>, 2009), and even HIT (Lapointe</w:t>
      </w:r>
      <w:r w:rsidR="00E174D8" w:rsidRPr="008432AC">
        <w:t>, Mignerat,</w:t>
      </w:r>
      <w:r w:rsidR="005E7A62">
        <w:t xml:space="preserve"> &amp; </w:t>
      </w:r>
      <w:r w:rsidR="00E174D8" w:rsidRPr="008432AC">
        <w:t>Vogel</w:t>
      </w:r>
      <w:r w:rsidR="00AF3DBB" w:rsidRPr="008432AC">
        <w:t>, 2011).</w:t>
      </w:r>
    </w:p>
    <w:p w14:paraId="7D516597" w14:textId="05ED7776" w:rsidR="00277905" w:rsidRPr="008432AC" w:rsidRDefault="00AF3DBB" w:rsidP="009C1EAB">
      <w:pPr>
        <w:pStyle w:val="APAParagraph"/>
      </w:pPr>
      <w:r w:rsidRPr="008432AC">
        <w:t>A core assumption of the present study, based on the previously reviewed findings concerning HIT, is that the ability of the healthcare industry to utilize and leverage modern technology—necessary to improve healthcare delivery—is limited by the extent</w:t>
      </w:r>
      <w:r w:rsidR="00DA31EE" w:rsidRPr="008432AC">
        <w:t xml:space="preserve"> to which</w:t>
      </w:r>
      <w:r w:rsidRPr="008432AC">
        <w:t xml:space="preserve"> the various stakeholders understand HIT implementation and </w:t>
      </w:r>
      <w:r w:rsidR="00DA31EE" w:rsidRPr="008432AC">
        <w:t xml:space="preserve">its </w:t>
      </w:r>
      <w:r w:rsidRPr="008432AC">
        <w:t>benefits</w:t>
      </w:r>
      <w:r w:rsidR="00DA31EE" w:rsidRPr="008432AC">
        <w:t>. Specifically,</w:t>
      </w:r>
      <w:r w:rsidRPr="008432AC">
        <w:t xml:space="preserve"> the more they understand HIT, the </w:t>
      </w:r>
      <w:r w:rsidRPr="008432AC">
        <w:lastRenderedPageBreak/>
        <w:t>more widespread its use</w:t>
      </w:r>
      <w:r w:rsidR="00DA31EE" w:rsidRPr="008432AC">
        <w:t xml:space="preserve"> is </w:t>
      </w:r>
      <w:r w:rsidR="0011054C" w:rsidRPr="008432AC">
        <w:t>likely</w:t>
      </w:r>
      <w:r w:rsidR="00DA31EE" w:rsidRPr="008432AC">
        <w:t xml:space="preserve"> to be</w:t>
      </w:r>
      <w:r w:rsidRPr="008432AC">
        <w:t>. These groups react critically to innovations and to the external environment, making strategic choices that can have a significant impact on the success of HIT adoption (Avgar</w:t>
      </w:r>
      <w:r w:rsidR="00E174D8" w:rsidRPr="008432AC">
        <w:t>, Litwin,</w:t>
      </w:r>
      <w:r w:rsidR="005E7A62">
        <w:t xml:space="preserve"> &amp; </w:t>
      </w:r>
      <w:r w:rsidR="00DE0F31" w:rsidRPr="008432AC">
        <w:t>Pronovost</w:t>
      </w:r>
      <w:r w:rsidRPr="008432AC">
        <w:t xml:space="preserve">, 2012). In other words, the success or failure of HIT initiatives hinges on whether stakeholders will see enough value in the initiative (and/or the technological medium that instantiates it) to use it. </w:t>
      </w:r>
    </w:p>
    <w:p w14:paraId="7D516598" w14:textId="5B0C09FC" w:rsidR="00277905" w:rsidRPr="008432AC" w:rsidRDefault="00FE7F32" w:rsidP="009C1EAB">
      <w:pPr>
        <w:pStyle w:val="APAParagraph"/>
      </w:pPr>
      <w:r w:rsidRPr="008432AC">
        <w:t>This research</w:t>
      </w:r>
      <w:r w:rsidR="00BF0089" w:rsidRPr="008432AC">
        <w:t xml:space="preserve"> seeks to combine four stakeholders groups</w:t>
      </w:r>
      <w:r w:rsidRPr="008432AC">
        <w:t xml:space="preserve"> (</w:t>
      </w:r>
      <w:r w:rsidR="00BF0089" w:rsidRPr="008432AC">
        <w:t>employees, patients, UAE citizens and residents, and foresight experts</w:t>
      </w:r>
      <w:r w:rsidRPr="008432AC">
        <w:t>)</w:t>
      </w:r>
      <w:r w:rsidR="00BF0089" w:rsidRPr="008432AC">
        <w:t xml:space="preserve"> to present a unique perspective on the perception of HIT in the context of the UAE. The inclusion of future foresight experts’ opinions is an entirely new approach within the scholarly arena. Nowadays, the term foresight expert involves far more expectations than previously, although professional foresight services are still note clearly defined from the perspective of the market (Hines</w:t>
      </w:r>
      <w:r w:rsidR="005E7A62">
        <w:t xml:space="preserve"> &amp; </w:t>
      </w:r>
      <w:r w:rsidR="00BF0089" w:rsidRPr="008432AC">
        <w:t xml:space="preserve">Gold, 2013). </w:t>
      </w:r>
      <w:r w:rsidR="00CB272D" w:rsidRPr="008432AC">
        <w:t>Foresight</w:t>
      </w:r>
      <w:r w:rsidR="00BF0089" w:rsidRPr="008432AC">
        <w:t xml:space="preserve"> enables individuals to </w:t>
      </w:r>
      <w:r w:rsidR="002B1C72" w:rsidRPr="008432AC">
        <w:t>“</w:t>
      </w:r>
      <w:r w:rsidR="00BF0089" w:rsidRPr="008432AC">
        <w:t>see far and wide</w:t>
      </w:r>
      <w:r w:rsidR="002B1C72" w:rsidRPr="008432AC">
        <w:t>”</w:t>
      </w:r>
      <w:r w:rsidR="00BF0089" w:rsidRPr="008432AC">
        <w:t xml:space="preserve"> to improve how they think their decisions (Berger, 1959). Hence, </w:t>
      </w:r>
      <w:r w:rsidR="00CB272D" w:rsidRPr="008432AC">
        <w:t xml:space="preserve">such professionals </w:t>
      </w:r>
      <w:r w:rsidR="00BF0089" w:rsidRPr="008432AC">
        <w:t>modify individual representations by creating new frames for analysis (Bootz, 2010). Foresight experts serve both private and public sectors, at the global, national</w:t>
      </w:r>
      <w:r w:rsidR="002B1C72" w:rsidRPr="008432AC">
        <w:t>,</w:t>
      </w:r>
      <w:r w:rsidR="00BF0089" w:rsidRPr="008432AC">
        <w:t xml:space="preserve"> and regional levels (Andersen</w:t>
      </w:r>
      <w:r w:rsidR="005E7A62">
        <w:t xml:space="preserve"> &amp; </w:t>
      </w:r>
      <w:r w:rsidR="00BF0089" w:rsidRPr="008432AC">
        <w:t>Rasmussen, 2014). From the standpoint of commercial entities that practice foresight, the number is limited and only complement</w:t>
      </w:r>
      <w:r w:rsidR="00803924" w:rsidRPr="008432AC">
        <w:t>s,</w:t>
      </w:r>
      <w:r w:rsidR="00BF0089" w:rsidRPr="008432AC">
        <w:t xml:space="preserve"> rather than substitute</w:t>
      </w:r>
      <w:r w:rsidR="00803924" w:rsidRPr="008432AC">
        <w:t>s</w:t>
      </w:r>
      <w:r w:rsidR="00BF0089" w:rsidRPr="008432AC">
        <w:t xml:space="preserve"> for</w:t>
      </w:r>
      <w:r w:rsidR="00803924" w:rsidRPr="008432AC">
        <w:t>,</w:t>
      </w:r>
      <w:r w:rsidR="00BF0089" w:rsidRPr="008432AC">
        <w:t xml:space="preserve"> graduate education. This is already a reality, as companies educate their own foresight experts (Gary</w:t>
      </w:r>
      <w:r w:rsidR="005E7A62">
        <w:t xml:space="preserve"> &amp; </w:t>
      </w:r>
      <w:r w:rsidR="00BF0089" w:rsidRPr="008432AC">
        <w:t>von der Gracht, 2015).</w:t>
      </w:r>
    </w:p>
    <w:p w14:paraId="7D516599" w14:textId="4945A9BF" w:rsidR="00AF3DBB" w:rsidRPr="008432AC" w:rsidRDefault="00277905" w:rsidP="009C1EAB">
      <w:pPr>
        <w:pStyle w:val="APAParagraph"/>
      </w:pPr>
      <w:r w:rsidRPr="008432AC">
        <w:lastRenderedPageBreak/>
        <w:t>Since the decision to embrace modern technologies in the healthcare arena heavily relies on peer recommendations (Agarwal</w:t>
      </w:r>
      <w:r w:rsidR="007B21E6" w:rsidRPr="008432AC">
        <w:t>, Gao, Des</w:t>
      </w:r>
      <w:r w:rsidR="006E2767" w:rsidRPr="008432AC">
        <w:t>Roches,</w:t>
      </w:r>
      <w:r w:rsidR="005E7A62">
        <w:t xml:space="preserve"> &amp; </w:t>
      </w:r>
      <w:r w:rsidR="006E2767" w:rsidRPr="008432AC">
        <w:t>Jha</w:t>
      </w:r>
      <w:r w:rsidRPr="008432AC">
        <w:t xml:space="preserve">, 2010), the stakeholder model is ideally suited to identify the most important motivators </w:t>
      </w:r>
      <w:r w:rsidR="000E4D12" w:rsidRPr="008432AC">
        <w:t>for</w:t>
      </w:r>
      <w:r w:rsidRPr="008432AC">
        <w:t xml:space="preserve"> HIT adoption. By employing this framework, the present </w:t>
      </w:r>
      <w:r w:rsidR="004A43F4" w:rsidRPr="008432AC">
        <w:t>research</w:t>
      </w:r>
      <w:r w:rsidR="00D07449">
        <w:t xml:space="preserve"> </w:t>
      </w:r>
      <w:r w:rsidRPr="008432AC">
        <w:t>can provide valuable insights into the opinions of the various stakeholders within the healthcare system, and, thus, can help decision</w:t>
      </w:r>
      <w:r w:rsidR="00BD5306" w:rsidRPr="008432AC">
        <w:t>-</w:t>
      </w:r>
      <w:r w:rsidRPr="008432AC">
        <w:t>makers in the healthcare industry to better understand the dynamics of the system and the needs of its participants (Fontaine</w:t>
      </w:r>
      <w:r w:rsidR="006E2767" w:rsidRPr="008432AC">
        <w:t xml:space="preserve"> et al.</w:t>
      </w:r>
      <w:r w:rsidRPr="008432AC">
        <w:t>, 2006), thereby helping them to make and adopt policies that allow provi</w:t>
      </w:r>
      <w:r w:rsidR="00F64D32" w:rsidRPr="008432AC">
        <w:t>sion of</w:t>
      </w:r>
      <w:r w:rsidRPr="008432AC">
        <w:t xml:space="preserve"> the highest quality care possible. </w:t>
      </w:r>
      <w:r w:rsidR="00AF3DBB" w:rsidRPr="008432AC">
        <w:t xml:space="preserve">Therefore, it is crucial to understand the motives and perspectives of the stakeholders in order to ensure that they will </w:t>
      </w:r>
      <w:r w:rsidR="00F64D32" w:rsidRPr="008432AC">
        <w:t>embrace</w:t>
      </w:r>
      <w:r w:rsidR="00AF3DBB" w:rsidRPr="008432AC">
        <w:t xml:space="preserve"> the desired technologies and initiatives. Chapter </w:t>
      </w:r>
      <w:r w:rsidR="005922C2" w:rsidRPr="008432AC">
        <w:t>three</w:t>
      </w:r>
      <w:r w:rsidR="00AF3DBB" w:rsidRPr="008432AC">
        <w:t xml:space="preserve"> will address the theory of stakeholder perspectives, a theoretical grounding that will prove vital to the present study and, more generally, to our understanding of HIT adoption.</w:t>
      </w:r>
    </w:p>
    <w:p w14:paraId="7D51659A" w14:textId="77777777" w:rsidR="00C8151F" w:rsidRPr="008432AC" w:rsidRDefault="00EE7B14" w:rsidP="003A1141">
      <w:pPr>
        <w:pStyle w:val="Heading1"/>
      </w:pPr>
      <w:bookmarkStart w:id="55" w:name="_Toc532800285"/>
      <w:bookmarkStart w:id="56" w:name="_Toc534028529"/>
      <w:bookmarkStart w:id="57" w:name="_Toc534028914"/>
      <w:bookmarkStart w:id="58" w:name="_Toc24447773"/>
      <w:r w:rsidRPr="008432AC">
        <w:t xml:space="preserve">2.4. </w:t>
      </w:r>
      <w:r w:rsidR="00C8151F" w:rsidRPr="008432AC">
        <w:t xml:space="preserve">Motivators </w:t>
      </w:r>
      <w:r w:rsidR="004B424C" w:rsidRPr="008432AC">
        <w:t>for</w:t>
      </w:r>
      <w:r w:rsidR="00C8151F" w:rsidRPr="008432AC">
        <w:t xml:space="preserve"> HIT Adoption</w:t>
      </w:r>
      <w:bookmarkEnd w:id="55"/>
      <w:bookmarkEnd w:id="56"/>
      <w:bookmarkEnd w:id="57"/>
      <w:bookmarkEnd w:id="58"/>
    </w:p>
    <w:p w14:paraId="7D51659B" w14:textId="2B4176C8" w:rsidR="009751E0" w:rsidRPr="008432AC" w:rsidRDefault="00C8151F" w:rsidP="009C1EAB">
      <w:pPr>
        <w:pStyle w:val="APAParagraph"/>
      </w:pPr>
      <w:r w:rsidRPr="008432AC">
        <w:t>Despite the aforementioned numerous and well-documented benefits of HIT, these technologies are underutilized, both at organizational and national levels (as discussed in the previous section) and at personnel levels. McClellan</w:t>
      </w:r>
      <w:r w:rsidR="006E2767" w:rsidRPr="008432AC">
        <w:t xml:space="preserve">, Casalino, </w:t>
      </w:r>
      <w:r w:rsidR="00811AFE" w:rsidRPr="008432AC">
        <w:t>Shortell,</w:t>
      </w:r>
      <w:r w:rsidR="005E7A62">
        <w:t xml:space="preserve"> &amp; </w:t>
      </w:r>
      <w:r w:rsidR="00811AFE" w:rsidRPr="008432AC">
        <w:t>Rittenhouse’s</w:t>
      </w:r>
      <w:r w:rsidRPr="008432AC">
        <w:t xml:space="preserve"> (2013) cross-sectional study of physicians found that only 34.1% of HIT functionalities were adopted, that one in seven professionals failed to adopt HIT, and that one in five did not even heed </w:t>
      </w:r>
      <w:r w:rsidRPr="008432AC">
        <w:lastRenderedPageBreak/>
        <w:t xml:space="preserve">reminders. Primary care practices and relatively larger practices, however, </w:t>
      </w:r>
      <w:r w:rsidR="005E6C5A" w:rsidRPr="008432AC">
        <w:t xml:space="preserve">have </w:t>
      </w:r>
      <w:r w:rsidRPr="008432AC">
        <w:t xml:space="preserve">adopted HIT more readily, and physicians with more patient-centered care specialties </w:t>
      </w:r>
      <w:r w:rsidR="003A20A2" w:rsidRPr="008432AC">
        <w:t xml:space="preserve">have been found to be </w:t>
      </w:r>
      <w:r w:rsidRPr="008432AC">
        <w:t>more likely to embrace HIT (see</w:t>
      </w:r>
      <w:r w:rsidR="003A20A2" w:rsidRPr="008432AC">
        <w:t>, for example,</w:t>
      </w:r>
      <w:r w:rsidRPr="008432AC">
        <w:t xml:space="preserve"> Heisey-Grove</w:t>
      </w:r>
      <w:r w:rsidR="005E7A62">
        <w:t xml:space="preserve"> &amp; </w:t>
      </w:r>
      <w:r w:rsidRPr="008432AC">
        <w:t>Patel, 2014). This study highlight</w:t>
      </w:r>
      <w:r w:rsidR="003A20A2" w:rsidRPr="008432AC">
        <w:t>ed</w:t>
      </w:r>
      <w:r w:rsidRPr="008432AC">
        <w:t xml:space="preserve"> just how far there is to go in implementing HIT (almost two-thirds of HIT forms are under-implemented, and that almost 15% of physicians are under-utilizing HIT) and why it is so important to understand what could motivate those in healthcare </w:t>
      </w:r>
      <w:r w:rsidR="00627962" w:rsidRPr="008432AC">
        <w:t>fully adopt the technologies</w:t>
      </w:r>
      <w:r w:rsidRPr="008432AC">
        <w:t xml:space="preserve">. </w:t>
      </w:r>
    </w:p>
    <w:p w14:paraId="7D51659C" w14:textId="77777777" w:rsidR="009751E0" w:rsidRPr="008432AC" w:rsidRDefault="009751E0" w:rsidP="009C1EAB">
      <w:pPr>
        <w:pStyle w:val="APAParagraph"/>
      </w:pPr>
      <w:r w:rsidRPr="008432AC">
        <w:t xml:space="preserve">Heisey-Grove and Patel (2014) </w:t>
      </w:r>
      <w:r w:rsidR="00627962" w:rsidRPr="008432AC">
        <w:t xml:space="preserve">also </w:t>
      </w:r>
      <w:r w:rsidRPr="008432AC">
        <w:t>analyze</w:t>
      </w:r>
      <w:r w:rsidR="00627962" w:rsidRPr="008432AC">
        <w:t>d</w:t>
      </w:r>
      <w:r w:rsidRPr="008432AC">
        <w:t xml:space="preserve"> the factors behind the successful adoption of EHRs, reveal</w:t>
      </w:r>
      <w:r w:rsidR="00627962" w:rsidRPr="008432AC">
        <w:t>ing</w:t>
      </w:r>
      <w:r w:rsidRPr="008432AC">
        <w:t xml:space="preserve"> that large and multi-specialty practices have the lowest number of physicians that are hesitant or reluctant to use EHRs, while numbers were highest for solo practitioners. Financial incentives represent</w:t>
      </w:r>
      <w:r w:rsidR="005A559A" w:rsidRPr="008432AC">
        <w:t>ed</w:t>
      </w:r>
      <w:r w:rsidRPr="008432AC">
        <w:t xml:space="preserve"> a significant determinant according to their results, with 62% of physicians </w:t>
      </w:r>
      <w:r w:rsidR="005A559A" w:rsidRPr="008432AC">
        <w:t xml:space="preserve">citing </w:t>
      </w:r>
      <w:r w:rsidRPr="008432AC">
        <w:t xml:space="preserve">them as a main reason. Other factors included the need to fulfill a board-certification requirement (39%), good feedback from other colleagues (37%), </w:t>
      </w:r>
      <w:r w:rsidR="005A559A" w:rsidRPr="008432AC">
        <w:t xml:space="preserve">the </w:t>
      </w:r>
      <w:r w:rsidRPr="008432AC">
        <w:t>possibility of electronic exchange (36%), technical assistance (35%), assistance with EHR selection (17%), and availability of certified EHRs (13%). Heisey-Grove and Patel (2014) also identif</w:t>
      </w:r>
      <w:r w:rsidR="005A559A" w:rsidRPr="008432AC">
        <w:t>ied</w:t>
      </w:r>
      <w:r w:rsidRPr="008432AC">
        <w:t xml:space="preserve"> the reasons of physicians </w:t>
      </w:r>
      <w:r w:rsidR="005A559A" w:rsidRPr="008432AC">
        <w:t xml:space="preserve">were </w:t>
      </w:r>
      <w:r w:rsidRPr="008432AC">
        <w:t>unwilling to adopt EHRs: financial incentives (51%)</w:t>
      </w:r>
      <w:r w:rsidR="005A559A" w:rsidRPr="008432AC">
        <w:t>;</w:t>
      </w:r>
      <w:r w:rsidRPr="008432AC">
        <w:t xml:space="preserve"> technical assistance in implementation (46%)</w:t>
      </w:r>
      <w:r w:rsidR="005A559A" w:rsidRPr="008432AC">
        <w:t>;</w:t>
      </w:r>
      <w:r w:rsidRPr="008432AC">
        <w:t xml:space="preserve"> board certification (44%)</w:t>
      </w:r>
      <w:r w:rsidR="005A559A" w:rsidRPr="008432AC">
        <w:t xml:space="preserve">;the </w:t>
      </w:r>
      <w:r w:rsidRPr="008432AC">
        <w:t>possibility of electronic exchange (39%)</w:t>
      </w:r>
      <w:r w:rsidR="00BC5312" w:rsidRPr="008432AC">
        <w:t>;</w:t>
      </w:r>
      <w:r w:rsidRPr="008432AC">
        <w:t xml:space="preserve"> feedback from colleagues (36%)</w:t>
      </w:r>
      <w:r w:rsidR="00BC5312" w:rsidRPr="008432AC">
        <w:t>;</w:t>
      </w:r>
      <w:r w:rsidRPr="008432AC">
        <w:t xml:space="preserve"> assistance in HER selection (29%)</w:t>
      </w:r>
      <w:r w:rsidR="00BC5312" w:rsidRPr="008432AC">
        <w:t>;</w:t>
      </w:r>
      <w:r w:rsidRPr="008432AC">
        <w:t xml:space="preserve"> and EHR availability (19%).Other motivators include incentives, patient </w:t>
      </w:r>
      <w:r w:rsidRPr="008432AC">
        <w:lastRenderedPageBreak/>
        <w:t xml:space="preserve">safety, administrative simplification, competitive advantage, patient-centered and accountable organizational systems, revenue enhancements, and cost savings (Buntin et al., 2010; Wolper, 2013). </w:t>
      </w:r>
    </w:p>
    <w:p w14:paraId="7D51659D" w14:textId="66986507" w:rsidR="00C8151F" w:rsidRPr="008432AC" w:rsidRDefault="009751E0" w:rsidP="009C1EAB">
      <w:pPr>
        <w:pStyle w:val="APAParagraph"/>
      </w:pPr>
      <w:r w:rsidRPr="008432AC">
        <w:t>HIT</w:t>
      </w:r>
      <w:r w:rsidR="00C8151F" w:rsidRPr="008432AC">
        <w:t xml:space="preserve"> motivations can range from intrinsic to extrinsic (Davis</w:t>
      </w:r>
      <w:r w:rsidR="00811AFE" w:rsidRPr="008432AC">
        <w:t>, Bagozzi,</w:t>
      </w:r>
      <w:r w:rsidR="005E7A62">
        <w:t xml:space="preserve"> &amp; </w:t>
      </w:r>
      <w:r w:rsidR="00811AFE" w:rsidRPr="008432AC">
        <w:t>Warsh</w:t>
      </w:r>
      <w:r w:rsidR="00124FFB" w:rsidRPr="008432AC">
        <w:t>a</w:t>
      </w:r>
      <w:r w:rsidR="00811AFE" w:rsidRPr="008432AC">
        <w:t>w</w:t>
      </w:r>
      <w:r w:rsidR="00C8151F" w:rsidRPr="008432AC">
        <w:t>, 1992; Deci</w:t>
      </w:r>
      <w:r w:rsidR="005E7A62">
        <w:t xml:space="preserve"> &amp; </w:t>
      </w:r>
      <w:r w:rsidR="00C8151F" w:rsidRPr="008432AC">
        <w:t>Ryan, 1980) and can hav</w:t>
      </w:r>
      <w:r w:rsidR="00BC5312" w:rsidRPr="008432AC">
        <w:t>e several</w:t>
      </w:r>
      <w:r w:rsidR="00C8151F" w:rsidRPr="008432AC">
        <w:t xml:space="preserve"> paths and influences (Petty</w:t>
      </w:r>
      <w:r w:rsidR="005E7A62">
        <w:t xml:space="preserve"> &amp; </w:t>
      </w:r>
      <w:r w:rsidR="00C8151F" w:rsidRPr="008432AC">
        <w:t xml:space="preserve">Cacioppo, 1986). As might be expected, financial factors are a major motivator </w:t>
      </w:r>
      <w:r w:rsidR="004B424C" w:rsidRPr="008432AC">
        <w:t>for</w:t>
      </w:r>
      <w:r w:rsidR="00C8151F" w:rsidRPr="008432AC">
        <w:t xml:space="preserve"> HIT adoption, which can </w:t>
      </w:r>
      <w:r w:rsidR="0013248B" w:rsidRPr="008432AC">
        <w:t>include</w:t>
      </w:r>
      <w:r w:rsidR="00C8151F" w:rsidRPr="008432AC">
        <w:t xml:space="preserve"> profits and competitive advantages to back</w:t>
      </w:r>
      <w:r w:rsidR="0013248B" w:rsidRPr="008432AC">
        <w:t>-</w:t>
      </w:r>
      <w:r w:rsidR="00C8151F" w:rsidRPr="008432AC">
        <w:t>office expenses</w:t>
      </w:r>
      <w:r w:rsidR="00DC768A" w:rsidRPr="008432AC">
        <w:t>,</w:t>
      </w:r>
      <w:r w:rsidR="00C8151F" w:rsidRPr="008432AC">
        <w:t xml:space="preserve"> liability costs</w:t>
      </w:r>
      <w:r w:rsidR="00DC768A" w:rsidRPr="008432AC">
        <w:t>,</w:t>
      </w:r>
      <w:r w:rsidR="00C8151F" w:rsidRPr="008432AC">
        <w:t xml:space="preserve"> inventory and transportation</w:t>
      </w:r>
      <w:r w:rsidR="00DC768A" w:rsidRPr="008432AC">
        <w:t>,</w:t>
      </w:r>
      <w:r w:rsidR="00C8151F" w:rsidRPr="008432AC">
        <w:t xml:space="preserve"> billing and efficiency</w:t>
      </w:r>
      <w:r w:rsidR="0013248B" w:rsidRPr="008432AC">
        <w:t>, and</w:t>
      </w:r>
      <w:r w:rsidR="00C8151F" w:rsidRPr="008432AC">
        <w:t xml:space="preserve"> processes and organizational performance (Buntin et al., 2010; Heisey-Grove</w:t>
      </w:r>
      <w:r w:rsidR="005E7A62">
        <w:t xml:space="preserve"> &amp; </w:t>
      </w:r>
      <w:r w:rsidR="00C8151F" w:rsidRPr="008432AC">
        <w:t>Patel, 2014; Li</w:t>
      </w:r>
      <w:r w:rsidR="005E7A62">
        <w:t xml:space="preserve"> &amp; </w:t>
      </w:r>
      <w:r w:rsidR="00C8151F" w:rsidRPr="008432AC">
        <w:t>Collier, 2000; McLeod et al., 2008; Mello</w:t>
      </w:r>
      <w:r w:rsidR="00124FFB" w:rsidRPr="008432AC">
        <w:t xml:space="preserve">, </w:t>
      </w:r>
      <w:r w:rsidR="00A92F7A" w:rsidRPr="008432AC">
        <w:t>Chandra, Gawanda,</w:t>
      </w:r>
      <w:r w:rsidR="005E7A62">
        <w:t xml:space="preserve"> &amp; </w:t>
      </w:r>
      <w:r w:rsidR="00A92F7A" w:rsidRPr="008432AC">
        <w:t>Studdert</w:t>
      </w:r>
      <w:r w:rsidR="00C8151F" w:rsidRPr="008432AC">
        <w:t>, 2010; Melville et al., 2004; Robertson, 2011; Wolper, 2013). Wang et al. (2018) explored the relationships between HIT-related spending, business processes, and financial outcomes in the US, finding that HIT investments were associated with positive financial performance and return on assets. However, such outcomes can depend on the size of the healthcare facility. Given the significant investments required by HIT, the value of payoffs is brought into question, particularly for smaller healthcare facilities (Devaraj</w:t>
      </w:r>
      <w:r w:rsidR="005E7A62">
        <w:t xml:space="preserve"> &amp; </w:t>
      </w:r>
      <w:r w:rsidR="00C8151F" w:rsidRPr="008432AC">
        <w:t>Kohli, 2000; Kohli</w:t>
      </w:r>
      <w:r w:rsidR="005E7A62">
        <w:t xml:space="preserve"> &amp; </w:t>
      </w:r>
      <w:r w:rsidR="00C8151F" w:rsidRPr="008432AC">
        <w:t>Tan, 2016). This could explain the finding that HIT is more successfully implemented and more widely used in larger practices (Heisey-Grove</w:t>
      </w:r>
      <w:r w:rsidR="005E7A62">
        <w:t xml:space="preserve"> &amp; </w:t>
      </w:r>
      <w:r w:rsidR="00C8151F" w:rsidRPr="008432AC">
        <w:t>Patel, 2014; McClellan et al., 2013). Additionally, and thankfully, patient safety is also an important motivator (Buntin et al., 2010; Wolper, 2013).</w:t>
      </w:r>
    </w:p>
    <w:p w14:paraId="7D51659E" w14:textId="03EECAEF" w:rsidR="00C8151F" w:rsidRPr="008432AC" w:rsidRDefault="00C8151F" w:rsidP="009C1EAB">
      <w:pPr>
        <w:pStyle w:val="APAParagraph"/>
      </w:pPr>
      <w:r w:rsidRPr="008432AC">
        <w:lastRenderedPageBreak/>
        <w:t>In addition to these outcome-based motivators (i.e. patient health and financial impact, with its associated processes), successful HIT implementation must also consider implementation-based motivators, such as usability and the people who will most be using the technologies. From this perspective, factors such as performance and effort expectancies, social and cultural influences, facilitating conditions, meaningful use, administrative simplification, and proactive leadership can become strong motivators (Aljohani</w:t>
      </w:r>
      <w:r w:rsidR="00A92F7A" w:rsidRPr="008432AC">
        <w:t xml:space="preserve">, </w:t>
      </w:r>
      <w:r w:rsidR="00F87A55" w:rsidRPr="008432AC">
        <w:t>Davis,</w:t>
      </w:r>
      <w:r w:rsidR="005E7A62">
        <w:t xml:space="preserve"> &amp; </w:t>
      </w:r>
      <w:r w:rsidR="00F87A55" w:rsidRPr="008432AC">
        <w:t>Connoly</w:t>
      </w:r>
      <w:r w:rsidRPr="008432AC">
        <w:t>, 2018; Buntin et al., 2010; Fisher</w:t>
      </w:r>
      <w:r w:rsidR="005E7A62">
        <w:t xml:space="preserve"> &amp; </w:t>
      </w:r>
      <w:r w:rsidRPr="008432AC">
        <w:t>Clayton, 2012; Hoque</w:t>
      </w:r>
      <w:r w:rsidR="005E7A62">
        <w:t xml:space="preserve"> &amp; </w:t>
      </w:r>
      <w:r w:rsidRPr="008432AC">
        <w:t>Bao, 2015; Ingebrigtsen et al., 2014; Slight et al., 2015; Thackeray</w:t>
      </w:r>
      <w:r w:rsidR="004D4011" w:rsidRPr="008432AC">
        <w:t>, Crookston,</w:t>
      </w:r>
      <w:r w:rsidR="005E7A62">
        <w:t xml:space="preserve"> &amp; </w:t>
      </w:r>
      <w:r w:rsidR="004D4011" w:rsidRPr="008432AC">
        <w:t>West</w:t>
      </w:r>
      <w:r w:rsidRPr="008432AC">
        <w:t>, 2013; Wolper, 2013). According to a recent study (Zadvinskis</w:t>
      </w:r>
      <w:r w:rsidR="002440FC" w:rsidRPr="008432AC">
        <w:t>, Smith,</w:t>
      </w:r>
      <w:r w:rsidR="005E7A62">
        <w:t xml:space="preserve"> &amp; </w:t>
      </w:r>
      <w:r w:rsidR="002440FC" w:rsidRPr="008432AC">
        <w:t>Yen</w:t>
      </w:r>
      <w:r w:rsidRPr="008432AC">
        <w:t>, 2018), personal and organization-level factors are the most important motivators, followed by equipment, workflow, and thematic interconnectivity, meaning that healthcare professionals would need to be comfortable using the technologies if they are to be implemented effectively. Using TAM, Chen</w:t>
      </w:r>
      <w:r w:rsidR="002440FC" w:rsidRPr="008432AC">
        <w:t xml:space="preserve">, Yang, Tang, </w:t>
      </w:r>
      <w:r w:rsidR="004D03D8" w:rsidRPr="008432AC">
        <w:t>Huang, and Yu</w:t>
      </w:r>
      <w:r w:rsidRPr="008432AC">
        <w:t xml:space="preserve"> (2008) explored nurses’ attitudes towards the use of HIT, finding that perceived usefulness (i.e. perceived ease of use) </w:t>
      </w:r>
      <w:r w:rsidR="00725C65" w:rsidRPr="008432AC">
        <w:t>wa</w:t>
      </w:r>
      <w:r w:rsidRPr="008432AC">
        <w:t xml:space="preserve">s the major, direct driver of the intention to use HIT. Furthermore, perceived usefulness </w:t>
      </w:r>
      <w:r w:rsidR="00725C65" w:rsidRPr="008432AC">
        <w:t>wa</w:t>
      </w:r>
      <w:r w:rsidRPr="008432AC">
        <w:t>s indirectly impacted by other enablers, such as the perceived usability, individual abilities, and internet access.</w:t>
      </w:r>
    </w:p>
    <w:p w14:paraId="7D51659F" w14:textId="5CA8755C" w:rsidR="00C8151F" w:rsidRPr="008432AC" w:rsidRDefault="00C8151F" w:rsidP="009C1EAB">
      <w:pPr>
        <w:pStyle w:val="APAParagraph"/>
      </w:pPr>
      <w:r w:rsidRPr="008432AC">
        <w:t xml:space="preserve">Using a modified version of TAM, in conjunction with other current frameworks on technology adoption in healthcare, Aggelidis and Chatzoglou (2009) found that perceived usefulness and usability </w:t>
      </w:r>
      <w:r w:rsidR="00047F34" w:rsidRPr="008432AC">
        <w:t>we</w:t>
      </w:r>
      <w:r w:rsidRPr="008432AC">
        <w:t xml:space="preserve">re, again, main </w:t>
      </w:r>
      <w:r w:rsidRPr="008432AC">
        <w:lastRenderedPageBreak/>
        <w:t>motivators, along with attitudes, self-efficacy, training, facilitating parameters, and social influences. Similarly, Kijsanayotin</w:t>
      </w:r>
      <w:r w:rsidR="004D03D8" w:rsidRPr="008432AC">
        <w:t>, Pannar</w:t>
      </w:r>
      <w:r w:rsidR="00B732BA" w:rsidRPr="008432AC">
        <w:t xml:space="preserve">unothai, </w:t>
      </w:r>
      <w:r w:rsidR="009D72B9">
        <w:t>and</w:t>
      </w:r>
      <w:r w:rsidR="00B732BA" w:rsidRPr="008432AC">
        <w:t xml:space="preserve"> Speedie</w:t>
      </w:r>
      <w:r w:rsidRPr="008432AC">
        <w:t xml:space="preserve"> (2009) used the UTAUT model to examine the HIT adoption in community health centers in Thailand, finding that performance and effort expectancies (which can be argued to be similar to usefulness and usability) </w:t>
      </w:r>
      <w:r w:rsidR="00047F34" w:rsidRPr="008432AC">
        <w:t>we</w:t>
      </w:r>
      <w:r w:rsidRPr="008432AC">
        <w:t>re essential factors, along with IT skills, intention of use, facilitating parameters, social influence, and voluntariness. Others have further confirmed the importance of performance and expectancies and social influences (Emani et al., 2012; Hoque</w:t>
      </w:r>
      <w:r w:rsidR="005E7A62">
        <w:t xml:space="preserve"> &amp; </w:t>
      </w:r>
      <w:r w:rsidRPr="008432AC">
        <w:t>Sorwar, 2017; Phichitchaisopa</w:t>
      </w:r>
      <w:r w:rsidR="005E7A62">
        <w:t xml:space="preserve"> &amp; </w:t>
      </w:r>
      <w:r w:rsidRPr="008432AC">
        <w:t>Naenna, 2013; Yu</w:t>
      </w:r>
      <w:r w:rsidR="00B732BA" w:rsidRPr="008432AC">
        <w:t>, Li,</w:t>
      </w:r>
      <w:r w:rsidR="005E7A62">
        <w:t xml:space="preserve"> &amp; </w:t>
      </w:r>
      <w:r w:rsidR="00B732BA" w:rsidRPr="008432AC">
        <w:t>Gagnon</w:t>
      </w:r>
      <w:r w:rsidRPr="008432AC">
        <w:t>, 2009).</w:t>
      </w:r>
    </w:p>
    <w:p w14:paraId="7D5165A0" w14:textId="3B95E287" w:rsidR="00C8151F" w:rsidRPr="008432AC" w:rsidRDefault="00C8151F" w:rsidP="009C1EAB">
      <w:pPr>
        <w:pStyle w:val="APAParagraph"/>
      </w:pPr>
      <w:r w:rsidRPr="008432AC">
        <w:t>Hung</w:t>
      </w:r>
      <w:r w:rsidR="00A702F4" w:rsidRPr="008432AC">
        <w:t xml:space="preserve">, Hung, Tasi, </w:t>
      </w:r>
      <w:r w:rsidR="00B308A0">
        <w:t>and</w:t>
      </w:r>
      <w:r w:rsidR="00A702F4" w:rsidRPr="008432AC">
        <w:t xml:space="preserve"> Jiang</w:t>
      </w:r>
      <w:r w:rsidRPr="008432AC">
        <w:t xml:space="preserve"> (2010) similarly employed a more integrated theoretical structure, one that additionally included organizational elements. Via a series of surveys of medical professionals, they found that the size of the facility, the staff system capabilities, knowledge management abilities, and the innovativeness of senior leadership ha</w:t>
      </w:r>
      <w:r w:rsidR="00A80BDF" w:rsidRPr="008432AC">
        <w:t>d</w:t>
      </w:r>
      <w:r w:rsidRPr="008432AC">
        <w:t xml:space="preserve"> a substantial impact on the decision to use technology. Alkraiji</w:t>
      </w:r>
      <w:r w:rsidR="00930BBF" w:rsidRPr="008432AC">
        <w:t>et</w:t>
      </w:r>
      <w:r w:rsidR="003239B0" w:rsidRPr="008432AC">
        <w:t xml:space="preserve">, Jackson, </w:t>
      </w:r>
      <w:r w:rsidR="00B308A0">
        <w:t>and</w:t>
      </w:r>
      <w:r w:rsidR="003239B0" w:rsidRPr="008432AC">
        <w:t xml:space="preserve"> Murray</w:t>
      </w:r>
      <w:r w:rsidRPr="008432AC">
        <w:t xml:space="preserve"> (2011) also found that facility particularities (size, type, structure, ownership, sophistication) predicted of HIT adoption, along with cost and user engagement. They further found HIT adoption to be predicted by various external and non-personnel related factors: government pressure</w:t>
      </w:r>
      <w:r w:rsidR="00A80BDF" w:rsidRPr="008432AC">
        <w:t>;</w:t>
      </w:r>
      <w:r w:rsidRPr="008432AC">
        <w:t xml:space="preserve"> bureaucracy</w:t>
      </w:r>
      <w:r w:rsidR="00A80BDF" w:rsidRPr="008432AC">
        <w:t>;</w:t>
      </w:r>
      <w:r w:rsidRPr="008432AC">
        <w:t xml:space="preserve"> procedures, accreditation of technology acceptance</w:t>
      </w:r>
      <w:r w:rsidR="00A80BDF" w:rsidRPr="008432AC">
        <w:t>;</w:t>
      </w:r>
      <w:r w:rsidRPr="008432AC">
        <w:t xml:space="preserve"> integration of systems with the current ones</w:t>
      </w:r>
      <w:r w:rsidR="00A80BDF" w:rsidRPr="008432AC">
        <w:t>;</w:t>
      </w:r>
      <w:r w:rsidRPr="008432AC">
        <w:t xml:space="preserve"> and external assistance.</w:t>
      </w:r>
    </w:p>
    <w:p w14:paraId="7D5165A1" w14:textId="77777777" w:rsidR="00C8151F" w:rsidRPr="008432AC" w:rsidRDefault="00C8151F" w:rsidP="009C1EAB">
      <w:pPr>
        <w:pStyle w:val="APAParagraph"/>
      </w:pPr>
      <w:r w:rsidRPr="00624183">
        <w:rPr>
          <w:color w:val="FF0000"/>
        </w:rPr>
        <w:t xml:space="preserve">Despite the many motivations for and benefits of adopting HIT, there is still a need for further growth, even in the UAE, which has been seeing considerable </w:t>
      </w:r>
      <w:r w:rsidRPr="00624183">
        <w:rPr>
          <w:color w:val="FF0000"/>
        </w:rPr>
        <w:lastRenderedPageBreak/>
        <w:t xml:space="preserve">progress in this domain. There is also a need to consider other factors that </w:t>
      </w:r>
      <w:r w:rsidR="000A4D81" w:rsidRPr="00624183">
        <w:rPr>
          <w:color w:val="FF0000"/>
        </w:rPr>
        <w:t>encourage</w:t>
      </w:r>
      <w:r w:rsidRPr="00624183">
        <w:rPr>
          <w:color w:val="FF0000"/>
        </w:rPr>
        <w:t xml:space="preserve"> the adoption and implementation of HIT. In particular, there is a need to understand the motivators shared by various healthcare stakeholder groups, from providers to patients. The current literature is replete with studies that have identified numerous motivators, even in the UAE; however, a search of the current literature shows no comprehensive study on the motivators held across stakeholder</w:t>
      </w:r>
      <w:r w:rsidR="00E41379" w:rsidRPr="00624183">
        <w:rPr>
          <w:color w:val="FF0000"/>
        </w:rPr>
        <w:t>s</w:t>
      </w:r>
      <w:r w:rsidRPr="00624183">
        <w:rPr>
          <w:color w:val="FF0000"/>
        </w:rPr>
        <w:t xml:space="preserve">. Furthermore, there is a need for more deeply quantitative and modeling studies of HIT motivators. Thus, one of the aims of the present </w:t>
      </w:r>
      <w:r w:rsidR="007E188D" w:rsidRPr="00624183">
        <w:rPr>
          <w:color w:val="FF0000"/>
        </w:rPr>
        <w:t>research</w:t>
      </w:r>
      <w:r w:rsidR="00DD06BB" w:rsidRPr="00624183">
        <w:rPr>
          <w:color w:val="FF0000"/>
        </w:rPr>
        <w:t xml:space="preserve"> </w:t>
      </w:r>
      <w:r w:rsidRPr="00624183">
        <w:rPr>
          <w:color w:val="FF0000"/>
        </w:rPr>
        <w:t xml:space="preserve">is to take such a modeling approach while comprehensively considering all the relevant stakeholders. </w:t>
      </w:r>
    </w:p>
    <w:p w14:paraId="7D5165A2" w14:textId="3F0EDC87" w:rsidR="00C8151F" w:rsidRPr="008432AC" w:rsidRDefault="00C8151F" w:rsidP="009C1EAB">
      <w:pPr>
        <w:pStyle w:val="APAParagraph"/>
      </w:pPr>
      <w:r w:rsidRPr="008432AC">
        <w:t xml:space="preserve">However, even </w:t>
      </w:r>
      <w:r w:rsidR="00A631CB" w:rsidRPr="008432AC">
        <w:t>these</w:t>
      </w:r>
      <w:r w:rsidR="00DD06BB" w:rsidRPr="008432AC">
        <w:t xml:space="preserve"> </w:t>
      </w:r>
      <w:r w:rsidRPr="008432AC">
        <w:t xml:space="preserve">comprehensive analyses </w:t>
      </w:r>
      <w:r w:rsidR="00A631CB" w:rsidRPr="008432AC">
        <w:t>are</w:t>
      </w:r>
      <w:r w:rsidRPr="008432AC">
        <w:t xml:space="preserve"> insufficient for </w:t>
      </w:r>
      <w:r w:rsidR="00A631CB" w:rsidRPr="008432AC">
        <w:t>seeing</w:t>
      </w:r>
      <w:r w:rsidR="00DD06BB" w:rsidRPr="008432AC">
        <w:t xml:space="preserve"> </w:t>
      </w:r>
      <w:r w:rsidRPr="008432AC">
        <w:t>the full picture of HIT adoption in the UAE and</w:t>
      </w:r>
      <w:r w:rsidR="00A631CB" w:rsidRPr="008432AC">
        <w:t xml:space="preserve"> identifying ways</w:t>
      </w:r>
      <w:r w:rsidRPr="008432AC">
        <w:t xml:space="preserve"> to improve it. As beneficial as these technologies are, their implementation can be hindered by various factors, often related to the technologies themselves and how effective and user-friendly they would be, along with other organizational and social factors (Cresswell</w:t>
      </w:r>
      <w:r w:rsidR="005E7A62">
        <w:t xml:space="preserve"> &amp; </w:t>
      </w:r>
      <w:r w:rsidRPr="008432AC">
        <w:t>Sheikh, 2013). Additionally, it has been argued that final users do not so much reject technology as they resist its use (Cresswell</w:t>
      </w:r>
      <w:r w:rsidR="005E7A62">
        <w:t xml:space="preserve"> &amp; </w:t>
      </w:r>
      <w:r w:rsidRPr="008432AC">
        <w:t>Sheikh, 2013), suggesting that effective techniques for improving HIT adoption should perhaps be targeted both at motivating its use and at breaking down the barriers that make people resist it, meaning that it is important to understand what barriers stand in the way of HIT adoption, and, in particular, what barriers continue to persist in nations, such as the UAE, that have seen progress in this area.</w:t>
      </w:r>
    </w:p>
    <w:p w14:paraId="7D5165A3" w14:textId="77777777" w:rsidR="00FF71AA" w:rsidRPr="008432AC" w:rsidRDefault="00FF71AA" w:rsidP="009C1EAB">
      <w:pPr>
        <w:pStyle w:val="APAParagraph"/>
      </w:pPr>
      <w:r w:rsidRPr="008432AC">
        <w:lastRenderedPageBreak/>
        <w:t>A summary of the main reported motivators for the adoption of healthcare technologies is presented in Table 2.1.</w:t>
      </w:r>
    </w:p>
    <w:p w14:paraId="7D5165A4" w14:textId="77777777" w:rsidR="00367FD5" w:rsidRPr="008432AC" w:rsidRDefault="00367FD5" w:rsidP="009C1EAB">
      <w:pPr>
        <w:pStyle w:val="APAParagraph"/>
      </w:pPr>
    </w:p>
    <w:p w14:paraId="7D5165A5" w14:textId="3C727DD6" w:rsidR="00794086" w:rsidRPr="00790070" w:rsidRDefault="00794086" w:rsidP="00284F98">
      <w:pPr>
        <w:pStyle w:val="Caption"/>
        <w:jc w:val="left"/>
        <w:rPr>
          <w:noProof w:val="0"/>
          <w:sz w:val="24"/>
          <w:szCs w:val="24"/>
        </w:rPr>
      </w:pPr>
      <w:bookmarkStart w:id="59" w:name="_Toc4059660"/>
      <w:r w:rsidRPr="00790070">
        <w:rPr>
          <w:b w:val="0"/>
          <w:noProof w:val="0"/>
          <w:sz w:val="24"/>
          <w:szCs w:val="24"/>
        </w:rPr>
        <w:t xml:space="preserve">Table </w:t>
      </w:r>
      <w:r w:rsidR="00E80753" w:rsidRPr="00790070">
        <w:rPr>
          <w:b w:val="0"/>
          <w:noProof w:val="0"/>
          <w:sz w:val="24"/>
          <w:szCs w:val="24"/>
        </w:rPr>
        <w:t>2.</w:t>
      </w:r>
      <w:r w:rsidR="002473BE" w:rsidRPr="00790070">
        <w:rPr>
          <w:b w:val="0"/>
          <w:noProof w:val="0"/>
          <w:sz w:val="24"/>
          <w:szCs w:val="24"/>
        </w:rPr>
        <w:fldChar w:fldCharType="begin"/>
      </w:r>
      <w:r w:rsidRPr="00790070">
        <w:rPr>
          <w:b w:val="0"/>
          <w:noProof w:val="0"/>
          <w:sz w:val="24"/>
          <w:szCs w:val="24"/>
        </w:rPr>
        <w:instrText xml:space="preserve"> SEQ Table_A._ \* ARABIC </w:instrText>
      </w:r>
      <w:r w:rsidR="002473BE" w:rsidRPr="00790070">
        <w:rPr>
          <w:b w:val="0"/>
          <w:noProof w:val="0"/>
          <w:sz w:val="24"/>
          <w:szCs w:val="24"/>
        </w:rPr>
        <w:fldChar w:fldCharType="separate"/>
      </w:r>
      <w:r w:rsidR="004C1C5E">
        <w:rPr>
          <w:b w:val="0"/>
          <w:sz w:val="24"/>
          <w:szCs w:val="24"/>
        </w:rPr>
        <w:t>1</w:t>
      </w:r>
      <w:r w:rsidR="002473BE" w:rsidRPr="00790070">
        <w:rPr>
          <w:b w:val="0"/>
          <w:noProof w:val="0"/>
          <w:sz w:val="24"/>
          <w:szCs w:val="24"/>
        </w:rPr>
        <w:fldChar w:fldCharType="end"/>
      </w:r>
      <w:r w:rsidR="001D5923" w:rsidRPr="00790070">
        <w:rPr>
          <w:noProof w:val="0"/>
          <w:sz w:val="24"/>
          <w:szCs w:val="24"/>
        </w:rPr>
        <w:br/>
      </w:r>
      <w:bookmarkStart w:id="60" w:name="_Hlk4058658"/>
      <w:r w:rsidRPr="00790070">
        <w:rPr>
          <w:b w:val="0"/>
          <w:i/>
          <w:noProof w:val="0"/>
          <w:sz w:val="24"/>
          <w:szCs w:val="24"/>
        </w:rPr>
        <w:t xml:space="preserve">Main Reported Motivators </w:t>
      </w:r>
      <w:r w:rsidR="00124C6E" w:rsidRPr="008432AC">
        <w:rPr>
          <w:b w:val="0"/>
          <w:i/>
          <w:noProof w:val="0"/>
          <w:sz w:val="24"/>
          <w:szCs w:val="24"/>
        </w:rPr>
        <w:t>for</w:t>
      </w:r>
      <w:r w:rsidRPr="00790070">
        <w:rPr>
          <w:b w:val="0"/>
          <w:i/>
          <w:noProof w:val="0"/>
          <w:sz w:val="24"/>
          <w:szCs w:val="24"/>
        </w:rPr>
        <w:t xml:space="preserve"> the Adoption of Healthcare Technologies</w:t>
      </w:r>
      <w:bookmarkEnd w:id="59"/>
      <w:bookmarkEnd w:id="60"/>
    </w:p>
    <w:tbl>
      <w:tblPr>
        <w:tblStyle w:val="TableGrid"/>
        <w:tblW w:w="5000" w:type="pct"/>
        <w:tblBorders>
          <w:left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036"/>
        <w:gridCol w:w="3617"/>
        <w:gridCol w:w="2483"/>
      </w:tblGrid>
      <w:tr w:rsidR="00053918" w:rsidRPr="00A76642" w14:paraId="7D5165A9" w14:textId="77777777" w:rsidTr="00790070">
        <w:trPr>
          <w:tblHeader/>
        </w:trPr>
        <w:tc>
          <w:tcPr>
            <w:tcW w:w="1251" w:type="pct"/>
            <w:tcBorders>
              <w:top w:val="single" w:sz="18" w:space="0" w:color="auto"/>
              <w:bottom w:val="single" w:sz="12" w:space="0" w:color="auto"/>
            </w:tcBorders>
            <w:shd w:val="clear" w:color="auto" w:fill="auto"/>
          </w:tcPr>
          <w:p w14:paraId="7D5165A6" w14:textId="77777777" w:rsidR="00A24B0F" w:rsidRPr="00A76642" w:rsidRDefault="00680E9A" w:rsidP="002C07D1">
            <w:pPr>
              <w:spacing w:line="480" w:lineRule="auto"/>
              <w:rPr>
                <w:rFonts w:asciiTheme="majorBidi" w:hAnsiTheme="majorBidi" w:cstheme="majorBidi"/>
                <w:szCs w:val="24"/>
                <w:lang w:val="en-US"/>
              </w:rPr>
            </w:pPr>
            <w:r w:rsidRPr="00A76642">
              <w:rPr>
                <w:rFonts w:asciiTheme="majorBidi" w:hAnsiTheme="majorBidi" w:cstheme="majorBidi"/>
              </w:rPr>
              <w:t>Reference</w:t>
            </w:r>
          </w:p>
        </w:tc>
        <w:tc>
          <w:tcPr>
            <w:tcW w:w="2223" w:type="pct"/>
            <w:tcBorders>
              <w:top w:val="single" w:sz="18" w:space="0" w:color="auto"/>
              <w:bottom w:val="single" w:sz="12" w:space="0" w:color="auto"/>
            </w:tcBorders>
            <w:shd w:val="clear" w:color="auto" w:fill="auto"/>
          </w:tcPr>
          <w:p w14:paraId="7D5165A7"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Motivators</w:t>
            </w:r>
          </w:p>
        </w:tc>
        <w:tc>
          <w:tcPr>
            <w:tcW w:w="1526" w:type="pct"/>
            <w:tcBorders>
              <w:top w:val="single" w:sz="18" w:space="0" w:color="auto"/>
              <w:bottom w:val="single" w:sz="12" w:space="0" w:color="auto"/>
            </w:tcBorders>
            <w:shd w:val="clear" w:color="auto" w:fill="auto"/>
          </w:tcPr>
          <w:p w14:paraId="7D5165A8"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Methodology</w:t>
            </w:r>
            <w:r w:rsidR="000636C0" w:rsidRPr="00A76642">
              <w:rPr>
                <w:rFonts w:asciiTheme="majorBidi" w:hAnsiTheme="majorBidi" w:cstheme="majorBidi"/>
              </w:rPr>
              <w:t>/Theory</w:t>
            </w:r>
          </w:p>
        </w:tc>
      </w:tr>
      <w:tr w:rsidR="00A24B0F" w:rsidRPr="00A76642" w14:paraId="7D5165AD" w14:textId="77777777" w:rsidTr="00790070">
        <w:trPr>
          <w:trHeight w:val="874"/>
        </w:trPr>
        <w:tc>
          <w:tcPr>
            <w:tcW w:w="1251" w:type="pct"/>
            <w:tcBorders>
              <w:top w:val="single" w:sz="12" w:space="0" w:color="auto"/>
            </w:tcBorders>
          </w:tcPr>
          <w:p w14:paraId="7D5165AA"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Hung</w:t>
            </w:r>
            <w:r w:rsidR="00A702F4" w:rsidRPr="00A76642">
              <w:rPr>
                <w:rFonts w:asciiTheme="majorBidi" w:hAnsiTheme="majorBidi" w:cstheme="majorBidi"/>
              </w:rPr>
              <w:t xml:space="preserve"> et al.</w:t>
            </w:r>
            <w:r w:rsidRPr="00A76642">
              <w:rPr>
                <w:rFonts w:asciiTheme="majorBidi" w:hAnsiTheme="majorBidi" w:cstheme="majorBidi"/>
              </w:rPr>
              <w:t xml:space="preserve"> (2010)</w:t>
            </w:r>
          </w:p>
        </w:tc>
        <w:tc>
          <w:tcPr>
            <w:tcW w:w="2223" w:type="pct"/>
            <w:tcBorders>
              <w:top w:val="single" w:sz="12" w:space="0" w:color="auto"/>
            </w:tcBorders>
          </w:tcPr>
          <w:p w14:paraId="7D5165AB"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Size of the facility; Staff system capabilities; Knowledge management abilities; Innovativeness of senior leadership</w:t>
            </w:r>
          </w:p>
        </w:tc>
        <w:tc>
          <w:tcPr>
            <w:tcW w:w="1526" w:type="pct"/>
            <w:tcBorders>
              <w:top w:val="single" w:sz="12" w:space="0" w:color="auto"/>
            </w:tcBorders>
          </w:tcPr>
          <w:p w14:paraId="7D5165AC"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A series of surveys of medical professionals</w:t>
            </w:r>
          </w:p>
        </w:tc>
      </w:tr>
      <w:tr w:rsidR="00A24B0F" w:rsidRPr="00A76642" w14:paraId="7D5165B1" w14:textId="77777777" w:rsidTr="00790070">
        <w:trPr>
          <w:trHeight w:val="874"/>
        </w:trPr>
        <w:tc>
          <w:tcPr>
            <w:tcW w:w="1251" w:type="pct"/>
            <w:shd w:val="clear" w:color="auto" w:fill="auto"/>
          </w:tcPr>
          <w:p w14:paraId="7D5165AE"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Aggelidis and Chatzoglou (2009)</w:t>
            </w:r>
          </w:p>
        </w:tc>
        <w:tc>
          <w:tcPr>
            <w:tcW w:w="2223" w:type="pct"/>
            <w:shd w:val="clear" w:color="auto" w:fill="auto"/>
          </w:tcPr>
          <w:p w14:paraId="7D5165AF"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Perceived usefulness and usability; Attitudes; Self-efficacy; Training; Facilitating parameters; Social influences</w:t>
            </w:r>
          </w:p>
        </w:tc>
        <w:tc>
          <w:tcPr>
            <w:tcW w:w="1526" w:type="pct"/>
            <w:shd w:val="clear" w:color="auto" w:fill="auto"/>
          </w:tcPr>
          <w:p w14:paraId="7D5165B0"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A modified version of the TAM, in conjunction with other current frameworks on technology adoption in healthcare</w:t>
            </w:r>
          </w:p>
        </w:tc>
      </w:tr>
      <w:tr w:rsidR="00A24B0F" w:rsidRPr="00A76642" w14:paraId="7D5165B5" w14:textId="77777777" w:rsidTr="00790070">
        <w:trPr>
          <w:trHeight w:val="361"/>
        </w:trPr>
        <w:tc>
          <w:tcPr>
            <w:tcW w:w="1251" w:type="pct"/>
          </w:tcPr>
          <w:p w14:paraId="7D5165B2"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Kijsanayotin</w:t>
            </w:r>
            <w:r w:rsidR="00930BBF" w:rsidRPr="00A76642">
              <w:rPr>
                <w:rFonts w:asciiTheme="majorBidi" w:hAnsiTheme="majorBidi" w:cstheme="majorBidi"/>
              </w:rPr>
              <w:t>et al.</w:t>
            </w:r>
            <w:r w:rsidRPr="00A76642">
              <w:rPr>
                <w:rFonts w:asciiTheme="majorBidi" w:hAnsiTheme="majorBidi" w:cstheme="majorBidi"/>
              </w:rPr>
              <w:t xml:space="preserve"> (2009)</w:t>
            </w:r>
          </w:p>
        </w:tc>
        <w:tc>
          <w:tcPr>
            <w:tcW w:w="2223" w:type="pct"/>
          </w:tcPr>
          <w:p w14:paraId="7D5165B3"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Performance and effort expectancies; IT skills; Intention of use; Facilitating parameters; Social influence; Voluntariness</w:t>
            </w:r>
          </w:p>
        </w:tc>
        <w:tc>
          <w:tcPr>
            <w:tcW w:w="1526" w:type="pct"/>
          </w:tcPr>
          <w:p w14:paraId="7D5165B4"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UTAUT structural model/ Observational research design</w:t>
            </w:r>
            <w:r w:rsidRPr="00A76642">
              <w:rPr>
                <w:rFonts w:asciiTheme="majorBidi" w:hAnsiTheme="majorBidi" w:cstheme="majorBidi"/>
                <w:color w:val="505050"/>
              </w:rPr>
              <w:t> </w:t>
            </w:r>
          </w:p>
        </w:tc>
      </w:tr>
      <w:tr w:rsidR="00A24B0F" w:rsidRPr="00A76642" w14:paraId="7D5165B9" w14:textId="77777777" w:rsidTr="00790070">
        <w:trPr>
          <w:trHeight w:val="874"/>
        </w:trPr>
        <w:tc>
          <w:tcPr>
            <w:tcW w:w="1251" w:type="pct"/>
            <w:shd w:val="clear" w:color="auto" w:fill="auto"/>
          </w:tcPr>
          <w:p w14:paraId="7D5165B6"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lastRenderedPageBreak/>
              <w:t xml:space="preserve">Chen </w:t>
            </w:r>
            <w:r w:rsidR="00930BBF" w:rsidRPr="00A76642">
              <w:rPr>
                <w:rFonts w:asciiTheme="majorBidi" w:hAnsiTheme="majorBidi" w:cstheme="majorBidi"/>
              </w:rPr>
              <w:t>et al.</w:t>
            </w:r>
            <w:r w:rsidRPr="00A76642">
              <w:rPr>
                <w:rFonts w:asciiTheme="majorBidi" w:hAnsiTheme="majorBidi" w:cstheme="majorBidi"/>
              </w:rPr>
              <w:t xml:space="preserve"> (2008)</w:t>
            </w:r>
          </w:p>
        </w:tc>
        <w:tc>
          <w:tcPr>
            <w:tcW w:w="2223" w:type="pct"/>
            <w:shd w:val="clear" w:color="auto" w:fill="auto"/>
          </w:tcPr>
          <w:p w14:paraId="7D5165B7"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Perceived usefulness; Perceived usability; Individual abilities; Internet access</w:t>
            </w:r>
          </w:p>
        </w:tc>
        <w:tc>
          <w:tcPr>
            <w:tcW w:w="1526" w:type="pct"/>
            <w:shd w:val="clear" w:color="auto" w:fill="auto"/>
          </w:tcPr>
          <w:p w14:paraId="7D5165B8"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Technology acceptance model (TAM)</w:t>
            </w:r>
          </w:p>
        </w:tc>
      </w:tr>
      <w:tr w:rsidR="00A24B0F" w:rsidRPr="00A76642" w14:paraId="7D5165BD" w14:textId="77777777" w:rsidTr="00790070">
        <w:trPr>
          <w:trHeight w:val="874"/>
        </w:trPr>
        <w:tc>
          <w:tcPr>
            <w:tcW w:w="1251" w:type="pct"/>
            <w:shd w:val="clear" w:color="auto" w:fill="auto"/>
          </w:tcPr>
          <w:p w14:paraId="7D5165BA" w14:textId="002027D8"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Poba-Nzaou</w:t>
            </w:r>
            <w:r w:rsidR="009D19A9" w:rsidRPr="00A76642">
              <w:rPr>
                <w:rFonts w:asciiTheme="majorBidi" w:hAnsiTheme="majorBidi" w:cstheme="majorBidi"/>
              </w:rPr>
              <w:t>,</w:t>
            </w:r>
            <w:r w:rsidR="00DD06BB" w:rsidRPr="00A76642">
              <w:rPr>
                <w:rFonts w:asciiTheme="majorBidi" w:hAnsiTheme="majorBidi" w:cstheme="majorBidi"/>
              </w:rPr>
              <w:t xml:space="preserve"> </w:t>
            </w:r>
            <w:r w:rsidR="009D19A9" w:rsidRPr="00A76642">
              <w:rPr>
                <w:rFonts w:asciiTheme="majorBidi" w:hAnsiTheme="majorBidi" w:cstheme="majorBidi"/>
              </w:rPr>
              <w:t>Uwizeyemungu, Raymond</w:t>
            </w:r>
            <w:r w:rsidR="00491257" w:rsidRPr="00A76642">
              <w:rPr>
                <w:rFonts w:asciiTheme="majorBidi" w:hAnsiTheme="majorBidi" w:cstheme="majorBidi"/>
              </w:rPr>
              <w:t>,</w:t>
            </w:r>
            <w:r w:rsidR="009D19A9" w:rsidRPr="00A76642">
              <w:rPr>
                <w:rFonts w:asciiTheme="majorBidi" w:hAnsiTheme="majorBidi" w:cstheme="majorBidi"/>
              </w:rPr>
              <w:t xml:space="preserve"> </w:t>
            </w:r>
            <w:r w:rsidR="00491257" w:rsidRPr="00A76642">
              <w:rPr>
                <w:rFonts w:asciiTheme="majorBidi" w:hAnsiTheme="majorBidi" w:cstheme="majorBidi"/>
              </w:rPr>
              <w:t xml:space="preserve">and </w:t>
            </w:r>
            <w:r w:rsidR="009D19A9" w:rsidRPr="00A76642">
              <w:rPr>
                <w:rFonts w:asciiTheme="majorBidi" w:hAnsiTheme="majorBidi" w:cstheme="majorBidi"/>
              </w:rPr>
              <w:t>Pare</w:t>
            </w:r>
            <w:r w:rsidRPr="00A76642">
              <w:rPr>
                <w:rFonts w:asciiTheme="majorBidi" w:hAnsiTheme="majorBidi" w:cstheme="majorBidi"/>
              </w:rPr>
              <w:t xml:space="preserve"> (2012)</w:t>
            </w:r>
          </w:p>
        </w:tc>
        <w:tc>
          <w:tcPr>
            <w:tcW w:w="2223" w:type="pct"/>
            <w:shd w:val="clear" w:color="auto" w:fill="auto"/>
          </w:tcPr>
          <w:p w14:paraId="7D5165BB"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Technological; Managerial operational; Managerial strategic; Clinical operational; Clinical strategic; Financial</w:t>
            </w:r>
          </w:p>
        </w:tc>
        <w:tc>
          <w:tcPr>
            <w:tcW w:w="1526" w:type="pct"/>
            <w:shd w:val="clear" w:color="auto" w:fill="auto"/>
          </w:tcPr>
          <w:p w14:paraId="7D5165BC"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 xml:space="preserve">Case studies published by </w:t>
            </w:r>
            <w:r w:rsidR="00815B86" w:rsidRPr="00A76642">
              <w:rPr>
                <w:rFonts w:asciiTheme="majorBidi" w:hAnsiTheme="majorBidi" w:cstheme="majorBidi"/>
              </w:rPr>
              <w:t>enterprise resource planning (</w:t>
            </w:r>
            <w:r w:rsidRPr="00A76642">
              <w:rPr>
                <w:rFonts w:asciiTheme="majorBidi" w:hAnsiTheme="majorBidi" w:cstheme="majorBidi"/>
              </w:rPr>
              <w:t>ERP</w:t>
            </w:r>
            <w:r w:rsidR="00815B86" w:rsidRPr="00A76642">
              <w:rPr>
                <w:rFonts w:asciiTheme="majorBidi" w:hAnsiTheme="majorBidi" w:cstheme="majorBidi"/>
              </w:rPr>
              <w:t>)</w:t>
            </w:r>
            <w:r w:rsidRPr="00A76642">
              <w:rPr>
                <w:rFonts w:asciiTheme="majorBidi" w:hAnsiTheme="majorBidi" w:cstheme="majorBidi"/>
              </w:rPr>
              <w:t xml:space="preserve"> vendors on their</w:t>
            </w:r>
            <w:r w:rsidR="00D57987" w:rsidRPr="00A76642">
              <w:rPr>
                <w:rFonts w:asciiTheme="majorBidi" w:hAnsiTheme="majorBidi" w:cstheme="majorBidi"/>
              </w:rPr>
              <w:t xml:space="preserve"> w</w:t>
            </w:r>
            <w:r w:rsidRPr="00A76642">
              <w:rPr>
                <w:rFonts w:asciiTheme="majorBidi" w:hAnsiTheme="majorBidi" w:cstheme="majorBidi"/>
              </w:rPr>
              <w:t>ebsites</w:t>
            </w:r>
          </w:p>
        </w:tc>
      </w:tr>
      <w:tr w:rsidR="00A24B0F" w:rsidRPr="00A76642" w14:paraId="7D5165C4" w14:textId="77777777" w:rsidTr="00790070">
        <w:trPr>
          <w:trHeight w:val="874"/>
        </w:trPr>
        <w:tc>
          <w:tcPr>
            <w:tcW w:w="1251" w:type="pct"/>
            <w:shd w:val="clear" w:color="auto" w:fill="auto"/>
          </w:tcPr>
          <w:p w14:paraId="7D5165BE"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Wang (2013)</w:t>
            </w:r>
          </w:p>
        </w:tc>
        <w:tc>
          <w:tcPr>
            <w:tcW w:w="2223" w:type="pct"/>
            <w:shd w:val="clear" w:color="auto" w:fill="auto"/>
          </w:tcPr>
          <w:p w14:paraId="7D5165BF"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i/>
              </w:rPr>
              <w:t>Technology</w:t>
            </w:r>
            <w:r w:rsidRPr="00A76642">
              <w:rPr>
                <w:rFonts w:asciiTheme="majorBidi" w:hAnsiTheme="majorBidi" w:cstheme="majorBidi"/>
              </w:rPr>
              <w:t>: User perceived usefulness; User involvement and interaction</w:t>
            </w:r>
          </w:p>
          <w:p w14:paraId="7D5165C0"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i/>
              </w:rPr>
              <w:t>Organizational</w:t>
            </w:r>
            <w:r w:rsidRPr="00A76642">
              <w:rPr>
                <w:rFonts w:asciiTheme="majorBidi" w:hAnsiTheme="majorBidi" w:cstheme="majorBidi"/>
              </w:rPr>
              <w:t>: Single healthcare system; Professional communication vehicles; Tight collaboration between researcher and clinician</w:t>
            </w:r>
          </w:p>
          <w:p w14:paraId="7D5165C1"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i/>
              </w:rPr>
              <w:t>Human and Social</w:t>
            </w:r>
            <w:r w:rsidRPr="00A76642">
              <w:rPr>
                <w:rFonts w:asciiTheme="majorBidi" w:hAnsiTheme="majorBidi" w:cstheme="majorBidi"/>
              </w:rPr>
              <w:t>: Champion and leadership; Dynamic clinician-patient relationship; Learning capacity; Peer influence</w:t>
            </w:r>
          </w:p>
          <w:p w14:paraId="7D5165C2"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i/>
              </w:rPr>
              <w:lastRenderedPageBreak/>
              <w:t>External</w:t>
            </w:r>
            <w:r w:rsidRPr="00A76642">
              <w:rPr>
                <w:rFonts w:asciiTheme="majorBidi" w:hAnsiTheme="majorBidi" w:cstheme="majorBidi"/>
              </w:rPr>
              <w:t>: Government support; Public finance; Trend of technology development; Good collaboration with relevant external organizations; Biotechnology act in place</w:t>
            </w:r>
          </w:p>
        </w:tc>
        <w:tc>
          <w:tcPr>
            <w:tcW w:w="1526" w:type="pct"/>
            <w:shd w:val="clear" w:color="auto" w:fill="auto"/>
          </w:tcPr>
          <w:p w14:paraId="7D5165C3"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lastRenderedPageBreak/>
              <w:t>A descriptive and exploratory single qualitative case study/</w:t>
            </w:r>
            <w:r w:rsidR="00424D43" w:rsidRPr="00A76642">
              <w:rPr>
                <w:rFonts w:asciiTheme="majorBidi" w:hAnsiTheme="majorBidi" w:cstheme="majorBidi"/>
              </w:rPr>
              <w:t>I</w:t>
            </w:r>
            <w:r w:rsidRPr="00A76642">
              <w:rPr>
                <w:rFonts w:asciiTheme="majorBidi" w:hAnsiTheme="majorBidi" w:cstheme="majorBidi"/>
              </w:rPr>
              <w:t>nterpretivist approach</w:t>
            </w:r>
          </w:p>
        </w:tc>
      </w:tr>
      <w:tr w:rsidR="00A24B0F" w:rsidRPr="00A76642" w14:paraId="7D5165C8" w14:textId="77777777" w:rsidTr="00790070">
        <w:trPr>
          <w:trHeight w:val="874"/>
        </w:trPr>
        <w:tc>
          <w:tcPr>
            <w:tcW w:w="1251" w:type="pct"/>
          </w:tcPr>
          <w:p w14:paraId="7D5165C5"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Phichitchaisopa and Naenna (2013)</w:t>
            </w:r>
          </w:p>
        </w:tc>
        <w:tc>
          <w:tcPr>
            <w:tcW w:w="2223" w:type="pct"/>
          </w:tcPr>
          <w:p w14:paraId="7D5165C6"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Performance expectancy; Effort expectancy; Facilitating conditions</w:t>
            </w:r>
          </w:p>
        </w:tc>
        <w:tc>
          <w:tcPr>
            <w:tcW w:w="1526" w:type="pct"/>
          </w:tcPr>
          <w:p w14:paraId="7D5165C7"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 xml:space="preserve">Structured questionnaire/ </w:t>
            </w:r>
            <w:r w:rsidR="00424D43" w:rsidRPr="00A76642">
              <w:rPr>
                <w:rFonts w:asciiTheme="majorBidi" w:hAnsiTheme="majorBidi" w:cstheme="majorBidi"/>
              </w:rPr>
              <w:t>S</w:t>
            </w:r>
            <w:r w:rsidRPr="00A76642">
              <w:rPr>
                <w:rFonts w:asciiTheme="majorBidi" w:hAnsiTheme="majorBidi" w:cstheme="majorBidi"/>
              </w:rPr>
              <w:t>tructural equation modeling technique</w:t>
            </w:r>
          </w:p>
        </w:tc>
      </w:tr>
      <w:tr w:rsidR="00A24B0F" w:rsidRPr="00A76642" w14:paraId="7D5165CC" w14:textId="77777777" w:rsidTr="00790070">
        <w:trPr>
          <w:trHeight w:val="874"/>
        </w:trPr>
        <w:tc>
          <w:tcPr>
            <w:tcW w:w="1251" w:type="pct"/>
            <w:shd w:val="clear" w:color="auto" w:fill="auto"/>
          </w:tcPr>
          <w:p w14:paraId="7D5165C9" w14:textId="6CA531ED"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Yi</w:t>
            </w:r>
            <w:r w:rsidR="009D19A9" w:rsidRPr="00A76642">
              <w:rPr>
                <w:rFonts w:asciiTheme="majorBidi" w:hAnsiTheme="majorBidi" w:cstheme="majorBidi"/>
              </w:rPr>
              <w:t>, Jackson, Park</w:t>
            </w:r>
            <w:r w:rsidR="00491257" w:rsidRPr="00A76642">
              <w:rPr>
                <w:rFonts w:asciiTheme="majorBidi" w:hAnsiTheme="majorBidi" w:cstheme="majorBidi"/>
              </w:rPr>
              <w:t>,</w:t>
            </w:r>
            <w:r w:rsidR="009D19A9" w:rsidRPr="00A76642">
              <w:rPr>
                <w:rFonts w:asciiTheme="majorBidi" w:hAnsiTheme="majorBidi" w:cstheme="majorBidi"/>
              </w:rPr>
              <w:t xml:space="preserve"> </w:t>
            </w:r>
            <w:r w:rsidR="00491257" w:rsidRPr="00A76642">
              <w:rPr>
                <w:rFonts w:asciiTheme="majorBidi" w:hAnsiTheme="majorBidi" w:cstheme="majorBidi"/>
              </w:rPr>
              <w:t xml:space="preserve">and </w:t>
            </w:r>
            <w:r w:rsidR="009D19A9" w:rsidRPr="00A76642">
              <w:rPr>
                <w:rFonts w:asciiTheme="majorBidi" w:hAnsiTheme="majorBidi" w:cstheme="majorBidi"/>
              </w:rPr>
              <w:t>Probst</w:t>
            </w:r>
            <w:r w:rsidRPr="00A76642">
              <w:rPr>
                <w:rFonts w:asciiTheme="majorBidi" w:hAnsiTheme="majorBidi" w:cstheme="majorBidi"/>
              </w:rPr>
              <w:t xml:space="preserve"> (2006)</w:t>
            </w:r>
          </w:p>
        </w:tc>
        <w:tc>
          <w:tcPr>
            <w:tcW w:w="2223" w:type="pct"/>
            <w:shd w:val="clear" w:color="auto" w:fill="auto"/>
          </w:tcPr>
          <w:p w14:paraId="7D5165CA"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 xml:space="preserve">Performance </w:t>
            </w:r>
            <w:r w:rsidR="00D34BB4" w:rsidRPr="00A76642">
              <w:rPr>
                <w:rFonts w:asciiTheme="majorBidi" w:hAnsiTheme="majorBidi" w:cstheme="majorBidi"/>
              </w:rPr>
              <w:t>e</w:t>
            </w:r>
            <w:r w:rsidRPr="00A76642">
              <w:rPr>
                <w:rFonts w:asciiTheme="majorBidi" w:hAnsiTheme="majorBidi" w:cstheme="majorBidi"/>
              </w:rPr>
              <w:t xml:space="preserve">xpectancy; Facilitating </w:t>
            </w:r>
            <w:r w:rsidR="00D34BB4" w:rsidRPr="00A76642">
              <w:rPr>
                <w:rFonts w:asciiTheme="majorBidi" w:hAnsiTheme="majorBidi" w:cstheme="majorBidi"/>
              </w:rPr>
              <w:t>c</w:t>
            </w:r>
            <w:r w:rsidRPr="00A76642">
              <w:rPr>
                <w:rFonts w:asciiTheme="majorBidi" w:hAnsiTheme="majorBidi" w:cstheme="majorBidi"/>
              </w:rPr>
              <w:t xml:space="preserve">onditions; Effort </w:t>
            </w:r>
            <w:r w:rsidR="00D34BB4" w:rsidRPr="00A76642">
              <w:rPr>
                <w:rFonts w:asciiTheme="majorBidi" w:hAnsiTheme="majorBidi" w:cstheme="majorBidi"/>
              </w:rPr>
              <w:t>e</w:t>
            </w:r>
            <w:r w:rsidRPr="00A76642">
              <w:rPr>
                <w:rFonts w:asciiTheme="majorBidi" w:hAnsiTheme="majorBidi" w:cstheme="majorBidi"/>
              </w:rPr>
              <w:t>xpectancy</w:t>
            </w:r>
          </w:p>
        </w:tc>
        <w:tc>
          <w:tcPr>
            <w:tcW w:w="1526" w:type="pct"/>
            <w:shd w:val="clear" w:color="auto" w:fill="auto"/>
          </w:tcPr>
          <w:p w14:paraId="7D5165CB" w14:textId="77777777" w:rsidR="00A24B0F" w:rsidRPr="00A76642" w:rsidRDefault="00D34BB4" w:rsidP="002C07D1">
            <w:pPr>
              <w:spacing w:line="480" w:lineRule="auto"/>
              <w:rPr>
                <w:rFonts w:asciiTheme="majorBidi" w:hAnsiTheme="majorBidi" w:cstheme="majorBidi"/>
                <w:szCs w:val="24"/>
                <w:lang w:val="en-US"/>
              </w:rPr>
            </w:pPr>
            <w:r w:rsidRPr="00A76642">
              <w:rPr>
                <w:rFonts w:asciiTheme="majorBidi" w:hAnsiTheme="majorBidi" w:cstheme="majorBidi"/>
              </w:rPr>
              <w:t>TAM</w:t>
            </w:r>
            <w:r w:rsidR="00A24B0F" w:rsidRPr="00A76642">
              <w:rPr>
                <w:rFonts w:asciiTheme="majorBidi" w:hAnsiTheme="majorBidi" w:cstheme="majorBidi"/>
              </w:rPr>
              <w:t>, the theory of planned behavior, and innovation diffusion theory</w:t>
            </w:r>
          </w:p>
        </w:tc>
      </w:tr>
      <w:tr w:rsidR="00A24B0F" w:rsidRPr="00A76642" w14:paraId="7D5165D0" w14:textId="77777777" w:rsidTr="00790070">
        <w:trPr>
          <w:trHeight w:val="874"/>
        </w:trPr>
        <w:tc>
          <w:tcPr>
            <w:tcW w:w="1251" w:type="pct"/>
            <w:shd w:val="clear" w:color="auto" w:fill="auto"/>
          </w:tcPr>
          <w:p w14:paraId="7D5165CD"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 xml:space="preserve">Yu </w:t>
            </w:r>
            <w:r w:rsidR="00930BBF" w:rsidRPr="00A76642">
              <w:rPr>
                <w:rFonts w:asciiTheme="majorBidi" w:hAnsiTheme="majorBidi" w:cstheme="majorBidi"/>
              </w:rPr>
              <w:t>et al.</w:t>
            </w:r>
            <w:r w:rsidRPr="00A76642">
              <w:rPr>
                <w:rFonts w:asciiTheme="majorBidi" w:hAnsiTheme="majorBidi" w:cstheme="majorBidi"/>
              </w:rPr>
              <w:t xml:space="preserve"> (2009)</w:t>
            </w:r>
          </w:p>
        </w:tc>
        <w:tc>
          <w:tcPr>
            <w:tcW w:w="2223" w:type="pct"/>
            <w:shd w:val="clear" w:color="auto" w:fill="auto"/>
          </w:tcPr>
          <w:p w14:paraId="7D5165CE"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 xml:space="preserve">Performance </w:t>
            </w:r>
            <w:r w:rsidR="00424D43" w:rsidRPr="00A76642">
              <w:rPr>
                <w:rFonts w:asciiTheme="majorBidi" w:hAnsiTheme="majorBidi" w:cstheme="majorBidi"/>
              </w:rPr>
              <w:t>e</w:t>
            </w:r>
            <w:r w:rsidRPr="00A76642">
              <w:rPr>
                <w:rFonts w:asciiTheme="majorBidi" w:hAnsiTheme="majorBidi" w:cstheme="majorBidi"/>
              </w:rPr>
              <w:t xml:space="preserve">xpectancy; Social </w:t>
            </w:r>
            <w:r w:rsidR="00424D43" w:rsidRPr="00A76642">
              <w:rPr>
                <w:rFonts w:asciiTheme="majorBidi" w:hAnsiTheme="majorBidi" w:cstheme="majorBidi"/>
              </w:rPr>
              <w:t>i</w:t>
            </w:r>
            <w:r w:rsidRPr="00A76642">
              <w:rPr>
                <w:rFonts w:asciiTheme="majorBidi" w:hAnsiTheme="majorBidi" w:cstheme="majorBidi"/>
              </w:rPr>
              <w:t xml:space="preserve">nfluence </w:t>
            </w:r>
          </w:p>
        </w:tc>
        <w:tc>
          <w:tcPr>
            <w:tcW w:w="1526" w:type="pct"/>
            <w:shd w:val="clear" w:color="auto" w:fill="auto"/>
          </w:tcPr>
          <w:p w14:paraId="7D5165CF"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 xml:space="preserve">A modified version of the extended </w:t>
            </w:r>
            <w:r w:rsidR="00D34BB4" w:rsidRPr="00A76642">
              <w:rPr>
                <w:rFonts w:asciiTheme="majorBidi" w:hAnsiTheme="majorBidi" w:cstheme="majorBidi"/>
              </w:rPr>
              <w:t>TAM</w:t>
            </w:r>
            <w:r w:rsidRPr="00A76642">
              <w:rPr>
                <w:rFonts w:asciiTheme="majorBidi" w:hAnsiTheme="majorBidi" w:cstheme="majorBidi"/>
              </w:rPr>
              <w:t xml:space="preserve"> (TAM2)/ A self-administered questionnaire</w:t>
            </w:r>
          </w:p>
        </w:tc>
      </w:tr>
      <w:tr w:rsidR="00A24B0F" w:rsidRPr="00A76642" w14:paraId="7D5165D4" w14:textId="77777777" w:rsidTr="00790070">
        <w:trPr>
          <w:trHeight w:val="874"/>
        </w:trPr>
        <w:tc>
          <w:tcPr>
            <w:tcW w:w="1251" w:type="pct"/>
            <w:shd w:val="clear" w:color="auto" w:fill="auto"/>
          </w:tcPr>
          <w:p w14:paraId="7D5165D1" w14:textId="1879549A"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lastRenderedPageBreak/>
              <w:t>Wu</w:t>
            </w:r>
            <w:r w:rsidR="009D19A9" w:rsidRPr="00A76642">
              <w:rPr>
                <w:rFonts w:asciiTheme="majorBidi" w:hAnsiTheme="majorBidi" w:cstheme="majorBidi"/>
              </w:rPr>
              <w:t>,</w:t>
            </w:r>
            <w:r w:rsidRPr="00A76642">
              <w:rPr>
                <w:rFonts w:asciiTheme="majorBidi" w:hAnsiTheme="majorBidi" w:cstheme="majorBidi"/>
              </w:rPr>
              <w:t xml:space="preserve"> </w:t>
            </w:r>
            <w:r w:rsidR="009D19A9" w:rsidRPr="00A76642">
              <w:rPr>
                <w:rFonts w:asciiTheme="majorBidi" w:hAnsiTheme="majorBidi" w:cstheme="majorBidi"/>
              </w:rPr>
              <w:t>Wang</w:t>
            </w:r>
            <w:r w:rsidR="00491257" w:rsidRPr="00A76642">
              <w:rPr>
                <w:rFonts w:asciiTheme="majorBidi" w:hAnsiTheme="majorBidi" w:cstheme="majorBidi"/>
              </w:rPr>
              <w:t>, and</w:t>
            </w:r>
            <w:r w:rsidR="009D19A9" w:rsidRPr="00A76642">
              <w:rPr>
                <w:rFonts w:asciiTheme="majorBidi" w:hAnsiTheme="majorBidi" w:cstheme="majorBidi"/>
              </w:rPr>
              <w:t xml:space="preserve"> Lin</w:t>
            </w:r>
            <w:r w:rsidRPr="00A76642">
              <w:rPr>
                <w:rFonts w:asciiTheme="majorBidi" w:hAnsiTheme="majorBidi" w:cstheme="majorBidi"/>
              </w:rPr>
              <w:t xml:space="preserve"> (2007)</w:t>
            </w:r>
          </w:p>
        </w:tc>
        <w:tc>
          <w:tcPr>
            <w:tcW w:w="2223" w:type="pct"/>
            <w:shd w:val="clear" w:color="auto" w:fill="auto"/>
          </w:tcPr>
          <w:p w14:paraId="7D5165D2"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 xml:space="preserve">Perceived usefulness; Perceived ease of use; Social </w:t>
            </w:r>
            <w:r w:rsidR="00424D43" w:rsidRPr="00A76642">
              <w:rPr>
                <w:rFonts w:asciiTheme="majorBidi" w:hAnsiTheme="majorBidi" w:cstheme="majorBidi"/>
              </w:rPr>
              <w:t>i</w:t>
            </w:r>
            <w:r w:rsidRPr="00A76642">
              <w:rPr>
                <w:rFonts w:asciiTheme="majorBidi" w:hAnsiTheme="majorBidi" w:cstheme="majorBidi"/>
              </w:rPr>
              <w:t xml:space="preserve">nfluence </w:t>
            </w:r>
          </w:p>
        </w:tc>
        <w:tc>
          <w:tcPr>
            <w:tcW w:w="1526" w:type="pct"/>
            <w:shd w:val="clear" w:color="auto" w:fill="auto"/>
          </w:tcPr>
          <w:p w14:paraId="7D5165D3"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A revised technology acceptance model/ Conformation factor analysis</w:t>
            </w:r>
          </w:p>
        </w:tc>
      </w:tr>
      <w:tr w:rsidR="00A24B0F" w:rsidRPr="00A76642" w14:paraId="7D5165D8" w14:textId="77777777" w:rsidTr="00790070">
        <w:trPr>
          <w:trHeight w:val="874"/>
        </w:trPr>
        <w:tc>
          <w:tcPr>
            <w:tcW w:w="1251" w:type="pct"/>
            <w:shd w:val="clear" w:color="auto" w:fill="auto"/>
          </w:tcPr>
          <w:p w14:paraId="7D5165D5"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Hoque and Sorwar (2017)</w:t>
            </w:r>
          </w:p>
        </w:tc>
        <w:tc>
          <w:tcPr>
            <w:tcW w:w="2223" w:type="pct"/>
            <w:shd w:val="clear" w:color="auto" w:fill="auto"/>
          </w:tcPr>
          <w:p w14:paraId="7D5165D6"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Performance expectancy; Effort expectancy; Social influence</w:t>
            </w:r>
          </w:p>
        </w:tc>
        <w:tc>
          <w:tcPr>
            <w:tcW w:w="1526" w:type="pct"/>
            <w:shd w:val="clear" w:color="auto" w:fill="auto"/>
          </w:tcPr>
          <w:p w14:paraId="7D5165D7"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 xml:space="preserve">Face-to-face structured questionnaire survey method </w:t>
            </w:r>
          </w:p>
        </w:tc>
      </w:tr>
      <w:tr w:rsidR="00A24B0F" w:rsidRPr="00A76642" w14:paraId="7D5165DC" w14:textId="77777777" w:rsidTr="00790070">
        <w:trPr>
          <w:trHeight w:val="874"/>
        </w:trPr>
        <w:tc>
          <w:tcPr>
            <w:tcW w:w="1251" w:type="pct"/>
            <w:shd w:val="clear" w:color="auto" w:fill="auto"/>
          </w:tcPr>
          <w:p w14:paraId="7D5165D9"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Almubarak (2017)</w:t>
            </w:r>
          </w:p>
        </w:tc>
        <w:tc>
          <w:tcPr>
            <w:tcW w:w="2223" w:type="pct"/>
            <w:shd w:val="clear" w:color="auto" w:fill="auto"/>
          </w:tcPr>
          <w:p w14:paraId="7D5165DA"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Relative advantage; Decision-makers’ innovativeness; Decision-makers’ knowledge in IT; Compatibility; Top management support</w:t>
            </w:r>
          </w:p>
        </w:tc>
        <w:tc>
          <w:tcPr>
            <w:tcW w:w="1526" w:type="pct"/>
            <w:shd w:val="clear" w:color="auto" w:fill="auto"/>
          </w:tcPr>
          <w:p w14:paraId="7D5165DB" w14:textId="14D5A893"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A combination of</w:t>
            </w:r>
            <w:r w:rsidR="00114FB4" w:rsidRPr="00A76642">
              <w:rPr>
                <w:rFonts w:asciiTheme="majorBidi" w:hAnsiTheme="majorBidi" w:cstheme="majorBidi"/>
              </w:rPr>
              <w:t xml:space="preserve"> </w:t>
            </w:r>
            <w:r w:rsidRPr="00A76642">
              <w:rPr>
                <w:rFonts w:asciiTheme="majorBidi" w:hAnsiTheme="majorBidi" w:cstheme="majorBidi"/>
              </w:rPr>
              <w:t>qualitative and quantitative methods</w:t>
            </w:r>
          </w:p>
        </w:tc>
      </w:tr>
      <w:tr w:rsidR="00A24B0F" w:rsidRPr="00A76642" w14:paraId="7D5165E0" w14:textId="77777777" w:rsidTr="00790070">
        <w:trPr>
          <w:trHeight w:val="874"/>
        </w:trPr>
        <w:tc>
          <w:tcPr>
            <w:tcW w:w="1251" w:type="pct"/>
            <w:shd w:val="clear" w:color="auto" w:fill="auto"/>
          </w:tcPr>
          <w:p w14:paraId="7D5165DD" w14:textId="01AF5145"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Farzandipur</w:t>
            </w:r>
            <w:r w:rsidR="00930BBF" w:rsidRPr="00A76642">
              <w:rPr>
                <w:rFonts w:asciiTheme="majorBidi" w:hAnsiTheme="majorBidi" w:cstheme="majorBidi"/>
              </w:rPr>
              <w:t>et</w:t>
            </w:r>
            <w:r w:rsidR="009D19A9" w:rsidRPr="00A76642">
              <w:rPr>
                <w:rFonts w:asciiTheme="majorBidi" w:hAnsiTheme="majorBidi" w:cstheme="majorBidi"/>
              </w:rPr>
              <w:t>,</w:t>
            </w:r>
            <w:r w:rsidR="00930BBF" w:rsidRPr="00A76642">
              <w:rPr>
                <w:rFonts w:asciiTheme="majorBidi" w:hAnsiTheme="majorBidi" w:cstheme="majorBidi"/>
              </w:rPr>
              <w:t xml:space="preserve"> </w:t>
            </w:r>
            <w:r w:rsidR="009D19A9" w:rsidRPr="00A76642">
              <w:rPr>
                <w:rFonts w:asciiTheme="majorBidi" w:hAnsiTheme="majorBidi" w:cstheme="majorBidi"/>
              </w:rPr>
              <w:t>Jeddi</w:t>
            </w:r>
            <w:r w:rsidR="00491257" w:rsidRPr="00A76642">
              <w:rPr>
                <w:rFonts w:asciiTheme="majorBidi" w:hAnsiTheme="majorBidi" w:cstheme="majorBidi"/>
              </w:rPr>
              <w:t>,</w:t>
            </w:r>
            <w:r w:rsidR="009D19A9" w:rsidRPr="00A76642">
              <w:rPr>
                <w:rFonts w:asciiTheme="majorBidi" w:hAnsiTheme="majorBidi" w:cstheme="majorBidi"/>
              </w:rPr>
              <w:t xml:space="preserve"> </w:t>
            </w:r>
            <w:r w:rsidR="00491257" w:rsidRPr="00A76642">
              <w:rPr>
                <w:rFonts w:asciiTheme="majorBidi" w:hAnsiTheme="majorBidi" w:cstheme="majorBidi"/>
              </w:rPr>
              <w:t>and</w:t>
            </w:r>
            <w:r w:rsidR="009D19A9" w:rsidRPr="00A76642">
              <w:rPr>
                <w:rFonts w:asciiTheme="majorBidi" w:hAnsiTheme="majorBidi" w:cstheme="majorBidi"/>
              </w:rPr>
              <w:t xml:space="preserve"> Azimi</w:t>
            </w:r>
            <w:r w:rsidRPr="00A76642">
              <w:rPr>
                <w:rFonts w:asciiTheme="majorBidi" w:hAnsiTheme="majorBidi" w:cstheme="majorBidi"/>
              </w:rPr>
              <w:t xml:space="preserve"> (2016)</w:t>
            </w:r>
          </w:p>
        </w:tc>
        <w:tc>
          <w:tcPr>
            <w:tcW w:w="2223" w:type="pct"/>
            <w:shd w:val="clear" w:color="auto" w:fill="auto"/>
          </w:tcPr>
          <w:p w14:paraId="7D5165DE"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Computer skills; Perceiving usefulness and perceiving ease; Organizational and managerial factors; Technological factors</w:t>
            </w:r>
          </w:p>
        </w:tc>
        <w:tc>
          <w:tcPr>
            <w:tcW w:w="1526" w:type="pct"/>
            <w:shd w:val="clear" w:color="auto" w:fill="auto"/>
          </w:tcPr>
          <w:p w14:paraId="7D5165DF" w14:textId="0E9E6A02"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Descriptive method/</w:t>
            </w:r>
            <w:r w:rsidR="00114FB4" w:rsidRPr="00A76642">
              <w:rPr>
                <w:rFonts w:asciiTheme="majorBidi" w:hAnsiTheme="majorBidi" w:cstheme="majorBidi"/>
              </w:rPr>
              <w:t xml:space="preserve"> </w:t>
            </w:r>
            <w:r w:rsidR="00CC41AE" w:rsidRPr="00A76642">
              <w:rPr>
                <w:rFonts w:asciiTheme="majorBidi" w:hAnsiTheme="majorBidi" w:cstheme="majorBidi"/>
                <w:color w:val="000000"/>
                <w:shd w:val="clear" w:color="auto" w:fill="FFFFFF"/>
              </w:rPr>
              <w:t>Q</w:t>
            </w:r>
            <w:r w:rsidRPr="00A76642">
              <w:rPr>
                <w:rFonts w:asciiTheme="majorBidi" w:hAnsiTheme="majorBidi" w:cstheme="majorBidi"/>
                <w:color w:val="000000"/>
                <w:shd w:val="clear" w:color="auto" w:fill="FFFFFF"/>
              </w:rPr>
              <w:t>uestionnaire</w:t>
            </w:r>
            <w:r w:rsidR="00114FB4" w:rsidRPr="00A76642">
              <w:rPr>
                <w:rFonts w:asciiTheme="majorBidi" w:hAnsiTheme="majorBidi" w:cstheme="majorBidi"/>
                <w:color w:val="000000"/>
                <w:shd w:val="clear" w:color="auto" w:fill="FFFFFF"/>
              </w:rPr>
              <w:t xml:space="preserve"> </w:t>
            </w:r>
            <w:r w:rsidRPr="00A76642">
              <w:rPr>
                <w:rFonts w:asciiTheme="majorBidi" w:hAnsiTheme="majorBidi" w:cstheme="majorBidi"/>
                <w:color w:val="000000"/>
                <w:shd w:val="clear" w:color="auto" w:fill="FFFFFF"/>
              </w:rPr>
              <w:t>and interview</w:t>
            </w:r>
          </w:p>
        </w:tc>
      </w:tr>
      <w:tr w:rsidR="00F52309" w:rsidRPr="00A76642" w14:paraId="7D5165E4" w14:textId="77777777" w:rsidTr="00790070">
        <w:trPr>
          <w:trHeight w:val="874"/>
        </w:trPr>
        <w:tc>
          <w:tcPr>
            <w:tcW w:w="1251" w:type="pct"/>
            <w:tcBorders>
              <w:bottom w:val="nil"/>
            </w:tcBorders>
            <w:shd w:val="clear" w:color="auto" w:fill="auto"/>
          </w:tcPr>
          <w:p w14:paraId="7D5165E1"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Aswad (2015)</w:t>
            </w:r>
          </w:p>
        </w:tc>
        <w:tc>
          <w:tcPr>
            <w:tcW w:w="2223" w:type="pct"/>
            <w:tcBorders>
              <w:bottom w:val="nil"/>
            </w:tcBorders>
            <w:shd w:val="clear" w:color="auto" w:fill="auto"/>
          </w:tcPr>
          <w:p w14:paraId="7D5165E2"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 xml:space="preserve">Perception of fitness of EMR to the hospital system; Organizational support; The belief in an EMR as </w:t>
            </w:r>
            <w:r w:rsidRPr="00A76642">
              <w:rPr>
                <w:rFonts w:asciiTheme="majorBidi" w:hAnsiTheme="majorBidi" w:cstheme="majorBidi"/>
              </w:rPr>
              <w:lastRenderedPageBreak/>
              <w:t xml:space="preserve">an enhancer of quality; Perception of current benefits at the level of users, processes and patients; Escape from the manual system; Decrease the high cost of processing; The need to improve patient safety </w:t>
            </w:r>
          </w:p>
        </w:tc>
        <w:tc>
          <w:tcPr>
            <w:tcW w:w="1526" w:type="pct"/>
            <w:tcBorders>
              <w:bottom w:val="nil"/>
            </w:tcBorders>
            <w:shd w:val="clear" w:color="auto" w:fill="auto"/>
          </w:tcPr>
          <w:p w14:paraId="7D5165E3"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lastRenderedPageBreak/>
              <w:t>Survey and case study methodology/</w:t>
            </w:r>
            <w:r w:rsidR="00CC41AE" w:rsidRPr="00A76642">
              <w:rPr>
                <w:rFonts w:asciiTheme="majorBidi" w:hAnsiTheme="majorBidi" w:cstheme="majorBidi"/>
              </w:rPr>
              <w:t xml:space="preserve"> Q</w:t>
            </w:r>
            <w:r w:rsidRPr="00A76642">
              <w:rPr>
                <w:rFonts w:asciiTheme="majorBidi" w:hAnsiTheme="majorBidi" w:cstheme="majorBidi"/>
              </w:rPr>
              <w:t xml:space="preserve">ualitative and </w:t>
            </w:r>
            <w:r w:rsidRPr="00A76642">
              <w:rPr>
                <w:rFonts w:asciiTheme="majorBidi" w:hAnsiTheme="majorBidi" w:cstheme="majorBidi"/>
              </w:rPr>
              <w:lastRenderedPageBreak/>
              <w:t>quantitative analysis</w:t>
            </w:r>
          </w:p>
        </w:tc>
      </w:tr>
      <w:tr w:rsidR="00F52309" w:rsidRPr="00A76642" w14:paraId="7D5165E8" w14:textId="77777777" w:rsidTr="00790070">
        <w:trPr>
          <w:trHeight w:val="874"/>
        </w:trPr>
        <w:tc>
          <w:tcPr>
            <w:tcW w:w="1251" w:type="pct"/>
            <w:tcBorders>
              <w:top w:val="nil"/>
              <w:bottom w:val="single" w:sz="18" w:space="0" w:color="auto"/>
            </w:tcBorders>
            <w:shd w:val="clear" w:color="auto" w:fill="auto"/>
          </w:tcPr>
          <w:p w14:paraId="7D5165E5" w14:textId="77777777" w:rsidR="00A24B0F" w:rsidRPr="00A76642" w:rsidRDefault="00F771A1" w:rsidP="002C07D1">
            <w:pPr>
              <w:spacing w:line="480" w:lineRule="auto"/>
              <w:rPr>
                <w:rFonts w:asciiTheme="majorBidi" w:hAnsiTheme="majorBidi" w:cstheme="majorBidi"/>
                <w:szCs w:val="24"/>
                <w:lang w:val="en-US"/>
              </w:rPr>
            </w:pPr>
            <w:hyperlink r:id="rId31" w:history="1">
              <w:r w:rsidR="00A24B0F" w:rsidRPr="00A76642">
                <w:rPr>
                  <w:rFonts w:asciiTheme="majorBidi" w:hAnsiTheme="majorBidi" w:cstheme="majorBidi"/>
                </w:rPr>
                <w:t>Gururajan</w:t>
              </w:r>
            </w:hyperlink>
            <w:r w:rsidR="00DD06BB" w:rsidRPr="00A76642">
              <w:rPr>
                <w:rFonts w:asciiTheme="majorBidi" w:hAnsiTheme="majorBidi" w:cstheme="majorBidi"/>
                <w:szCs w:val="24"/>
                <w:lang w:val="en-US"/>
              </w:rPr>
              <w:t xml:space="preserve"> </w:t>
            </w:r>
            <w:r w:rsidR="00A24B0F" w:rsidRPr="00A76642">
              <w:rPr>
                <w:rFonts w:asciiTheme="majorBidi" w:hAnsiTheme="majorBidi" w:cstheme="majorBidi"/>
                <w:szCs w:val="24"/>
                <w:lang w:val="en-US"/>
              </w:rPr>
              <w:t>and</w:t>
            </w:r>
            <w:r w:rsidR="00DD06BB" w:rsidRPr="00A76642">
              <w:rPr>
                <w:rFonts w:asciiTheme="majorBidi" w:hAnsiTheme="majorBidi" w:cstheme="majorBidi"/>
                <w:szCs w:val="24"/>
                <w:lang w:val="en-US"/>
              </w:rPr>
              <w:t xml:space="preserve"> </w:t>
            </w:r>
            <w:hyperlink r:id="rId32" w:history="1">
              <w:r w:rsidR="00A24B0F" w:rsidRPr="00A76642">
                <w:rPr>
                  <w:rFonts w:asciiTheme="majorBidi" w:hAnsiTheme="majorBidi" w:cstheme="majorBidi"/>
                  <w:szCs w:val="24"/>
                  <w:lang w:val="en-US"/>
                </w:rPr>
                <w:t>Hafeez-Baig</w:t>
              </w:r>
            </w:hyperlink>
            <w:r w:rsidR="00A24B0F" w:rsidRPr="00A76642">
              <w:rPr>
                <w:rFonts w:asciiTheme="majorBidi" w:hAnsiTheme="majorBidi" w:cstheme="majorBidi"/>
                <w:szCs w:val="24"/>
                <w:lang w:val="en-US"/>
              </w:rPr>
              <w:t xml:space="preserve"> (2014)</w:t>
            </w:r>
          </w:p>
        </w:tc>
        <w:tc>
          <w:tcPr>
            <w:tcW w:w="2223" w:type="pct"/>
            <w:tcBorders>
              <w:top w:val="nil"/>
              <w:bottom w:val="single" w:sz="18" w:space="0" w:color="auto"/>
            </w:tcBorders>
            <w:shd w:val="clear" w:color="auto" w:fill="auto"/>
          </w:tcPr>
          <w:p w14:paraId="7D5165E6"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Attract more practitioners; Better quality of service; Delivery of high</w:t>
            </w:r>
            <w:r w:rsidR="00123C5A" w:rsidRPr="00A76642">
              <w:rPr>
                <w:rFonts w:asciiTheme="majorBidi" w:hAnsiTheme="majorBidi" w:cstheme="majorBidi"/>
              </w:rPr>
              <w:t>-</w:t>
            </w:r>
            <w:r w:rsidRPr="00A76642">
              <w:rPr>
                <w:rFonts w:asciiTheme="majorBidi" w:hAnsiTheme="majorBidi" w:cstheme="majorBidi"/>
              </w:rPr>
              <w:t>quality information; Easy access to data; Efficiency in communication; Improved clinical flow; Improved clinical performance; Improved delivery of information; Improved public image; More contact time with patients; Positive impact on patient safety; Reduced inaccuracies; Reduced medical errors; Reduced overall cost</w:t>
            </w:r>
          </w:p>
        </w:tc>
        <w:tc>
          <w:tcPr>
            <w:tcW w:w="1526" w:type="pct"/>
            <w:tcBorders>
              <w:top w:val="nil"/>
              <w:bottom w:val="single" w:sz="18" w:space="0" w:color="auto"/>
            </w:tcBorders>
            <w:shd w:val="clear" w:color="auto" w:fill="auto"/>
          </w:tcPr>
          <w:p w14:paraId="7D5165E7" w14:textId="77777777" w:rsidR="00A24B0F" w:rsidRPr="00A76642" w:rsidRDefault="00A24B0F" w:rsidP="002C07D1">
            <w:pPr>
              <w:spacing w:line="480" w:lineRule="auto"/>
              <w:rPr>
                <w:rFonts w:asciiTheme="majorBidi" w:hAnsiTheme="majorBidi" w:cstheme="majorBidi"/>
                <w:szCs w:val="24"/>
                <w:lang w:val="en-US"/>
              </w:rPr>
            </w:pPr>
            <w:r w:rsidRPr="00A76642">
              <w:rPr>
                <w:rFonts w:asciiTheme="majorBidi" w:hAnsiTheme="majorBidi" w:cstheme="majorBidi"/>
              </w:rPr>
              <w:t>Mixed</w:t>
            </w:r>
            <w:r w:rsidR="00CC41AE" w:rsidRPr="00A76642">
              <w:rPr>
                <w:rFonts w:asciiTheme="majorBidi" w:hAnsiTheme="majorBidi" w:cstheme="majorBidi"/>
              </w:rPr>
              <w:t>-</w:t>
            </w:r>
            <w:r w:rsidRPr="00A76642">
              <w:rPr>
                <w:rFonts w:asciiTheme="majorBidi" w:hAnsiTheme="majorBidi" w:cstheme="majorBidi"/>
              </w:rPr>
              <w:t xml:space="preserve">method approach with qualitative aspects leading the quantitative aspects/ </w:t>
            </w:r>
            <w:r w:rsidR="00CC41AE" w:rsidRPr="00A76642">
              <w:rPr>
                <w:rFonts w:asciiTheme="majorBidi" w:hAnsiTheme="majorBidi" w:cstheme="majorBidi"/>
              </w:rPr>
              <w:t>Q</w:t>
            </w:r>
            <w:r w:rsidRPr="00A76642">
              <w:rPr>
                <w:rFonts w:asciiTheme="majorBidi" w:hAnsiTheme="majorBidi" w:cstheme="majorBidi"/>
              </w:rPr>
              <w:t>uantitative survey</w:t>
            </w:r>
          </w:p>
        </w:tc>
      </w:tr>
    </w:tbl>
    <w:p w14:paraId="7D5165E9" w14:textId="77777777" w:rsidR="00C8151F" w:rsidRPr="008432AC" w:rsidRDefault="00EE7B14" w:rsidP="00790070">
      <w:pPr>
        <w:pStyle w:val="Heading1"/>
      </w:pPr>
      <w:bookmarkStart w:id="61" w:name="_Toc532800286"/>
      <w:bookmarkStart w:id="62" w:name="_Toc534028530"/>
      <w:bookmarkStart w:id="63" w:name="_Toc534028915"/>
      <w:bookmarkStart w:id="64" w:name="_Toc24447774"/>
      <w:r w:rsidRPr="008432AC">
        <w:lastRenderedPageBreak/>
        <w:t xml:space="preserve">2.5. </w:t>
      </w:r>
      <w:r w:rsidR="00C8151F" w:rsidRPr="008432AC">
        <w:t>Barriers to HIT Adoption</w:t>
      </w:r>
      <w:bookmarkEnd w:id="61"/>
      <w:bookmarkEnd w:id="62"/>
      <w:bookmarkEnd w:id="63"/>
      <w:bookmarkEnd w:id="64"/>
    </w:p>
    <w:p w14:paraId="7D5165EA" w14:textId="0070CA63" w:rsidR="00C8151F" w:rsidRPr="008432AC" w:rsidRDefault="00C8151F" w:rsidP="009C1EAB">
      <w:pPr>
        <w:pStyle w:val="APAParagraph"/>
      </w:pPr>
      <w:r w:rsidRPr="008432AC">
        <w:t>Despite its many promises, such as efficiency of care, error minimization, security, automation, staff productivity, and stakeholder satisfaction (Ahmad</w:t>
      </w:r>
      <w:r w:rsidR="00E30650" w:rsidRPr="008432AC">
        <w:t>, Bazmi, Bhutto, Shahzadi,</w:t>
      </w:r>
      <w:r w:rsidR="005E7A62">
        <w:t xml:space="preserve"> &amp; </w:t>
      </w:r>
      <w:r w:rsidR="00E30650" w:rsidRPr="008432AC">
        <w:t>Bukhari</w:t>
      </w:r>
      <w:r w:rsidRPr="008432AC">
        <w:t>, 2016; Ahmadi et al., 2017; Black et al., 2011; Ehteshami et al., 2013; Shekelle et al., 2006; Wang et al., 2018), HIT has proven difficult to implement to the full extent that many argue is necessary. Change is rarely easy, and, as with many other things worth having, it will take work to implement these technologies. Th</w:t>
      </w:r>
      <w:r w:rsidR="00E63D3F" w:rsidRPr="008432AC">
        <w:t>e</w:t>
      </w:r>
      <w:r w:rsidRPr="008432AC">
        <w:t xml:space="preserve"> work required to overcome the challenges and changes associated with adopting health technologies can prove to be a string deterrent for many. However, by better understanding the precise nature of these barriers, perhaps practical suggestions </w:t>
      </w:r>
      <w:r w:rsidR="00AF30AD" w:rsidRPr="008432AC">
        <w:t>can be made</w:t>
      </w:r>
      <w:r w:rsidR="0029287E" w:rsidRPr="008432AC">
        <w:t>,</w:t>
      </w:r>
      <w:r w:rsidR="00402E5A">
        <w:t xml:space="preserve"> </w:t>
      </w:r>
      <w:r w:rsidRPr="008432AC">
        <w:t>and encouragement</w:t>
      </w:r>
      <w:r w:rsidR="00AF30AD" w:rsidRPr="008432AC">
        <w:t xml:space="preserve"> given</w:t>
      </w:r>
      <w:r w:rsidR="0069709D" w:rsidRPr="008432AC">
        <w:t>,</w:t>
      </w:r>
      <w:r w:rsidRPr="008432AC">
        <w:t xml:space="preserve"> to help people overcome them.</w:t>
      </w:r>
    </w:p>
    <w:p w14:paraId="7D5165EB" w14:textId="22AF8BEB" w:rsidR="00C8151F" w:rsidRPr="008432AC" w:rsidRDefault="00C8151F" w:rsidP="009C1EAB">
      <w:pPr>
        <w:pStyle w:val="APAParagraph"/>
      </w:pPr>
      <w:r w:rsidRPr="008432AC">
        <w:t xml:space="preserve">Paralleling </w:t>
      </w:r>
      <w:r w:rsidR="00A631CB" w:rsidRPr="008432AC">
        <w:t>the findings of the studies on</w:t>
      </w:r>
      <w:r w:rsidRPr="008432AC">
        <w:t xml:space="preserve"> HIT adoption motivators in terms of the potential long-term cost benefits, one the most severe barriers to HIT adoption reported in the current literature is its associated cost (Anwar et al., 2012). Along with cost, complexities associated with implementing the technology were also reported as a severe </w:t>
      </w:r>
      <w:r w:rsidR="00342FCE" w:rsidRPr="008432AC">
        <w:t>barrier;</w:t>
      </w:r>
      <w:r w:rsidRPr="008432AC">
        <w:t xml:space="preserve"> as such</w:t>
      </w:r>
      <w:r w:rsidR="00342FCE" w:rsidRPr="008432AC">
        <w:t>,</w:t>
      </w:r>
      <w:r w:rsidRPr="008432AC">
        <w:t xml:space="preserve"> implementation would require substantial changes to routines and organizational cultures. Numerous other barriers have been reported as well: technical abilities of users</w:t>
      </w:r>
      <w:r w:rsidR="00AF30AD" w:rsidRPr="008432AC">
        <w:t>;</w:t>
      </w:r>
      <w:r w:rsidRPr="008432AC">
        <w:t xml:space="preserve"> the time needed to understand the technologies</w:t>
      </w:r>
      <w:r w:rsidR="00AF30AD" w:rsidRPr="008432AC">
        <w:t>;</w:t>
      </w:r>
      <w:r w:rsidRPr="008432AC">
        <w:t xml:space="preserve"> functionality (i.e. of the technology)</w:t>
      </w:r>
      <w:r w:rsidR="00AF30AD" w:rsidRPr="008432AC">
        <w:t>;</w:t>
      </w:r>
      <w:r w:rsidRPr="008432AC">
        <w:t xml:space="preserve"> the perceived lack of value for patients</w:t>
      </w:r>
      <w:r w:rsidR="00AF30AD" w:rsidRPr="008432AC">
        <w:t>;</w:t>
      </w:r>
      <w:r w:rsidRPr="008432AC">
        <w:t xml:space="preserve"> professional considerations</w:t>
      </w:r>
      <w:r w:rsidR="00AF30AD" w:rsidRPr="008432AC">
        <w:t>;</w:t>
      </w:r>
      <w:r w:rsidRPr="008432AC">
        <w:t xml:space="preserve"> organizational </w:t>
      </w:r>
      <w:r w:rsidRPr="008432AC">
        <w:lastRenderedPageBreak/>
        <w:t>and infrastructure factors (e.g. administrative support, compatibility with current technologies)</w:t>
      </w:r>
      <w:r w:rsidR="00AF30AD" w:rsidRPr="008432AC">
        <w:t>;</w:t>
      </w:r>
      <w:r w:rsidRPr="008432AC">
        <w:t xml:space="preserve"> human behaviors and beliefs (e.g. reluctance to change)</w:t>
      </w:r>
      <w:r w:rsidR="00AF30AD" w:rsidRPr="008432AC">
        <w:t>;</w:t>
      </w:r>
      <w:r w:rsidRPr="008432AC">
        <w:t xml:space="preserve"> legal and regulatory issues</w:t>
      </w:r>
      <w:r w:rsidR="00AF30AD" w:rsidRPr="008432AC">
        <w:t>;</w:t>
      </w:r>
      <w:r w:rsidRPr="008432AC">
        <w:t xml:space="preserve"> policies</w:t>
      </w:r>
      <w:r w:rsidR="00AF30AD" w:rsidRPr="008432AC">
        <w:t>;</w:t>
      </w:r>
      <w:r w:rsidRPr="008432AC">
        <w:t xml:space="preserve"> supply chain management</w:t>
      </w:r>
      <w:r w:rsidR="00AF30AD" w:rsidRPr="008432AC">
        <w:t>;</w:t>
      </w:r>
      <w:r w:rsidRPr="008432AC">
        <w:t xml:space="preserve"> environmental factors</w:t>
      </w:r>
      <w:r w:rsidR="00AF30AD" w:rsidRPr="008432AC">
        <w:t>;</w:t>
      </w:r>
      <w:r w:rsidRPr="008432AC">
        <w:t xml:space="preserve"> and/or privacy and confidentiality (Agarwal et al., 2010; Ajami</w:t>
      </w:r>
      <w:r w:rsidR="005E7A62">
        <w:t xml:space="preserve"> &amp; </w:t>
      </w:r>
      <w:r w:rsidRPr="008432AC">
        <w:t>Bagheri-Tadi, 2013; Alharthi et al., 2014; Alquraini et al., 2007; Boonstra</w:t>
      </w:r>
      <w:r w:rsidR="005E7A62">
        <w:t xml:space="preserve"> &amp; </w:t>
      </w:r>
      <w:r w:rsidRPr="008432AC">
        <w:t>Broekhuis, 2010; Bramble et al., 2008; Ebrahim</w:t>
      </w:r>
      <w:r w:rsidR="005E7A62">
        <w:t xml:space="preserve"> &amp; </w:t>
      </w:r>
      <w:r w:rsidRPr="008432AC">
        <w:t>Irani, 2005; Gagnon et al. 2016; Ghazisaeidi</w:t>
      </w:r>
      <w:r w:rsidR="00C00690" w:rsidRPr="008432AC">
        <w:t xml:space="preserve">, Ahmadi, </w:t>
      </w:r>
      <w:r w:rsidR="00046189" w:rsidRPr="008432AC">
        <w:t>Sadoughi,</w:t>
      </w:r>
      <w:r w:rsidR="005E7A62">
        <w:t xml:space="preserve"> &amp; </w:t>
      </w:r>
      <w:r w:rsidR="00046189" w:rsidRPr="008432AC">
        <w:t>Safdari</w:t>
      </w:r>
      <w:r w:rsidRPr="008432AC">
        <w:t>, 2014; Hamid</w:t>
      </w:r>
      <w:r w:rsidR="005E7A62">
        <w:t xml:space="preserve"> &amp; </w:t>
      </w:r>
      <w:r w:rsidRPr="008432AC">
        <w:t>Cline, 2015; Heisey-Grove</w:t>
      </w:r>
      <w:r w:rsidR="00046189" w:rsidRPr="008432AC">
        <w:t>, Danegy, Consolazio, Lynch,</w:t>
      </w:r>
      <w:r w:rsidR="005E7A62">
        <w:t xml:space="preserve"> &amp; </w:t>
      </w:r>
      <w:r w:rsidR="0070722F" w:rsidRPr="008432AC">
        <w:t>Mostashari</w:t>
      </w:r>
      <w:r w:rsidRPr="008432AC">
        <w:t>, 2014; Jha et al., 2009; Khalifa, 2013; Laerum et al., 2001; Meinert, 2004; Miller et al., 2014; Poku, 2017; Ross</w:t>
      </w:r>
      <w:r w:rsidR="006547E2" w:rsidRPr="008432AC">
        <w:t>, Stevenson, Lau,</w:t>
      </w:r>
      <w:r w:rsidR="005E7A62">
        <w:t xml:space="preserve"> &amp; </w:t>
      </w:r>
      <w:r w:rsidR="006547E2" w:rsidRPr="008432AC">
        <w:t>Murray</w:t>
      </w:r>
      <w:r w:rsidRPr="008432AC">
        <w:t>, 2015; Simon et al., 2007; Stewart et al., 2004; Takian et al., 2012; Uluc</w:t>
      </w:r>
      <w:r w:rsidR="005E7A62">
        <w:t xml:space="preserve"> &amp; </w:t>
      </w:r>
      <w:r w:rsidRPr="008432AC">
        <w:t xml:space="preserve">Ferman, 2016; Yan et al., 2012). Additional human factors relating to the attitudes of healthcare workers towards HIT have </w:t>
      </w:r>
      <w:r w:rsidR="00990479" w:rsidRPr="008432AC">
        <w:t xml:space="preserve">also </w:t>
      </w:r>
      <w:r w:rsidRPr="008432AC">
        <w:t>been implicated as barriers: understanding the benefits of the technology</w:t>
      </w:r>
      <w:r w:rsidR="00990479" w:rsidRPr="008432AC">
        <w:t>;</w:t>
      </w:r>
      <w:r w:rsidRPr="008432AC">
        <w:t xml:space="preserve"> learning abilities</w:t>
      </w:r>
      <w:r w:rsidR="00990479" w:rsidRPr="008432AC">
        <w:t>;</w:t>
      </w:r>
      <w:r w:rsidRPr="008432AC">
        <w:t xml:space="preserve"> computer knowledge</w:t>
      </w:r>
      <w:r w:rsidR="00990479" w:rsidRPr="008432AC">
        <w:t>;</w:t>
      </w:r>
      <w:r w:rsidRPr="008432AC">
        <w:t xml:space="preserve"> and </w:t>
      </w:r>
      <w:r w:rsidR="00990479" w:rsidRPr="008432AC">
        <w:t xml:space="preserve">the </w:t>
      </w:r>
      <w:r w:rsidRPr="008432AC">
        <w:t xml:space="preserve">desire to use such innovations to simplify daily routines (Holden, 2011). </w:t>
      </w:r>
      <w:r w:rsidR="0069709D" w:rsidRPr="008432AC">
        <w:t>A</w:t>
      </w:r>
      <w:r w:rsidR="00AC0892" w:rsidRPr="008432AC">
        <w:t>n extensive</w:t>
      </w:r>
      <w:r w:rsidRPr="008432AC">
        <w:t xml:space="preserve"> listing of barriers faced when adopting HIT</w:t>
      </w:r>
      <w:r w:rsidR="0069709D" w:rsidRPr="008432AC">
        <w:t xml:space="preserve"> is presented in Table 2.2</w:t>
      </w:r>
      <w:r w:rsidR="00D34A55" w:rsidRPr="008432AC">
        <w:t xml:space="preserve"> at the end of this section</w:t>
      </w:r>
      <w:r w:rsidRPr="008432AC">
        <w:t>.</w:t>
      </w:r>
    </w:p>
    <w:p w14:paraId="7D5165EC" w14:textId="77777777" w:rsidR="00C8151F" w:rsidRPr="008432AC" w:rsidRDefault="00C8151F" w:rsidP="009C1EAB">
      <w:pPr>
        <w:pStyle w:val="APAParagraph"/>
      </w:pPr>
      <w:r w:rsidRPr="008432AC">
        <w:t xml:space="preserve">Crucially, these barriers are </w:t>
      </w:r>
      <w:r w:rsidR="00A631CB" w:rsidRPr="008432AC">
        <w:t>interrelated</w:t>
      </w:r>
      <w:r w:rsidRPr="008432AC">
        <w:t>. For example, implementing HIT will lead to a redesign of the information and decision activities, while at the same time driving concerns about medical staff liability, often caused by the absence of a solid legal framework, and to autonomy problems, associated with both people and the architecture of the healthcare system (Lluch, 2011). Furthermore, new apps and structures, while offering the promise of greater efficiency in the long-</w:t>
      </w:r>
      <w:r w:rsidRPr="008432AC">
        <w:lastRenderedPageBreak/>
        <w:t>term, could involve a steep (and long) learning curve and could, in the meantime, disrupt coordination and team work; EHRs, while cost-effective from a provider standpoint, pose a unique security and confidentiality risk.</w:t>
      </w:r>
    </w:p>
    <w:p w14:paraId="7D5165ED" w14:textId="01ACC1E2" w:rsidR="00C8151F" w:rsidRPr="008432AC" w:rsidRDefault="00C8151F" w:rsidP="009C1EAB">
      <w:pPr>
        <w:pStyle w:val="APAParagraph"/>
      </w:pPr>
      <w:r w:rsidRPr="008432AC">
        <w:t>The pote</w:t>
      </w:r>
      <w:r w:rsidR="00AC0892" w:rsidRPr="008432AC">
        <w:t>ntial</w:t>
      </w:r>
      <w:r w:rsidRPr="008432AC">
        <w:t xml:space="preserve"> of these barriers is perhaps more evident in developing nations, where the adoption of these technologies is particularly slow (Lambooij</w:t>
      </w:r>
      <w:r w:rsidR="005E7A62">
        <w:t xml:space="preserve"> &amp; </w:t>
      </w:r>
      <w:r w:rsidRPr="008432AC">
        <w:t>Hummel, 2013; Zayyad</w:t>
      </w:r>
      <w:r w:rsidR="005E7A62">
        <w:t xml:space="preserve"> &amp; </w:t>
      </w:r>
      <w:r w:rsidRPr="008432AC">
        <w:t xml:space="preserve">Toycan, 2018). These nations are affected—arguably to an even greater degree than are more developed nations—by </w:t>
      </w:r>
      <w:r w:rsidR="00227FAE" w:rsidRPr="008432AC">
        <w:t>several</w:t>
      </w:r>
      <w:r w:rsidRPr="008432AC">
        <w:t xml:space="preserve"> healthcare challenges, such as access, financial considerations, infrastructure, organizational resources, social and cultural factors, governmental policies, educational considerations, and limited human professional resources (Anwar et al., 2012; Uluc</w:t>
      </w:r>
      <w:r w:rsidR="005E7A62">
        <w:t xml:space="preserve"> &amp; </w:t>
      </w:r>
      <w:r w:rsidRPr="008432AC">
        <w:t>Ferman, 2016). Kundi (2010) highlight</w:t>
      </w:r>
      <w:r w:rsidR="00227FAE" w:rsidRPr="008432AC">
        <w:t>ed</w:t>
      </w:r>
      <w:r w:rsidRPr="008432AC">
        <w:t xml:space="preserve"> the lack of infrastructure and specialists as key factors hindering the implementation of modern technologies. Indeed, the availability and effective use of IT infrastructure is an essential prerequisite for the more widespread implementation of various IT specifications (Qureshi et al., 2013).</w:t>
      </w:r>
    </w:p>
    <w:p w14:paraId="7D5165EE" w14:textId="6DD8B10D" w:rsidR="00C8151F" w:rsidRPr="008432AC" w:rsidRDefault="00C8151F" w:rsidP="009C1EAB">
      <w:pPr>
        <w:pStyle w:val="APAParagraph"/>
      </w:pPr>
      <w:r w:rsidRPr="008432AC">
        <w:t>Another major hindrance to HIT adoption in developing states is the lack of effective regulatory policies from decision</w:t>
      </w:r>
      <w:r w:rsidR="00BD5306" w:rsidRPr="008432AC">
        <w:t>-</w:t>
      </w:r>
      <w:r w:rsidRPr="008432AC">
        <w:t>makers (Khoja</w:t>
      </w:r>
      <w:r w:rsidR="006547E2" w:rsidRPr="008432AC">
        <w:t>, Durrani,</w:t>
      </w:r>
      <w:r w:rsidR="005E7A62">
        <w:t xml:space="preserve"> &amp; </w:t>
      </w:r>
      <w:r w:rsidR="008E03CE" w:rsidRPr="008432AC">
        <w:t>Fahim</w:t>
      </w:r>
      <w:r w:rsidRPr="008432AC">
        <w:t xml:space="preserve">, 2008). </w:t>
      </w:r>
      <w:r w:rsidR="00227FAE" w:rsidRPr="008432AC">
        <w:t>Many</w:t>
      </w:r>
      <w:r w:rsidRPr="008432AC">
        <w:t xml:space="preserve"> factors are involved in using HIT; many problems in healthcare</w:t>
      </w:r>
      <w:r w:rsidR="006A490F" w:rsidRPr="008432AC">
        <w:t>, therefore,</w:t>
      </w:r>
      <w:r w:rsidRPr="008432AC">
        <w:t xml:space="preserve"> cannot be solved without well-defined guidelines and procedures. For instance, the barriers that </w:t>
      </w:r>
      <w:r w:rsidR="006A490F" w:rsidRPr="008432AC">
        <w:t xml:space="preserve">have </w:t>
      </w:r>
      <w:r w:rsidRPr="008432AC">
        <w:t xml:space="preserve">most </w:t>
      </w:r>
      <w:r w:rsidR="006A490F" w:rsidRPr="008432AC">
        <w:t xml:space="preserve">significantly </w:t>
      </w:r>
      <w:r w:rsidRPr="008432AC">
        <w:t xml:space="preserve">delayed or affected HIT adoption by medical professionals in Saudi Arabia </w:t>
      </w:r>
      <w:r w:rsidR="006A490F" w:rsidRPr="008432AC">
        <w:t xml:space="preserve">have been shown to </w:t>
      </w:r>
      <w:r w:rsidRPr="008432AC">
        <w:t xml:space="preserve">include negative perceptions, attitudes toward modern technology, and other human </w:t>
      </w:r>
      <w:r w:rsidRPr="008432AC">
        <w:lastRenderedPageBreak/>
        <w:t>factors (Altuwaijri</w:t>
      </w:r>
      <w:r w:rsidR="008E03CE" w:rsidRPr="008432AC">
        <w:t>, Bahanshal,</w:t>
      </w:r>
      <w:r w:rsidR="005E7A62">
        <w:t xml:space="preserve"> &amp; </w:t>
      </w:r>
      <w:r w:rsidR="008E03CE" w:rsidRPr="008432AC">
        <w:t>Almehaid</w:t>
      </w:r>
      <w:r w:rsidRPr="008432AC">
        <w:t>, 2011). Certain policies, targeted towards people’s perceptions and attitudes towards technologies, could weaken those barriers.</w:t>
      </w:r>
    </w:p>
    <w:p w14:paraId="7D5165EF" w14:textId="67F76FE2" w:rsidR="00C8151F" w:rsidRPr="00FC6087" w:rsidRDefault="00C8151F" w:rsidP="009C1EAB">
      <w:pPr>
        <w:pStyle w:val="APAParagraph"/>
      </w:pPr>
      <w:r w:rsidRPr="008432AC">
        <w:t xml:space="preserve">However, even in more developed nations and </w:t>
      </w:r>
      <w:r w:rsidR="00710F6F">
        <w:t>in</w:t>
      </w:r>
      <w:r w:rsidRPr="008432AC">
        <w:t xml:space="preserve"> those where technological growth in the healthcare sector has been booming</w:t>
      </w:r>
      <w:r w:rsidR="006A490F" w:rsidRPr="008432AC">
        <w:t>,</w:t>
      </w:r>
      <w:r w:rsidRPr="008432AC">
        <w:t xml:space="preserve"> these barriers persist. Despite the noteworthy developments in the UAE, the adoption and implementation of HIT continues to face many challenges. Some are perhaps unique to the UAE, such as the concerns that the UAE government, who’s role in healthcare is not as challenged as it is in other sectors, might prematurely select winning technologies (Khalid</w:t>
      </w:r>
      <w:r w:rsidR="005E7A62">
        <w:t xml:space="preserve"> &amp; </w:t>
      </w:r>
      <w:r w:rsidRPr="008432AC">
        <w:t>Ahmad, 2011). However, others are likely more universal, such concerns over issues of data security and privacy (Poku, 2017)</w:t>
      </w:r>
      <w:r w:rsidR="006D5EF4" w:rsidRPr="008432AC">
        <w:t xml:space="preserve">, despite </w:t>
      </w:r>
      <w:r w:rsidRPr="008432AC">
        <w:t xml:space="preserve">health establishments </w:t>
      </w:r>
      <w:r w:rsidR="006D5EF4" w:rsidRPr="008432AC">
        <w:t xml:space="preserve">already </w:t>
      </w:r>
      <w:r w:rsidRPr="00FC6087">
        <w:t>address</w:t>
      </w:r>
      <w:r w:rsidR="006D5EF4" w:rsidRPr="00FC6087">
        <w:t>ing</w:t>
      </w:r>
      <w:r w:rsidRPr="00FC6087">
        <w:t xml:space="preserve"> privacy issues (Zineddine, 2011).</w:t>
      </w:r>
    </w:p>
    <w:p w14:paraId="7D5165F0" w14:textId="3DCD75D2" w:rsidR="00C8151F" w:rsidRPr="00FC6087" w:rsidRDefault="00C8151F" w:rsidP="009C1EAB">
      <w:pPr>
        <w:pStyle w:val="APAParagraph"/>
      </w:pPr>
      <w:r w:rsidRPr="00FC6087">
        <w:t>Bani-</w:t>
      </w:r>
      <w:r w:rsidR="00D112D9" w:rsidRPr="00FC6087">
        <w:t>I</w:t>
      </w:r>
      <w:r w:rsidRPr="00FC6087">
        <w:t>ssa</w:t>
      </w:r>
      <w:r w:rsidR="00055A47" w:rsidRPr="00FC6087">
        <w:t>, Yateem, Almak</w:t>
      </w:r>
      <w:r w:rsidR="00AB69AB" w:rsidRPr="00FC6087">
        <w:t xml:space="preserve">hzoomy, </w:t>
      </w:r>
      <w:r w:rsidR="00CC529D">
        <w:t>and</w:t>
      </w:r>
      <w:r w:rsidR="00AB69AB" w:rsidRPr="00FC6087">
        <w:t xml:space="preserve"> Ibrahim</w:t>
      </w:r>
      <w:r w:rsidRPr="00FC6087">
        <w:t xml:space="preserve"> (2016) examined HIT de-motivators among nurses in the UAE. They found that a lack of administrative </w:t>
      </w:r>
      <w:r w:rsidR="00B56734" w:rsidRPr="00FC6087">
        <w:t xml:space="preserve">cohesion </w:t>
      </w:r>
      <w:r w:rsidRPr="00FC6087">
        <w:t>was only a weak deterrent, while the strongest deterrent was the perceived lack of usefulness for patients. This assessment is likely based on their experience using HIT, which resulted in their spending more time dealing with the technology than interacting with patients. The most common deterrent mentioned by the nurses was the absence of computer abilities, which is in line with previous studies that have point</w:t>
      </w:r>
      <w:r w:rsidR="00B56734" w:rsidRPr="00FC6087">
        <w:t>ed</w:t>
      </w:r>
      <w:r w:rsidRPr="00FC6087">
        <w:t xml:space="preserve"> out that the building of such skills would enable the adoption of new technology (Singh</w:t>
      </w:r>
      <w:r w:rsidR="005E7A62">
        <w:t xml:space="preserve"> &amp; </w:t>
      </w:r>
      <w:r w:rsidRPr="00FC6087">
        <w:t xml:space="preserve">Muthuswamy, 2013; Takian et al., 2012). Al Alawi </w:t>
      </w:r>
      <w:r w:rsidR="00930BBF" w:rsidRPr="00FC6087">
        <w:t>et al.</w:t>
      </w:r>
      <w:r w:rsidRPr="00FC6087">
        <w:t xml:space="preserve"> (2014) also studied perceptions of medical professionals </w:t>
      </w:r>
      <w:r w:rsidRPr="00FC6087">
        <w:lastRenderedPageBreak/>
        <w:t>in the UA</w:t>
      </w:r>
      <w:r w:rsidR="00F80D2D" w:rsidRPr="00FC6087">
        <w:t>E</w:t>
      </w:r>
      <w:r w:rsidRPr="00FC6087">
        <w:t xml:space="preserve"> and found that computer literacy, training, and time</w:t>
      </w:r>
      <w:r w:rsidR="00710F6F">
        <w:t>,</w:t>
      </w:r>
      <w:r w:rsidRPr="00FC6087">
        <w:t xml:space="preserve"> were the most important barriers. Thus, while financial, infrastructure, and policy factors may not be strong deterrents in the UAE, it seems that some of the barriers that plague less developed nations persist in those with more experience with modern technologies. This suggests that some of these barriers are universal (we are all concerned with how difficult things will be and how much time they will take) and will, if not addressed, continue to remain a constant challenge to the healthcare system. After all, as Terry</w:t>
      </w:r>
      <w:r w:rsidR="001911ED" w:rsidRPr="00FC6087">
        <w:t xml:space="preserve">, Giles, </w:t>
      </w:r>
      <w:r w:rsidR="00491257">
        <w:t>and</w:t>
      </w:r>
      <w:r w:rsidR="001911ED" w:rsidRPr="00FC6087">
        <w:t xml:space="preserve"> Brown</w:t>
      </w:r>
      <w:r w:rsidRPr="00FC6087">
        <w:t xml:space="preserve"> (2009) argue</w:t>
      </w:r>
      <w:r w:rsidR="001911ED" w:rsidRPr="00FC6087">
        <w:t>d</w:t>
      </w:r>
      <w:r w:rsidRPr="00FC6087">
        <w:t>, the development and acceptance of HIT will only be fully achieved when the time is taken to train all technology users. Given how important HIT is for the health and wellness of populations worldwide, it is essential that such time and effort be devoted to this training. Additionally, efforts should be made to ensure that these technologies are easy to use and quick to master in order to minimize the training time required.</w:t>
      </w:r>
    </w:p>
    <w:p w14:paraId="7D5165F1" w14:textId="16565CC3" w:rsidR="009751E0" w:rsidRPr="00FC6087" w:rsidRDefault="009751E0" w:rsidP="009C1EAB">
      <w:pPr>
        <w:pStyle w:val="APAParagraph"/>
      </w:pPr>
      <w:r w:rsidRPr="00FC6087">
        <w:t>Although the UAE is allocating large resource amounts to increase HIT adoption rates, the public healthcare system is still far from enjoying optimal results because of the lack of preliminary research in the field (El-Hassan</w:t>
      </w:r>
      <w:r w:rsidR="00A56AD9">
        <w:t>,</w:t>
      </w:r>
      <w:r w:rsidRPr="00FC6087">
        <w:t xml:space="preserve"> </w:t>
      </w:r>
      <w:r w:rsidR="00A56AD9">
        <w:t>Sharif, Al Redha</w:t>
      </w:r>
      <w:r w:rsidR="00491257">
        <w:t>,</w:t>
      </w:r>
      <w:r w:rsidR="005E7A62">
        <w:t xml:space="preserve"> &amp; </w:t>
      </w:r>
      <w:r w:rsidR="00A56AD9">
        <w:t>Blair,</w:t>
      </w:r>
      <w:r w:rsidR="00A56AD9" w:rsidRPr="00FC6087">
        <w:t xml:space="preserve"> </w:t>
      </w:r>
      <w:r w:rsidRPr="00FC6087">
        <w:t xml:space="preserve">2017). </w:t>
      </w:r>
    </w:p>
    <w:p w14:paraId="7D5165F2" w14:textId="77777777" w:rsidR="00AC0892" w:rsidRPr="00FC6087" w:rsidRDefault="00C8151F" w:rsidP="009C1EAB">
      <w:pPr>
        <w:pStyle w:val="APAParagraph"/>
      </w:pPr>
      <w:r w:rsidRPr="00FC6087">
        <w:t xml:space="preserve">As was the case with HIT motivators, while there is a significant amount of research on HIT barriers, </w:t>
      </w:r>
      <w:r w:rsidR="00A631CB" w:rsidRPr="00FC6087">
        <w:t>most of which</w:t>
      </w:r>
      <w:r w:rsidRPr="00FC6087">
        <w:t xml:space="preserve"> quantitative, few—if any—studies have been conducted that take a more rigorous modeling quantitative approach to better understand how all the barriers relate and interact. Furthermore, while some </w:t>
      </w:r>
      <w:r w:rsidRPr="00FC6087">
        <w:lastRenderedPageBreak/>
        <w:t xml:space="preserve">studies have looked at specific stakeholder groups (cf. Bani-Issa et al., 2016), a search of the literature produces no studies that examine barriers across multiple key stakeholder groups. Thus, it is one of the aims of the present </w:t>
      </w:r>
      <w:r w:rsidR="007E188D" w:rsidRPr="00FC6087">
        <w:t>research</w:t>
      </w:r>
      <w:r w:rsidR="00DD06BB" w:rsidRPr="00FC6087">
        <w:t xml:space="preserve"> </w:t>
      </w:r>
      <w:r w:rsidRPr="00FC6087">
        <w:t>to use modeling to better understand the nature of the barriers to HIT adoption in the UAE as expressed by multiple relevant stakeholder groups. Only then, by understanding the interrelated nature of the barriers experienced by multiple groups of HIT users, can effective suggestions be made to help overcome these barriers and bring about even more widespread use of HIT in the UAE, which will then hopefully serve as an example to other nations in their endeavors to bolster their healthcare sectors.</w:t>
      </w:r>
    </w:p>
    <w:p w14:paraId="7D5165F3" w14:textId="3B5099E6" w:rsidR="00AC0892" w:rsidRPr="00790070" w:rsidRDefault="00AC0892" w:rsidP="00004615">
      <w:pPr>
        <w:pStyle w:val="Caption"/>
        <w:jc w:val="left"/>
        <w:rPr>
          <w:b w:val="0"/>
          <w:i/>
          <w:noProof w:val="0"/>
          <w:sz w:val="24"/>
          <w:szCs w:val="24"/>
        </w:rPr>
      </w:pPr>
      <w:bookmarkStart w:id="65" w:name="_Toc4059661"/>
      <w:r w:rsidRPr="00A76642">
        <w:rPr>
          <w:b w:val="0"/>
          <w:noProof w:val="0"/>
          <w:sz w:val="24"/>
          <w:szCs w:val="24"/>
        </w:rPr>
        <w:t xml:space="preserve">Table </w:t>
      </w:r>
      <w:r w:rsidR="000B029D" w:rsidRPr="00A76642">
        <w:rPr>
          <w:b w:val="0"/>
          <w:noProof w:val="0"/>
          <w:sz w:val="24"/>
          <w:szCs w:val="24"/>
        </w:rPr>
        <w:t>2.2</w:t>
      </w:r>
      <w:r w:rsidR="00491257" w:rsidRPr="00A76642">
        <w:rPr>
          <w:b w:val="0"/>
          <w:noProof w:val="0"/>
          <w:sz w:val="24"/>
          <w:szCs w:val="24"/>
        </w:rPr>
        <w:br/>
      </w:r>
      <w:r w:rsidRPr="00A76642">
        <w:rPr>
          <w:b w:val="0"/>
          <w:i/>
          <w:noProof w:val="0"/>
          <w:sz w:val="24"/>
          <w:szCs w:val="24"/>
        </w:rPr>
        <w:t>Main Reported Barriers to the Adoption of Healthcare Technologies</w:t>
      </w:r>
      <w:bookmarkEnd w:id="6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036"/>
        <w:gridCol w:w="3617"/>
        <w:gridCol w:w="2483"/>
      </w:tblGrid>
      <w:tr w:rsidR="00E261CF" w:rsidRPr="00A76642" w14:paraId="7D5165F7" w14:textId="77777777" w:rsidTr="00790070">
        <w:trPr>
          <w:tblHeader/>
        </w:trPr>
        <w:tc>
          <w:tcPr>
            <w:tcW w:w="1251" w:type="pct"/>
            <w:tcBorders>
              <w:top w:val="single" w:sz="18" w:space="0" w:color="auto"/>
              <w:bottom w:val="single" w:sz="12" w:space="0" w:color="auto"/>
            </w:tcBorders>
            <w:shd w:val="clear" w:color="auto" w:fill="auto"/>
          </w:tcPr>
          <w:p w14:paraId="7D5165F4" w14:textId="77777777" w:rsidR="00E261CF" w:rsidRPr="00A76642" w:rsidRDefault="00680E9A" w:rsidP="002C07D1">
            <w:pPr>
              <w:spacing w:line="480" w:lineRule="auto"/>
              <w:rPr>
                <w:rFonts w:asciiTheme="majorBidi" w:hAnsiTheme="majorBidi" w:cstheme="majorBidi"/>
                <w:szCs w:val="24"/>
                <w:lang w:val="en-US"/>
              </w:rPr>
            </w:pPr>
            <w:r w:rsidRPr="00A76642">
              <w:rPr>
                <w:rFonts w:asciiTheme="majorBidi" w:hAnsiTheme="majorBidi" w:cstheme="majorBidi"/>
                <w:szCs w:val="24"/>
              </w:rPr>
              <w:t>Reference</w:t>
            </w:r>
          </w:p>
        </w:tc>
        <w:tc>
          <w:tcPr>
            <w:tcW w:w="2223" w:type="pct"/>
            <w:tcBorders>
              <w:top w:val="single" w:sz="18" w:space="0" w:color="auto"/>
              <w:bottom w:val="single" w:sz="12" w:space="0" w:color="auto"/>
            </w:tcBorders>
            <w:shd w:val="clear" w:color="auto" w:fill="auto"/>
          </w:tcPr>
          <w:p w14:paraId="7D5165F5"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Barriers</w:t>
            </w:r>
          </w:p>
        </w:tc>
        <w:tc>
          <w:tcPr>
            <w:tcW w:w="1526" w:type="pct"/>
            <w:tcBorders>
              <w:top w:val="single" w:sz="18" w:space="0" w:color="auto"/>
              <w:bottom w:val="single" w:sz="12" w:space="0" w:color="auto"/>
            </w:tcBorders>
            <w:shd w:val="clear" w:color="auto" w:fill="auto"/>
          </w:tcPr>
          <w:p w14:paraId="7D5165F6"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Methodology</w:t>
            </w:r>
          </w:p>
        </w:tc>
      </w:tr>
      <w:tr w:rsidR="00E261CF" w:rsidRPr="00A76642" w14:paraId="7D5165FB" w14:textId="77777777" w:rsidTr="00790070">
        <w:trPr>
          <w:trHeight w:val="874"/>
        </w:trPr>
        <w:tc>
          <w:tcPr>
            <w:tcW w:w="1251" w:type="pct"/>
            <w:tcBorders>
              <w:top w:val="single" w:sz="12" w:space="0" w:color="auto"/>
            </w:tcBorders>
            <w:shd w:val="clear" w:color="auto" w:fill="auto"/>
          </w:tcPr>
          <w:p w14:paraId="7D5165F8"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Bramble et al. (2008)</w:t>
            </w:r>
          </w:p>
        </w:tc>
        <w:tc>
          <w:tcPr>
            <w:tcW w:w="2223" w:type="pct"/>
            <w:tcBorders>
              <w:top w:val="single" w:sz="12" w:space="0" w:color="auto"/>
            </w:tcBorders>
            <w:shd w:val="clear" w:color="auto" w:fill="auto"/>
          </w:tcPr>
          <w:p w14:paraId="7D5165F9"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Time, technology, and environment</w:t>
            </w:r>
            <w:r w:rsidR="00670B37" w:rsidRPr="00A76642">
              <w:rPr>
                <w:rFonts w:asciiTheme="majorBidi" w:hAnsiTheme="majorBidi" w:cstheme="majorBidi"/>
                <w:szCs w:val="24"/>
              </w:rPr>
              <w:t>; C</w:t>
            </w:r>
            <w:r w:rsidRPr="00A76642">
              <w:rPr>
                <w:rFonts w:asciiTheme="majorBidi" w:hAnsiTheme="majorBidi" w:cstheme="majorBidi"/>
                <w:szCs w:val="24"/>
              </w:rPr>
              <w:t>ompatibility of the HIT with the physician</w:t>
            </w:r>
            <w:r w:rsidR="00670B37" w:rsidRPr="00A76642">
              <w:rPr>
                <w:rFonts w:asciiTheme="majorBidi" w:hAnsiTheme="majorBidi" w:cstheme="majorBidi"/>
                <w:szCs w:val="24"/>
              </w:rPr>
              <w:t>’</w:t>
            </w:r>
            <w:r w:rsidRPr="00A76642">
              <w:rPr>
                <w:rFonts w:asciiTheme="majorBidi" w:hAnsiTheme="majorBidi" w:cstheme="majorBidi"/>
                <w:szCs w:val="24"/>
              </w:rPr>
              <w:t>s patient mix and the physician</w:t>
            </w:r>
            <w:r w:rsidR="00614783" w:rsidRPr="00A76642">
              <w:rPr>
                <w:rFonts w:asciiTheme="majorBidi" w:hAnsiTheme="majorBidi" w:cstheme="majorBidi"/>
                <w:szCs w:val="24"/>
              </w:rPr>
              <w:t>’</w:t>
            </w:r>
            <w:r w:rsidRPr="00A76642">
              <w:rPr>
                <w:rFonts w:asciiTheme="majorBidi" w:hAnsiTheme="majorBidi" w:cstheme="majorBidi"/>
                <w:szCs w:val="24"/>
              </w:rPr>
              <w:t>s own attitude toward the use of HIT</w:t>
            </w:r>
          </w:p>
        </w:tc>
        <w:tc>
          <w:tcPr>
            <w:tcW w:w="1526" w:type="pct"/>
            <w:tcBorders>
              <w:top w:val="single" w:sz="12" w:space="0" w:color="auto"/>
            </w:tcBorders>
            <w:shd w:val="clear" w:color="auto" w:fill="auto"/>
          </w:tcPr>
          <w:p w14:paraId="7D5165FA"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A theoretical model of technology acceptance and use</w:t>
            </w:r>
          </w:p>
        </w:tc>
      </w:tr>
      <w:tr w:rsidR="00E261CF" w:rsidRPr="00A76642" w14:paraId="7D5165FF" w14:textId="77777777" w:rsidTr="00790070">
        <w:tc>
          <w:tcPr>
            <w:tcW w:w="1251" w:type="pct"/>
            <w:shd w:val="clear" w:color="auto" w:fill="auto"/>
          </w:tcPr>
          <w:p w14:paraId="7D5165FC"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 xml:space="preserve">Ajami and Bagheri-Tadi </w:t>
            </w:r>
            <w:r w:rsidRPr="00A76642">
              <w:rPr>
                <w:rFonts w:asciiTheme="majorBidi" w:hAnsiTheme="majorBidi" w:cstheme="majorBidi"/>
                <w:szCs w:val="24"/>
              </w:rPr>
              <w:lastRenderedPageBreak/>
              <w:t>(2013)</w:t>
            </w:r>
          </w:p>
        </w:tc>
        <w:tc>
          <w:tcPr>
            <w:tcW w:w="2223" w:type="pct"/>
            <w:shd w:val="clear" w:color="auto" w:fill="auto"/>
          </w:tcPr>
          <w:p w14:paraId="7D5165FD"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lastRenderedPageBreak/>
              <w:t xml:space="preserve">Time, cost, absence of computer skills; Lack of technical training </w:t>
            </w:r>
            <w:r w:rsidRPr="00A76642">
              <w:rPr>
                <w:rFonts w:asciiTheme="majorBidi" w:hAnsiTheme="majorBidi" w:cstheme="majorBidi"/>
                <w:szCs w:val="24"/>
              </w:rPr>
              <w:lastRenderedPageBreak/>
              <w:t>and support from vendors; Concern about security and privacy; Workflow disruption; Communication among users; Interfaces with doctor-patient relationship; Lack of incentives; Complexity; Physical space; Concern about the ability to select an effectively install HER system; Technical support; Interoperability; Access to computers and computer literacy; Vendor trust; Expert support; Concern about data entry; Training and after-sail experiences with their vendor</w:t>
            </w:r>
          </w:p>
        </w:tc>
        <w:tc>
          <w:tcPr>
            <w:tcW w:w="1526" w:type="pct"/>
            <w:shd w:val="clear" w:color="auto" w:fill="auto"/>
          </w:tcPr>
          <w:p w14:paraId="7D5165FE"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lastRenderedPageBreak/>
              <w:t xml:space="preserve">Non-systematic review of the literature with </w:t>
            </w:r>
            <w:r w:rsidRPr="00A76642">
              <w:rPr>
                <w:rFonts w:asciiTheme="majorBidi" w:hAnsiTheme="majorBidi" w:cstheme="majorBidi"/>
                <w:szCs w:val="24"/>
              </w:rPr>
              <w:lastRenderedPageBreak/>
              <w:t xml:space="preserve">the help of library, books, conference proceedings, data bank, and also searches engines </w:t>
            </w:r>
            <w:r w:rsidR="000E51E9" w:rsidRPr="00A76642">
              <w:rPr>
                <w:rFonts w:asciiTheme="majorBidi" w:hAnsiTheme="majorBidi" w:cstheme="majorBidi"/>
                <w:szCs w:val="24"/>
              </w:rPr>
              <w:t>(</w:t>
            </w:r>
            <w:r w:rsidRPr="00A76642">
              <w:rPr>
                <w:rFonts w:asciiTheme="majorBidi" w:hAnsiTheme="majorBidi" w:cstheme="majorBidi"/>
                <w:szCs w:val="24"/>
              </w:rPr>
              <w:t xml:space="preserve">Google, Google </w:t>
            </w:r>
            <w:r w:rsidR="000E51E9" w:rsidRPr="00A76642">
              <w:rPr>
                <w:rFonts w:asciiTheme="majorBidi" w:hAnsiTheme="majorBidi" w:cstheme="majorBidi"/>
                <w:szCs w:val="24"/>
              </w:rPr>
              <w:t>S</w:t>
            </w:r>
            <w:r w:rsidRPr="00A76642">
              <w:rPr>
                <w:rFonts w:asciiTheme="majorBidi" w:hAnsiTheme="majorBidi" w:cstheme="majorBidi"/>
                <w:szCs w:val="24"/>
              </w:rPr>
              <w:t>cholar</w:t>
            </w:r>
            <w:r w:rsidR="000E51E9" w:rsidRPr="00A76642">
              <w:rPr>
                <w:rFonts w:asciiTheme="majorBidi" w:hAnsiTheme="majorBidi" w:cstheme="majorBidi"/>
                <w:szCs w:val="24"/>
              </w:rPr>
              <w:t>)</w:t>
            </w:r>
          </w:p>
        </w:tc>
      </w:tr>
      <w:tr w:rsidR="00E261CF" w:rsidRPr="00A76642" w14:paraId="7D516603" w14:textId="77777777" w:rsidTr="00790070">
        <w:tc>
          <w:tcPr>
            <w:tcW w:w="1251" w:type="pct"/>
            <w:shd w:val="clear" w:color="auto" w:fill="auto"/>
          </w:tcPr>
          <w:p w14:paraId="7D516600"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eastAsia="Times New Roman" w:hAnsiTheme="majorBidi" w:cstheme="majorBidi"/>
                <w:szCs w:val="24"/>
                <w:lang w:eastAsia="ro-RO"/>
              </w:rPr>
              <w:lastRenderedPageBreak/>
              <w:t>Jha et al. (2009)</w:t>
            </w:r>
          </w:p>
        </w:tc>
        <w:tc>
          <w:tcPr>
            <w:tcW w:w="2223" w:type="pct"/>
            <w:shd w:val="clear" w:color="auto" w:fill="auto"/>
          </w:tcPr>
          <w:p w14:paraId="7D516601"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eastAsia="Times New Roman" w:hAnsiTheme="majorBidi" w:cstheme="majorBidi"/>
                <w:szCs w:val="24"/>
                <w:lang w:eastAsia="ro-RO"/>
              </w:rPr>
              <w:t xml:space="preserve">Computer skills of you and/or colleagues/staff; Computer technical support; Lack of time to acquire knowledge about system; </w:t>
            </w:r>
            <w:r w:rsidRPr="00A76642">
              <w:rPr>
                <w:rFonts w:asciiTheme="majorBidi" w:eastAsia="Times New Roman" w:hAnsiTheme="majorBidi" w:cstheme="majorBidi"/>
                <w:szCs w:val="24"/>
                <w:lang w:eastAsia="ro-RO"/>
              </w:rPr>
              <w:lastRenderedPageBreak/>
              <w:t>Start-up financial costs; Ongoing financial costs; Training and productivity loss; Physician skepticism; Privacy or security concerns</w:t>
            </w:r>
          </w:p>
        </w:tc>
        <w:tc>
          <w:tcPr>
            <w:tcW w:w="1526" w:type="pct"/>
            <w:shd w:val="clear" w:color="auto" w:fill="auto"/>
          </w:tcPr>
          <w:p w14:paraId="7D516602"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lastRenderedPageBreak/>
              <w:t xml:space="preserve">Survey data from stratified random sample of all medical practices in </w:t>
            </w:r>
            <w:r w:rsidRPr="00A76642">
              <w:rPr>
                <w:rFonts w:asciiTheme="majorBidi" w:hAnsiTheme="majorBidi" w:cstheme="majorBidi"/>
                <w:szCs w:val="24"/>
              </w:rPr>
              <w:lastRenderedPageBreak/>
              <w:t>Massachusetts in 2005</w:t>
            </w:r>
          </w:p>
        </w:tc>
      </w:tr>
      <w:tr w:rsidR="00E261CF" w:rsidRPr="00A76642" w14:paraId="7D516607" w14:textId="77777777" w:rsidTr="00790070">
        <w:tc>
          <w:tcPr>
            <w:tcW w:w="1251" w:type="pct"/>
            <w:shd w:val="clear" w:color="auto" w:fill="auto"/>
          </w:tcPr>
          <w:p w14:paraId="7D516604" w14:textId="77777777"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lastRenderedPageBreak/>
              <w:t>Rao et al. (2011)</w:t>
            </w:r>
          </w:p>
        </w:tc>
        <w:tc>
          <w:tcPr>
            <w:tcW w:w="2223" w:type="pct"/>
            <w:shd w:val="clear" w:color="auto" w:fill="auto"/>
          </w:tcPr>
          <w:p w14:paraId="7D516605" w14:textId="77777777"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t>Capital needed to acquire and implement; Uncertainty about return on investment; Resistance to adoption from practice physicians; Capacity to select, contract and install the EHR;</w:t>
            </w:r>
            <w:r w:rsidR="00DD06BB" w:rsidRPr="00A76642">
              <w:rPr>
                <w:rFonts w:asciiTheme="majorBidi" w:eastAsia="Times New Roman" w:hAnsiTheme="majorBidi" w:cstheme="majorBidi"/>
                <w:szCs w:val="24"/>
                <w:lang w:eastAsia="ro-RO"/>
              </w:rPr>
              <w:t xml:space="preserve"> </w:t>
            </w:r>
            <w:r w:rsidRPr="00A76642">
              <w:rPr>
                <w:rFonts w:asciiTheme="majorBidi" w:eastAsia="Times New Roman" w:hAnsiTheme="majorBidi" w:cstheme="majorBidi"/>
                <w:szCs w:val="24"/>
                <w:lang w:eastAsia="ro-RO"/>
              </w:rPr>
              <w:t>Concern about loss of productivity during transition; Concern about inappropriate disclosure of patient information; Concern about illegal record tampering/hacking</w:t>
            </w:r>
          </w:p>
        </w:tc>
        <w:tc>
          <w:tcPr>
            <w:tcW w:w="1526" w:type="pct"/>
            <w:shd w:val="clear" w:color="auto" w:fill="auto"/>
          </w:tcPr>
          <w:p w14:paraId="7D516606"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Mailed survey of a nationally representative random sample of practicing physicians identified from the Physician Masterfile of the American Medical Association</w:t>
            </w:r>
          </w:p>
        </w:tc>
      </w:tr>
      <w:tr w:rsidR="00E261CF" w:rsidRPr="00A76642" w14:paraId="7D51660B" w14:textId="77777777" w:rsidTr="00790070">
        <w:tc>
          <w:tcPr>
            <w:tcW w:w="1251" w:type="pct"/>
            <w:shd w:val="clear" w:color="auto" w:fill="auto"/>
          </w:tcPr>
          <w:p w14:paraId="7D516608" w14:textId="77777777"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t>Ford et al. (2006)</w:t>
            </w:r>
          </w:p>
        </w:tc>
        <w:tc>
          <w:tcPr>
            <w:tcW w:w="2223" w:type="pct"/>
            <w:shd w:val="clear" w:color="auto" w:fill="auto"/>
          </w:tcPr>
          <w:p w14:paraId="7D516609" w14:textId="77777777"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t xml:space="preserve">Uncertainty about implementation costs, causes and effects; Uncertainty about shifting standards; Uncertainty about </w:t>
            </w:r>
            <w:r w:rsidRPr="00A76642">
              <w:rPr>
                <w:rFonts w:asciiTheme="majorBidi" w:eastAsia="Times New Roman" w:hAnsiTheme="majorBidi" w:cstheme="majorBidi"/>
                <w:szCs w:val="24"/>
                <w:lang w:eastAsia="ro-RO"/>
              </w:rPr>
              <w:lastRenderedPageBreak/>
              <w:t>potential policy interventions</w:t>
            </w:r>
          </w:p>
        </w:tc>
        <w:tc>
          <w:tcPr>
            <w:tcW w:w="1526" w:type="pct"/>
            <w:shd w:val="clear" w:color="auto" w:fill="auto"/>
          </w:tcPr>
          <w:p w14:paraId="7D51660A"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lastRenderedPageBreak/>
              <w:t xml:space="preserve">Meta-analysis and bass modelling used to compare EHR diffusion rates for two </w:t>
            </w:r>
            <w:r w:rsidRPr="00A76642">
              <w:rPr>
                <w:rFonts w:asciiTheme="majorBidi" w:hAnsiTheme="majorBidi" w:cstheme="majorBidi"/>
                <w:szCs w:val="24"/>
              </w:rPr>
              <w:lastRenderedPageBreak/>
              <w:t>distinct periods of government activity</w:t>
            </w:r>
          </w:p>
        </w:tc>
      </w:tr>
      <w:tr w:rsidR="00E261CF" w:rsidRPr="00A76642" w14:paraId="7D51660F" w14:textId="77777777" w:rsidTr="00790070">
        <w:trPr>
          <w:trHeight w:val="829"/>
        </w:trPr>
        <w:tc>
          <w:tcPr>
            <w:tcW w:w="1251" w:type="pct"/>
            <w:shd w:val="clear" w:color="auto" w:fill="auto"/>
          </w:tcPr>
          <w:p w14:paraId="7D51660C" w14:textId="77777777"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lastRenderedPageBreak/>
              <w:t>Meinert (2004)</w:t>
            </w:r>
          </w:p>
        </w:tc>
        <w:tc>
          <w:tcPr>
            <w:tcW w:w="2223" w:type="pct"/>
            <w:shd w:val="clear" w:color="auto" w:fill="auto"/>
          </w:tcPr>
          <w:p w14:paraId="7D51660D" w14:textId="77777777"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t>Learning curve; Impact on productivity; Response time; Cost; Security; Patient acceptance; Privacy; Complexity; Training needs</w:t>
            </w:r>
          </w:p>
        </w:tc>
        <w:tc>
          <w:tcPr>
            <w:tcW w:w="1526" w:type="pct"/>
            <w:shd w:val="clear" w:color="auto" w:fill="auto"/>
          </w:tcPr>
          <w:p w14:paraId="7D51660E"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 xml:space="preserve">A mail survey of 358 physicians affiliated with a large, multi-specialty clinic in the US Midwest </w:t>
            </w:r>
          </w:p>
        </w:tc>
      </w:tr>
      <w:tr w:rsidR="00E261CF" w:rsidRPr="00A76642" w14:paraId="7D516613" w14:textId="77777777" w:rsidTr="00790070">
        <w:tc>
          <w:tcPr>
            <w:tcW w:w="1251" w:type="pct"/>
            <w:shd w:val="clear" w:color="auto" w:fill="auto"/>
          </w:tcPr>
          <w:p w14:paraId="7D516610" w14:textId="77777777"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t>Ghazisaeidi et al. (2014)</w:t>
            </w:r>
          </w:p>
        </w:tc>
        <w:tc>
          <w:tcPr>
            <w:tcW w:w="2223" w:type="pct"/>
            <w:shd w:val="clear" w:color="auto" w:fill="auto"/>
          </w:tcPr>
          <w:p w14:paraId="7D516611" w14:textId="77777777"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t>Lack of IT facilities and equipment</w:t>
            </w:r>
            <w:r w:rsidR="009123A3" w:rsidRPr="00A76642">
              <w:rPr>
                <w:rFonts w:asciiTheme="majorBidi" w:eastAsia="Times New Roman" w:hAnsiTheme="majorBidi" w:cstheme="majorBidi"/>
                <w:szCs w:val="24"/>
                <w:lang w:eastAsia="ro-RO"/>
              </w:rPr>
              <w:t>;</w:t>
            </w:r>
            <w:r w:rsidRPr="00A76642">
              <w:rPr>
                <w:rFonts w:asciiTheme="majorBidi" w:eastAsia="Times New Roman" w:hAnsiTheme="majorBidi" w:cstheme="majorBidi"/>
                <w:szCs w:val="24"/>
                <w:lang w:eastAsia="ro-RO"/>
              </w:rPr>
              <w:t xml:space="preserve"> Lack of interoperability</w:t>
            </w:r>
            <w:r w:rsidR="009123A3" w:rsidRPr="00A76642">
              <w:rPr>
                <w:rFonts w:asciiTheme="majorBidi" w:eastAsia="Times New Roman" w:hAnsiTheme="majorBidi" w:cstheme="majorBidi"/>
                <w:szCs w:val="24"/>
                <w:lang w:eastAsia="ro-RO"/>
              </w:rPr>
              <w:t>;</w:t>
            </w:r>
            <w:r w:rsidRPr="00A76642">
              <w:rPr>
                <w:rFonts w:asciiTheme="majorBidi" w:eastAsia="Times New Roman" w:hAnsiTheme="majorBidi" w:cstheme="majorBidi"/>
                <w:szCs w:val="24"/>
                <w:lang w:eastAsia="ro-RO"/>
              </w:rPr>
              <w:t xml:space="preserve"> The number of vendors in the marketplace</w:t>
            </w:r>
            <w:r w:rsidR="009123A3" w:rsidRPr="00A76642">
              <w:rPr>
                <w:rFonts w:asciiTheme="majorBidi" w:eastAsia="Times New Roman" w:hAnsiTheme="majorBidi" w:cstheme="majorBidi"/>
                <w:szCs w:val="24"/>
                <w:lang w:eastAsia="ro-RO"/>
              </w:rPr>
              <w:t>;</w:t>
            </w:r>
            <w:r w:rsidR="00DD06BB" w:rsidRPr="00A76642">
              <w:rPr>
                <w:rFonts w:asciiTheme="majorBidi" w:eastAsia="Times New Roman" w:hAnsiTheme="majorBidi" w:cstheme="majorBidi"/>
                <w:szCs w:val="24"/>
                <w:lang w:eastAsia="ro-RO"/>
              </w:rPr>
              <w:t xml:space="preserve"> </w:t>
            </w:r>
            <w:r w:rsidRPr="00A76642">
              <w:rPr>
                <w:rFonts w:asciiTheme="majorBidi" w:hAnsiTheme="majorBidi" w:cstheme="majorBidi"/>
                <w:szCs w:val="24"/>
              </w:rPr>
              <w:t>Lack of project planning</w:t>
            </w:r>
            <w:r w:rsidR="009123A3" w:rsidRPr="00A76642">
              <w:rPr>
                <w:rFonts w:asciiTheme="majorBidi" w:hAnsiTheme="majorBidi" w:cstheme="majorBidi"/>
                <w:szCs w:val="24"/>
              </w:rPr>
              <w:t>;</w:t>
            </w:r>
            <w:r w:rsidRPr="00A76642">
              <w:rPr>
                <w:rFonts w:asciiTheme="majorBidi" w:hAnsiTheme="majorBidi" w:cstheme="majorBidi"/>
                <w:szCs w:val="24"/>
              </w:rPr>
              <w:t xml:space="preserve"> Reduc</w:t>
            </w:r>
            <w:r w:rsidR="009123A3" w:rsidRPr="00A76642">
              <w:rPr>
                <w:rFonts w:asciiTheme="majorBidi" w:hAnsiTheme="majorBidi" w:cstheme="majorBidi"/>
                <w:szCs w:val="24"/>
              </w:rPr>
              <w:t>ing</w:t>
            </w:r>
            <w:r w:rsidRPr="00A76642">
              <w:rPr>
                <w:rFonts w:asciiTheme="majorBidi" w:hAnsiTheme="majorBidi" w:cstheme="majorBidi"/>
                <w:szCs w:val="24"/>
              </w:rPr>
              <w:t xml:space="preserve"> productivity and disturb</w:t>
            </w:r>
            <w:r w:rsidR="009123A3" w:rsidRPr="00A76642">
              <w:rPr>
                <w:rFonts w:asciiTheme="majorBidi" w:hAnsiTheme="majorBidi" w:cstheme="majorBidi"/>
                <w:szCs w:val="24"/>
              </w:rPr>
              <w:t>ing</w:t>
            </w:r>
            <w:r w:rsidRPr="00A76642">
              <w:rPr>
                <w:rFonts w:asciiTheme="majorBidi" w:hAnsiTheme="majorBidi" w:cstheme="majorBidi"/>
                <w:szCs w:val="24"/>
              </w:rPr>
              <w:t xml:space="preserve"> workflow; </w:t>
            </w:r>
            <w:r w:rsidRPr="00A76642">
              <w:rPr>
                <w:rFonts w:asciiTheme="majorBidi" w:eastAsia="Times New Roman" w:hAnsiTheme="majorBidi" w:cstheme="majorBidi"/>
                <w:szCs w:val="24"/>
                <w:lang w:eastAsia="ro-RO"/>
              </w:rPr>
              <w:t>Implementation costs; Lack of available funding; Lack of capacity to select, contract for, and implement an EHR; Lack of administrative and policy support</w:t>
            </w:r>
          </w:p>
        </w:tc>
        <w:tc>
          <w:tcPr>
            <w:tcW w:w="1526" w:type="pct"/>
            <w:shd w:val="clear" w:color="auto" w:fill="auto"/>
          </w:tcPr>
          <w:p w14:paraId="7D516612"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An initial framework developed for pre-implementation based on reviewing literature on EHR implementation and descriptive-comparative with qualitative approaches in five countries</w:t>
            </w:r>
          </w:p>
        </w:tc>
      </w:tr>
      <w:tr w:rsidR="00E261CF" w:rsidRPr="00A76642" w14:paraId="7D516617" w14:textId="77777777" w:rsidTr="00790070">
        <w:tc>
          <w:tcPr>
            <w:tcW w:w="1251" w:type="pct"/>
            <w:shd w:val="clear" w:color="auto" w:fill="auto"/>
          </w:tcPr>
          <w:p w14:paraId="7D516614" w14:textId="77777777"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t>Gagnon et al. (2016)</w:t>
            </w:r>
          </w:p>
        </w:tc>
        <w:tc>
          <w:tcPr>
            <w:tcW w:w="2223" w:type="pct"/>
            <w:shd w:val="clear" w:color="auto" w:fill="auto"/>
          </w:tcPr>
          <w:p w14:paraId="7D516615" w14:textId="0B0F8029" w:rsidR="00E261CF" w:rsidRPr="00A76642" w:rsidRDefault="00E261CF" w:rsidP="002C07D1">
            <w:pPr>
              <w:spacing w:line="480" w:lineRule="auto"/>
              <w:rPr>
                <w:rFonts w:asciiTheme="majorBidi" w:eastAsia="Times New Roman" w:hAnsiTheme="majorBidi" w:cstheme="majorBidi"/>
                <w:szCs w:val="24"/>
                <w:lang w:val="en-US" w:eastAsia="ro-RO"/>
              </w:rPr>
            </w:pPr>
            <w:r w:rsidRPr="00A76642">
              <w:rPr>
                <w:rFonts w:asciiTheme="majorBidi" w:eastAsia="Times New Roman" w:hAnsiTheme="majorBidi" w:cstheme="majorBidi"/>
                <w:szCs w:val="24"/>
                <w:lang w:eastAsia="ro-RO"/>
              </w:rPr>
              <w:t xml:space="preserve">User resistance; Lack of education and training; Lack of awareness of </w:t>
            </w:r>
            <w:r w:rsidRPr="00A76642">
              <w:rPr>
                <w:rFonts w:asciiTheme="majorBidi" w:eastAsia="Times New Roman" w:hAnsiTheme="majorBidi" w:cstheme="majorBidi"/>
                <w:szCs w:val="24"/>
                <w:lang w:eastAsia="ro-RO"/>
              </w:rPr>
              <w:lastRenderedPageBreak/>
              <w:t>EHR/</w:t>
            </w:r>
            <w:r w:rsidR="00B91EA6" w:rsidRPr="00A76642">
              <w:rPr>
                <w:rFonts w:asciiTheme="majorBidi" w:eastAsia="Times New Roman" w:hAnsiTheme="majorBidi" w:cstheme="majorBidi"/>
                <w:szCs w:val="24"/>
                <w:lang w:eastAsia="ro-RO"/>
              </w:rPr>
              <w:t xml:space="preserve"> </w:t>
            </w:r>
            <w:r w:rsidRPr="00A76642">
              <w:rPr>
                <w:rFonts w:asciiTheme="majorBidi" w:eastAsia="Times New Roman" w:hAnsiTheme="majorBidi" w:cstheme="majorBidi"/>
                <w:szCs w:val="24"/>
                <w:lang w:eastAsia="ro-RO"/>
              </w:rPr>
              <w:t>EMR and its importance; Lack of IT facilities and equipment; Lack of appropriate infrastructure for integration of EHR with other existing information system; Maintenance cost; Concern about the return on investment; Lack of administrative and policy support</w:t>
            </w:r>
          </w:p>
        </w:tc>
        <w:tc>
          <w:tcPr>
            <w:tcW w:w="1526" w:type="pct"/>
            <w:shd w:val="clear" w:color="auto" w:fill="auto"/>
          </w:tcPr>
          <w:p w14:paraId="7D516616"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lastRenderedPageBreak/>
              <w:t xml:space="preserve">A multilevel regression model to explore </w:t>
            </w:r>
            <w:r w:rsidRPr="00A76642">
              <w:rPr>
                <w:rFonts w:asciiTheme="majorBidi" w:hAnsiTheme="majorBidi" w:cstheme="majorBidi"/>
                <w:szCs w:val="24"/>
              </w:rPr>
              <w:lastRenderedPageBreak/>
              <w:t>organization-level and individual-level effects</w:t>
            </w:r>
          </w:p>
        </w:tc>
      </w:tr>
      <w:tr w:rsidR="00E261CF" w:rsidRPr="00A76642" w14:paraId="7D51661B" w14:textId="77777777" w:rsidTr="00790070">
        <w:tc>
          <w:tcPr>
            <w:tcW w:w="1251" w:type="pct"/>
            <w:shd w:val="clear" w:color="auto" w:fill="auto"/>
          </w:tcPr>
          <w:p w14:paraId="7D516618"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lastRenderedPageBreak/>
              <w:t>Ross et al. (2015)</w:t>
            </w:r>
          </w:p>
        </w:tc>
        <w:tc>
          <w:tcPr>
            <w:tcW w:w="2223" w:type="pct"/>
            <w:shd w:val="clear" w:color="auto" w:fill="auto"/>
          </w:tcPr>
          <w:p w14:paraId="7D516619" w14:textId="6CB465DB"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Lack of education and training; Lack of awareness of EHR/</w:t>
            </w:r>
            <w:r w:rsidR="00B91EA6" w:rsidRPr="00A76642">
              <w:rPr>
                <w:rFonts w:asciiTheme="majorBidi" w:hAnsiTheme="majorBidi" w:cstheme="majorBidi"/>
                <w:szCs w:val="24"/>
              </w:rPr>
              <w:t xml:space="preserve"> </w:t>
            </w:r>
            <w:r w:rsidRPr="00A76642">
              <w:rPr>
                <w:rFonts w:asciiTheme="majorBidi" w:hAnsiTheme="majorBidi" w:cstheme="majorBidi"/>
                <w:szCs w:val="24"/>
              </w:rPr>
              <w:t>EMR and its importance; Lack of interoperability; Concerns about privacy and confidentiality; Lack of available funding</w:t>
            </w:r>
          </w:p>
        </w:tc>
        <w:tc>
          <w:tcPr>
            <w:tcW w:w="1526" w:type="pct"/>
            <w:shd w:val="clear" w:color="auto" w:fill="auto"/>
          </w:tcPr>
          <w:p w14:paraId="7D51661A"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A systematic review of reviews</w:t>
            </w:r>
          </w:p>
        </w:tc>
      </w:tr>
      <w:tr w:rsidR="00E261CF" w:rsidRPr="00A76642" w14:paraId="7D51661F" w14:textId="77777777" w:rsidTr="00790070">
        <w:tc>
          <w:tcPr>
            <w:tcW w:w="1251" w:type="pct"/>
            <w:shd w:val="clear" w:color="auto" w:fill="auto"/>
          </w:tcPr>
          <w:p w14:paraId="7D51661C" w14:textId="772BE016"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Tu</w:t>
            </w:r>
            <w:r w:rsidR="00DD06BB" w:rsidRPr="00A76642">
              <w:rPr>
                <w:rFonts w:asciiTheme="majorBidi" w:hAnsiTheme="majorBidi" w:cstheme="majorBidi"/>
                <w:szCs w:val="24"/>
              </w:rPr>
              <w:t>o</w:t>
            </w:r>
            <w:r w:rsidRPr="00A76642">
              <w:rPr>
                <w:rFonts w:asciiTheme="majorBidi" w:hAnsiTheme="majorBidi" w:cstheme="majorBidi"/>
                <w:szCs w:val="24"/>
              </w:rPr>
              <w:t>t</w:t>
            </w:r>
            <w:r w:rsidR="00B70F4A" w:rsidRPr="00A76642">
              <w:rPr>
                <w:rFonts w:asciiTheme="majorBidi" w:hAnsiTheme="majorBidi" w:cstheme="majorBidi"/>
                <w:szCs w:val="24"/>
              </w:rPr>
              <w:t xml:space="preserve"> et al.</w:t>
            </w:r>
            <w:r w:rsidR="009D19A9" w:rsidRPr="00A76642">
              <w:rPr>
                <w:rFonts w:asciiTheme="majorBidi" w:hAnsiTheme="majorBidi" w:cstheme="majorBidi"/>
                <w:szCs w:val="24"/>
              </w:rPr>
              <w:t xml:space="preserve"> </w:t>
            </w:r>
            <w:r w:rsidRPr="00A76642">
              <w:rPr>
                <w:rFonts w:asciiTheme="majorBidi" w:hAnsiTheme="majorBidi" w:cstheme="majorBidi"/>
                <w:szCs w:val="24"/>
              </w:rPr>
              <w:t>(2015)</w:t>
            </w:r>
          </w:p>
        </w:tc>
        <w:tc>
          <w:tcPr>
            <w:tcW w:w="2223" w:type="pct"/>
            <w:shd w:val="clear" w:color="auto" w:fill="auto"/>
          </w:tcPr>
          <w:p w14:paraId="7D51661D" w14:textId="5FB46EE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Lack of awareness of EHR/</w:t>
            </w:r>
            <w:r w:rsidR="00B91EA6" w:rsidRPr="00A76642">
              <w:rPr>
                <w:rFonts w:asciiTheme="majorBidi" w:hAnsiTheme="majorBidi" w:cstheme="majorBidi"/>
                <w:szCs w:val="24"/>
              </w:rPr>
              <w:t xml:space="preserve"> </w:t>
            </w:r>
            <w:r w:rsidRPr="00A76642">
              <w:rPr>
                <w:rFonts w:asciiTheme="majorBidi" w:hAnsiTheme="majorBidi" w:cstheme="majorBidi"/>
                <w:szCs w:val="24"/>
              </w:rPr>
              <w:t xml:space="preserve">EMR and its importance; Lack of appropriate infrastructure for integration of EHR with other existing information system; </w:t>
            </w:r>
            <w:r w:rsidRPr="00A76642">
              <w:rPr>
                <w:rFonts w:asciiTheme="majorBidi" w:hAnsiTheme="majorBidi" w:cstheme="majorBidi"/>
                <w:szCs w:val="24"/>
              </w:rPr>
              <w:lastRenderedPageBreak/>
              <w:t>Concern about the return on investment; Concern about physicians’ legal liability</w:t>
            </w:r>
          </w:p>
        </w:tc>
        <w:tc>
          <w:tcPr>
            <w:tcW w:w="1526" w:type="pct"/>
            <w:shd w:val="clear" w:color="auto" w:fill="auto"/>
          </w:tcPr>
          <w:p w14:paraId="7D51661E"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lastRenderedPageBreak/>
              <w:t xml:space="preserve">Interviews conducted with leaders of 16 diverse healthcare delivery organizations between January 2013 </w:t>
            </w:r>
            <w:r w:rsidRPr="00A76642">
              <w:rPr>
                <w:rFonts w:asciiTheme="majorBidi" w:hAnsiTheme="majorBidi" w:cstheme="majorBidi"/>
                <w:szCs w:val="24"/>
              </w:rPr>
              <w:lastRenderedPageBreak/>
              <w:t>and April 2014</w:t>
            </w:r>
          </w:p>
        </w:tc>
      </w:tr>
      <w:tr w:rsidR="00E261CF" w:rsidRPr="00A76642" w14:paraId="7D516623" w14:textId="77777777" w:rsidTr="00790070">
        <w:tc>
          <w:tcPr>
            <w:tcW w:w="1251" w:type="pct"/>
            <w:shd w:val="clear" w:color="auto" w:fill="auto"/>
          </w:tcPr>
          <w:p w14:paraId="7D516620"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lastRenderedPageBreak/>
              <w:t>Goldstein et al. (2014)</w:t>
            </w:r>
          </w:p>
        </w:tc>
        <w:tc>
          <w:tcPr>
            <w:tcW w:w="2223" w:type="pct"/>
            <w:shd w:val="clear" w:color="auto" w:fill="auto"/>
          </w:tcPr>
          <w:p w14:paraId="7D516621"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Lack of computer skills and technical expertise; Lack of education and training; Lack of IT facilities and equipment; Ease of use; Lack of internet connectivity.</w:t>
            </w:r>
          </w:p>
        </w:tc>
        <w:tc>
          <w:tcPr>
            <w:tcW w:w="1526" w:type="pct"/>
            <w:shd w:val="clear" w:color="auto" w:fill="auto"/>
          </w:tcPr>
          <w:p w14:paraId="7D516622" w14:textId="6940A78C"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S</w:t>
            </w:r>
            <w:r w:rsidRPr="00A76642">
              <w:rPr>
                <w:rFonts w:asciiTheme="majorBidi" w:hAnsiTheme="majorBidi" w:cstheme="majorBidi"/>
                <w:szCs w:val="24"/>
                <w:shd w:val="clear" w:color="auto" w:fill="FFFFFF"/>
              </w:rPr>
              <w:t xml:space="preserve">ystematic </w:t>
            </w:r>
            <w:r w:rsidR="00402E5A" w:rsidRPr="00A76642">
              <w:rPr>
                <w:rFonts w:asciiTheme="majorBidi" w:hAnsiTheme="majorBidi" w:cstheme="majorBidi"/>
                <w:szCs w:val="24"/>
                <w:shd w:val="clear" w:color="auto" w:fill="FFFFFF"/>
              </w:rPr>
              <w:t>review of</w:t>
            </w:r>
            <w:r w:rsidRPr="00A76642">
              <w:rPr>
                <w:rFonts w:asciiTheme="majorBidi" w:hAnsiTheme="majorBidi" w:cstheme="majorBidi"/>
                <w:szCs w:val="24"/>
                <w:shd w:val="clear" w:color="auto" w:fill="FFFFFF"/>
              </w:rPr>
              <w:t xml:space="preserve"> the literature</w:t>
            </w:r>
          </w:p>
        </w:tc>
      </w:tr>
      <w:tr w:rsidR="00E261CF" w:rsidRPr="00A76642" w14:paraId="7D516627" w14:textId="77777777" w:rsidTr="00790070">
        <w:tc>
          <w:tcPr>
            <w:tcW w:w="1251" w:type="pct"/>
            <w:shd w:val="clear" w:color="auto" w:fill="auto"/>
          </w:tcPr>
          <w:p w14:paraId="7D516624"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Heisey-Grove et al. (2014)</w:t>
            </w:r>
          </w:p>
        </w:tc>
        <w:tc>
          <w:tcPr>
            <w:tcW w:w="2223" w:type="pct"/>
            <w:shd w:val="clear" w:color="auto" w:fill="auto"/>
          </w:tcPr>
          <w:p w14:paraId="7D516625"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Lack of education and training; Lack of awareness of EHR/EMR and its importance; Lack of healthcare providers’ involvement in the design and implementation of EHRs; Hardware functionality issues; Implementation costs and issues; Lack of future support from vendors for upgrading and maintaining the system; The number of vendors in the marketplace</w:t>
            </w:r>
          </w:p>
        </w:tc>
        <w:tc>
          <w:tcPr>
            <w:tcW w:w="1526" w:type="pct"/>
            <w:shd w:val="clear" w:color="auto" w:fill="auto"/>
          </w:tcPr>
          <w:p w14:paraId="7D516626"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 xml:space="preserve">The Office of the National Coordinator for Health Information Technology leveraged the Regional Extension Centre population of over 140,000 providers to develop a structured way to track challenges to EHR adoption and </w:t>
            </w:r>
            <w:r w:rsidR="00C838DC" w:rsidRPr="00A76642">
              <w:rPr>
                <w:rFonts w:asciiTheme="majorBidi" w:hAnsiTheme="majorBidi" w:cstheme="majorBidi"/>
                <w:szCs w:val="24"/>
              </w:rPr>
              <w:t>m</w:t>
            </w:r>
            <w:r w:rsidRPr="00A76642">
              <w:rPr>
                <w:rFonts w:asciiTheme="majorBidi" w:hAnsiTheme="majorBidi" w:cstheme="majorBidi"/>
                <w:szCs w:val="24"/>
              </w:rPr>
              <w:t xml:space="preserve">eaningful </w:t>
            </w:r>
            <w:r w:rsidR="00C838DC" w:rsidRPr="00A76642">
              <w:rPr>
                <w:rFonts w:asciiTheme="majorBidi" w:hAnsiTheme="majorBidi" w:cstheme="majorBidi"/>
                <w:szCs w:val="24"/>
              </w:rPr>
              <w:t>u</w:t>
            </w:r>
            <w:r w:rsidRPr="00A76642">
              <w:rPr>
                <w:rFonts w:asciiTheme="majorBidi" w:hAnsiTheme="majorBidi" w:cstheme="majorBidi"/>
                <w:szCs w:val="24"/>
              </w:rPr>
              <w:t>se</w:t>
            </w:r>
          </w:p>
        </w:tc>
      </w:tr>
      <w:tr w:rsidR="00E261CF" w:rsidRPr="00A76642" w14:paraId="7D51662B" w14:textId="77777777" w:rsidTr="00790070">
        <w:tc>
          <w:tcPr>
            <w:tcW w:w="1251" w:type="pct"/>
            <w:tcBorders>
              <w:bottom w:val="single" w:sz="18" w:space="0" w:color="auto"/>
            </w:tcBorders>
            <w:shd w:val="clear" w:color="auto" w:fill="auto"/>
          </w:tcPr>
          <w:p w14:paraId="7D516628" w14:textId="77777777"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lastRenderedPageBreak/>
              <w:t>Khalifa (2013)</w:t>
            </w:r>
          </w:p>
        </w:tc>
        <w:tc>
          <w:tcPr>
            <w:tcW w:w="2223" w:type="pct"/>
            <w:tcBorders>
              <w:bottom w:val="single" w:sz="18" w:space="0" w:color="auto"/>
            </w:tcBorders>
            <w:shd w:val="clear" w:color="auto" w:fill="auto"/>
          </w:tcPr>
          <w:p w14:paraId="7D516629" w14:textId="706893ED" w:rsidR="00E261CF" w:rsidRPr="00A76642" w:rsidRDefault="00E261CF" w:rsidP="002C07D1">
            <w:pPr>
              <w:spacing w:line="480" w:lineRule="auto"/>
              <w:rPr>
                <w:rFonts w:asciiTheme="majorBidi" w:hAnsiTheme="majorBidi" w:cstheme="majorBidi"/>
                <w:szCs w:val="24"/>
                <w:lang w:val="en-US"/>
              </w:rPr>
            </w:pPr>
            <w:r w:rsidRPr="00A76642">
              <w:rPr>
                <w:rFonts w:asciiTheme="majorBidi" w:hAnsiTheme="majorBidi" w:cstheme="majorBidi"/>
                <w:szCs w:val="24"/>
              </w:rPr>
              <w:t xml:space="preserve">Human barriers; Professional barriers; Technical barriers; Organizational barriers; Financial barriers; Legal </w:t>
            </w:r>
            <w:r w:rsidR="00402E5A" w:rsidRPr="00A76642">
              <w:rPr>
                <w:rFonts w:asciiTheme="majorBidi" w:hAnsiTheme="majorBidi" w:cstheme="majorBidi"/>
                <w:szCs w:val="24"/>
              </w:rPr>
              <w:t>and regulatory</w:t>
            </w:r>
            <w:r w:rsidRPr="00A76642">
              <w:rPr>
                <w:rFonts w:asciiTheme="majorBidi" w:hAnsiTheme="majorBidi" w:cstheme="majorBidi"/>
                <w:szCs w:val="24"/>
              </w:rPr>
              <w:t xml:space="preserve"> barriers</w:t>
            </w:r>
          </w:p>
        </w:tc>
        <w:tc>
          <w:tcPr>
            <w:tcW w:w="1526" w:type="pct"/>
            <w:tcBorders>
              <w:bottom w:val="single" w:sz="18" w:space="0" w:color="auto"/>
            </w:tcBorders>
            <w:shd w:val="clear" w:color="auto" w:fill="auto"/>
          </w:tcPr>
          <w:p w14:paraId="7D51662A" w14:textId="77777777" w:rsidR="00E261CF" w:rsidRPr="00A76642" w:rsidRDefault="00E261CF" w:rsidP="002C07D1">
            <w:pPr>
              <w:keepNext/>
              <w:spacing w:line="480" w:lineRule="auto"/>
              <w:rPr>
                <w:rFonts w:asciiTheme="majorBidi" w:hAnsiTheme="majorBidi" w:cstheme="majorBidi"/>
                <w:szCs w:val="24"/>
                <w:lang w:val="en-US"/>
              </w:rPr>
            </w:pPr>
            <w:r w:rsidRPr="00A76642">
              <w:rPr>
                <w:rFonts w:asciiTheme="majorBidi" w:hAnsiTheme="majorBidi" w:cstheme="majorBidi"/>
                <w:szCs w:val="24"/>
              </w:rPr>
              <w:t>Questionnaire survey methodology</w:t>
            </w:r>
          </w:p>
        </w:tc>
      </w:tr>
    </w:tbl>
    <w:p w14:paraId="7D51662C" w14:textId="77777777" w:rsidR="00277905" w:rsidRPr="00FC6087" w:rsidRDefault="009C1B54" w:rsidP="00790070">
      <w:pPr>
        <w:pStyle w:val="Heading1"/>
      </w:pPr>
      <w:bookmarkStart w:id="66" w:name="_Toc24447775"/>
      <w:r w:rsidRPr="00FC6087">
        <w:t>2.6</w:t>
      </w:r>
      <w:r w:rsidR="00514F5B">
        <w:t>.</w:t>
      </w:r>
      <w:r w:rsidR="00710F6F" w:rsidRPr="00FC6087">
        <w:t xml:space="preserve"> </w:t>
      </w:r>
      <w:r w:rsidR="001D33B0" w:rsidRPr="00FC6087">
        <w:t>Summary</w:t>
      </w:r>
      <w:bookmarkEnd w:id="66"/>
    </w:p>
    <w:p w14:paraId="7D51662D" w14:textId="581DBC51" w:rsidR="00A56694" w:rsidRPr="00FC6087" w:rsidRDefault="00277905" w:rsidP="009C1EAB">
      <w:pPr>
        <w:pStyle w:val="APAParagraph"/>
      </w:pPr>
      <w:r w:rsidRPr="00FC6087">
        <w:t>Over the past decades, numerous studies have been conducted to understand technology acceptance and opinions of those in healthcare towards HIT; these studies have been based on different models, including the theory of reasoned action (Fishbein</w:t>
      </w:r>
      <w:r w:rsidR="005E7A62">
        <w:t xml:space="preserve"> &amp; </w:t>
      </w:r>
      <w:r w:rsidRPr="00FC6087">
        <w:t xml:space="preserve">Ajzen, 1975), </w:t>
      </w:r>
      <w:r w:rsidR="003866C0" w:rsidRPr="00FC6087">
        <w:t xml:space="preserve">the </w:t>
      </w:r>
      <w:r w:rsidRPr="00FC6087">
        <w:t>theory of planned behavior (Ajzen, 1985</w:t>
      </w:r>
      <w:r w:rsidR="00595BF3" w:rsidRPr="00FC6087">
        <w:t xml:space="preserve">); </w:t>
      </w:r>
      <w:r w:rsidRPr="00FC6087">
        <w:t xml:space="preserve">TAM </w:t>
      </w:r>
      <w:r w:rsidR="00595BF3" w:rsidRPr="00FC6087">
        <w:t>(</w:t>
      </w:r>
      <w:r w:rsidRPr="00FC6087">
        <w:t>Davis, 1986), TAM2 (a new specification of TAM; Venkatesh</w:t>
      </w:r>
      <w:r w:rsidR="005E7A62">
        <w:t xml:space="preserve"> &amp; </w:t>
      </w:r>
      <w:r w:rsidRPr="00FC6087">
        <w:t xml:space="preserve">Davis, 2000), and </w:t>
      </w:r>
      <w:r w:rsidR="00E17DA2" w:rsidRPr="00FC6087">
        <w:t>innovation diffusion theory (</w:t>
      </w:r>
      <w:r w:rsidRPr="00FC6087">
        <w:t>IDT</w:t>
      </w:r>
      <w:r w:rsidR="00E17DA2" w:rsidRPr="00FC6087">
        <w:t>)</w:t>
      </w:r>
      <w:r w:rsidR="00491257">
        <w:t xml:space="preserve"> </w:t>
      </w:r>
      <w:r w:rsidR="007A6E33" w:rsidRPr="00FC6087">
        <w:t>(</w:t>
      </w:r>
      <w:r w:rsidRPr="00FC6087">
        <w:t xml:space="preserve">Rogers, 1962). Although these models have enabled extensive examinations of HIT, an integrated approach that incorporates the views of all relevant stakeholders </w:t>
      </w:r>
      <w:r w:rsidR="007A6E33" w:rsidRPr="00FC6087">
        <w:t>is hitherto missing</w:t>
      </w:r>
      <w:r w:rsidRPr="00FC6087">
        <w:t xml:space="preserve">. </w:t>
      </w:r>
      <w:r w:rsidR="00342FCE" w:rsidRPr="00FC6087">
        <w:t>Although</w:t>
      </w:r>
      <w:r w:rsidR="007A6E33" w:rsidRPr="00FC6087">
        <w:t xml:space="preserve"> m</w:t>
      </w:r>
      <w:r w:rsidRPr="00FC6087">
        <w:t xml:space="preserve">any studies have used </w:t>
      </w:r>
      <w:r w:rsidR="007A6E33" w:rsidRPr="00FC6087">
        <w:t>stakeholder theory</w:t>
      </w:r>
      <w:r w:rsidR="00342FCE" w:rsidRPr="00FC6087">
        <w:t>, they</w:t>
      </w:r>
      <w:r w:rsidR="00382821">
        <w:t xml:space="preserve"> </w:t>
      </w:r>
      <w:r w:rsidR="00E17DA2" w:rsidRPr="00FC6087">
        <w:t xml:space="preserve">have </w:t>
      </w:r>
      <w:r w:rsidRPr="00FC6087">
        <w:t>focused on only one or two categories</w:t>
      </w:r>
      <w:r w:rsidR="007A6E33" w:rsidRPr="00FC6087">
        <w:t xml:space="preserve"> of stakeholders</w:t>
      </w:r>
      <w:r w:rsidRPr="00FC6087">
        <w:t xml:space="preserve"> (e.g. Elms, Berman</w:t>
      </w:r>
      <w:r w:rsidR="00A671CB" w:rsidRPr="00FC6087">
        <w:t>,</w:t>
      </w:r>
      <w:r w:rsidR="005E7A62">
        <w:t xml:space="preserve"> &amp; </w:t>
      </w:r>
      <w:r w:rsidRPr="00FC6087">
        <w:t>Wicks, 2002; Hung</w:t>
      </w:r>
      <w:r w:rsidR="00A671CB" w:rsidRPr="00FC6087">
        <w:t xml:space="preserve"> et al.</w:t>
      </w:r>
      <w:r w:rsidRPr="00FC6087">
        <w:t>, 2014; Poon</w:t>
      </w:r>
      <w:r w:rsidR="00382821">
        <w:t xml:space="preserve"> et al.</w:t>
      </w:r>
      <w:r w:rsidR="009D19A9">
        <w:t>,</w:t>
      </w:r>
      <w:r w:rsidRPr="00FC6087">
        <w:t xml:space="preserve"> 2006). Exploring the position of a limited number of groups does not assure the greatest understanding</w:t>
      </w:r>
      <w:r w:rsidR="007A6E33" w:rsidRPr="00FC6087">
        <w:t xml:space="preserve"> or</w:t>
      </w:r>
      <w:r w:rsidRPr="00FC6087">
        <w:t xml:space="preserve"> the best outcome</w:t>
      </w:r>
      <w:r w:rsidR="008F061A">
        <w:t xml:space="preserve"> </w:t>
      </w:r>
      <w:r w:rsidRPr="00FC6087">
        <w:t xml:space="preserve">for the healthcare market. Instead, it would be optimal to simultaneously include all relevant stakeholder </w:t>
      </w:r>
      <w:r w:rsidRPr="00FC6087">
        <w:lastRenderedPageBreak/>
        <w:t xml:space="preserve">groups. To this end, the present </w:t>
      </w:r>
      <w:r w:rsidR="007E188D" w:rsidRPr="00FC6087">
        <w:t>research</w:t>
      </w:r>
      <w:r w:rsidR="008F061A" w:rsidRPr="00FC6087">
        <w:t xml:space="preserve"> </w:t>
      </w:r>
      <w:r w:rsidRPr="00FC6087">
        <w:t>add</w:t>
      </w:r>
      <w:r w:rsidR="007A6E33" w:rsidRPr="00FC6087">
        <w:t>s</w:t>
      </w:r>
      <w:r w:rsidRPr="00FC6087">
        <w:t xml:space="preserve"> to the literature by including all the relevant stakeholder categories (healthcare providers, patients, the public, and foresight experts) in the healthcare sector, which will provide valuable insights. Additionally, aside from </w:t>
      </w:r>
      <w:r w:rsidR="005422DB" w:rsidRPr="00FC6087">
        <w:t xml:space="preserve">the </w:t>
      </w:r>
      <w:r w:rsidRPr="00FC6087">
        <w:t xml:space="preserve">findings from a forthcoming study on the motivators </w:t>
      </w:r>
      <w:r w:rsidR="000E4D12" w:rsidRPr="00FC6087">
        <w:t>for</w:t>
      </w:r>
      <w:r w:rsidRPr="00FC6087">
        <w:t xml:space="preserve"> HIT adoption</w:t>
      </w:r>
      <w:r w:rsidR="005422DB" w:rsidRPr="00FC6087">
        <w:t xml:space="preserve"> (co-</w:t>
      </w:r>
      <w:r w:rsidR="00CC529D" w:rsidRPr="00FC6087">
        <w:t>written</w:t>
      </w:r>
      <w:r w:rsidR="005422DB" w:rsidRPr="00FC6087">
        <w:t xml:space="preserve"> by the present author)</w:t>
      </w:r>
      <w:r w:rsidRPr="00FC6087">
        <w:t>, the inclusion of foresight experts is novel within the academic research on HIT adoption. Foresight specialists assist organizations with managing change via an early assessment of current barriers and windows of opportunity. As such, they—and their opinions—can provide valuable insight regarding the need for and use of healthcare technologies.</w:t>
      </w:r>
    </w:p>
    <w:p w14:paraId="7D51662E" w14:textId="77777777" w:rsidR="008351E7" w:rsidRPr="00FC6087" w:rsidRDefault="008351E7">
      <w:r w:rsidRPr="00FC6087">
        <w:br w:type="page"/>
      </w:r>
    </w:p>
    <w:p w14:paraId="7D51662F" w14:textId="2BD7539A" w:rsidR="008351E7" w:rsidRDefault="00445E76" w:rsidP="000D5B3D">
      <w:pPr>
        <w:pStyle w:val="ChapterTitle"/>
      </w:pPr>
      <w:bookmarkStart w:id="67" w:name="_Toc532800288"/>
      <w:bookmarkStart w:id="68" w:name="_Toc534028532"/>
      <w:bookmarkStart w:id="69" w:name="_Toc534028917"/>
      <w:bookmarkStart w:id="70" w:name="_Toc24447776"/>
      <w:bookmarkStart w:id="71" w:name="_Toc532800292"/>
      <w:bookmarkStart w:id="72" w:name="_Toc534028536"/>
      <w:bookmarkStart w:id="73" w:name="_Toc535934691"/>
      <w:r w:rsidRPr="00FC6087">
        <w:rPr>
          <w:caps w:val="0"/>
        </w:rPr>
        <w:lastRenderedPageBreak/>
        <w:t xml:space="preserve">CHAPTER </w:t>
      </w:r>
      <w:r w:rsidR="008351E7" w:rsidRPr="00FC6087">
        <w:t xml:space="preserve">3: </w:t>
      </w:r>
      <w:bookmarkEnd w:id="67"/>
      <w:bookmarkEnd w:id="68"/>
      <w:bookmarkEnd w:id="69"/>
      <w:r w:rsidR="000D5B3D" w:rsidRPr="000D5B3D">
        <w:rPr>
          <w:color w:val="FF0000"/>
        </w:rPr>
        <w:t>Theoretical Framework and Hypotheses Development</w:t>
      </w:r>
      <w:bookmarkEnd w:id="70"/>
    </w:p>
    <w:p w14:paraId="7D516630" w14:textId="77777777" w:rsidR="00EC2BEB" w:rsidRPr="00A76642" w:rsidRDefault="00EC2BEB" w:rsidP="00EC2BEB">
      <w:r w:rsidRPr="00A76642">
        <w:t>Structure of Chapter 3</w:t>
      </w:r>
    </w:p>
    <w:p w14:paraId="7D516631" w14:textId="77777777" w:rsidR="00EC2BEB" w:rsidRPr="00A76642" w:rsidRDefault="00EC2BEB" w:rsidP="00EC2BEB"/>
    <w:p w14:paraId="7D516632" w14:textId="77777777" w:rsidR="00EC2BEB" w:rsidRPr="00A76642" w:rsidRDefault="00EC2BEB" w:rsidP="00EC2BEB">
      <w:pPr>
        <w:rPr>
          <w:rFonts w:asciiTheme="majorBidi" w:hAnsiTheme="majorBidi" w:cstheme="majorBidi"/>
        </w:rPr>
      </w:pPr>
      <w:r w:rsidRPr="00A76642">
        <w:rPr>
          <w:rFonts w:asciiTheme="majorBidi" w:hAnsiTheme="majorBidi" w:cstheme="majorBidi"/>
          <w:noProof/>
        </w:rPr>
        <w:drawing>
          <wp:inline distT="0" distB="0" distL="0" distR="0" wp14:anchorId="7D516D9E" wp14:editId="6B5825AA">
            <wp:extent cx="5064369" cy="1977390"/>
            <wp:effectExtent l="0" t="0" r="22225" b="3810"/>
            <wp:docPr id="1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D516633" w14:textId="77777777" w:rsidR="00EC2BEB" w:rsidRPr="00A76642" w:rsidRDefault="00EC2BEB" w:rsidP="00EC2BEB"/>
    <w:p w14:paraId="7D516634" w14:textId="77777777" w:rsidR="00EC2BEB" w:rsidRPr="00A76642" w:rsidRDefault="00EC2BEB" w:rsidP="00EC2BEB"/>
    <w:p w14:paraId="7D516635" w14:textId="77777777" w:rsidR="00EC2BEB" w:rsidRPr="00A76642" w:rsidRDefault="00EC2BEB" w:rsidP="00EC2BEB"/>
    <w:p w14:paraId="7D516636" w14:textId="0CB77726" w:rsidR="00EC2BEB" w:rsidRPr="008432AC" w:rsidRDefault="00EC2BEB" w:rsidP="002C07D1">
      <w:pPr>
        <w:spacing w:line="480" w:lineRule="auto"/>
        <w:jc w:val="both"/>
        <w:rPr>
          <w:rFonts w:eastAsiaTheme="majorEastAsia" w:cstheme="majorBidi"/>
        </w:rPr>
      </w:pPr>
      <w:r w:rsidRPr="00A76642">
        <w:t xml:space="preserve">This chapter discusses different theories related to </w:t>
      </w:r>
      <w:r w:rsidR="00D726E0" w:rsidRPr="00A76642">
        <w:t>stakeholder</w:t>
      </w:r>
      <w:r w:rsidR="00C61A31" w:rsidRPr="00A76642">
        <w:t>s</w:t>
      </w:r>
      <w:r w:rsidR="00D726E0" w:rsidRPr="00A76642">
        <w:t xml:space="preserve"> and technology adoption</w:t>
      </w:r>
      <w:r w:rsidRPr="00A76642">
        <w:t xml:space="preserve"> in general. In particula</w:t>
      </w:r>
      <w:r w:rsidR="00D726E0" w:rsidRPr="00A76642">
        <w:t>r, this chapter discusses the stakeholder</w:t>
      </w:r>
      <w:r w:rsidRPr="00A76642">
        <w:t xml:space="preserve"> theory, which is applied to this </w:t>
      </w:r>
      <w:r w:rsidR="00C61A31" w:rsidRPr="00A76642">
        <w:t xml:space="preserve">research </w:t>
      </w:r>
      <w:r w:rsidRPr="00A76642">
        <w:t xml:space="preserve">with a specific focus on </w:t>
      </w:r>
      <w:r w:rsidR="00D726E0" w:rsidRPr="00A76642">
        <w:t>the healthcare sector</w:t>
      </w:r>
      <w:r w:rsidR="003909DE" w:rsidRPr="00A76642">
        <w:t xml:space="preserve"> and </w:t>
      </w:r>
      <w:r w:rsidR="00D726E0" w:rsidRPr="00A76642">
        <w:t xml:space="preserve">the unified theory of acceptance and use of technology (UTAUT) </w:t>
      </w:r>
      <w:r w:rsidR="00C61A31" w:rsidRPr="00A76642">
        <w:t>m</w:t>
      </w:r>
      <w:r w:rsidR="00D726E0" w:rsidRPr="00A76642">
        <w:t>odel</w:t>
      </w:r>
      <w:r w:rsidR="003909DE" w:rsidRPr="00A76642">
        <w:t>,</w:t>
      </w:r>
      <w:r w:rsidR="00D726E0" w:rsidRPr="00A76642">
        <w:t xml:space="preserve"> also with </w:t>
      </w:r>
      <w:r w:rsidR="003909DE" w:rsidRPr="00A76642">
        <w:t xml:space="preserve">a specific </w:t>
      </w:r>
      <w:r w:rsidR="00D726E0" w:rsidRPr="00A76642">
        <w:t>focus of the healthcare system.</w:t>
      </w:r>
      <w:r w:rsidRPr="00A76642">
        <w:t xml:space="preserve"> </w:t>
      </w:r>
      <w:r w:rsidR="00696CF7" w:rsidRPr="00A76642">
        <w:t>T</w:t>
      </w:r>
      <w:r w:rsidRPr="00A76642">
        <w:t>his chapter</w:t>
      </w:r>
      <w:r w:rsidR="00696CF7" w:rsidRPr="00A76642">
        <w:t xml:space="preserve"> describes and explains how and why </w:t>
      </w:r>
      <w:r w:rsidR="00D726E0" w:rsidRPr="00A76642">
        <w:t xml:space="preserve">both presented theories </w:t>
      </w:r>
      <w:r w:rsidR="00696CF7" w:rsidRPr="00A76642">
        <w:t>have been combined</w:t>
      </w:r>
      <w:r w:rsidRPr="00A76642">
        <w:t xml:space="preserve"> to address </w:t>
      </w:r>
      <w:r w:rsidR="00D726E0" w:rsidRPr="00A76642">
        <w:t xml:space="preserve">the </w:t>
      </w:r>
      <w:r w:rsidRPr="00A76642">
        <w:t>research objective</w:t>
      </w:r>
      <w:r w:rsidR="006F6618" w:rsidRPr="00A76642">
        <w:t>s</w:t>
      </w:r>
      <w:r w:rsidR="00D726E0" w:rsidRPr="00A76642">
        <w:t xml:space="preserve"> of this research</w:t>
      </w:r>
      <w:r w:rsidRPr="00A76642">
        <w:t>.</w:t>
      </w:r>
    </w:p>
    <w:p w14:paraId="7D516637" w14:textId="77777777" w:rsidR="00EC2BEB" w:rsidRPr="00EC2BEB" w:rsidRDefault="00EC2BEB" w:rsidP="00EC2BEB"/>
    <w:p w14:paraId="7D516638" w14:textId="77777777" w:rsidR="008351E7" w:rsidRPr="00FC6087" w:rsidRDefault="008351E7" w:rsidP="004547F6">
      <w:pPr>
        <w:pStyle w:val="Heading1"/>
      </w:pPr>
      <w:bookmarkStart w:id="74" w:name="_Toc532800289"/>
      <w:bookmarkStart w:id="75" w:name="_Toc534028533"/>
      <w:bookmarkStart w:id="76" w:name="_Toc534028918"/>
      <w:bookmarkStart w:id="77" w:name="_Toc24447777"/>
      <w:r w:rsidRPr="00FC6087">
        <w:lastRenderedPageBreak/>
        <w:t>3.1. Stakeholder Theory</w:t>
      </w:r>
      <w:bookmarkEnd w:id="74"/>
      <w:bookmarkEnd w:id="75"/>
      <w:bookmarkEnd w:id="76"/>
      <w:bookmarkEnd w:id="77"/>
    </w:p>
    <w:p w14:paraId="7D516639" w14:textId="34AF4C9E" w:rsidR="008351E7" w:rsidRPr="00FC6087" w:rsidRDefault="008351E7" w:rsidP="009C1EAB">
      <w:pPr>
        <w:pStyle w:val="APAParagraph"/>
      </w:pPr>
      <w:r w:rsidRPr="00FC6087">
        <w:t xml:space="preserve">Stakeholders are described as individuals (or groups thereof) impacted by the targets and objectives of an organization (Freeman, 1984). This definition is at the core of stakeholder theory, which argues that a business (organization, enterprise, etc.) should establish its goals based on whether and how it can meet its stakeholders’ needs. After all, businesses, large or small, rely on stakeholders to provide resources critical to their growth and success (Fontaine </w:t>
      </w:r>
      <w:r w:rsidRPr="00FC6087">
        <w:rPr>
          <w:iCs/>
        </w:rPr>
        <w:t>et al.</w:t>
      </w:r>
      <w:r w:rsidRPr="00FC6087">
        <w:rPr>
          <w:i/>
        </w:rPr>
        <w:t>,</w:t>
      </w:r>
      <w:r w:rsidRPr="00FC6087">
        <w:t xml:space="preserve"> 2006). This framework has been widely used in examining the various aspects of organizations, such as business planning, strategic management, project and environment management, information systems, </w:t>
      </w:r>
      <w:r w:rsidR="00C52219" w:rsidRPr="00FC6087">
        <w:t xml:space="preserve">and </w:t>
      </w:r>
      <w:r w:rsidRPr="00FC6087">
        <w:t>organizational ambiance (Mishra</w:t>
      </w:r>
      <w:r w:rsidR="005E7A62">
        <w:t xml:space="preserve"> &amp; </w:t>
      </w:r>
      <w:r w:rsidRPr="00FC6087">
        <w:t xml:space="preserve">Mishra, 2013). Stakeholder analysis is a powerful tool for bringing the needs and objectives of stakeholders into planning strategies and transforming them into organizational performance. As such, a thorough understanding of stakeholders’ interests and how they interact with operational plans is important in this process. Practically, these tools can be employed by constituents to improve their interactions with the management and can serve academics </w:t>
      </w:r>
      <w:r w:rsidR="009E5CBC" w:rsidRPr="00FC6087">
        <w:t xml:space="preserve">to </w:t>
      </w:r>
      <w:r w:rsidRPr="00FC6087">
        <w:t>better understand how trade and value creation occur (Freeman</w:t>
      </w:r>
      <w:r w:rsidR="000F79D8" w:rsidRPr="00FC6087">
        <w:t>, Rusconi, Signori,</w:t>
      </w:r>
      <w:r w:rsidR="005E7A62">
        <w:t xml:space="preserve"> &amp; </w:t>
      </w:r>
      <w:r w:rsidR="000F79D8" w:rsidRPr="00FC6087">
        <w:t>Strudler</w:t>
      </w:r>
      <w:r w:rsidRPr="00790070">
        <w:t>,</w:t>
      </w:r>
      <w:r w:rsidRPr="00FC6087">
        <w:t xml:space="preserve"> 2012).</w:t>
      </w:r>
    </w:p>
    <w:p w14:paraId="7D51663A" w14:textId="153DBD12" w:rsidR="008351E7" w:rsidRPr="00FC6087" w:rsidRDefault="008351E7" w:rsidP="009C1EAB">
      <w:pPr>
        <w:pStyle w:val="APAParagraph"/>
      </w:pPr>
      <w:r w:rsidRPr="00FC6087">
        <w:t xml:space="preserve">The normative version of </w:t>
      </w:r>
      <w:r w:rsidR="009E5CBC" w:rsidRPr="00FC6087">
        <w:t>stakeholder theory</w:t>
      </w:r>
      <w:r w:rsidRPr="00FC6087">
        <w:t xml:space="preserve"> investigates the behaviors of both stakeholder</w:t>
      </w:r>
      <w:r w:rsidR="009E5CBC" w:rsidRPr="00FC6087">
        <w:t>s</w:t>
      </w:r>
      <w:r w:rsidRPr="00FC6087">
        <w:t xml:space="preserve"> and managers in light of organizations’ ethical principles (Friedman</w:t>
      </w:r>
      <w:r w:rsidR="005E7A62">
        <w:t xml:space="preserve"> &amp; </w:t>
      </w:r>
      <w:r w:rsidRPr="00FC6087">
        <w:t xml:space="preserve">Miles, 2006). Specifically, the scope and purpose of the model is to </w:t>
      </w:r>
      <w:r w:rsidRPr="00FC6087">
        <w:lastRenderedPageBreak/>
        <w:t>provide utility to managers by offering them instruments to help create added value for their constituents. Those who adopt an instrumental view (i.e. also epistemological or empirical view) stand in opposition to those holding the normative view, as they regard stakeholders as instruments that a serve a larger goal and the covering of their interests as a means to achieving more profit. Although seemingly crass, this view is accepted as normative, given that stakeholder interactions include the ontological status of other social phenomena (Friedman</w:t>
      </w:r>
      <w:r w:rsidR="005E7A62">
        <w:t xml:space="preserve"> &amp; </w:t>
      </w:r>
      <w:r w:rsidRPr="00FC6087">
        <w:t xml:space="preserve">Miles, 2006). </w:t>
      </w:r>
    </w:p>
    <w:p w14:paraId="7D51663B" w14:textId="6E89B9C7" w:rsidR="008351E7" w:rsidRPr="00FC6087" w:rsidRDefault="008351E7" w:rsidP="009C1EAB">
      <w:pPr>
        <w:pStyle w:val="APAParagraph"/>
      </w:pPr>
      <w:r w:rsidRPr="00FC6087">
        <w:t xml:space="preserve">With its roots in the business world, </w:t>
      </w:r>
      <w:r w:rsidR="00273492" w:rsidRPr="00FC6087">
        <w:t xml:space="preserve">stakeholder theory </w:t>
      </w:r>
      <w:r w:rsidRPr="00FC6087">
        <w:t>has evolved to address three relevant business problems: (1) value creation and trade, which involves understanding and managing businesses in the dynamic environment of the 21</w:t>
      </w:r>
      <w:r w:rsidRPr="00FC6087">
        <w:rPr>
          <w:vertAlign w:val="superscript"/>
        </w:rPr>
        <w:t>st</w:t>
      </w:r>
      <w:r w:rsidR="00CC529D">
        <w:t xml:space="preserve"> c</w:t>
      </w:r>
      <w:r w:rsidRPr="00FC6087">
        <w:t>entury; (2) ethics in capitalism, which requires integrating ideas about ethics, responsibility, and sustainability; and (3) the managerial mindset, which highlights the need for understanding what students and managers need to learn to be successful in today’s business world (Freeman</w:t>
      </w:r>
      <w:r w:rsidR="00D737FA" w:rsidRPr="00FC6087">
        <w:t>, Harrison, Wicks, Parmar,</w:t>
      </w:r>
      <w:r w:rsidR="005E7A62">
        <w:t xml:space="preserve"> &amp; </w:t>
      </w:r>
      <w:r w:rsidR="00D737FA" w:rsidRPr="00FC6087">
        <w:t>de Colle,</w:t>
      </w:r>
      <w:r w:rsidRPr="00FC6087">
        <w:t xml:space="preserve"> 2010). Given that other industries have seen modernization contemporaneously with the business sector, </w:t>
      </w:r>
      <w:r w:rsidR="00273492" w:rsidRPr="00FC6087">
        <w:t>stakeholder theory</w:t>
      </w:r>
      <w:r w:rsidRPr="00FC6087">
        <w:t xml:space="preserve"> is also an effective framework for understanding the motives of key stakeholders in other industries. As a powerful instrument to analyze the interplay between organizations and individuals, </w:t>
      </w:r>
      <w:r w:rsidR="00273492" w:rsidRPr="00FC6087">
        <w:t>stakeholder theory</w:t>
      </w:r>
      <w:r w:rsidR="008F061A" w:rsidRPr="00FC6087">
        <w:t xml:space="preserve"> </w:t>
      </w:r>
      <w:r w:rsidRPr="00FC6087">
        <w:t>enjoys a wide popularity within the social sciences (Donaldson</w:t>
      </w:r>
      <w:r w:rsidR="005E7A62">
        <w:t xml:space="preserve"> &amp; </w:t>
      </w:r>
      <w:r w:rsidRPr="00FC6087">
        <w:t xml:space="preserve">Preston, 1995) and has recently been applied to domains beyond business to better understand aspects of the public sector, such as </w:t>
      </w:r>
      <w:r w:rsidRPr="00FC6087">
        <w:lastRenderedPageBreak/>
        <w:t>information systems domains (Mishra</w:t>
      </w:r>
      <w:r w:rsidR="005E7A62">
        <w:t xml:space="preserve"> &amp; </w:t>
      </w:r>
      <w:r w:rsidRPr="00FC6087">
        <w:t>Dwivedi, 2011; Pouloudi</w:t>
      </w:r>
      <w:r w:rsidR="00402E5A">
        <w:t xml:space="preserve"> </w:t>
      </w:r>
      <w:r w:rsidRPr="00FC6087">
        <w:rPr>
          <w:iCs/>
        </w:rPr>
        <w:t>et al.,</w:t>
      </w:r>
      <w:r w:rsidRPr="00FC6087">
        <w:t xml:space="preserve"> 2016; Smith</w:t>
      </w:r>
      <w:r w:rsidR="005E7A62">
        <w:t xml:space="preserve"> &amp; </w:t>
      </w:r>
      <w:r w:rsidRPr="00FB7771">
        <w:t>Hasnas</w:t>
      </w:r>
      <w:r w:rsidRPr="00FC6087">
        <w:t>, 1999), e-government (Balta</w:t>
      </w:r>
      <w:r w:rsidR="00402E5A">
        <w:t xml:space="preserve"> </w:t>
      </w:r>
      <w:r w:rsidRPr="00FC6087">
        <w:rPr>
          <w:iCs/>
        </w:rPr>
        <w:t>et al.,</w:t>
      </w:r>
      <w:r w:rsidRPr="00FC6087">
        <w:t xml:space="preserve"> 2015; Center for Technology in Government, 2000; Fedorowicz</w:t>
      </w:r>
      <w:r w:rsidR="00696CF7">
        <w:t xml:space="preserve"> </w:t>
      </w:r>
      <w:r w:rsidRPr="00FC6087">
        <w:rPr>
          <w:iCs/>
        </w:rPr>
        <w:t>et al.,</w:t>
      </w:r>
      <w:r w:rsidR="00696CF7">
        <w:rPr>
          <w:iCs/>
        </w:rPr>
        <w:t xml:space="preserve"> </w:t>
      </w:r>
      <w:r w:rsidRPr="00FC6087">
        <w:t>2010; Flak</w:t>
      </w:r>
      <w:r w:rsidR="005E7A62">
        <w:t xml:space="preserve"> &amp; </w:t>
      </w:r>
      <w:r w:rsidRPr="00FC6087">
        <w:t>Rose, 2005; Islam</w:t>
      </w:r>
      <w:r w:rsidR="005E7A62">
        <w:t xml:space="preserve"> &amp; </w:t>
      </w:r>
      <w:r w:rsidRPr="00FC6087">
        <w:t xml:space="preserve">Gronlund, 2007; Kamal </w:t>
      </w:r>
      <w:r w:rsidRPr="00FC6087">
        <w:rPr>
          <w:iCs/>
        </w:rPr>
        <w:t>et al., 2011; Rose et al.,</w:t>
      </w:r>
      <w:r w:rsidRPr="00FC6087">
        <w:t xml:space="preserve"> 2018; Rowley, 2010; Scholl, 2001), and e-health (Chang, 2010; Earnest</w:t>
      </w:r>
      <w:r w:rsidR="00023CB1" w:rsidRPr="00FC6087">
        <w:t>, Ross, Wittevrongel, Moore,</w:t>
      </w:r>
      <w:r w:rsidR="005E7A62">
        <w:t xml:space="preserve"> &amp; </w:t>
      </w:r>
      <w:r w:rsidR="00023CB1" w:rsidRPr="00FC6087">
        <w:t>Lin</w:t>
      </w:r>
      <w:r w:rsidRPr="00FC6087">
        <w:rPr>
          <w:iCs/>
        </w:rPr>
        <w:t>, 2004; Lapointe et al., 2011; Miller</w:t>
      </w:r>
      <w:r w:rsidR="005E7A62">
        <w:rPr>
          <w:iCs/>
        </w:rPr>
        <w:t xml:space="preserve"> &amp; </w:t>
      </w:r>
      <w:r w:rsidRPr="00FC6087">
        <w:rPr>
          <w:iCs/>
        </w:rPr>
        <w:t>Sim, 2004; Pouloudi et al., 2016; Shachak</w:t>
      </w:r>
      <w:r w:rsidR="002E1995" w:rsidRPr="00FC6087">
        <w:rPr>
          <w:iCs/>
        </w:rPr>
        <w:t>, Hadas-Dayagi, Ziv,</w:t>
      </w:r>
      <w:r w:rsidR="005E7A62">
        <w:rPr>
          <w:iCs/>
        </w:rPr>
        <w:t xml:space="preserve"> &amp; </w:t>
      </w:r>
      <w:r w:rsidR="002E1995" w:rsidRPr="00FC6087">
        <w:rPr>
          <w:iCs/>
        </w:rPr>
        <w:t>Reis</w:t>
      </w:r>
      <w:r w:rsidRPr="00FC6087">
        <w:rPr>
          <w:iCs/>
        </w:rPr>
        <w:t>,</w:t>
      </w:r>
      <w:r w:rsidR="00696CF7">
        <w:rPr>
          <w:iCs/>
        </w:rPr>
        <w:t xml:space="preserve"> </w:t>
      </w:r>
      <w:r w:rsidRPr="00FC6087">
        <w:t>2009).</w:t>
      </w:r>
    </w:p>
    <w:p w14:paraId="7D51663C" w14:textId="127ADAB6" w:rsidR="008351E7" w:rsidRPr="00FC6087" w:rsidRDefault="008351E7" w:rsidP="009C1EAB">
      <w:pPr>
        <w:pStyle w:val="APAParagraph"/>
      </w:pPr>
      <w:r w:rsidRPr="00FC6087">
        <w:t xml:space="preserve">Despite significant investments in technology in the healthcare arena over recent decades, it has proved difficult to gain consistent benefits. One explanation for such insufficient results is the gap between the expectations of key stakeholders (medical professionals, patients, the public) and project outcomes. Although the descriptive features of the </w:t>
      </w:r>
      <w:r w:rsidR="00273492" w:rsidRPr="00FC6087">
        <w:t xml:space="preserve">stakeholder theory </w:t>
      </w:r>
      <w:r w:rsidRPr="00FC6087">
        <w:t xml:space="preserve">have been influential in presenting stakeholder interests and connections in the healthcare ecosystem, the normative core of </w:t>
      </w:r>
      <w:r w:rsidR="00273492" w:rsidRPr="00FC6087">
        <w:t xml:space="preserve">stakeholder theory </w:t>
      </w:r>
      <w:r w:rsidRPr="00FC6087">
        <w:t xml:space="preserve">has largely been neglected by scholars. Thus, this research uses </w:t>
      </w:r>
      <w:r w:rsidR="00273492" w:rsidRPr="00FC6087">
        <w:t xml:space="preserve">stakeholder theory </w:t>
      </w:r>
      <w:r w:rsidRPr="00FC6087">
        <w:t>to provide a focused analysis of the perspective</w:t>
      </w:r>
      <w:r w:rsidR="0003125A" w:rsidRPr="00FC6087">
        <w:t>s</w:t>
      </w:r>
      <w:r w:rsidRPr="00FC6087">
        <w:t xml:space="preserve"> of four major groups of stakeholders (employees, patients, residents, and foresight experts) on technology adoption in healthcare.</w:t>
      </w:r>
      <w:r w:rsidR="005E7A62">
        <w:t xml:space="preserve"> </w:t>
      </w:r>
    </w:p>
    <w:p w14:paraId="7D51663D" w14:textId="77777777" w:rsidR="008351E7" w:rsidRPr="00FC6087" w:rsidRDefault="008351E7" w:rsidP="003A1141">
      <w:pPr>
        <w:pStyle w:val="Heading1"/>
      </w:pPr>
      <w:bookmarkStart w:id="78" w:name="_Toc532800290"/>
      <w:bookmarkStart w:id="79" w:name="_Toc534028534"/>
      <w:bookmarkStart w:id="80" w:name="_Toc534028919"/>
      <w:bookmarkStart w:id="81" w:name="_Toc24447778"/>
      <w:r w:rsidRPr="00FC6087">
        <w:t>3.2. Stakeholder Theory in Healthcare</w:t>
      </w:r>
      <w:bookmarkEnd w:id="78"/>
      <w:bookmarkEnd w:id="79"/>
      <w:bookmarkEnd w:id="80"/>
      <w:bookmarkEnd w:id="81"/>
    </w:p>
    <w:p w14:paraId="7D51663E" w14:textId="3ED6B5E7" w:rsidR="008351E7" w:rsidRPr="00FC6087" w:rsidRDefault="008351E7" w:rsidP="009C1EAB">
      <w:pPr>
        <w:pStyle w:val="APAParagraph"/>
      </w:pPr>
      <w:r w:rsidRPr="00FC6087">
        <w:t xml:space="preserve">A core proposition of this present </w:t>
      </w:r>
      <w:r w:rsidR="009A4DEE" w:rsidRPr="00FC6087">
        <w:t>research</w:t>
      </w:r>
      <w:r w:rsidR="008F061A" w:rsidRPr="00FC6087">
        <w:t xml:space="preserve"> </w:t>
      </w:r>
      <w:r w:rsidRPr="00FC6087">
        <w:t xml:space="preserve">is that the success of the healthcare system’s adoption and leveraging of modern technologies to achieve its performance goals is determined by the extent to which key stakeholders at all </w:t>
      </w:r>
      <w:r w:rsidRPr="00FC6087">
        <w:lastRenderedPageBreak/>
        <w:t>levels understand the value of HIT and work to overcome its barriers. These stakeholders make vital decisions (e.g. regulations, renovations, etc.) and/or engage in actions (e.g. getting trained, using technology) that determine the overall organizational response to external demands (e.g. governmental policies) and the acceptance (or not) of innovations. Furthermore, since the decision to adopt healthcare technologies is strongly influenced by peer recommendations (Agarwal</w:t>
      </w:r>
      <w:r w:rsidR="00EF1A3D">
        <w:t xml:space="preserve"> </w:t>
      </w:r>
      <w:r w:rsidRPr="00FC6087">
        <w:rPr>
          <w:iCs/>
        </w:rPr>
        <w:t>et al.,</w:t>
      </w:r>
      <w:r w:rsidRPr="00FC6087">
        <w:t xml:space="preserve"> 2010), </w:t>
      </w:r>
      <w:r w:rsidR="00A34D2F" w:rsidRPr="00FC6087">
        <w:t xml:space="preserve">stakeholder theory </w:t>
      </w:r>
      <w:r w:rsidRPr="00FC6087">
        <w:t>can offer valuable insights into the motives of key stakeholders who would use these technologies, including healthcare providers and consumers. Furthermore, given the different roles that stakeholder</w:t>
      </w:r>
      <w:r w:rsidR="00A34D2F" w:rsidRPr="00FC6087">
        <w:t>s</w:t>
      </w:r>
      <w:r w:rsidRPr="00FC6087">
        <w:t xml:space="preserve"> play, it is of crucial importance to understand the underlying motivations and perspectives of the relevant healthcare stakeholders (Sittig</w:t>
      </w:r>
      <w:r w:rsidR="008F061A">
        <w:t xml:space="preserve"> </w:t>
      </w:r>
      <w:r w:rsidRPr="00FC6087">
        <w:rPr>
          <w:iCs/>
        </w:rPr>
        <w:t>et al., 2018; Van Limburg et al.,</w:t>
      </w:r>
      <w:r w:rsidRPr="00FC6087">
        <w:t xml:space="preserve"> 2011) in order to understand wh</w:t>
      </w:r>
      <w:r w:rsidR="003E6A9F" w:rsidRPr="00FC6087">
        <w:t>ich</w:t>
      </w:r>
      <w:r w:rsidRPr="00FC6087">
        <w:t xml:space="preserve"> barriers pose the greatest hindrances and what motivators can be the most effective. </w:t>
      </w:r>
    </w:p>
    <w:p w14:paraId="7D51663F" w14:textId="46E30B67" w:rsidR="008351E7" w:rsidRPr="00FC6087" w:rsidRDefault="008351E7" w:rsidP="009C1EAB">
      <w:pPr>
        <w:pStyle w:val="APAParagraph"/>
      </w:pPr>
      <w:r w:rsidRPr="00FC6087">
        <w:t xml:space="preserve">Most researchers </w:t>
      </w:r>
      <w:r w:rsidR="003E6A9F" w:rsidRPr="00FC6087">
        <w:t xml:space="preserve">have </w:t>
      </w:r>
      <w:r w:rsidRPr="00FC6087">
        <w:t>focused on physicians and other hospital employees, with few focusing on consumers, and even fewer—if any—on the opinions and perspectives of experts. Exploring the perspectives of a limited number of interest groups cannot offer the greatest understanding and, consequently, the best outcome for the healthcare market. Instead, it is optimal to simultaneously include all relevant stakeholder groups. Table 3.1 lists some of the most significan</w:t>
      </w:r>
      <w:r w:rsidR="00181A9F" w:rsidRPr="00FC6087">
        <w:t>t</w:t>
      </w:r>
      <w:r w:rsidRPr="00FC6087">
        <w:t xml:space="preserve"> research in the field of healthcare employing stakeholder theory.</w:t>
      </w:r>
      <w:r w:rsidR="005E7A62">
        <w:t xml:space="preserve"> </w:t>
      </w:r>
    </w:p>
    <w:p w14:paraId="7D516640" w14:textId="77777777" w:rsidR="00367FD5" w:rsidRPr="00FC6087" w:rsidRDefault="00367FD5" w:rsidP="009C1EAB">
      <w:pPr>
        <w:pStyle w:val="APAParagraph"/>
      </w:pPr>
    </w:p>
    <w:p w14:paraId="7D516641" w14:textId="075BBFB2" w:rsidR="008351E7" w:rsidRPr="00790070" w:rsidRDefault="008351E7" w:rsidP="00790070">
      <w:pPr>
        <w:pStyle w:val="Caption"/>
        <w:jc w:val="left"/>
        <w:rPr>
          <w:b w:val="0"/>
          <w:i/>
          <w:noProof w:val="0"/>
          <w:sz w:val="24"/>
          <w:szCs w:val="24"/>
        </w:rPr>
      </w:pPr>
      <w:r w:rsidRPr="00790070">
        <w:rPr>
          <w:b w:val="0"/>
          <w:noProof w:val="0"/>
          <w:sz w:val="24"/>
          <w:szCs w:val="24"/>
        </w:rPr>
        <w:lastRenderedPageBreak/>
        <w:t>Table 3.</w:t>
      </w:r>
      <w:r w:rsidR="002473BE" w:rsidRPr="00790070">
        <w:rPr>
          <w:b w:val="0"/>
          <w:bCs w:val="0"/>
          <w:noProof w:val="0"/>
          <w:sz w:val="24"/>
          <w:szCs w:val="24"/>
        </w:rPr>
        <w:fldChar w:fldCharType="begin"/>
      </w:r>
      <w:r w:rsidRPr="00790070">
        <w:rPr>
          <w:b w:val="0"/>
          <w:noProof w:val="0"/>
          <w:sz w:val="24"/>
          <w:szCs w:val="24"/>
        </w:rPr>
        <w:instrText xml:space="preserve"> SEQ Table_3. \* ARABIC </w:instrText>
      </w:r>
      <w:r w:rsidR="002473BE" w:rsidRPr="00790070">
        <w:rPr>
          <w:b w:val="0"/>
          <w:bCs w:val="0"/>
          <w:noProof w:val="0"/>
          <w:sz w:val="24"/>
          <w:szCs w:val="24"/>
        </w:rPr>
        <w:fldChar w:fldCharType="separate"/>
      </w:r>
      <w:r w:rsidR="004C1C5E">
        <w:rPr>
          <w:b w:val="0"/>
          <w:sz w:val="24"/>
          <w:szCs w:val="24"/>
        </w:rPr>
        <w:t>1</w:t>
      </w:r>
      <w:r w:rsidR="002473BE" w:rsidRPr="00790070">
        <w:rPr>
          <w:b w:val="0"/>
          <w:bCs w:val="0"/>
          <w:noProof w:val="0"/>
          <w:sz w:val="24"/>
          <w:szCs w:val="24"/>
        </w:rPr>
        <w:fldChar w:fldCharType="end"/>
      </w:r>
      <w:r w:rsidR="003E6A9F" w:rsidRPr="00790070">
        <w:rPr>
          <w:b w:val="0"/>
          <w:bCs w:val="0"/>
          <w:noProof w:val="0"/>
          <w:sz w:val="24"/>
          <w:szCs w:val="24"/>
        </w:rPr>
        <w:br/>
      </w:r>
      <w:r w:rsidRPr="00790070">
        <w:rPr>
          <w:b w:val="0"/>
          <w:i/>
          <w:noProof w:val="0"/>
          <w:sz w:val="24"/>
          <w:szCs w:val="24"/>
          <w:lang w:bidi="ar-DZ"/>
        </w:rPr>
        <w:t>Summary o</w:t>
      </w:r>
      <w:r w:rsidR="000C404A">
        <w:rPr>
          <w:b w:val="0"/>
          <w:i/>
          <w:noProof w:val="0"/>
          <w:sz w:val="24"/>
          <w:szCs w:val="24"/>
          <w:lang w:bidi="ar-DZ"/>
        </w:rPr>
        <w:t>f</w:t>
      </w:r>
      <w:r w:rsidRPr="00790070">
        <w:rPr>
          <w:b w:val="0"/>
          <w:i/>
          <w:noProof w:val="0"/>
          <w:sz w:val="24"/>
          <w:szCs w:val="24"/>
          <w:lang w:bidi="ar-DZ"/>
        </w:rPr>
        <w:t xml:space="preserve"> the Use of Stakeholder Theory in Healthcare Research</w:t>
      </w:r>
    </w:p>
    <w:tbl>
      <w:tblPr>
        <w:tblStyle w:val="LightShading1"/>
        <w:tblW w:w="7812" w:type="dxa"/>
        <w:tblCellMar>
          <w:top w:w="57" w:type="dxa"/>
          <w:bottom w:w="57" w:type="dxa"/>
        </w:tblCellMar>
        <w:tblLook w:val="04A0" w:firstRow="1" w:lastRow="0" w:firstColumn="1" w:lastColumn="0" w:noHBand="0" w:noVBand="1"/>
      </w:tblPr>
      <w:tblGrid>
        <w:gridCol w:w="2028"/>
        <w:gridCol w:w="1728"/>
        <w:gridCol w:w="2028"/>
        <w:gridCol w:w="2028"/>
      </w:tblGrid>
      <w:tr w:rsidR="00053918" w:rsidRPr="00FC6087" w14:paraId="7D516646" w14:textId="77777777" w:rsidTr="00DC78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28" w:type="dxa"/>
            <w:tcBorders>
              <w:top w:val="single" w:sz="18" w:space="0" w:color="auto"/>
              <w:bottom w:val="single" w:sz="12" w:space="0" w:color="auto"/>
            </w:tcBorders>
            <w:shd w:val="clear" w:color="auto" w:fill="auto"/>
            <w:tcMar>
              <w:left w:w="29" w:type="dxa"/>
              <w:right w:w="29" w:type="dxa"/>
            </w:tcMar>
          </w:tcPr>
          <w:p w14:paraId="7D516642" w14:textId="77777777" w:rsidR="008351E7" w:rsidRPr="00C0447D" w:rsidRDefault="008351E7" w:rsidP="002C07D1">
            <w:pPr>
              <w:spacing w:line="480" w:lineRule="auto"/>
              <w:ind w:left="113"/>
              <w:rPr>
                <w:b w:val="0"/>
                <w:iCs/>
                <w:color w:val="auto"/>
                <w:sz w:val="22"/>
                <w:lang w:bidi="ar-DZ"/>
              </w:rPr>
            </w:pPr>
            <w:r w:rsidRPr="006B2498">
              <w:rPr>
                <w:iCs/>
              </w:rPr>
              <w:t>Author</w:t>
            </w:r>
          </w:p>
        </w:tc>
        <w:tc>
          <w:tcPr>
            <w:tcW w:w="1728" w:type="dxa"/>
            <w:tcBorders>
              <w:top w:val="single" w:sz="18" w:space="0" w:color="auto"/>
              <w:bottom w:val="single" w:sz="12" w:space="0" w:color="auto"/>
            </w:tcBorders>
            <w:shd w:val="clear" w:color="auto" w:fill="auto"/>
            <w:tcMar>
              <w:left w:w="29" w:type="dxa"/>
              <w:right w:w="29" w:type="dxa"/>
            </w:tcMar>
          </w:tcPr>
          <w:p w14:paraId="7D516643" w14:textId="77777777" w:rsidR="008351E7" w:rsidRPr="00C0447D" w:rsidRDefault="008351E7" w:rsidP="002C07D1">
            <w:pPr>
              <w:spacing w:line="480" w:lineRule="auto"/>
              <w:cnfStyle w:val="100000000000" w:firstRow="1" w:lastRow="0" w:firstColumn="0" w:lastColumn="0" w:oddVBand="0" w:evenVBand="0" w:oddHBand="0" w:evenHBand="0" w:firstRowFirstColumn="0" w:firstRowLastColumn="0" w:lastRowFirstColumn="0" w:lastRowLastColumn="0"/>
              <w:rPr>
                <w:b w:val="0"/>
                <w:iCs/>
                <w:color w:val="auto"/>
                <w:sz w:val="22"/>
              </w:rPr>
            </w:pPr>
            <w:r w:rsidRPr="006B2498">
              <w:rPr>
                <w:iCs/>
              </w:rPr>
              <w:t>Type of Research</w:t>
            </w:r>
          </w:p>
        </w:tc>
        <w:tc>
          <w:tcPr>
            <w:tcW w:w="2028" w:type="dxa"/>
            <w:tcBorders>
              <w:top w:val="single" w:sz="18" w:space="0" w:color="auto"/>
              <w:bottom w:val="single" w:sz="12" w:space="0" w:color="auto"/>
            </w:tcBorders>
            <w:shd w:val="clear" w:color="auto" w:fill="auto"/>
            <w:tcMar>
              <w:left w:w="29" w:type="dxa"/>
              <w:right w:w="29" w:type="dxa"/>
            </w:tcMar>
          </w:tcPr>
          <w:p w14:paraId="7D516644" w14:textId="77777777" w:rsidR="008351E7" w:rsidRPr="00C0447D" w:rsidRDefault="008351E7" w:rsidP="002C07D1">
            <w:pPr>
              <w:spacing w:line="480" w:lineRule="auto"/>
              <w:cnfStyle w:val="100000000000" w:firstRow="1" w:lastRow="0" w:firstColumn="0" w:lastColumn="0" w:oddVBand="0" w:evenVBand="0" w:oddHBand="0" w:evenHBand="0" w:firstRowFirstColumn="0" w:firstRowLastColumn="0" w:lastRowFirstColumn="0" w:lastRowLastColumn="0"/>
              <w:rPr>
                <w:b w:val="0"/>
                <w:iCs/>
                <w:color w:val="auto"/>
                <w:sz w:val="22"/>
              </w:rPr>
            </w:pPr>
            <w:r w:rsidRPr="006B2498">
              <w:rPr>
                <w:iCs/>
              </w:rPr>
              <w:t>Employees Involved</w:t>
            </w:r>
          </w:p>
        </w:tc>
        <w:tc>
          <w:tcPr>
            <w:tcW w:w="2028" w:type="dxa"/>
            <w:tcBorders>
              <w:top w:val="single" w:sz="18" w:space="0" w:color="auto"/>
              <w:bottom w:val="single" w:sz="12" w:space="0" w:color="auto"/>
            </w:tcBorders>
            <w:shd w:val="clear" w:color="auto" w:fill="auto"/>
            <w:tcMar>
              <w:left w:w="29" w:type="dxa"/>
              <w:right w:w="29" w:type="dxa"/>
            </w:tcMar>
          </w:tcPr>
          <w:p w14:paraId="7D516645" w14:textId="77777777" w:rsidR="008351E7" w:rsidRPr="00C0447D" w:rsidRDefault="008351E7" w:rsidP="002C07D1">
            <w:pPr>
              <w:spacing w:line="480" w:lineRule="auto"/>
              <w:cnfStyle w:val="100000000000" w:firstRow="1" w:lastRow="0" w:firstColumn="0" w:lastColumn="0" w:oddVBand="0" w:evenVBand="0" w:oddHBand="0" w:evenHBand="0" w:firstRowFirstColumn="0" w:firstRowLastColumn="0" w:lastRowFirstColumn="0" w:lastRowLastColumn="0"/>
              <w:rPr>
                <w:b w:val="0"/>
                <w:iCs/>
                <w:color w:val="auto"/>
                <w:sz w:val="22"/>
              </w:rPr>
            </w:pPr>
            <w:r w:rsidRPr="006B2498">
              <w:rPr>
                <w:iCs/>
              </w:rPr>
              <w:t>Type of Data</w:t>
            </w:r>
          </w:p>
        </w:tc>
      </w:tr>
      <w:tr w:rsidR="008351E7" w:rsidRPr="00FC6087" w14:paraId="7D51664B" w14:textId="77777777" w:rsidTr="00DC7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tcBorders>
              <w:top w:val="single" w:sz="12" w:space="0" w:color="auto"/>
            </w:tcBorders>
            <w:shd w:val="clear" w:color="auto" w:fill="auto"/>
            <w:tcMar>
              <w:left w:w="29" w:type="dxa"/>
              <w:right w:w="29" w:type="dxa"/>
            </w:tcMar>
          </w:tcPr>
          <w:p w14:paraId="7D516647" w14:textId="77777777" w:rsidR="008351E7" w:rsidRPr="006B2498" w:rsidRDefault="008351E7" w:rsidP="002C07D1">
            <w:pPr>
              <w:spacing w:line="480" w:lineRule="auto"/>
              <w:ind w:left="113"/>
              <w:rPr>
                <w:b w:val="0"/>
                <w:bCs w:val="0"/>
                <w:iCs/>
                <w:color w:val="auto"/>
                <w:sz w:val="22"/>
              </w:rPr>
            </w:pPr>
            <w:r w:rsidRPr="006B2498">
              <w:rPr>
                <w:iCs/>
              </w:rPr>
              <w:t>Miller and Sim (2004)</w:t>
            </w:r>
          </w:p>
        </w:tc>
        <w:tc>
          <w:tcPr>
            <w:tcW w:w="1728" w:type="dxa"/>
            <w:tcBorders>
              <w:top w:val="single" w:sz="12" w:space="0" w:color="auto"/>
            </w:tcBorders>
            <w:shd w:val="clear" w:color="auto" w:fill="auto"/>
            <w:tcMar>
              <w:left w:w="29" w:type="dxa"/>
              <w:right w:w="29" w:type="dxa"/>
            </w:tcMar>
          </w:tcPr>
          <w:p w14:paraId="7D516648" w14:textId="77777777" w:rsidR="008351E7" w:rsidRPr="006B2498"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sz w:val="22"/>
              </w:rPr>
            </w:pPr>
            <w:r w:rsidRPr="006B2498">
              <w:t>Qualitative</w:t>
            </w:r>
          </w:p>
        </w:tc>
        <w:tc>
          <w:tcPr>
            <w:tcW w:w="2028" w:type="dxa"/>
            <w:tcBorders>
              <w:top w:val="single" w:sz="12" w:space="0" w:color="auto"/>
            </w:tcBorders>
            <w:shd w:val="clear" w:color="auto" w:fill="auto"/>
            <w:tcMar>
              <w:left w:w="29" w:type="dxa"/>
              <w:right w:w="29" w:type="dxa"/>
            </w:tcMar>
          </w:tcPr>
          <w:p w14:paraId="7D516649"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sz w:val="22"/>
              </w:rPr>
            </w:pPr>
            <w:r w:rsidRPr="00FC6087">
              <w:rPr>
                <w:color w:val="auto"/>
              </w:rPr>
              <w:t>90 physicians</w:t>
            </w:r>
          </w:p>
        </w:tc>
        <w:tc>
          <w:tcPr>
            <w:tcW w:w="2028" w:type="dxa"/>
            <w:tcBorders>
              <w:top w:val="single" w:sz="12" w:space="0" w:color="auto"/>
            </w:tcBorders>
            <w:shd w:val="clear" w:color="auto" w:fill="auto"/>
            <w:tcMar>
              <w:left w:w="29" w:type="dxa"/>
              <w:right w:w="29" w:type="dxa"/>
            </w:tcMar>
          </w:tcPr>
          <w:p w14:paraId="7D51664A"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sz w:val="22"/>
              </w:rPr>
            </w:pPr>
            <w:r w:rsidRPr="00FC6087">
              <w:rPr>
                <w:color w:val="auto"/>
              </w:rPr>
              <w:t>Interview</w:t>
            </w:r>
          </w:p>
        </w:tc>
      </w:tr>
      <w:tr w:rsidR="008351E7" w:rsidRPr="00FC6087" w14:paraId="7D516650" w14:textId="77777777" w:rsidTr="00DC785B">
        <w:tc>
          <w:tcPr>
            <w:cnfStyle w:val="001000000000" w:firstRow="0" w:lastRow="0" w:firstColumn="1" w:lastColumn="0" w:oddVBand="0" w:evenVBand="0" w:oddHBand="0" w:evenHBand="0" w:firstRowFirstColumn="0" w:firstRowLastColumn="0" w:lastRowFirstColumn="0" w:lastRowLastColumn="0"/>
            <w:tcW w:w="2028" w:type="dxa"/>
            <w:shd w:val="clear" w:color="auto" w:fill="auto"/>
            <w:tcMar>
              <w:left w:w="29" w:type="dxa"/>
              <w:right w:w="29" w:type="dxa"/>
            </w:tcMar>
          </w:tcPr>
          <w:p w14:paraId="7D51664C" w14:textId="77777777" w:rsidR="008351E7" w:rsidRPr="006B2498" w:rsidRDefault="008351E7" w:rsidP="002C07D1">
            <w:pPr>
              <w:spacing w:line="480" w:lineRule="auto"/>
              <w:ind w:left="113"/>
              <w:rPr>
                <w:b w:val="0"/>
                <w:bCs w:val="0"/>
                <w:iCs/>
                <w:color w:val="auto"/>
                <w:sz w:val="22"/>
              </w:rPr>
            </w:pPr>
            <w:r w:rsidRPr="006B2498">
              <w:rPr>
                <w:iCs/>
              </w:rPr>
              <w:t>Davidson and Heslinga (2007)</w:t>
            </w:r>
          </w:p>
        </w:tc>
        <w:tc>
          <w:tcPr>
            <w:tcW w:w="1728" w:type="dxa"/>
            <w:shd w:val="clear" w:color="auto" w:fill="auto"/>
            <w:tcMar>
              <w:left w:w="29" w:type="dxa"/>
              <w:right w:w="29" w:type="dxa"/>
            </w:tcMar>
          </w:tcPr>
          <w:p w14:paraId="7D51664D" w14:textId="77777777" w:rsidR="008351E7" w:rsidRPr="006B2498"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sz w:val="22"/>
              </w:rPr>
            </w:pPr>
            <w:r w:rsidRPr="006B2498">
              <w:t>Qualitative</w:t>
            </w:r>
          </w:p>
        </w:tc>
        <w:tc>
          <w:tcPr>
            <w:tcW w:w="2028" w:type="dxa"/>
            <w:shd w:val="clear" w:color="auto" w:fill="auto"/>
            <w:tcMar>
              <w:left w:w="29" w:type="dxa"/>
              <w:right w:w="29" w:type="dxa"/>
            </w:tcMar>
          </w:tcPr>
          <w:p w14:paraId="7D51664E"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sz w:val="22"/>
              </w:rPr>
            </w:pPr>
            <w:r w:rsidRPr="00FC6087">
              <w:rPr>
                <w:color w:val="auto"/>
              </w:rPr>
              <w:t>26 physicians</w:t>
            </w:r>
          </w:p>
        </w:tc>
        <w:tc>
          <w:tcPr>
            <w:tcW w:w="2028" w:type="dxa"/>
            <w:shd w:val="clear" w:color="auto" w:fill="auto"/>
            <w:tcMar>
              <w:left w:w="29" w:type="dxa"/>
              <w:right w:w="29" w:type="dxa"/>
            </w:tcMar>
          </w:tcPr>
          <w:p w14:paraId="7D51664F"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sz w:val="22"/>
              </w:rPr>
            </w:pPr>
            <w:r w:rsidRPr="00FC6087">
              <w:rPr>
                <w:color w:val="auto"/>
              </w:rPr>
              <w:t>Interview</w:t>
            </w:r>
          </w:p>
        </w:tc>
      </w:tr>
      <w:tr w:rsidR="008351E7" w:rsidRPr="00FC6087" w14:paraId="7D516655" w14:textId="77777777" w:rsidTr="00DC7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8" w:type="dxa"/>
            <w:shd w:val="clear" w:color="auto" w:fill="auto"/>
            <w:tcMar>
              <w:left w:w="29" w:type="dxa"/>
              <w:right w:w="29" w:type="dxa"/>
            </w:tcMar>
          </w:tcPr>
          <w:p w14:paraId="7D516651" w14:textId="77777777" w:rsidR="008351E7" w:rsidRPr="006B2498" w:rsidRDefault="008351E7" w:rsidP="002C07D1">
            <w:pPr>
              <w:spacing w:line="480" w:lineRule="auto"/>
              <w:ind w:left="113"/>
              <w:rPr>
                <w:b w:val="0"/>
                <w:bCs w:val="0"/>
                <w:iCs/>
                <w:color w:val="auto"/>
                <w:sz w:val="22"/>
                <w:lang w:bidi="ar-DZ"/>
              </w:rPr>
            </w:pPr>
            <w:r w:rsidRPr="006B2498">
              <w:rPr>
                <w:iCs/>
              </w:rPr>
              <w:t>Shachak et al. (2009)</w:t>
            </w:r>
          </w:p>
        </w:tc>
        <w:tc>
          <w:tcPr>
            <w:tcW w:w="1728" w:type="dxa"/>
            <w:shd w:val="clear" w:color="auto" w:fill="auto"/>
            <w:tcMar>
              <w:left w:w="29" w:type="dxa"/>
              <w:right w:w="29" w:type="dxa"/>
            </w:tcMar>
          </w:tcPr>
          <w:p w14:paraId="7D516652" w14:textId="77777777" w:rsidR="008351E7" w:rsidRPr="006B2498"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sz w:val="22"/>
              </w:rPr>
            </w:pPr>
            <w:r w:rsidRPr="006B2498">
              <w:t>Qualitative</w:t>
            </w:r>
          </w:p>
        </w:tc>
        <w:tc>
          <w:tcPr>
            <w:tcW w:w="2028" w:type="dxa"/>
            <w:shd w:val="clear" w:color="auto" w:fill="auto"/>
            <w:tcMar>
              <w:left w:w="29" w:type="dxa"/>
              <w:right w:w="29" w:type="dxa"/>
            </w:tcMar>
          </w:tcPr>
          <w:p w14:paraId="7D516653"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sz w:val="22"/>
              </w:rPr>
            </w:pPr>
            <w:r w:rsidRPr="00FC6087">
              <w:rPr>
                <w:color w:val="auto"/>
              </w:rPr>
              <w:t>25 physicians</w:t>
            </w:r>
          </w:p>
        </w:tc>
        <w:tc>
          <w:tcPr>
            <w:tcW w:w="2028" w:type="dxa"/>
            <w:shd w:val="clear" w:color="auto" w:fill="auto"/>
            <w:tcMar>
              <w:left w:w="29" w:type="dxa"/>
              <w:right w:w="29" w:type="dxa"/>
            </w:tcMar>
          </w:tcPr>
          <w:p w14:paraId="7D516654"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sz w:val="22"/>
              </w:rPr>
            </w:pPr>
            <w:r w:rsidRPr="00FC6087">
              <w:rPr>
                <w:color w:val="auto"/>
              </w:rPr>
              <w:t>Interview and Observation</w:t>
            </w:r>
          </w:p>
        </w:tc>
      </w:tr>
      <w:tr w:rsidR="008351E7" w:rsidRPr="00FC6087" w14:paraId="7D51665A" w14:textId="77777777" w:rsidTr="00DC785B">
        <w:trPr>
          <w:trHeight w:val="676"/>
        </w:trPr>
        <w:tc>
          <w:tcPr>
            <w:cnfStyle w:val="001000000000" w:firstRow="0" w:lastRow="0" w:firstColumn="1" w:lastColumn="0" w:oddVBand="0" w:evenVBand="0" w:oddHBand="0" w:evenHBand="0" w:firstRowFirstColumn="0" w:firstRowLastColumn="0" w:lastRowFirstColumn="0" w:lastRowLastColumn="0"/>
            <w:tcW w:w="2028" w:type="dxa"/>
            <w:shd w:val="clear" w:color="auto" w:fill="auto"/>
            <w:tcMar>
              <w:left w:w="29" w:type="dxa"/>
              <w:right w:w="29" w:type="dxa"/>
            </w:tcMar>
          </w:tcPr>
          <w:p w14:paraId="7D516656" w14:textId="77777777" w:rsidR="008351E7" w:rsidRPr="006B2498" w:rsidRDefault="008351E7" w:rsidP="002C07D1">
            <w:pPr>
              <w:spacing w:line="480" w:lineRule="auto"/>
              <w:ind w:left="113"/>
              <w:rPr>
                <w:b w:val="0"/>
                <w:bCs w:val="0"/>
                <w:iCs/>
                <w:color w:val="auto"/>
                <w:sz w:val="22"/>
              </w:rPr>
            </w:pPr>
            <w:r w:rsidRPr="006B2498">
              <w:rPr>
                <w:iCs/>
              </w:rPr>
              <w:t>Earnest et al. (2004)</w:t>
            </w:r>
          </w:p>
        </w:tc>
        <w:tc>
          <w:tcPr>
            <w:tcW w:w="1728" w:type="dxa"/>
            <w:shd w:val="clear" w:color="auto" w:fill="auto"/>
            <w:tcMar>
              <w:left w:w="29" w:type="dxa"/>
              <w:right w:w="29" w:type="dxa"/>
            </w:tcMar>
          </w:tcPr>
          <w:p w14:paraId="7D516657" w14:textId="77777777" w:rsidR="008351E7" w:rsidRPr="006B2498"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sz w:val="22"/>
              </w:rPr>
            </w:pPr>
            <w:r w:rsidRPr="006B2498">
              <w:t>Qualitative and Quantitative</w:t>
            </w:r>
          </w:p>
        </w:tc>
        <w:tc>
          <w:tcPr>
            <w:tcW w:w="2028" w:type="dxa"/>
            <w:shd w:val="clear" w:color="auto" w:fill="auto"/>
            <w:tcMar>
              <w:left w:w="29" w:type="dxa"/>
              <w:right w:w="29" w:type="dxa"/>
            </w:tcMar>
          </w:tcPr>
          <w:p w14:paraId="7D516658"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sz w:val="22"/>
              </w:rPr>
            </w:pPr>
            <w:r w:rsidRPr="00FC6087">
              <w:rPr>
                <w:color w:val="auto"/>
              </w:rPr>
              <w:t>7 physicians</w:t>
            </w:r>
          </w:p>
        </w:tc>
        <w:tc>
          <w:tcPr>
            <w:tcW w:w="2028" w:type="dxa"/>
            <w:shd w:val="clear" w:color="auto" w:fill="auto"/>
            <w:tcMar>
              <w:left w:w="29" w:type="dxa"/>
              <w:right w:w="29" w:type="dxa"/>
            </w:tcMar>
          </w:tcPr>
          <w:p w14:paraId="7D516659"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sz w:val="22"/>
              </w:rPr>
            </w:pPr>
            <w:r w:rsidRPr="00FC6087">
              <w:rPr>
                <w:color w:val="auto"/>
              </w:rPr>
              <w:t>Interview</w:t>
            </w:r>
          </w:p>
        </w:tc>
      </w:tr>
      <w:tr w:rsidR="008351E7" w:rsidRPr="00FC6087" w14:paraId="7D51665F" w14:textId="77777777" w:rsidTr="00DC785B">
        <w:trPr>
          <w:cnfStyle w:val="000000100000" w:firstRow="0" w:lastRow="0" w:firstColumn="0" w:lastColumn="0" w:oddVBand="0" w:evenVBand="0" w:oddHBand="1" w:evenHBand="0" w:firstRowFirstColumn="0" w:firstRowLastColumn="0" w:lastRowFirstColumn="0" w:lastRowLastColumn="0"/>
          <w:trHeight w:val="2389"/>
        </w:trPr>
        <w:tc>
          <w:tcPr>
            <w:cnfStyle w:val="001000000000" w:firstRow="0" w:lastRow="0" w:firstColumn="1" w:lastColumn="0" w:oddVBand="0" w:evenVBand="0" w:oddHBand="0" w:evenHBand="0" w:firstRowFirstColumn="0" w:firstRowLastColumn="0" w:lastRowFirstColumn="0" w:lastRowLastColumn="0"/>
            <w:tcW w:w="2028" w:type="dxa"/>
            <w:shd w:val="clear" w:color="auto" w:fill="auto"/>
            <w:tcMar>
              <w:left w:w="29" w:type="dxa"/>
              <w:right w:w="29" w:type="dxa"/>
            </w:tcMar>
          </w:tcPr>
          <w:p w14:paraId="7D51665B" w14:textId="77777777" w:rsidR="008351E7" w:rsidRPr="006B2498" w:rsidRDefault="008351E7" w:rsidP="002C07D1">
            <w:pPr>
              <w:spacing w:line="480" w:lineRule="auto"/>
              <w:ind w:left="113"/>
              <w:rPr>
                <w:b w:val="0"/>
                <w:bCs w:val="0"/>
                <w:iCs/>
                <w:color w:val="auto"/>
                <w:sz w:val="22"/>
              </w:rPr>
            </w:pPr>
            <w:r w:rsidRPr="006B2498">
              <w:rPr>
                <w:iCs/>
              </w:rPr>
              <w:t>Chang (2010)</w:t>
            </w:r>
          </w:p>
        </w:tc>
        <w:tc>
          <w:tcPr>
            <w:tcW w:w="1728" w:type="dxa"/>
            <w:shd w:val="clear" w:color="auto" w:fill="auto"/>
            <w:tcMar>
              <w:left w:w="29" w:type="dxa"/>
              <w:right w:w="29" w:type="dxa"/>
            </w:tcMar>
          </w:tcPr>
          <w:p w14:paraId="7D51665C" w14:textId="77777777" w:rsidR="008351E7" w:rsidRPr="006B2498"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sz w:val="22"/>
              </w:rPr>
            </w:pPr>
            <w:r w:rsidRPr="006B2498">
              <w:t>Qualitative</w:t>
            </w:r>
          </w:p>
        </w:tc>
        <w:tc>
          <w:tcPr>
            <w:tcW w:w="2028" w:type="dxa"/>
            <w:shd w:val="clear" w:color="auto" w:fill="auto"/>
            <w:tcMar>
              <w:left w:w="29" w:type="dxa"/>
              <w:right w:w="29" w:type="dxa"/>
            </w:tcMar>
          </w:tcPr>
          <w:p w14:paraId="7D51665D"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sz w:val="22"/>
              </w:rPr>
            </w:pPr>
            <w:r w:rsidRPr="00FC6087">
              <w:rPr>
                <w:color w:val="auto"/>
              </w:rPr>
              <w:t>Pertinent hospital staff, experts, vendors and consumers</w:t>
            </w:r>
          </w:p>
        </w:tc>
        <w:tc>
          <w:tcPr>
            <w:tcW w:w="2028" w:type="dxa"/>
            <w:shd w:val="clear" w:color="auto" w:fill="auto"/>
            <w:tcMar>
              <w:left w:w="29" w:type="dxa"/>
              <w:right w:w="29" w:type="dxa"/>
            </w:tcMar>
          </w:tcPr>
          <w:p w14:paraId="7D51665E"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sz w:val="22"/>
              </w:rPr>
            </w:pPr>
            <w:r w:rsidRPr="00FC6087">
              <w:rPr>
                <w:color w:val="auto"/>
              </w:rPr>
              <w:t>Survey of hospital personnel, expert panel discussions, and seminars for the consumer and the vendor</w:t>
            </w:r>
          </w:p>
        </w:tc>
      </w:tr>
      <w:tr w:rsidR="008351E7" w:rsidRPr="00FC6087" w14:paraId="7D516664" w14:textId="77777777" w:rsidTr="00DC785B">
        <w:tc>
          <w:tcPr>
            <w:cnfStyle w:val="001000000000" w:firstRow="0" w:lastRow="0" w:firstColumn="1" w:lastColumn="0" w:oddVBand="0" w:evenVBand="0" w:oddHBand="0" w:evenHBand="0" w:firstRowFirstColumn="0" w:firstRowLastColumn="0" w:lastRowFirstColumn="0" w:lastRowLastColumn="0"/>
            <w:tcW w:w="2028" w:type="dxa"/>
            <w:tcBorders>
              <w:bottom w:val="single" w:sz="18" w:space="0" w:color="auto"/>
            </w:tcBorders>
            <w:shd w:val="clear" w:color="auto" w:fill="auto"/>
            <w:tcMar>
              <w:left w:w="29" w:type="dxa"/>
              <w:right w:w="29" w:type="dxa"/>
            </w:tcMar>
          </w:tcPr>
          <w:p w14:paraId="7D516660" w14:textId="77777777" w:rsidR="008351E7" w:rsidRPr="006B2498" w:rsidRDefault="008351E7" w:rsidP="002C07D1">
            <w:pPr>
              <w:spacing w:line="480" w:lineRule="auto"/>
              <w:ind w:left="113"/>
              <w:rPr>
                <w:b w:val="0"/>
                <w:bCs w:val="0"/>
                <w:iCs/>
                <w:color w:val="auto"/>
                <w:sz w:val="22"/>
              </w:rPr>
            </w:pPr>
            <w:r w:rsidRPr="006B2498">
              <w:rPr>
                <w:iCs/>
              </w:rPr>
              <w:t>Pouloudi et al. (2016)</w:t>
            </w:r>
          </w:p>
        </w:tc>
        <w:tc>
          <w:tcPr>
            <w:tcW w:w="1728" w:type="dxa"/>
            <w:tcBorders>
              <w:bottom w:val="single" w:sz="18" w:space="0" w:color="auto"/>
            </w:tcBorders>
            <w:shd w:val="clear" w:color="auto" w:fill="auto"/>
            <w:tcMar>
              <w:left w:w="29" w:type="dxa"/>
              <w:right w:w="29" w:type="dxa"/>
            </w:tcMar>
          </w:tcPr>
          <w:p w14:paraId="7D516661" w14:textId="77777777" w:rsidR="008351E7" w:rsidRPr="006B2498"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sz w:val="22"/>
              </w:rPr>
            </w:pPr>
            <w:r w:rsidRPr="006B2498">
              <w:t>Qualitative</w:t>
            </w:r>
          </w:p>
        </w:tc>
        <w:tc>
          <w:tcPr>
            <w:tcW w:w="2028" w:type="dxa"/>
            <w:tcBorders>
              <w:bottom w:val="single" w:sz="18" w:space="0" w:color="auto"/>
            </w:tcBorders>
            <w:shd w:val="clear" w:color="auto" w:fill="auto"/>
            <w:tcMar>
              <w:left w:w="29" w:type="dxa"/>
              <w:right w:w="29" w:type="dxa"/>
            </w:tcMar>
          </w:tcPr>
          <w:p w14:paraId="7D516662"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sz w:val="22"/>
              </w:rPr>
            </w:pPr>
            <w:r w:rsidRPr="00FC6087">
              <w:rPr>
                <w:color w:val="auto"/>
              </w:rPr>
              <w:t xml:space="preserve">Politicians, medical professional and </w:t>
            </w:r>
            <w:r w:rsidRPr="00FC6087">
              <w:rPr>
                <w:color w:val="auto"/>
              </w:rPr>
              <w:lastRenderedPageBreak/>
              <w:t>patient representatives, management consultants and media</w:t>
            </w:r>
          </w:p>
        </w:tc>
        <w:tc>
          <w:tcPr>
            <w:tcW w:w="2028" w:type="dxa"/>
            <w:tcBorders>
              <w:bottom w:val="single" w:sz="18" w:space="0" w:color="auto"/>
            </w:tcBorders>
            <w:shd w:val="clear" w:color="auto" w:fill="auto"/>
            <w:tcMar>
              <w:left w:w="29" w:type="dxa"/>
              <w:right w:w="29" w:type="dxa"/>
            </w:tcMar>
          </w:tcPr>
          <w:p w14:paraId="7D516663" w14:textId="77777777" w:rsidR="008351E7" w:rsidRPr="00FC6087" w:rsidRDefault="008351E7" w:rsidP="002C07D1">
            <w:pPr>
              <w:keepNext/>
              <w:spacing w:line="480" w:lineRule="auto"/>
              <w:cnfStyle w:val="000000000000" w:firstRow="0" w:lastRow="0" w:firstColumn="0" w:lastColumn="0" w:oddVBand="0" w:evenVBand="0" w:oddHBand="0" w:evenHBand="0" w:firstRowFirstColumn="0" w:firstRowLastColumn="0" w:lastRowFirstColumn="0" w:lastRowLastColumn="0"/>
              <w:rPr>
                <w:color w:val="auto"/>
                <w:sz w:val="22"/>
              </w:rPr>
            </w:pPr>
            <w:r w:rsidRPr="00FC6087">
              <w:rPr>
                <w:color w:val="auto"/>
              </w:rPr>
              <w:lastRenderedPageBreak/>
              <w:t>A series of open-ended, semi</w:t>
            </w:r>
            <w:r w:rsidR="005774BB" w:rsidRPr="00FC6087">
              <w:rPr>
                <w:color w:val="auto"/>
              </w:rPr>
              <w:t>-</w:t>
            </w:r>
            <w:r w:rsidRPr="00FC6087">
              <w:rPr>
                <w:color w:val="auto"/>
              </w:rPr>
              <w:lastRenderedPageBreak/>
              <w:t>structured and unstructured in</w:t>
            </w:r>
            <w:r w:rsidR="005774BB" w:rsidRPr="00FC6087">
              <w:rPr>
                <w:color w:val="auto"/>
              </w:rPr>
              <w:t>-</w:t>
            </w:r>
            <w:r w:rsidRPr="00FC6087">
              <w:rPr>
                <w:color w:val="auto"/>
              </w:rPr>
              <w:t>depth interviews</w:t>
            </w:r>
          </w:p>
        </w:tc>
      </w:tr>
    </w:tbl>
    <w:p w14:paraId="70580D0B" w14:textId="77777777" w:rsidR="00EF1A3D" w:rsidRDefault="00EF1A3D" w:rsidP="00C0447D">
      <w:pPr>
        <w:pStyle w:val="APAParagraph"/>
      </w:pPr>
    </w:p>
    <w:p w14:paraId="7D516665" w14:textId="16EAD56E" w:rsidR="008351E7" w:rsidRPr="00FC6087" w:rsidRDefault="008351E7" w:rsidP="003A1141">
      <w:pPr>
        <w:pStyle w:val="Heading1"/>
      </w:pPr>
      <w:bookmarkStart w:id="82" w:name="_Toc24447779"/>
      <w:r w:rsidRPr="00FC6087">
        <w:t xml:space="preserve">3.3 </w:t>
      </w:r>
      <w:r w:rsidR="003968DD" w:rsidRPr="00FC6087">
        <w:t xml:space="preserve">The Unified Theory of Acceptance and </w:t>
      </w:r>
      <w:r w:rsidR="002C07D1">
        <w:br/>
      </w:r>
      <w:r w:rsidR="003968DD" w:rsidRPr="00FC6087">
        <w:t>Use of Technology (</w:t>
      </w:r>
      <w:r w:rsidRPr="00FC6087">
        <w:t>UTAUT</w:t>
      </w:r>
      <w:r w:rsidR="003968DD" w:rsidRPr="00FC6087">
        <w:t>) Model</w:t>
      </w:r>
      <w:bookmarkEnd w:id="82"/>
    </w:p>
    <w:p w14:paraId="7D516666" w14:textId="7A006A2B" w:rsidR="008351E7" w:rsidRPr="00FC6087" w:rsidRDefault="008351E7" w:rsidP="009C1EAB">
      <w:pPr>
        <w:pStyle w:val="APAParagraph"/>
      </w:pPr>
      <w:r w:rsidRPr="00FC6087">
        <w:t xml:space="preserve">The literature provides many models that serve for the exploration of determinants of modern technology adoption globally </w:t>
      </w:r>
      <w:r w:rsidR="008F061A">
        <w:t>(Kalavan</w:t>
      </w:r>
      <w:r w:rsidR="009D19A9">
        <w:t xml:space="preserve">i, </w:t>
      </w:r>
      <w:r w:rsidR="009D19A9" w:rsidRPr="00922863">
        <w:t>Kzerani</w:t>
      </w:r>
      <w:r w:rsidR="00EF1A3D">
        <w:t>,</w:t>
      </w:r>
      <w:r w:rsidR="005E7A62">
        <w:t xml:space="preserve"> &amp; </w:t>
      </w:r>
      <w:r w:rsidR="009D19A9" w:rsidRPr="00922863">
        <w:t>Shekofteh</w:t>
      </w:r>
      <w:r w:rsidR="009D19A9">
        <w:t>,</w:t>
      </w:r>
      <w:r w:rsidR="009D19A9" w:rsidRPr="00FC6087">
        <w:t xml:space="preserve"> </w:t>
      </w:r>
      <w:r w:rsidRPr="00FC6087">
        <w:t xml:space="preserve">2018). One of the most reliable and innovative is the UTAUT. According to various scholars, </w:t>
      </w:r>
      <w:r w:rsidR="005E1F7F" w:rsidRPr="00FC6087">
        <w:t xml:space="preserve">the </w:t>
      </w:r>
      <w:r w:rsidRPr="00FC6087">
        <w:t xml:space="preserve">UTAUT </w:t>
      </w:r>
      <w:r w:rsidR="005E1F7F" w:rsidRPr="00FC6087">
        <w:t xml:space="preserve">model </w:t>
      </w:r>
      <w:r w:rsidRPr="00FC6087">
        <w:t>is superior to previous models, as it explains 70% of the variance in an individuals</w:t>
      </w:r>
      <w:r w:rsidR="005E1F7F" w:rsidRPr="00FC6087">
        <w:t>’</w:t>
      </w:r>
      <w:r w:rsidRPr="00FC6087">
        <w:t xml:space="preserve"> intention to use technology (</w:t>
      </w:r>
      <w:r w:rsidR="005E1F7F" w:rsidRPr="00FC6087">
        <w:t>Dwivedi, Rana, Jeyaraj, Clement</w:t>
      </w:r>
      <w:r w:rsidR="00DE78DA" w:rsidRPr="00FC6087">
        <w:t>,</w:t>
      </w:r>
      <w:r w:rsidR="005E7A62">
        <w:t xml:space="preserve"> &amp; </w:t>
      </w:r>
      <w:r w:rsidR="005E1F7F" w:rsidRPr="00FC6087">
        <w:t xml:space="preserve">Williams, 2017; Taherdoost, 2018; </w:t>
      </w:r>
      <w:r w:rsidRPr="00FC6087">
        <w:t>Venkatesh</w:t>
      </w:r>
      <w:r w:rsidR="009D19A9">
        <w:t xml:space="preserve">, </w:t>
      </w:r>
      <w:r w:rsidR="009D19A9" w:rsidRPr="00922863">
        <w:t>Morris</w:t>
      </w:r>
      <w:r w:rsidR="00EF1A3D">
        <w:t>,</w:t>
      </w:r>
      <w:r w:rsidR="005E7A62">
        <w:t xml:space="preserve"> &amp; </w:t>
      </w:r>
      <w:r w:rsidR="009D19A9" w:rsidRPr="00922863">
        <w:t>Davis</w:t>
      </w:r>
      <w:r w:rsidRPr="00FC6087">
        <w:rPr>
          <w:iCs/>
        </w:rPr>
        <w:t>,</w:t>
      </w:r>
      <w:r w:rsidRPr="00FC6087">
        <w:t xml:space="preserve"> 2003). Its wide implementation in many technology acceptance studies highlights its power to evaluate IT success rates. UTAUT was designed and validated to offer a unified theoretical foundation for the investigation of technology adoption and diffusion. Originally presented by </w:t>
      </w:r>
      <w:r w:rsidRPr="00FC6087">
        <w:lastRenderedPageBreak/>
        <w:t xml:space="preserve">Venkatesh </w:t>
      </w:r>
      <w:r w:rsidRPr="00FC6087">
        <w:rPr>
          <w:iCs/>
        </w:rPr>
        <w:t>et al.</w:t>
      </w:r>
      <w:r w:rsidRPr="00FC6087">
        <w:t xml:space="preserve"> (2003) as a combination of eight different models and behavioral intention perspectives, it soon became a popular model of technology acceptance (Jewer, 2018). </w:t>
      </w:r>
    </w:p>
    <w:p w14:paraId="7D516667" w14:textId="6266EA71" w:rsidR="008351E7" w:rsidRPr="00FC6087" w:rsidRDefault="008351E7" w:rsidP="009C1EAB">
      <w:pPr>
        <w:pStyle w:val="APAParagraph"/>
      </w:pPr>
      <w:r w:rsidRPr="00FC6087">
        <w:t xml:space="preserve">The rationale behind UTAUT’s definition and validation is the similarity </w:t>
      </w:r>
      <w:r w:rsidR="00842437" w:rsidRPr="00FC6087">
        <w:t>between the</w:t>
      </w:r>
      <w:r w:rsidRPr="00FC6087">
        <w:t xml:space="preserve"> various existing theoretical constructs, which made it logical to integrate them into a unified framework (Venkatesh</w:t>
      </w:r>
      <w:r w:rsidR="008F061A">
        <w:t xml:space="preserve"> </w:t>
      </w:r>
      <w:r w:rsidRPr="00FC6087">
        <w:rPr>
          <w:iCs/>
        </w:rPr>
        <w:t>et al.,</w:t>
      </w:r>
      <w:r w:rsidRPr="00FC6087">
        <w:t xml:space="preserve"> 2003). With this in mind, the proposers of UTAUT considered researchers would no longer need to explore and combine insights from a large number of models, but simply apply UTAUT for a better understanding of the different issues regarding the acceptance and diffusion of modern technology. </w:t>
      </w:r>
    </w:p>
    <w:p w14:paraId="7D516668" w14:textId="7600050F" w:rsidR="008351E7" w:rsidRPr="00FC6087" w:rsidRDefault="008351E7" w:rsidP="009C1EAB">
      <w:pPr>
        <w:pStyle w:val="APAParagraph"/>
      </w:pPr>
      <w:r w:rsidRPr="00FC6087">
        <w:t xml:space="preserve">UTAUT employs several constructs assumed to influence stakeholders’ intentions to use innovative technologies, namely </w:t>
      </w:r>
      <w:r w:rsidRPr="00790070">
        <w:t>performance expectancy</w:t>
      </w:r>
      <w:r w:rsidRPr="00FC6087">
        <w:t xml:space="preserve"> (PE), </w:t>
      </w:r>
      <w:r w:rsidRPr="00790070">
        <w:t>effort expectancy</w:t>
      </w:r>
      <w:r w:rsidRPr="00FC6087">
        <w:t xml:space="preserve"> (EE), </w:t>
      </w:r>
      <w:r w:rsidRPr="00790070">
        <w:t>social influence</w:t>
      </w:r>
      <w:r w:rsidRPr="00FC6087">
        <w:t xml:space="preserve"> (SI), and </w:t>
      </w:r>
      <w:r w:rsidRPr="00790070">
        <w:t>facilitating conditions</w:t>
      </w:r>
      <w:r w:rsidRPr="00FC6087">
        <w:t xml:space="preserve"> (FCs), all with direct or indirect impact on behavioral intentions and usage of individuals</w:t>
      </w:r>
      <w:r w:rsidRPr="00FC6087">
        <w:rPr>
          <w:iCs/>
        </w:rPr>
        <w:t>.EE</w:t>
      </w:r>
      <w:r w:rsidRPr="00FC6087">
        <w:t xml:space="preserve"> refers to notions such as perceived ease of use and sophistication</w:t>
      </w:r>
      <w:r w:rsidRPr="00FC6087">
        <w:rPr>
          <w:iCs/>
        </w:rPr>
        <w:t>.PE</w:t>
      </w:r>
      <w:r w:rsidRPr="00FC6087">
        <w:t xml:space="preserve"> denotes one’s belief that technology will improve the professional performance level. Scholars </w:t>
      </w:r>
      <w:r w:rsidR="00F50C90" w:rsidRPr="00FC6087">
        <w:t xml:space="preserve">have </w:t>
      </w:r>
      <w:r w:rsidRPr="00FC6087">
        <w:t>found PE to be the strongest predictor of users’ intentions to embrace a new system (Lean</w:t>
      </w:r>
      <w:r w:rsidR="009D19A9">
        <w:t>,</w:t>
      </w:r>
      <w:r w:rsidRPr="00FC6087">
        <w:t xml:space="preserve"> </w:t>
      </w:r>
      <w:r w:rsidR="009D19A9" w:rsidRPr="00922863">
        <w:t>Zailani, Ramayah</w:t>
      </w:r>
      <w:r w:rsidR="00EF1A3D">
        <w:t>,</w:t>
      </w:r>
      <w:r w:rsidR="005E7A62">
        <w:t xml:space="preserve"> &amp; </w:t>
      </w:r>
      <w:r w:rsidR="009D19A9" w:rsidRPr="00922863">
        <w:t>Fernando</w:t>
      </w:r>
      <w:r w:rsidR="009D19A9">
        <w:t>,</w:t>
      </w:r>
      <w:r w:rsidRPr="00FC6087">
        <w:rPr>
          <w:iCs/>
        </w:rPr>
        <w:t xml:space="preserve"> 2009</w:t>
      </w:r>
      <w:r w:rsidR="009D19A9">
        <w:rPr>
          <w:iCs/>
        </w:rPr>
        <w:t>;</w:t>
      </w:r>
      <w:r w:rsidRPr="00FC6087">
        <w:rPr>
          <w:iCs/>
        </w:rPr>
        <w:t xml:space="preserve"> Liebana-Cbanillas</w:t>
      </w:r>
      <w:r w:rsidR="009D19A9">
        <w:rPr>
          <w:iCs/>
        </w:rPr>
        <w:t xml:space="preserve">, </w:t>
      </w:r>
      <w:r w:rsidR="009D19A9" w:rsidRPr="00922863">
        <w:t>Marinković</w:t>
      </w:r>
      <w:r w:rsidR="00EF1A3D">
        <w:t>,</w:t>
      </w:r>
      <w:r w:rsidR="005E7A62">
        <w:t xml:space="preserve"> &amp; </w:t>
      </w:r>
      <w:r w:rsidR="009D19A9" w:rsidRPr="00922863">
        <w:t>Kalinić</w:t>
      </w:r>
      <w:r w:rsidR="009D19A9">
        <w:t>,</w:t>
      </w:r>
      <w:r w:rsidRPr="00FC6087">
        <w:t xml:space="preserve"> 2017</w:t>
      </w:r>
      <w:r w:rsidRPr="00FC6087">
        <w:rPr>
          <w:iCs/>
        </w:rPr>
        <w:t>).</w:t>
      </w:r>
      <w:r w:rsidR="008F061A">
        <w:rPr>
          <w:iCs/>
        </w:rPr>
        <w:t xml:space="preserve"> </w:t>
      </w:r>
      <w:r w:rsidRPr="00FC6087">
        <w:rPr>
          <w:iCs/>
        </w:rPr>
        <w:t>SI</w:t>
      </w:r>
      <w:r w:rsidRPr="00FC6087">
        <w:t xml:space="preserve"> refers to the degree to which an individual feels it is important that important people believe he/she needs to use the new system; this factor also has substantial influence on the intentions to use innovative technologies (Slade</w:t>
      </w:r>
      <w:r w:rsidR="005F685E">
        <w:t xml:space="preserve">, </w:t>
      </w:r>
      <w:r w:rsidR="005F685E" w:rsidRPr="00922863">
        <w:t>Williams</w:t>
      </w:r>
      <w:r w:rsidR="00EF1A3D">
        <w:t>,</w:t>
      </w:r>
      <w:r w:rsidR="005E7A62">
        <w:t xml:space="preserve"> &amp; </w:t>
      </w:r>
      <w:r w:rsidR="005F685E" w:rsidRPr="00922863">
        <w:lastRenderedPageBreak/>
        <w:t xml:space="preserve">Dwivedi, </w:t>
      </w:r>
      <w:r w:rsidRPr="00FC6087">
        <w:t>201</w:t>
      </w:r>
      <w:r w:rsidR="008F061A">
        <w:t>3</w:t>
      </w:r>
      <w:r w:rsidRPr="00FC6087">
        <w:rPr>
          <w:iCs/>
        </w:rPr>
        <w:t>).</w:t>
      </w:r>
      <w:r w:rsidR="00EF1A3D">
        <w:rPr>
          <w:iCs/>
        </w:rPr>
        <w:t xml:space="preserve"> </w:t>
      </w:r>
      <w:r w:rsidRPr="00FC6087">
        <w:rPr>
          <w:iCs/>
        </w:rPr>
        <w:t>FCs</w:t>
      </w:r>
      <w:r w:rsidRPr="00FC6087">
        <w:t xml:space="preserve"> mirror one’s belief that the technical/organizational infrastructure is in place to enhance the use of technology (Venkatesh</w:t>
      </w:r>
      <w:r w:rsidR="005F685E">
        <w:t xml:space="preserve">, </w:t>
      </w:r>
      <w:r w:rsidR="005F685E" w:rsidRPr="00922863">
        <w:t>Thong</w:t>
      </w:r>
      <w:r w:rsidR="00EF1A3D">
        <w:t>,</w:t>
      </w:r>
      <w:r w:rsidR="005E7A62">
        <w:t xml:space="preserve"> &amp; </w:t>
      </w:r>
      <w:r w:rsidR="005F685E" w:rsidRPr="00922863">
        <w:t xml:space="preserve">Xu, </w:t>
      </w:r>
      <w:r w:rsidRPr="00FC6087">
        <w:t>2012).</w:t>
      </w:r>
    </w:p>
    <w:p w14:paraId="7D516669" w14:textId="77777777" w:rsidR="008351E7" w:rsidRPr="00FC6087" w:rsidRDefault="008351E7" w:rsidP="009C1EAB">
      <w:pPr>
        <w:pStyle w:val="APAParagraph"/>
      </w:pPr>
      <w:r w:rsidRPr="00FC6087">
        <w:t xml:space="preserve">UTAUT also assumes that the impact of the four constructs is shaped by age, gender, experience, and voluntariness of use (Venkatesh </w:t>
      </w:r>
      <w:r w:rsidRPr="00FC6087">
        <w:rPr>
          <w:iCs/>
        </w:rPr>
        <w:t>et al.,</w:t>
      </w:r>
      <w:r w:rsidRPr="00FC6087">
        <w:t xml:space="preserve"> 2003). </w:t>
      </w:r>
    </w:p>
    <w:p w14:paraId="7D51666A" w14:textId="4A0A972E" w:rsidR="008351E7" w:rsidRPr="00FC6087" w:rsidRDefault="008351E7" w:rsidP="003A1141">
      <w:pPr>
        <w:pStyle w:val="Heading1"/>
      </w:pPr>
      <w:bookmarkStart w:id="83" w:name="_Toc24447780"/>
      <w:r w:rsidRPr="00FC6087">
        <w:t>3.4</w:t>
      </w:r>
      <w:r w:rsidR="00470516" w:rsidRPr="00FC6087">
        <w:t>.</w:t>
      </w:r>
      <w:r w:rsidR="00710F6F" w:rsidRPr="00FC6087">
        <w:t xml:space="preserve"> </w:t>
      </w:r>
      <w:r w:rsidR="00EE3E9C" w:rsidRPr="00FC6087">
        <w:t xml:space="preserve">The Unified Theory of Acceptance and </w:t>
      </w:r>
      <w:r w:rsidR="002C07D1">
        <w:br/>
      </w:r>
      <w:r w:rsidR="00EE3E9C" w:rsidRPr="00FC6087">
        <w:t xml:space="preserve">Use of Technology (UTAUT) Model </w:t>
      </w:r>
      <w:r w:rsidRPr="00FC6087">
        <w:t>in Healthcare</w:t>
      </w:r>
      <w:bookmarkEnd w:id="83"/>
    </w:p>
    <w:p w14:paraId="7D51666B" w14:textId="4538659C" w:rsidR="008351E7" w:rsidRPr="00FC6087" w:rsidRDefault="008351E7" w:rsidP="009C1EAB">
      <w:pPr>
        <w:pStyle w:val="APAParagraph"/>
      </w:pPr>
      <w:r w:rsidRPr="00FC6087">
        <w:t xml:space="preserve">Despite its presence in various settings, UTAUT applications in healthcare </w:t>
      </w:r>
      <w:r w:rsidR="00EE3E9C" w:rsidRPr="00FC6087">
        <w:t>have</w:t>
      </w:r>
      <w:r w:rsidRPr="00FC6087">
        <w:t xml:space="preserve"> hitherto rather limited (e.g. </w:t>
      </w:r>
      <w:r w:rsidR="00EE3E9C" w:rsidRPr="00FC6087">
        <w:t>Hossain</w:t>
      </w:r>
      <w:r w:rsidR="00FA5B14">
        <w:t>, Quaresma</w:t>
      </w:r>
      <w:r w:rsidR="00EF1A3D">
        <w:t>,</w:t>
      </w:r>
      <w:r w:rsidR="005E7A62">
        <w:t xml:space="preserve"> &amp; </w:t>
      </w:r>
      <w:r w:rsidR="00FA5B14" w:rsidRPr="00922863">
        <w:t>Rahman</w:t>
      </w:r>
      <w:r w:rsidR="00FA5B14" w:rsidRPr="00FC6087">
        <w:t xml:space="preserve"> </w:t>
      </w:r>
      <w:r w:rsidR="00EE3E9C" w:rsidRPr="00FC6087">
        <w:t xml:space="preserve">2019; </w:t>
      </w:r>
      <w:r w:rsidRPr="00FC6087">
        <w:t>Kijsanayotin</w:t>
      </w:r>
      <w:r w:rsidR="00EE3E9C" w:rsidRPr="00FC6087">
        <w:t xml:space="preserve"> </w:t>
      </w:r>
      <w:r w:rsidR="00EE3E9C" w:rsidRPr="00FC6087">
        <w:rPr>
          <w:iCs/>
        </w:rPr>
        <w:t>et al.,</w:t>
      </w:r>
      <w:r w:rsidRPr="00FC6087">
        <w:t xml:space="preserve"> 2009</w:t>
      </w:r>
      <w:r w:rsidR="00EE3E9C" w:rsidRPr="00FC6087">
        <w:t>; Lin</w:t>
      </w:r>
      <w:r w:rsidR="005E7A62">
        <w:t xml:space="preserve"> &amp; </w:t>
      </w:r>
      <w:r w:rsidR="00EE3E9C" w:rsidRPr="00FC6087">
        <w:t>Anol, 2008; Nuq</w:t>
      </w:r>
      <w:r w:rsidR="005E7A62">
        <w:t xml:space="preserve"> &amp; </w:t>
      </w:r>
      <w:r w:rsidR="00EE3E9C" w:rsidRPr="00FC6087">
        <w:t>Auber, 2013</w:t>
      </w:r>
      <w:r w:rsidRPr="00FC6087">
        <w:t>; Schaper</w:t>
      </w:r>
      <w:r w:rsidR="005E7A62">
        <w:t xml:space="preserve"> &amp; </w:t>
      </w:r>
      <w:r w:rsidRPr="00FC6087">
        <w:t>Pervan, 2009). Healthcare stakeholders who do not feel technology is difficult to use will more readily turn to such systems in their operation (</w:t>
      </w:r>
      <w:r w:rsidR="004849FC" w:rsidRPr="00FC6087">
        <w:t>Aggelidis</w:t>
      </w:r>
      <w:r w:rsidR="005E7A62">
        <w:t xml:space="preserve"> &amp; </w:t>
      </w:r>
      <w:r w:rsidR="004849FC" w:rsidRPr="00FC6087">
        <w:t xml:space="preserve">Chatzoglou, 2009; </w:t>
      </w:r>
      <w:r w:rsidRPr="00FC6087">
        <w:t>Chang</w:t>
      </w:r>
      <w:r w:rsidR="00FA5B14">
        <w:t xml:space="preserve">, </w:t>
      </w:r>
      <w:r w:rsidR="00FA5B14" w:rsidRPr="00922863">
        <w:t>Hwang, Hung</w:t>
      </w:r>
      <w:r w:rsidR="00EF1A3D">
        <w:t>,</w:t>
      </w:r>
      <w:r w:rsidR="005E7A62">
        <w:t xml:space="preserve"> &amp; </w:t>
      </w:r>
      <w:r w:rsidR="00FA5B14" w:rsidRPr="00922863">
        <w:t>Li</w:t>
      </w:r>
      <w:r w:rsidRPr="00FC6087">
        <w:t xml:space="preserve"> 2007; Schaper</w:t>
      </w:r>
      <w:r w:rsidR="005E7A62">
        <w:t xml:space="preserve"> &amp; </w:t>
      </w:r>
      <w:r w:rsidRPr="00FC6087">
        <w:t>Pervan, 2009). However, there is no general consensus among scholars on the efficiency of effort expectancy as a predictor of the behavioral intentions of the abovementioned; some of them even dismiss the interplay between the two (e.g. Chau</w:t>
      </w:r>
      <w:r w:rsidR="005E7A62">
        <w:t xml:space="preserve"> &amp; </w:t>
      </w:r>
      <w:r w:rsidRPr="00FC6087">
        <w:t>Hu, 2002).</w:t>
      </w:r>
    </w:p>
    <w:p w14:paraId="7D51666C" w14:textId="2856B211" w:rsidR="008351E7" w:rsidRPr="00FC6087" w:rsidRDefault="008351E7" w:rsidP="009C1EAB">
      <w:pPr>
        <w:pStyle w:val="APAParagraph"/>
      </w:pPr>
      <w:r w:rsidRPr="00FC6087">
        <w:t>Kalavani</w:t>
      </w:r>
      <w:r w:rsidR="008F061A">
        <w:t xml:space="preserve"> </w:t>
      </w:r>
      <w:r w:rsidRPr="00FC6087">
        <w:rPr>
          <w:iCs/>
        </w:rPr>
        <w:t>et al.’s</w:t>
      </w:r>
      <w:r w:rsidRPr="00FC6087">
        <w:t xml:space="preserve"> (2018) examination of the determinants of health information systems (evidence</w:t>
      </w:r>
      <w:r w:rsidR="004849FC" w:rsidRPr="00FC6087">
        <w:t>-</w:t>
      </w:r>
      <w:r w:rsidRPr="00FC6087">
        <w:t xml:space="preserve">based medicine databases) by residents via UTAUT revealed that PE </w:t>
      </w:r>
      <w:r w:rsidR="004849FC" w:rsidRPr="00FC6087">
        <w:t>wa</w:t>
      </w:r>
      <w:r w:rsidRPr="00FC6087">
        <w:t>s the most important factor, followed by EE, FCs, and SI</w:t>
      </w:r>
      <w:r w:rsidR="004849FC" w:rsidRPr="00FC6087">
        <w:t>,</w:t>
      </w:r>
      <w:r w:rsidRPr="00FC6087">
        <w:t xml:space="preserve"> in this order. Various other authors </w:t>
      </w:r>
      <w:r w:rsidR="004849FC" w:rsidRPr="00FC6087">
        <w:t xml:space="preserve">have </w:t>
      </w:r>
      <w:r w:rsidRPr="00FC6087">
        <w:t>noted a strong connection between SI and stakeholders’ intention to adopt HIT (</w:t>
      </w:r>
      <w:r w:rsidR="00240C46" w:rsidRPr="00FC6087">
        <w:t>e.g.</w:t>
      </w:r>
      <w:r w:rsidR="008F061A">
        <w:t xml:space="preserve"> </w:t>
      </w:r>
      <w:r w:rsidR="00FA5B14">
        <w:t>Martins, Oliveira</w:t>
      </w:r>
      <w:r w:rsidR="00EF1A3D">
        <w:t>,</w:t>
      </w:r>
      <w:r w:rsidR="005E7A62">
        <w:t xml:space="preserve"> &amp; </w:t>
      </w:r>
      <w:r w:rsidR="00FA5B14" w:rsidRPr="00922863">
        <w:lastRenderedPageBreak/>
        <w:t>Popovič</w:t>
      </w:r>
      <w:r w:rsidR="00FA5B14">
        <w:t>,</w:t>
      </w:r>
      <w:r w:rsidR="00FA5B14" w:rsidRPr="00FC6087">
        <w:rPr>
          <w:iCs/>
        </w:rPr>
        <w:t xml:space="preserve"> </w:t>
      </w:r>
      <w:r w:rsidRPr="00FC6087">
        <w:rPr>
          <w:iCs/>
        </w:rPr>
        <w:t>2014; W</w:t>
      </w:r>
      <w:r w:rsidR="008F061A">
        <w:rPr>
          <w:iCs/>
        </w:rPr>
        <w:t>ill</w:t>
      </w:r>
      <w:r w:rsidR="00FA5B14">
        <w:rPr>
          <w:iCs/>
        </w:rPr>
        <w:t xml:space="preserve">s, </w:t>
      </w:r>
      <w:r w:rsidR="00FA5B14" w:rsidRPr="00922863">
        <w:t>El-Gayar</w:t>
      </w:r>
      <w:r w:rsidR="005E7A62">
        <w:t xml:space="preserve"> &amp; </w:t>
      </w:r>
      <w:r w:rsidR="00FA5B14" w:rsidRPr="00922863">
        <w:t>Bennett</w:t>
      </w:r>
      <w:r w:rsidR="00FA5B14">
        <w:t>,</w:t>
      </w:r>
      <w:r w:rsidR="00FA5B14" w:rsidRPr="00FC6087">
        <w:t xml:space="preserve"> </w:t>
      </w:r>
      <w:r w:rsidRPr="00FC6087">
        <w:t xml:space="preserve">2008). Other studies </w:t>
      </w:r>
      <w:r w:rsidR="00240C46" w:rsidRPr="00FC6087">
        <w:t xml:space="preserve">have </w:t>
      </w:r>
      <w:r w:rsidRPr="00FC6087">
        <w:t>show</w:t>
      </w:r>
      <w:r w:rsidR="00240C46" w:rsidRPr="00FC6087">
        <w:t>n</w:t>
      </w:r>
      <w:r w:rsidRPr="00FC6087">
        <w:t xml:space="preserve"> that infrastructure and logistics are </w:t>
      </w:r>
      <w:r w:rsidR="00240C46" w:rsidRPr="00FC6087">
        <w:t>vitally</w:t>
      </w:r>
      <w:r w:rsidRPr="00FC6087">
        <w:t xml:space="preserve"> important to the diffusion of health information systems (Bhattacherjee</w:t>
      </w:r>
      <w:r w:rsidR="005E7A62">
        <w:t xml:space="preserve"> &amp; </w:t>
      </w:r>
      <w:r w:rsidRPr="00FC6087">
        <w:t xml:space="preserve">Hikmet, 2008). </w:t>
      </w:r>
      <w:r w:rsidR="00240C46" w:rsidRPr="00FC6087">
        <w:t>in other words</w:t>
      </w:r>
      <w:r w:rsidRPr="00FC6087">
        <w:t>, FCs have a positive influence on the behavioral intentions and use of innovative e-health services (Boontarig</w:t>
      </w:r>
      <w:r w:rsidR="00FA5B14">
        <w:t>, Chutimaskul</w:t>
      </w:r>
      <w:r w:rsidR="00EF1A3D">
        <w:t>,</w:t>
      </w:r>
      <w:r w:rsidR="005E7A62">
        <w:t xml:space="preserve"> &amp; </w:t>
      </w:r>
      <w:r w:rsidR="00FA5B14" w:rsidRPr="00922863">
        <w:t>Chongsuphajaisiddhi</w:t>
      </w:r>
      <w:r w:rsidRPr="00FC6087">
        <w:rPr>
          <w:iCs/>
        </w:rPr>
        <w:t>,</w:t>
      </w:r>
      <w:r w:rsidRPr="00FC6087">
        <w:t xml:space="preserve"> 2012). </w:t>
      </w:r>
    </w:p>
    <w:p w14:paraId="7D51666D" w14:textId="265F20FE" w:rsidR="00367FD5" w:rsidRPr="00FC6087" w:rsidRDefault="008351E7" w:rsidP="009C1EAB">
      <w:pPr>
        <w:pStyle w:val="APAParagraph"/>
      </w:pPr>
      <w:r w:rsidRPr="00FC6087">
        <w:t xml:space="preserve">The literature </w:t>
      </w:r>
      <w:r w:rsidR="00240C46" w:rsidRPr="00FC6087">
        <w:t xml:space="preserve">has </w:t>
      </w:r>
      <w:r w:rsidRPr="00FC6087">
        <w:t>emphasized that PE and EE both have a major impact on physician adoption of EHR</w:t>
      </w:r>
      <w:r w:rsidR="00CD197F" w:rsidRPr="00FC6087">
        <w:t>s</w:t>
      </w:r>
      <w:r w:rsidRPr="00FC6087">
        <w:t xml:space="preserve"> (Hennington</w:t>
      </w:r>
      <w:r w:rsidR="005E7A62">
        <w:t xml:space="preserve"> &amp; </w:t>
      </w:r>
      <w:r w:rsidRPr="00FC6087">
        <w:t xml:space="preserve">Janz, 2007). Other authors </w:t>
      </w:r>
      <w:r w:rsidR="00CD197F" w:rsidRPr="00FC6087">
        <w:t xml:space="preserve">have </w:t>
      </w:r>
      <w:r w:rsidRPr="00FC6087">
        <w:t>point</w:t>
      </w:r>
      <w:r w:rsidR="00CD197F" w:rsidRPr="00FC6087">
        <w:t>ed</w:t>
      </w:r>
      <w:r w:rsidRPr="00FC6087">
        <w:t xml:space="preserve"> out a significant nexus between PE and EE </w:t>
      </w:r>
      <w:r w:rsidR="00CD197F" w:rsidRPr="00FC6087">
        <w:t>in</w:t>
      </w:r>
      <w:r w:rsidRPr="00FC6087">
        <w:t xml:space="preserve"> HIT acceptance/use (Phichitchaisopa</w:t>
      </w:r>
      <w:r w:rsidR="005E7A62">
        <w:t xml:space="preserve"> &amp; </w:t>
      </w:r>
      <w:r w:rsidRPr="00FC6087">
        <w:t xml:space="preserve">Naenna, 2013). Researchers </w:t>
      </w:r>
      <w:r w:rsidR="00CD197F" w:rsidRPr="00FC6087">
        <w:t xml:space="preserve">have </w:t>
      </w:r>
      <w:r w:rsidRPr="00FC6087">
        <w:t>also indicate</w:t>
      </w:r>
      <w:r w:rsidR="00CD197F" w:rsidRPr="00FC6087">
        <w:t>d</w:t>
      </w:r>
      <w:r w:rsidRPr="00FC6087">
        <w:t xml:space="preserve"> a substantial interplay between PE and SI </w:t>
      </w:r>
      <w:r w:rsidR="00CD197F" w:rsidRPr="00FC6087">
        <w:t>in</w:t>
      </w:r>
      <w:r w:rsidRPr="00FC6087">
        <w:t xml:space="preserve"> the adoption of EHR</w:t>
      </w:r>
      <w:r w:rsidR="00CD197F" w:rsidRPr="00FC6087">
        <w:t>s</w:t>
      </w:r>
      <w:r w:rsidRPr="00FC6087">
        <w:t xml:space="preserve"> (Holtz</w:t>
      </w:r>
      <w:r w:rsidR="005E7A62">
        <w:t xml:space="preserve"> &amp; </w:t>
      </w:r>
      <w:r w:rsidRPr="00FC6087">
        <w:t>Krein, 2011). SI becomes even more important when healthcare stakeholders do not have enough experience with online services (Al Awadhi</w:t>
      </w:r>
      <w:r w:rsidR="005E7A62">
        <w:t xml:space="preserve"> &amp; </w:t>
      </w:r>
      <w:r w:rsidRPr="00FC6087">
        <w:t xml:space="preserve">Morris, 2008). Furthermore, SI is essential for the adoption of electronic medical records (Wills </w:t>
      </w:r>
      <w:r w:rsidRPr="00FC6087">
        <w:rPr>
          <w:iCs/>
        </w:rPr>
        <w:t xml:space="preserve">et al., </w:t>
      </w:r>
      <w:r w:rsidRPr="00FC6087">
        <w:t>2008). Table 3.2 lists some of the most significance research in the field of healthcare employing UTAUT theory.</w:t>
      </w:r>
    </w:p>
    <w:p w14:paraId="7D51666E" w14:textId="77777777" w:rsidR="008351E7" w:rsidRPr="00FC6087" w:rsidRDefault="008351E7" w:rsidP="009C1EAB">
      <w:pPr>
        <w:pStyle w:val="APAParagraph"/>
      </w:pPr>
    </w:p>
    <w:p w14:paraId="7D51666F" w14:textId="213CCFD6" w:rsidR="008351E7" w:rsidRPr="00790070" w:rsidRDefault="008351E7" w:rsidP="00790070">
      <w:pPr>
        <w:spacing w:line="480" w:lineRule="auto"/>
        <w:rPr>
          <w:i/>
          <w:lang w:bidi="ar-DZ"/>
        </w:rPr>
      </w:pPr>
      <w:r w:rsidRPr="00A76642">
        <w:t>Table 3.2</w:t>
      </w:r>
      <w:r w:rsidR="00EF1A3D" w:rsidRPr="00A76642">
        <w:br/>
      </w:r>
      <w:r w:rsidRPr="00A76642">
        <w:rPr>
          <w:i/>
          <w:lang w:bidi="ar-DZ"/>
        </w:rPr>
        <w:t>Summary of UTAUT Use in Healthcare Research</w:t>
      </w:r>
    </w:p>
    <w:tbl>
      <w:tblPr>
        <w:tblStyle w:val="LightShading1"/>
        <w:tblW w:w="7892" w:type="dxa"/>
        <w:tblCellMar>
          <w:top w:w="57" w:type="dxa"/>
          <w:bottom w:w="57" w:type="dxa"/>
        </w:tblCellMar>
        <w:tblLook w:val="04A0" w:firstRow="1" w:lastRow="0" w:firstColumn="1" w:lastColumn="0" w:noHBand="0" w:noVBand="1"/>
      </w:tblPr>
      <w:tblGrid>
        <w:gridCol w:w="1973"/>
        <w:gridCol w:w="1973"/>
        <w:gridCol w:w="1973"/>
        <w:gridCol w:w="1973"/>
      </w:tblGrid>
      <w:tr w:rsidR="008351E7" w:rsidRPr="00FC6087" w14:paraId="7D516674" w14:textId="77777777" w:rsidTr="006D69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73" w:type="dxa"/>
            <w:tcBorders>
              <w:top w:val="single" w:sz="18" w:space="0" w:color="auto"/>
              <w:bottom w:val="single" w:sz="12" w:space="0" w:color="auto"/>
            </w:tcBorders>
            <w:shd w:val="clear" w:color="auto" w:fill="auto"/>
          </w:tcPr>
          <w:p w14:paraId="7D516670" w14:textId="77777777" w:rsidR="008351E7" w:rsidRPr="00C0447D" w:rsidRDefault="008351E7" w:rsidP="002C07D1">
            <w:pPr>
              <w:spacing w:line="480" w:lineRule="auto"/>
              <w:ind w:left="113"/>
              <w:rPr>
                <w:b w:val="0"/>
                <w:iCs/>
                <w:color w:val="auto"/>
                <w:lang w:bidi="ar-DZ"/>
              </w:rPr>
            </w:pPr>
            <w:r w:rsidRPr="00C0447D">
              <w:rPr>
                <w:iCs/>
                <w:color w:val="auto"/>
              </w:rPr>
              <w:t>Author</w:t>
            </w:r>
          </w:p>
        </w:tc>
        <w:tc>
          <w:tcPr>
            <w:tcW w:w="1973" w:type="dxa"/>
            <w:tcBorders>
              <w:top w:val="single" w:sz="18" w:space="0" w:color="auto"/>
              <w:bottom w:val="single" w:sz="12" w:space="0" w:color="auto"/>
            </w:tcBorders>
            <w:shd w:val="clear" w:color="auto" w:fill="auto"/>
          </w:tcPr>
          <w:p w14:paraId="7D516671" w14:textId="77777777" w:rsidR="008351E7" w:rsidRPr="00C0447D" w:rsidRDefault="008351E7" w:rsidP="002C07D1">
            <w:pPr>
              <w:spacing w:line="480" w:lineRule="auto"/>
              <w:cnfStyle w:val="100000000000" w:firstRow="1" w:lastRow="0" w:firstColumn="0" w:lastColumn="0" w:oddVBand="0" w:evenVBand="0" w:oddHBand="0" w:evenHBand="0" w:firstRowFirstColumn="0" w:firstRowLastColumn="0" w:lastRowFirstColumn="0" w:lastRowLastColumn="0"/>
              <w:rPr>
                <w:b w:val="0"/>
                <w:iCs/>
                <w:color w:val="auto"/>
              </w:rPr>
            </w:pPr>
            <w:r w:rsidRPr="00C0447D">
              <w:rPr>
                <w:iCs/>
                <w:color w:val="auto"/>
              </w:rPr>
              <w:t>Type of Research</w:t>
            </w:r>
          </w:p>
        </w:tc>
        <w:tc>
          <w:tcPr>
            <w:tcW w:w="1973" w:type="dxa"/>
            <w:tcBorders>
              <w:top w:val="single" w:sz="18" w:space="0" w:color="auto"/>
              <w:bottom w:val="single" w:sz="12" w:space="0" w:color="auto"/>
            </w:tcBorders>
            <w:shd w:val="clear" w:color="auto" w:fill="auto"/>
          </w:tcPr>
          <w:p w14:paraId="7D516672" w14:textId="77777777" w:rsidR="008351E7" w:rsidRPr="00C0447D" w:rsidRDefault="008351E7" w:rsidP="002C07D1">
            <w:pPr>
              <w:spacing w:line="480" w:lineRule="auto"/>
              <w:cnfStyle w:val="100000000000" w:firstRow="1" w:lastRow="0" w:firstColumn="0" w:lastColumn="0" w:oddVBand="0" w:evenVBand="0" w:oddHBand="0" w:evenHBand="0" w:firstRowFirstColumn="0" w:firstRowLastColumn="0" w:lastRowFirstColumn="0" w:lastRowLastColumn="0"/>
              <w:rPr>
                <w:b w:val="0"/>
                <w:iCs/>
                <w:color w:val="auto"/>
              </w:rPr>
            </w:pPr>
            <w:r w:rsidRPr="00C0447D">
              <w:rPr>
                <w:iCs/>
                <w:color w:val="auto"/>
              </w:rPr>
              <w:t>Employees Involved</w:t>
            </w:r>
          </w:p>
        </w:tc>
        <w:tc>
          <w:tcPr>
            <w:tcW w:w="1973" w:type="dxa"/>
            <w:tcBorders>
              <w:top w:val="single" w:sz="18" w:space="0" w:color="auto"/>
              <w:bottom w:val="single" w:sz="12" w:space="0" w:color="auto"/>
            </w:tcBorders>
            <w:shd w:val="clear" w:color="auto" w:fill="auto"/>
          </w:tcPr>
          <w:p w14:paraId="7D516673" w14:textId="77777777" w:rsidR="008351E7" w:rsidRPr="00C0447D" w:rsidRDefault="008351E7" w:rsidP="002C07D1">
            <w:pPr>
              <w:spacing w:line="480" w:lineRule="auto"/>
              <w:cnfStyle w:val="100000000000" w:firstRow="1" w:lastRow="0" w:firstColumn="0" w:lastColumn="0" w:oddVBand="0" w:evenVBand="0" w:oddHBand="0" w:evenHBand="0" w:firstRowFirstColumn="0" w:firstRowLastColumn="0" w:lastRowFirstColumn="0" w:lastRowLastColumn="0"/>
              <w:rPr>
                <w:b w:val="0"/>
                <w:iCs/>
                <w:color w:val="auto"/>
              </w:rPr>
            </w:pPr>
            <w:r w:rsidRPr="00C0447D">
              <w:rPr>
                <w:iCs/>
                <w:color w:val="auto"/>
              </w:rPr>
              <w:t>Type of Data</w:t>
            </w:r>
          </w:p>
        </w:tc>
      </w:tr>
      <w:tr w:rsidR="008351E7" w:rsidRPr="00FC6087" w14:paraId="7D516679" w14:textId="77777777" w:rsidTr="006D6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tcBorders>
              <w:top w:val="single" w:sz="12" w:space="0" w:color="auto"/>
            </w:tcBorders>
            <w:shd w:val="clear" w:color="auto" w:fill="auto"/>
          </w:tcPr>
          <w:p w14:paraId="7D516675" w14:textId="77777777" w:rsidR="008351E7" w:rsidRPr="006B2498" w:rsidRDefault="00F771A1" w:rsidP="002C07D1">
            <w:pPr>
              <w:spacing w:line="480" w:lineRule="auto"/>
              <w:rPr>
                <w:b w:val="0"/>
                <w:bCs w:val="0"/>
                <w:iCs/>
                <w:color w:val="auto"/>
              </w:rPr>
            </w:pPr>
            <w:hyperlink r:id="rId38" w:history="1">
              <w:r w:rsidR="008351E7" w:rsidRPr="00C0447D">
                <w:rPr>
                  <w:iCs/>
                  <w:color w:val="auto"/>
                </w:rPr>
                <w:t>Ifinedo</w:t>
              </w:r>
            </w:hyperlink>
            <w:r w:rsidR="008351E7" w:rsidRPr="00C0447D">
              <w:rPr>
                <w:b w:val="0"/>
                <w:bCs w:val="0"/>
                <w:iCs/>
                <w:color w:val="auto"/>
              </w:rPr>
              <w:t xml:space="preserve"> (2012)</w:t>
            </w:r>
          </w:p>
        </w:tc>
        <w:tc>
          <w:tcPr>
            <w:tcW w:w="1973" w:type="dxa"/>
            <w:tcBorders>
              <w:top w:val="single" w:sz="12" w:space="0" w:color="auto"/>
            </w:tcBorders>
            <w:shd w:val="clear" w:color="auto" w:fill="auto"/>
          </w:tcPr>
          <w:p w14:paraId="7D516676"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Qualitative</w:t>
            </w:r>
          </w:p>
        </w:tc>
        <w:tc>
          <w:tcPr>
            <w:tcW w:w="1973" w:type="dxa"/>
            <w:tcBorders>
              <w:top w:val="single" w:sz="12" w:space="0" w:color="auto"/>
            </w:tcBorders>
            <w:shd w:val="clear" w:color="auto" w:fill="auto"/>
          </w:tcPr>
          <w:p w14:paraId="7D516677"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 xml:space="preserve">227 healthcare </w:t>
            </w:r>
            <w:r w:rsidRPr="00FC6087">
              <w:rPr>
                <w:color w:val="auto"/>
              </w:rPr>
              <w:lastRenderedPageBreak/>
              <w:t>professionals</w:t>
            </w:r>
          </w:p>
        </w:tc>
        <w:tc>
          <w:tcPr>
            <w:tcW w:w="1973" w:type="dxa"/>
            <w:tcBorders>
              <w:top w:val="single" w:sz="12" w:space="0" w:color="auto"/>
            </w:tcBorders>
            <w:shd w:val="clear" w:color="auto" w:fill="auto"/>
          </w:tcPr>
          <w:p w14:paraId="7D516678"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lastRenderedPageBreak/>
              <w:t>Survey</w:t>
            </w:r>
          </w:p>
        </w:tc>
      </w:tr>
      <w:tr w:rsidR="008351E7" w:rsidRPr="00FC6087" w14:paraId="7D51667E" w14:textId="77777777" w:rsidTr="006D69FF">
        <w:tc>
          <w:tcPr>
            <w:cnfStyle w:val="001000000000" w:firstRow="0" w:lastRow="0" w:firstColumn="1" w:lastColumn="0" w:oddVBand="0" w:evenVBand="0" w:oddHBand="0" w:evenHBand="0" w:firstRowFirstColumn="0" w:firstRowLastColumn="0" w:lastRowFirstColumn="0" w:lastRowLastColumn="0"/>
            <w:tcW w:w="1973" w:type="dxa"/>
            <w:shd w:val="clear" w:color="auto" w:fill="auto"/>
          </w:tcPr>
          <w:p w14:paraId="7D51667A" w14:textId="77777777" w:rsidR="008351E7" w:rsidRPr="006B2498" w:rsidRDefault="008351E7" w:rsidP="002C07D1">
            <w:pPr>
              <w:spacing w:line="480" w:lineRule="auto"/>
              <w:rPr>
                <w:b w:val="0"/>
                <w:bCs w:val="0"/>
                <w:iCs/>
                <w:color w:val="auto"/>
              </w:rPr>
            </w:pPr>
            <w:r w:rsidRPr="00C0447D">
              <w:rPr>
                <w:iCs/>
                <w:color w:val="auto"/>
              </w:rPr>
              <w:t>Hoque and Sorwar (2017)</w:t>
            </w:r>
          </w:p>
        </w:tc>
        <w:tc>
          <w:tcPr>
            <w:tcW w:w="1973" w:type="dxa"/>
            <w:shd w:val="clear" w:color="auto" w:fill="auto"/>
          </w:tcPr>
          <w:p w14:paraId="7D51667B"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Qualitative</w:t>
            </w:r>
          </w:p>
        </w:tc>
        <w:tc>
          <w:tcPr>
            <w:tcW w:w="1973" w:type="dxa"/>
            <w:shd w:val="clear" w:color="auto" w:fill="auto"/>
          </w:tcPr>
          <w:p w14:paraId="7D51667C"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300 participants of age 60 years</w:t>
            </w:r>
          </w:p>
        </w:tc>
        <w:tc>
          <w:tcPr>
            <w:tcW w:w="1973" w:type="dxa"/>
            <w:shd w:val="clear" w:color="auto" w:fill="auto"/>
          </w:tcPr>
          <w:p w14:paraId="7D51667D"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Face-to-face structured questionnaire survey</w:t>
            </w:r>
          </w:p>
        </w:tc>
      </w:tr>
      <w:tr w:rsidR="008351E7" w:rsidRPr="00FC6087" w14:paraId="7D516683" w14:textId="77777777" w:rsidTr="006D6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shd w:val="clear" w:color="auto" w:fill="auto"/>
          </w:tcPr>
          <w:p w14:paraId="7D51667F" w14:textId="77777777" w:rsidR="008351E7" w:rsidRPr="006B2498" w:rsidRDefault="008351E7" w:rsidP="002C07D1">
            <w:pPr>
              <w:spacing w:line="480" w:lineRule="auto"/>
              <w:rPr>
                <w:b w:val="0"/>
                <w:bCs w:val="0"/>
                <w:iCs/>
                <w:color w:val="auto"/>
                <w:lang w:bidi="ar-DZ"/>
              </w:rPr>
            </w:pPr>
            <w:r w:rsidRPr="00C0447D">
              <w:rPr>
                <w:iCs/>
                <w:color w:val="auto"/>
              </w:rPr>
              <w:t>Kalavani et al. (2018)</w:t>
            </w:r>
          </w:p>
        </w:tc>
        <w:tc>
          <w:tcPr>
            <w:tcW w:w="1973" w:type="dxa"/>
            <w:shd w:val="clear" w:color="auto" w:fill="auto"/>
          </w:tcPr>
          <w:p w14:paraId="7D516680"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Qualitative</w:t>
            </w:r>
          </w:p>
        </w:tc>
        <w:tc>
          <w:tcPr>
            <w:tcW w:w="1973" w:type="dxa"/>
            <w:shd w:val="clear" w:color="auto" w:fill="auto"/>
          </w:tcPr>
          <w:p w14:paraId="7D516681"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192 medical residents</w:t>
            </w:r>
          </w:p>
        </w:tc>
        <w:tc>
          <w:tcPr>
            <w:tcW w:w="1973" w:type="dxa"/>
            <w:shd w:val="clear" w:color="auto" w:fill="auto"/>
          </w:tcPr>
          <w:p w14:paraId="7D516682"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Applied survey</w:t>
            </w:r>
          </w:p>
        </w:tc>
      </w:tr>
      <w:tr w:rsidR="008351E7" w:rsidRPr="00FC6087" w14:paraId="7D516688" w14:textId="77777777" w:rsidTr="006D69FF">
        <w:trPr>
          <w:trHeight w:val="676"/>
        </w:trPr>
        <w:tc>
          <w:tcPr>
            <w:cnfStyle w:val="001000000000" w:firstRow="0" w:lastRow="0" w:firstColumn="1" w:lastColumn="0" w:oddVBand="0" w:evenVBand="0" w:oddHBand="0" w:evenHBand="0" w:firstRowFirstColumn="0" w:firstRowLastColumn="0" w:lastRowFirstColumn="0" w:lastRowLastColumn="0"/>
            <w:tcW w:w="1973" w:type="dxa"/>
            <w:shd w:val="clear" w:color="auto" w:fill="auto"/>
          </w:tcPr>
          <w:p w14:paraId="7D516684" w14:textId="77777777" w:rsidR="008351E7" w:rsidRPr="006B2498" w:rsidRDefault="008351E7" w:rsidP="002C07D1">
            <w:pPr>
              <w:spacing w:line="480" w:lineRule="auto"/>
              <w:rPr>
                <w:b w:val="0"/>
                <w:bCs w:val="0"/>
                <w:iCs/>
                <w:color w:val="auto"/>
              </w:rPr>
            </w:pPr>
            <w:r w:rsidRPr="00C0447D">
              <w:rPr>
                <w:iCs/>
                <w:color w:val="auto"/>
              </w:rPr>
              <w:t xml:space="preserve">Bawack and Kamdjoug (2018) </w:t>
            </w:r>
          </w:p>
        </w:tc>
        <w:tc>
          <w:tcPr>
            <w:tcW w:w="1973" w:type="dxa"/>
            <w:shd w:val="clear" w:color="auto" w:fill="auto"/>
          </w:tcPr>
          <w:p w14:paraId="7D516685"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 xml:space="preserve">Qualitative </w:t>
            </w:r>
          </w:p>
        </w:tc>
        <w:tc>
          <w:tcPr>
            <w:tcW w:w="1973" w:type="dxa"/>
            <w:shd w:val="clear" w:color="auto" w:fill="auto"/>
          </w:tcPr>
          <w:p w14:paraId="7D516686"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286 clinicians with licenses to practice medicine</w:t>
            </w:r>
          </w:p>
        </w:tc>
        <w:tc>
          <w:tcPr>
            <w:tcW w:w="1973" w:type="dxa"/>
            <w:shd w:val="clear" w:color="auto" w:fill="auto"/>
          </w:tcPr>
          <w:p w14:paraId="7D516687"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A paper-based questionnaire</w:t>
            </w:r>
          </w:p>
        </w:tc>
      </w:tr>
      <w:tr w:rsidR="008351E7" w:rsidRPr="00FC6087" w14:paraId="7D51668D" w14:textId="77777777" w:rsidTr="006D69FF">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973" w:type="dxa"/>
            <w:shd w:val="clear" w:color="auto" w:fill="auto"/>
          </w:tcPr>
          <w:p w14:paraId="7D516689" w14:textId="34FE15F7" w:rsidR="008351E7" w:rsidRPr="006B2498" w:rsidRDefault="008351E7" w:rsidP="002C07D1">
            <w:pPr>
              <w:spacing w:line="480" w:lineRule="auto"/>
              <w:rPr>
                <w:b w:val="0"/>
                <w:bCs w:val="0"/>
                <w:iCs/>
                <w:color w:val="auto"/>
              </w:rPr>
            </w:pPr>
            <w:r w:rsidRPr="00C0447D">
              <w:rPr>
                <w:iCs/>
                <w:color w:val="auto"/>
              </w:rPr>
              <w:t>Venkatesh</w:t>
            </w:r>
            <w:r w:rsidR="00FA5B14" w:rsidRPr="00C0447D">
              <w:rPr>
                <w:iCs/>
                <w:color w:val="auto"/>
              </w:rPr>
              <w:t xml:space="preserve">, </w:t>
            </w:r>
            <w:r w:rsidR="00FA5B14" w:rsidRPr="00C0447D">
              <w:rPr>
                <w:color w:val="auto"/>
              </w:rPr>
              <w:t>Sykes</w:t>
            </w:r>
            <w:r w:rsidR="00EF1A3D" w:rsidRPr="00C0447D">
              <w:rPr>
                <w:b w:val="0"/>
                <w:color w:val="auto"/>
              </w:rPr>
              <w:t>,</w:t>
            </w:r>
            <w:r w:rsidR="00FA5B14" w:rsidRPr="00C0447D">
              <w:rPr>
                <w:color w:val="auto"/>
              </w:rPr>
              <w:t xml:space="preserve"> </w:t>
            </w:r>
            <w:r w:rsidR="00EF1A3D" w:rsidRPr="00C0447D">
              <w:rPr>
                <w:b w:val="0"/>
                <w:color w:val="auto"/>
              </w:rPr>
              <w:t xml:space="preserve">and </w:t>
            </w:r>
            <w:r w:rsidR="00FA5B14" w:rsidRPr="00C0447D">
              <w:rPr>
                <w:color w:val="auto"/>
              </w:rPr>
              <w:t>Zhang</w:t>
            </w:r>
            <w:r w:rsidRPr="00C0447D">
              <w:rPr>
                <w:iCs/>
                <w:color w:val="auto"/>
              </w:rPr>
              <w:t xml:space="preserve"> (2011)</w:t>
            </w:r>
          </w:p>
        </w:tc>
        <w:tc>
          <w:tcPr>
            <w:tcW w:w="1973" w:type="dxa"/>
            <w:shd w:val="clear" w:color="auto" w:fill="auto"/>
          </w:tcPr>
          <w:p w14:paraId="7D51668A"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Qualitative</w:t>
            </w:r>
          </w:p>
        </w:tc>
        <w:tc>
          <w:tcPr>
            <w:tcW w:w="1973" w:type="dxa"/>
            <w:shd w:val="clear" w:color="auto" w:fill="auto"/>
          </w:tcPr>
          <w:p w14:paraId="7D51668B"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141 doctors</w:t>
            </w:r>
          </w:p>
        </w:tc>
        <w:tc>
          <w:tcPr>
            <w:tcW w:w="1973" w:type="dxa"/>
            <w:shd w:val="clear" w:color="auto" w:fill="auto"/>
          </w:tcPr>
          <w:p w14:paraId="7D51668C"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Three waves of survey</w:t>
            </w:r>
          </w:p>
        </w:tc>
      </w:tr>
      <w:tr w:rsidR="008351E7" w:rsidRPr="00FC6087" w14:paraId="7D516692" w14:textId="77777777" w:rsidTr="006D69FF">
        <w:tc>
          <w:tcPr>
            <w:cnfStyle w:val="001000000000" w:firstRow="0" w:lastRow="0" w:firstColumn="1" w:lastColumn="0" w:oddVBand="0" w:evenVBand="0" w:oddHBand="0" w:evenHBand="0" w:firstRowFirstColumn="0" w:firstRowLastColumn="0" w:lastRowFirstColumn="0" w:lastRowLastColumn="0"/>
            <w:tcW w:w="1973" w:type="dxa"/>
            <w:shd w:val="clear" w:color="auto" w:fill="auto"/>
          </w:tcPr>
          <w:p w14:paraId="7D51668E" w14:textId="77777777" w:rsidR="008351E7" w:rsidRPr="006B2498" w:rsidRDefault="008351E7" w:rsidP="002C07D1">
            <w:pPr>
              <w:spacing w:line="480" w:lineRule="auto"/>
              <w:rPr>
                <w:b w:val="0"/>
                <w:bCs w:val="0"/>
                <w:iCs/>
                <w:color w:val="auto"/>
              </w:rPr>
            </w:pPr>
            <w:r w:rsidRPr="00C0447D">
              <w:rPr>
                <w:iCs/>
                <w:color w:val="auto"/>
              </w:rPr>
              <w:t>Hossain et al. (2019)</w:t>
            </w:r>
          </w:p>
        </w:tc>
        <w:tc>
          <w:tcPr>
            <w:tcW w:w="1973" w:type="dxa"/>
            <w:shd w:val="clear" w:color="auto" w:fill="auto"/>
          </w:tcPr>
          <w:p w14:paraId="7D51668F"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Qualitative</w:t>
            </w:r>
          </w:p>
        </w:tc>
        <w:tc>
          <w:tcPr>
            <w:tcW w:w="1973" w:type="dxa"/>
            <w:shd w:val="clear" w:color="auto" w:fill="auto"/>
          </w:tcPr>
          <w:p w14:paraId="7D516690"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 xml:space="preserve">300 participants in different private and public hospitals </w:t>
            </w:r>
          </w:p>
        </w:tc>
        <w:tc>
          <w:tcPr>
            <w:tcW w:w="1973" w:type="dxa"/>
            <w:shd w:val="clear" w:color="auto" w:fill="auto"/>
          </w:tcPr>
          <w:p w14:paraId="7D516691" w14:textId="77777777" w:rsidR="008351E7" w:rsidRPr="00FC6087" w:rsidRDefault="008351E7" w:rsidP="002C07D1">
            <w:pPr>
              <w:keepNext/>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Cross-sectional survey questionnaire</w:t>
            </w:r>
          </w:p>
        </w:tc>
      </w:tr>
      <w:tr w:rsidR="008351E7" w:rsidRPr="00FC6087" w14:paraId="7D516697" w14:textId="77777777" w:rsidTr="006D6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shd w:val="clear" w:color="auto" w:fill="auto"/>
          </w:tcPr>
          <w:p w14:paraId="7D516693" w14:textId="77777777" w:rsidR="008351E7" w:rsidRPr="006B2498" w:rsidRDefault="008351E7" w:rsidP="002C07D1">
            <w:pPr>
              <w:spacing w:line="480" w:lineRule="auto"/>
              <w:rPr>
                <w:b w:val="0"/>
                <w:bCs w:val="0"/>
                <w:iCs/>
                <w:color w:val="auto"/>
              </w:rPr>
            </w:pPr>
            <w:r w:rsidRPr="00C0447D">
              <w:rPr>
                <w:iCs/>
                <w:color w:val="auto"/>
              </w:rPr>
              <w:t xml:space="preserve">Kijsanayotin et </w:t>
            </w:r>
            <w:r w:rsidRPr="00C0447D">
              <w:rPr>
                <w:iCs/>
                <w:color w:val="auto"/>
              </w:rPr>
              <w:lastRenderedPageBreak/>
              <w:t xml:space="preserve">al. (2009) </w:t>
            </w:r>
          </w:p>
        </w:tc>
        <w:tc>
          <w:tcPr>
            <w:tcW w:w="1973" w:type="dxa"/>
            <w:shd w:val="clear" w:color="auto" w:fill="auto"/>
          </w:tcPr>
          <w:p w14:paraId="7D516694"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lastRenderedPageBreak/>
              <w:t>Qualitative</w:t>
            </w:r>
          </w:p>
        </w:tc>
        <w:tc>
          <w:tcPr>
            <w:tcW w:w="1973" w:type="dxa"/>
            <w:shd w:val="clear" w:color="auto" w:fill="auto"/>
          </w:tcPr>
          <w:p w14:paraId="7D516695"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 xml:space="preserve">1607 regionally </w:t>
            </w:r>
            <w:r w:rsidRPr="00FC6087">
              <w:rPr>
                <w:color w:val="auto"/>
              </w:rPr>
              <w:lastRenderedPageBreak/>
              <w:t>stratified community health centers</w:t>
            </w:r>
          </w:p>
        </w:tc>
        <w:tc>
          <w:tcPr>
            <w:tcW w:w="1973" w:type="dxa"/>
            <w:shd w:val="clear" w:color="auto" w:fill="auto"/>
          </w:tcPr>
          <w:p w14:paraId="7D516696" w14:textId="0495D500" w:rsidR="008351E7" w:rsidRPr="00FC6087" w:rsidRDefault="008351E7" w:rsidP="002C07D1">
            <w:pPr>
              <w:keepNext/>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lastRenderedPageBreak/>
              <w:t xml:space="preserve">Observational </w:t>
            </w:r>
            <w:r w:rsidRPr="00FC6087">
              <w:rPr>
                <w:color w:val="auto"/>
              </w:rPr>
              <w:lastRenderedPageBreak/>
              <w:t xml:space="preserve">research design; </w:t>
            </w:r>
            <w:r w:rsidR="00A10AF9" w:rsidRPr="00FC6087">
              <w:rPr>
                <w:color w:val="auto"/>
              </w:rPr>
              <w:t>C</w:t>
            </w:r>
            <w:r w:rsidRPr="00FC6087">
              <w:rPr>
                <w:color w:val="auto"/>
              </w:rPr>
              <w:t>ross-sectional survey</w:t>
            </w:r>
            <w:r w:rsidR="00EF1A3D">
              <w:rPr>
                <w:color w:val="auto"/>
              </w:rPr>
              <w:t xml:space="preserve"> </w:t>
            </w:r>
            <w:r w:rsidRPr="00FC6087">
              <w:rPr>
                <w:color w:val="auto"/>
              </w:rPr>
              <w:t>by means of self-administered questionnaire</w:t>
            </w:r>
          </w:p>
        </w:tc>
      </w:tr>
      <w:tr w:rsidR="008351E7" w:rsidRPr="00FC6087" w14:paraId="7D51669C" w14:textId="77777777" w:rsidTr="006D69FF">
        <w:tc>
          <w:tcPr>
            <w:cnfStyle w:val="001000000000" w:firstRow="0" w:lastRow="0" w:firstColumn="1" w:lastColumn="0" w:oddVBand="0" w:evenVBand="0" w:oddHBand="0" w:evenHBand="0" w:firstRowFirstColumn="0" w:firstRowLastColumn="0" w:lastRowFirstColumn="0" w:lastRowLastColumn="0"/>
            <w:tcW w:w="1973" w:type="dxa"/>
            <w:shd w:val="clear" w:color="auto" w:fill="auto"/>
          </w:tcPr>
          <w:p w14:paraId="7D516698" w14:textId="77777777" w:rsidR="008351E7" w:rsidRPr="006B2498" w:rsidRDefault="008351E7" w:rsidP="002C07D1">
            <w:pPr>
              <w:spacing w:line="480" w:lineRule="auto"/>
              <w:rPr>
                <w:b w:val="0"/>
                <w:bCs w:val="0"/>
                <w:iCs/>
                <w:color w:val="auto"/>
              </w:rPr>
            </w:pPr>
            <w:r w:rsidRPr="00C0447D">
              <w:rPr>
                <w:iCs/>
                <w:color w:val="auto"/>
              </w:rPr>
              <w:lastRenderedPageBreak/>
              <w:t>Jewer (2018)</w:t>
            </w:r>
          </w:p>
        </w:tc>
        <w:tc>
          <w:tcPr>
            <w:tcW w:w="1973" w:type="dxa"/>
            <w:shd w:val="clear" w:color="auto" w:fill="auto"/>
          </w:tcPr>
          <w:p w14:paraId="7D516699"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Qualitative</w:t>
            </w:r>
          </w:p>
        </w:tc>
        <w:tc>
          <w:tcPr>
            <w:tcW w:w="1973" w:type="dxa"/>
            <w:shd w:val="clear" w:color="auto" w:fill="auto"/>
          </w:tcPr>
          <w:p w14:paraId="7D51669A"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118 patients</w:t>
            </w:r>
          </w:p>
        </w:tc>
        <w:tc>
          <w:tcPr>
            <w:tcW w:w="1973" w:type="dxa"/>
            <w:shd w:val="clear" w:color="auto" w:fill="auto"/>
          </w:tcPr>
          <w:p w14:paraId="7D51669B" w14:textId="77777777" w:rsidR="008351E7" w:rsidRPr="00FC6087" w:rsidRDefault="008351E7" w:rsidP="002C07D1">
            <w:pPr>
              <w:keepNext/>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Survey</w:t>
            </w:r>
          </w:p>
        </w:tc>
      </w:tr>
      <w:tr w:rsidR="008351E7" w:rsidRPr="00FC6087" w14:paraId="7D5166A1" w14:textId="77777777" w:rsidTr="006D6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shd w:val="clear" w:color="auto" w:fill="auto"/>
          </w:tcPr>
          <w:p w14:paraId="7D51669D" w14:textId="129D7AAD" w:rsidR="008351E7" w:rsidRPr="006B2498" w:rsidRDefault="008351E7" w:rsidP="002C07D1">
            <w:pPr>
              <w:spacing w:line="480" w:lineRule="auto"/>
              <w:rPr>
                <w:b w:val="0"/>
                <w:bCs w:val="0"/>
                <w:iCs/>
                <w:color w:val="auto"/>
              </w:rPr>
            </w:pPr>
            <w:r w:rsidRPr="00C0447D">
              <w:rPr>
                <w:iCs/>
                <w:color w:val="auto"/>
              </w:rPr>
              <w:t>Maillet</w:t>
            </w:r>
            <w:r w:rsidR="00FA5B14" w:rsidRPr="00C0447D">
              <w:rPr>
                <w:iCs/>
                <w:color w:val="auto"/>
              </w:rPr>
              <w:t xml:space="preserve">, </w:t>
            </w:r>
            <w:r w:rsidR="00FA5B14" w:rsidRPr="00C0447D">
              <w:rPr>
                <w:color w:val="auto"/>
              </w:rPr>
              <w:t>Mathieu</w:t>
            </w:r>
            <w:r w:rsidR="00EF1A3D" w:rsidRPr="00C0447D">
              <w:rPr>
                <w:b w:val="0"/>
                <w:color w:val="auto"/>
              </w:rPr>
              <w:t xml:space="preserve">, and </w:t>
            </w:r>
            <w:r w:rsidR="00FA5B14" w:rsidRPr="00C0447D">
              <w:rPr>
                <w:color w:val="auto"/>
              </w:rPr>
              <w:t>Sicotte</w:t>
            </w:r>
            <w:r w:rsidRPr="00C0447D">
              <w:rPr>
                <w:iCs/>
                <w:color w:val="auto"/>
              </w:rPr>
              <w:t xml:space="preserve"> (2015)</w:t>
            </w:r>
          </w:p>
        </w:tc>
        <w:tc>
          <w:tcPr>
            <w:tcW w:w="1973" w:type="dxa"/>
            <w:shd w:val="clear" w:color="auto" w:fill="auto"/>
          </w:tcPr>
          <w:p w14:paraId="7D51669E"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Qualitative</w:t>
            </w:r>
          </w:p>
        </w:tc>
        <w:tc>
          <w:tcPr>
            <w:tcW w:w="1973" w:type="dxa"/>
            <w:shd w:val="clear" w:color="auto" w:fill="auto"/>
          </w:tcPr>
          <w:p w14:paraId="7D51669F"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616 nurses</w:t>
            </w:r>
          </w:p>
        </w:tc>
        <w:tc>
          <w:tcPr>
            <w:tcW w:w="1973" w:type="dxa"/>
            <w:shd w:val="clear" w:color="auto" w:fill="auto"/>
          </w:tcPr>
          <w:p w14:paraId="7D5166A0"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Multicenter cross-sectional study</w:t>
            </w:r>
          </w:p>
        </w:tc>
      </w:tr>
      <w:tr w:rsidR="008351E7" w:rsidRPr="00FC6087" w14:paraId="7D5166A6" w14:textId="77777777" w:rsidTr="006D69FF">
        <w:tc>
          <w:tcPr>
            <w:cnfStyle w:val="001000000000" w:firstRow="0" w:lastRow="0" w:firstColumn="1" w:lastColumn="0" w:oddVBand="0" w:evenVBand="0" w:oddHBand="0" w:evenHBand="0" w:firstRowFirstColumn="0" w:firstRowLastColumn="0" w:lastRowFirstColumn="0" w:lastRowLastColumn="0"/>
            <w:tcW w:w="1973" w:type="dxa"/>
            <w:tcBorders>
              <w:bottom w:val="nil"/>
            </w:tcBorders>
            <w:shd w:val="clear" w:color="auto" w:fill="auto"/>
          </w:tcPr>
          <w:p w14:paraId="7D5166A2" w14:textId="3E77FF70" w:rsidR="008351E7" w:rsidRPr="006B2498" w:rsidRDefault="008351E7" w:rsidP="002C07D1">
            <w:pPr>
              <w:spacing w:line="480" w:lineRule="auto"/>
              <w:rPr>
                <w:b w:val="0"/>
                <w:bCs w:val="0"/>
                <w:iCs/>
                <w:color w:val="auto"/>
              </w:rPr>
            </w:pPr>
            <w:r w:rsidRPr="00C0447D">
              <w:rPr>
                <w:iCs/>
                <w:color w:val="auto"/>
              </w:rPr>
              <w:t>Cimperman</w:t>
            </w:r>
            <w:r w:rsidR="00FA5B14" w:rsidRPr="00C0447D">
              <w:rPr>
                <w:iCs/>
                <w:color w:val="auto"/>
              </w:rPr>
              <w:t xml:space="preserve">, </w:t>
            </w:r>
            <w:r w:rsidR="00FA5B14" w:rsidRPr="00C0447D">
              <w:rPr>
                <w:color w:val="auto"/>
              </w:rPr>
              <w:t>Brencic</w:t>
            </w:r>
            <w:r w:rsidR="00EF1A3D" w:rsidRPr="00C0447D">
              <w:rPr>
                <w:b w:val="0"/>
                <w:color w:val="auto"/>
              </w:rPr>
              <w:t>, and</w:t>
            </w:r>
            <w:r w:rsidR="00FA5B14" w:rsidRPr="00C0447D">
              <w:rPr>
                <w:color w:val="auto"/>
              </w:rPr>
              <w:t xml:space="preserve"> Trkman</w:t>
            </w:r>
            <w:r w:rsidRPr="00C0447D">
              <w:rPr>
                <w:iCs/>
                <w:color w:val="auto"/>
              </w:rPr>
              <w:t xml:space="preserve"> (2016) </w:t>
            </w:r>
          </w:p>
        </w:tc>
        <w:tc>
          <w:tcPr>
            <w:tcW w:w="1973" w:type="dxa"/>
            <w:tcBorders>
              <w:bottom w:val="nil"/>
            </w:tcBorders>
            <w:shd w:val="clear" w:color="auto" w:fill="auto"/>
          </w:tcPr>
          <w:p w14:paraId="7D5166A3"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Qualitative</w:t>
            </w:r>
          </w:p>
        </w:tc>
        <w:tc>
          <w:tcPr>
            <w:tcW w:w="1973" w:type="dxa"/>
            <w:tcBorders>
              <w:bottom w:val="nil"/>
            </w:tcBorders>
            <w:shd w:val="clear" w:color="auto" w:fill="auto"/>
          </w:tcPr>
          <w:p w14:paraId="7D5166A4"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400 patients aged 50 years and above</w:t>
            </w:r>
          </w:p>
        </w:tc>
        <w:tc>
          <w:tcPr>
            <w:tcW w:w="1973" w:type="dxa"/>
            <w:tcBorders>
              <w:bottom w:val="nil"/>
            </w:tcBorders>
            <w:shd w:val="clear" w:color="auto" w:fill="auto"/>
          </w:tcPr>
          <w:p w14:paraId="7D5166A5" w14:textId="77777777" w:rsidR="008351E7" w:rsidRPr="00FC6087" w:rsidRDefault="008351E7" w:rsidP="002C07D1">
            <w:pPr>
              <w:spacing w:line="480" w:lineRule="auto"/>
              <w:cnfStyle w:val="000000000000" w:firstRow="0" w:lastRow="0" w:firstColumn="0" w:lastColumn="0" w:oddVBand="0" w:evenVBand="0" w:oddHBand="0" w:evenHBand="0" w:firstRowFirstColumn="0" w:firstRowLastColumn="0" w:lastRowFirstColumn="0" w:lastRowLastColumn="0"/>
              <w:rPr>
                <w:color w:val="auto"/>
              </w:rPr>
            </w:pPr>
            <w:r w:rsidRPr="00FC6087">
              <w:rPr>
                <w:color w:val="auto"/>
              </w:rPr>
              <w:t>Survey instrument</w:t>
            </w:r>
          </w:p>
        </w:tc>
      </w:tr>
      <w:tr w:rsidR="008351E7" w:rsidRPr="00FC6087" w14:paraId="7D5166AB" w14:textId="77777777" w:rsidTr="006D69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tcBorders>
              <w:top w:val="nil"/>
              <w:bottom w:val="single" w:sz="18" w:space="0" w:color="auto"/>
            </w:tcBorders>
            <w:shd w:val="clear" w:color="auto" w:fill="auto"/>
          </w:tcPr>
          <w:p w14:paraId="7D5166A7" w14:textId="1C8F3532" w:rsidR="008351E7" w:rsidRPr="006B2498" w:rsidRDefault="008351E7" w:rsidP="002C07D1">
            <w:pPr>
              <w:spacing w:line="480" w:lineRule="auto"/>
              <w:rPr>
                <w:b w:val="0"/>
                <w:bCs w:val="0"/>
                <w:iCs/>
                <w:color w:val="auto"/>
              </w:rPr>
            </w:pPr>
            <w:r w:rsidRPr="00C0447D">
              <w:rPr>
                <w:iCs/>
                <w:color w:val="auto"/>
              </w:rPr>
              <w:t>Alaiad</w:t>
            </w:r>
            <w:r w:rsidR="00FA5B14" w:rsidRPr="00C0447D">
              <w:rPr>
                <w:iCs/>
                <w:color w:val="auto"/>
              </w:rPr>
              <w:t xml:space="preserve">, </w:t>
            </w:r>
            <w:r w:rsidR="00FA5B14" w:rsidRPr="00C0447D">
              <w:rPr>
                <w:color w:val="auto"/>
              </w:rPr>
              <w:t>Zhou</w:t>
            </w:r>
            <w:r w:rsidR="00EF1A3D" w:rsidRPr="00C0447D">
              <w:rPr>
                <w:b w:val="0"/>
                <w:color w:val="auto"/>
              </w:rPr>
              <w:t>, and</w:t>
            </w:r>
            <w:r w:rsidR="00FA5B14" w:rsidRPr="00C0447D">
              <w:rPr>
                <w:color w:val="auto"/>
              </w:rPr>
              <w:t xml:space="preserve"> Koru</w:t>
            </w:r>
            <w:r w:rsidRPr="00C0447D">
              <w:rPr>
                <w:iCs/>
                <w:color w:val="auto"/>
              </w:rPr>
              <w:t xml:space="preserve"> (2013)</w:t>
            </w:r>
          </w:p>
        </w:tc>
        <w:tc>
          <w:tcPr>
            <w:tcW w:w="1973" w:type="dxa"/>
            <w:tcBorders>
              <w:top w:val="nil"/>
              <w:bottom w:val="single" w:sz="18" w:space="0" w:color="auto"/>
            </w:tcBorders>
            <w:shd w:val="clear" w:color="auto" w:fill="auto"/>
          </w:tcPr>
          <w:p w14:paraId="7D5166A8"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Qualitative</w:t>
            </w:r>
          </w:p>
        </w:tc>
        <w:tc>
          <w:tcPr>
            <w:tcW w:w="1973" w:type="dxa"/>
            <w:tcBorders>
              <w:top w:val="nil"/>
              <w:bottom w:val="single" w:sz="18" w:space="0" w:color="auto"/>
            </w:tcBorders>
            <w:shd w:val="clear" w:color="auto" w:fill="auto"/>
          </w:tcPr>
          <w:p w14:paraId="7D5166A9"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t xml:space="preserve">90 participants randomly selected from a mid-sized university and online healthcare </w:t>
            </w:r>
            <w:r w:rsidRPr="00FC6087">
              <w:rPr>
                <w:color w:val="auto"/>
              </w:rPr>
              <w:lastRenderedPageBreak/>
              <w:t>communities</w:t>
            </w:r>
          </w:p>
        </w:tc>
        <w:tc>
          <w:tcPr>
            <w:tcW w:w="1973" w:type="dxa"/>
            <w:tcBorders>
              <w:top w:val="nil"/>
              <w:bottom w:val="single" w:sz="18" w:space="0" w:color="auto"/>
            </w:tcBorders>
            <w:shd w:val="clear" w:color="auto" w:fill="auto"/>
          </w:tcPr>
          <w:p w14:paraId="7D5166AA" w14:textId="77777777" w:rsidR="008351E7" w:rsidRPr="00FC6087" w:rsidRDefault="008351E7" w:rsidP="002C07D1">
            <w:pPr>
              <w:spacing w:line="480" w:lineRule="auto"/>
              <w:cnfStyle w:val="000000100000" w:firstRow="0" w:lastRow="0" w:firstColumn="0" w:lastColumn="0" w:oddVBand="0" w:evenVBand="0" w:oddHBand="1" w:evenHBand="0" w:firstRowFirstColumn="0" w:firstRowLastColumn="0" w:lastRowFirstColumn="0" w:lastRowLastColumn="0"/>
              <w:rPr>
                <w:color w:val="auto"/>
              </w:rPr>
            </w:pPr>
            <w:r w:rsidRPr="00FC6087">
              <w:rPr>
                <w:color w:val="auto"/>
              </w:rPr>
              <w:lastRenderedPageBreak/>
              <w:t>Survey questionnaire</w:t>
            </w:r>
          </w:p>
        </w:tc>
      </w:tr>
    </w:tbl>
    <w:p w14:paraId="7D5166AC" w14:textId="77777777" w:rsidR="008351E7" w:rsidRPr="00FC6087" w:rsidRDefault="008351E7" w:rsidP="008351E7"/>
    <w:p w14:paraId="7D5166AD" w14:textId="356128DD" w:rsidR="008351E7" w:rsidRPr="00FC6087" w:rsidRDefault="008351E7" w:rsidP="009C1EAB">
      <w:pPr>
        <w:pStyle w:val="APAParagraph"/>
      </w:pPr>
      <w:r w:rsidRPr="00FC6087">
        <w:t>In</w:t>
      </w:r>
      <w:r w:rsidR="00710F6F" w:rsidRPr="00FC6087">
        <w:t xml:space="preserve"> </w:t>
      </w:r>
      <w:r w:rsidRPr="00FC6087">
        <w:t>sum, scholarly arguments underline that UTAUT is one of the most powerful and reliable models used</w:t>
      </w:r>
      <w:r w:rsidR="00FA5B14">
        <w:t xml:space="preserve"> </w:t>
      </w:r>
      <w:r w:rsidRPr="00FC6087">
        <w:t>to predict the acceptance and diffusion of modern technologies in healthcare (</w:t>
      </w:r>
      <w:r w:rsidR="00A10AF9" w:rsidRPr="00FC6087">
        <w:rPr>
          <w:iCs/>
        </w:rPr>
        <w:t>Cheng</w:t>
      </w:r>
      <w:r w:rsidR="00FA5B14">
        <w:rPr>
          <w:iCs/>
        </w:rPr>
        <w:t xml:space="preserve">, </w:t>
      </w:r>
      <w:r w:rsidR="00FA5B14" w:rsidRPr="00922863">
        <w:t>Liu</w:t>
      </w:r>
      <w:r w:rsidR="00EF1A3D">
        <w:t>,</w:t>
      </w:r>
      <w:r w:rsidR="005E7A62">
        <w:t xml:space="preserve"> &amp; </w:t>
      </w:r>
      <w:r w:rsidR="00FA5B14" w:rsidRPr="00922863">
        <w:t>Qian</w:t>
      </w:r>
      <w:r w:rsidR="00FA5B14">
        <w:t>,</w:t>
      </w:r>
      <w:r w:rsidR="00A10AF9" w:rsidRPr="00FC6087">
        <w:t xml:space="preserve"> 2008; Hoque</w:t>
      </w:r>
      <w:r w:rsidR="005E7A62">
        <w:t xml:space="preserve"> &amp; </w:t>
      </w:r>
      <w:r w:rsidR="00A10AF9" w:rsidRPr="00FC6087">
        <w:t>Sorwar, 2017; San Martín</w:t>
      </w:r>
      <w:r w:rsidR="005E7A62">
        <w:t xml:space="preserve"> &amp; </w:t>
      </w:r>
      <w:r w:rsidR="00A10AF9" w:rsidRPr="00FC6087">
        <w:t xml:space="preserve">Herrero, 2012; </w:t>
      </w:r>
      <w:r w:rsidRPr="00FC6087">
        <w:t xml:space="preserve">Venkatesh </w:t>
      </w:r>
      <w:r w:rsidRPr="00FC6087">
        <w:rPr>
          <w:iCs/>
        </w:rPr>
        <w:t>et al., 2003</w:t>
      </w:r>
      <w:r w:rsidRPr="00FC6087">
        <w:t>). However, some studies</w:t>
      </w:r>
      <w:r w:rsidR="00A10AF9" w:rsidRPr="00FC6087">
        <w:t xml:space="preserve"> have </w:t>
      </w:r>
      <w:r w:rsidRPr="00FC6087">
        <w:t>highlight</w:t>
      </w:r>
      <w:r w:rsidR="00A10AF9" w:rsidRPr="00FC6087">
        <w:t>ed</w:t>
      </w:r>
      <w:r w:rsidRPr="00FC6087">
        <w:t xml:space="preserve"> UTAUT’s unclear efficiency in predicting HIT adoption, particularly in developing nations (</w:t>
      </w:r>
      <w:r w:rsidR="00A10AF9" w:rsidRPr="00FC6087">
        <w:rPr>
          <w:iCs/>
        </w:rPr>
        <w:t>Karuri</w:t>
      </w:r>
      <w:r w:rsidR="00FA5B14">
        <w:rPr>
          <w:iCs/>
        </w:rPr>
        <w:t xml:space="preserve">, </w:t>
      </w:r>
      <w:r w:rsidR="00A10AF9" w:rsidRPr="00FC6087">
        <w:t>201</w:t>
      </w:r>
      <w:r w:rsidR="00FA5B14">
        <w:t>5</w:t>
      </w:r>
      <w:r w:rsidR="00A10AF9" w:rsidRPr="00FC6087">
        <w:t xml:space="preserve">; </w:t>
      </w:r>
      <w:r w:rsidRPr="00FC6087">
        <w:t xml:space="preserve">Venkatesh </w:t>
      </w:r>
      <w:r w:rsidRPr="00FC6087">
        <w:rPr>
          <w:iCs/>
        </w:rPr>
        <w:t>et al., 2011</w:t>
      </w:r>
      <w:r w:rsidRPr="00FC6087">
        <w:t xml:space="preserve">). Consequently, many researchers </w:t>
      </w:r>
      <w:r w:rsidR="00A10AF9" w:rsidRPr="00FC6087">
        <w:t xml:space="preserve">have </w:t>
      </w:r>
      <w:r w:rsidRPr="00FC6087">
        <w:t>applied UTAUT in combination with variables from other theories or by exploring key influences on the healthcare eco-system (</w:t>
      </w:r>
      <w:r w:rsidR="00A10AF9" w:rsidRPr="00FC6087">
        <w:t>Aggelidis</w:t>
      </w:r>
      <w:r w:rsidR="005E7A62">
        <w:t xml:space="preserve"> &amp; </w:t>
      </w:r>
      <w:r w:rsidR="00A10AF9" w:rsidRPr="00FC6087">
        <w:t>Chatzoglou, 2009</w:t>
      </w:r>
      <w:r w:rsidR="00A10AF9" w:rsidRPr="00FC6087">
        <w:rPr>
          <w:iCs/>
        </w:rPr>
        <w:t>; Gagnon</w:t>
      </w:r>
      <w:r w:rsidR="00FA5B14">
        <w:rPr>
          <w:iCs/>
        </w:rPr>
        <w:t xml:space="preserve">, </w:t>
      </w:r>
      <w:r w:rsidR="00FA5B14" w:rsidRPr="00922863">
        <w:t>Asua</w:t>
      </w:r>
      <w:r w:rsidR="00EF1A3D">
        <w:t>,</w:t>
      </w:r>
      <w:r w:rsidR="005E7A62">
        <w:t xml:space="preserve"> &amp; </w:t>
      </w:r>
      <w:r w:rsidR="00FA5B14" w:rsidRPr="00922863">
        <w:t>Emparanza,</w:t>
      </w:r>
      <w:r w:rsidR="00A10AF9" w:rsidRPr="00FC6087">
        <w:t xml:space="preserve"> 2012;</w:t>
      </w:r>
      <w:r w:rsidRPr="00FC6087">
        <w:rPr>
          <w:iCs/>
        </w:rPr>
        <w:t xml:space="preserve"> Venkatesh et al., 2011</w:t>
      </w:r>
      <w:r w:rsidRPr="00FC6087">
        <w:t>). Therefore, one should consider adding context-specific factors to improve the predictive power of UTAUT when examining the healthcare context (</w:t>
      </w:r>
      <w:r w:rsidR="00A10AF9" w:rsidRPr="00FC6087">
        <w:t>Ahlan</w:t>
      </w:r>
      <w:r w:rsidR="005E7A62">
        <w:t xml:space="preserve"> &amp; </w:t>
      </w:r>
      <w:r w:rsidR="00A10AF9" w:rsidRPr="00FC6087">
        <w:t xml:space="preserve">Ahmad, 2014; </w:t>
      </w:r>
      <w:r w:rsidRPr="00FC6087">
        <w:t>Succi</w:t>
      </w:r>
      <w:r w:rsidR="005E7A62">
        <w:t xml:space="preserve"> &amp; </w:t>
      </w:r>
      <w:r w:rsidRPr="00FC6087">
        <w:t xml:space="preserve">Walter, 1999).As such, there is a scope for using UTAUT in combination with </w:t>
      </w:r>
      <w:r w:rsidR="00A10AF9" w:rsidRPr="00FC6087">
        <w:t>stakeholder theory</w:t>
      </w:r>
      <w:r w:rsidRPr="00FC6087">
        <w:t xml:space="preserve"> to deliver a unique and comprehensive picture of what motivates stakeholders in the UAE embrace HIT and what barriers affect this process.</w:t>
      </w:r>
    </w:p>
    <w:p w14:paraId="7D5166AE" w14:textId="77777777" w:rsidR="008351E7" w:rsidRPr="00FC6087" w:rsidRDefault="008351E7" w:rsidP="003A1141">
      <w:pPr>
        <w:pStyle w:val="Heading1"/>
      </w:pPr>
      <w:bookmarkStart w:id="84" w:name="_Toc532800291"/>
      <w:bookmarkStart w:id="85" w:name="_Toc534028535"/>
      <w:bookmarkStart w:id="86" w:name="_Toc534028920"/>
      <w:bookmarkStart w:id="87" w:name="_Toc24447781"/>
      <w:r w:rsidRPr="00FC6087">
        <w:lastRenderedPageBreak/>
        <w:t>3.5</w:t>
      </w:r>
      <w:r w:rsidR="00470516" w:rsidRPr="00FC6087">
        <w:t>.</w:t>
      </w:r>
      <w:r w:rsidRPr="00FC6087">
        <w:t xml:space="preserve"> The Present </w:t>
      </w:r>
      <w:r w:rsidR="00680E9A" w:rsidRPr="00FC6087">
        <w:t>Research</w:t>
      </w:r>
      <w:bookmarkEnd w:id="84"/>
      <w:bookmarkEnd w:id="85"/>
      <w:bookmarkEnd w:id="86"/>
      <w:bookmarkEnd w:id="87"/>
    </w:p>
    <w:p w14:paraId="7D5166AF" w14:textId="58A3D00C" w:rsidR="008351E7" w:rsidRPr="00FC6087" w:rsidRDefault="008351E7" w:rsidP="009C1EAB">
      <w:pPr>
        <w:pStyle w:val="APAParagraph"/>
      </w:pPr>
      <w:r w:rsidRPr="00FC6087">
        <w:t xml:space="preserve">This </w:t>
      </w:r>
      <w:r w:rsidR="009A4DEE" w:rsidRPr="00FC6087">
        <w:t>research</w:t>
      </w:r>
      <w:r w:rsidR="008F061A" w:rsidRPr="00FC6087">
        <w:t xml:space="preserve"> </w:t>
      </w:r>
      <w:r w:rsidRPr="00FC6087">
        <w:t xml:space="preserve">is grounded in the tenets of </w:t>
      </w:r>
      <w:r w:rsidR="00A10AF9" w:rsidRPr="00FC6087">
        <w:t>stakeholder theory</w:t>
      </w:r>
      <w:r w:rsidRPr="00FC6087">
        <w:t xml:space="preserve"> and </w:t>
      </w:r>
      <w:r w:rsidR="00A10AF9" w:rsidRPr="00FC6087">
        <w:t xml:space="preserve">the </w:t>
      </w:r>
      <w:r w:rsidRPr="00FC6087">
        <w:t xml:space="preserve">UTAUT </w:t>
      </w:r>
      <w:r w:rsidR="00A10AF9" w:rsidRPr="00FC6087">
        <w:t>model</w:t>
      </w:r>
      <w:r w:rsidRPr="00FC6087">
        <w:t xml:space="preserve"> (Fontaine </w:t>
      </w:r>
      <w:r w:rsidRPr="00FC6087">
        <w:rPr>
          <w:iCs/>
        </w:rPr>
        <w:t>et al.,</w:t>
      </w:r>
      <w:r w:rsidRPr="00FC6087">
        <w:t xml:space="preserve"> 2006; Friedman</w:t>
      </w:r>
      <w:r w:rsidR="005E7A62">
        <w:t xml:space="preserve"> &amp; </w:t>
      </w:r>
      <w:r w:rsidRPr="00FC6087">
        <w:t xml:space="preserve">Miles, 2006). While numerous studies have been conducted on HIT adoption using </w:t>
      </w:r>
      <w:r w:rsidR="00A10AF9" w:rsidRPr="00FC6087">
        <w:t>stakeholder theory</w:t>
      </w:r>
      <w:r w:rsidRPr="00FC6087">
        <w:t xml:space="preserve"> (see Table 3.1), one of the first studies </w:t>
      </w:r>
      <w:r w:rsidR="00AE7BD4" w:rsidRPr="00FC6087">
        <w:t>to</w:t>
      </w:r>
      <w:r w:rsidRPr="00FC6087">
        <w:t xml:space="preserve"> analyze the combined perspectives of all four relevant stakeholders groups (employees, patients, UAE citizens/residents, and foresight experts) to present a unique and much-needed comprehensive picture of what motivates users in the UAE to adopt HIT and what barriers they face (a detailed description of how each stakeholder category was defined can be found</w:t>
      </w:r>
      <w:r w:rsidR="00A44199" w:rsidRPr="00FC6087">
        <w:t xml:space="preserve"> later</w:t>
      </w:r>
      <w:r w:rsidRPr="00FC6087">
        <w:t xml:space="preserve"> in Table </w:t>
      </w:r>
      <w:r w:rsidR="00A44199" w:rsidRPr="00FC6087">
        <w:t>4</w:t>
      </w:r>
      <w:r w:rsidRPr="00FC6087">
        <w:t>.</w:t>
      </w:r>
      <w:r w:rsidR="00732464" w:rsidRPr="00FC6087">
        <w:t>2</w:t>
      </w:r>
      <w:r w:rsidRPr="00FC6087">
        <w:t>). However, since obtaining the viewpoint of various stakeholders requires a structured approach involving all relevant players (Hussain</w:t>
      </w:r>
      <w:r w:rsidR="00F61C54" w:rsidRPr="00FC6087">
        <w:t>, Rigoni,</w:t>
      </w:r>
      <w:r w:rsidR="005E7A62">
        <w:t xml:space="preserve"> &amp; </w:t>
      </w:r>
      <w:r w:rsidR="00F61C54" w:rsidRPr="00FC6087">
        <w:t>Cavezzali</w:t>
      </w:r>
      <w:r w:rsidRPr="00FC6087">
        <w:rPr>
          <w:iCs/>
        </w:rPr>
        <w:t>,</w:t>
      </w:r>
      <w:r w:rsidRPr="00FC6087">
        <w:t xml:space="preserve"> 2018), this process is complex</w:t>
      </w:r>
      <w:r w:rsidR="007F75BD" w:rsidRPr="00FC6087">
        <w:t xml:space="preserve">; </w:t>
      </w:r>
      <w:r w:rsidRPr="00FC6087">
        <w:t>the world is changing</w:t>
      </w:r>
      <w:r w:rsidR="007F75BD" w:rsidRPr="00FC6087">
        <w:t>,</w:t>
      </w:r>
      <w:r w:rsidRPr="00FC6087">
        <w:t xml:space="preserve"> and healthcare needs to keep up with those changes. In other words, only by knowing what uniquely motivates and deters potential HIT users from implementing potentially life-saving healthcare technologies available today can we hope to </w:t>
      </w:r>
      <w:r w:rsidR="00DD147D" w:rsidRPr="00FC6087">
        <w:t>see</w:t>
      </w:r>
      <w:r w:rsidRPr="00FC6087">
        <w:t xml:space="preserve"> the </w:t>
      </w:r>
      <w:r w:rsidR="00DD147D" w:rsidRPr="00FC6087">
        <w:t xml:space="preserve">successful </w:t>
      </w:r>
      <w:r w:rsidRPr="00FC6087">
        <w:t xml:space="preserve">implementation of these </w:t>
      </w:r>
      <w:r w:rsidR="00212A1F" w:rsidRPr="00FC6087">
        <w:t>important</w:t>
      </w:r>
      <w:r w:rsidRPr="00FC6087">
        <w:t xml:space="preserve"> technologies and </w:t>
      </w:r>
      <w:r w:rsidR="00520A1B" w:rsidRPr="00FC6087">
        <w:t xml:space="preserve">the </w:t>
      </w:r>
      <w:r w:rsidR="00212A1F" w:rsidRPr="00FC6087">
        <w:t>subsequent</w:t>
      </w:r>
      <w:r w:rsidRPr="00FC6087">
        <w:t xml:space="preserve"> improvement</w:t>
      </w:r>
      <w:r w:rsidR="00520A1B" w:rsidRPr="00FC6087">
        <w:t xml:space="preserve"> of</w:t>
      </w:r>
      <w:r w:rsidRPr="00FC6087">
        <w:t xml:space="preserve"> the quality of care.</w:t>
      </w:r>
    </w:p>
    <w:p w14:paraId="7D5166B0" w14:textId="77777777" w:rsidR="008351E7" w:rsidRPr="00FC6087" w:rsidRDefault="008351E7" w:rsidP="009C1EAB">
      <w:pPr>
        <w:pStyle w:val="APAParagraph"/>
      </w:pPr>
      <w:r w:rsidRPr="00FC6087">
        <w:t xml:space="preserve">Furthermore, most of the research on HIT adoption has been qualitative in nature (again, see Table 3.1). While qualitative studies are ideal for gathering in-depth information on perspectives and experiences, they fall short in key areas such as comparing different perspectives. Of course, certain motivators (or </w:t>
      </w:r>
      <w:r w:rsidRPr="00FC6087">
        <w:lastRenderedPageBreak/>
        <w:t>barriers) might be more prevalent or frequently reported, but that does not mean that those will be the strongest, as less common ones can sometimes have a much stronger motivational (or deterring) force. Therefore, there is an urgent need for quantitative research to understand wh</w:t>
      </w:r>
      <w:r w:rsidR="000D593F" w:rsidRPr="00FC6087">
        <w:t>ich</w:t>
      </w:r>
      <w:r w:rsidRPr="00FC6087">
        <w:t xml:space="preserve"> motivators and barriers are </w:t>
      </w:r>
      <w:r w:rsidR="00AF380C" w:rsidRPr="00FC6087">
        <w:t xml:space="preserve">the </w:t>
      </w:r>
      <w:r w:rsidRPr="00FC6087">
        <w:t xml:space="preserve">most </w:t>
      </w:r>
      <w:r w:rsidR="00AF380C" w:rsidRPr="00FC6087">
        <w:t>significant</w:t>
      </w:r>
      <w:r w:rsidRPr="00FC6087">
        <w:t xml:space="preserve">. Only then can </w:t>
      </w:r>
      <w:r w:rsidR="00AF380C" w:rsidRPr="00FC6087">
        <w:t xml:space="preserve">we </w:t>
      </w:r>
      <w:r w:rsidRPr="00FC6087">
        <w:t>begin to more effectively understand how to motivate potential HIT users to adopt these valuable technologies and what barriers need to be addressed and overcome.</w:t>
      </w:r>
    </w:p>
    <w:p w14:paraId="7D5166B1" w14:textId="77777777" w:rsidR="008351E7" w:rsidRPr="00FC6087" w:rsidRDefault="008351E7" w:rsidP="003A1141">
      <w:pPr>
        <w:pStyle w:val="Heading1"/>
      </w:pPr>
      <w:bookmarkStart w:id="88" w:name="_Toc24447782"/>
      <w:r w:rsidRPr="00FC6087">
        <w:t>3.6</w:t>
      </w:r>
      <w:r w:rsidR="00470516" w:rsidRPr="00FC6087">
        <w:t>.</w:t>
      </w:r>
      <w:r w:rsidRPr="00FC6087">
        <w:t xml:space="preserve"> Summary</w:t>
      </w:r>
      <w:bookmarkEnd w:id="88"/>
    </w:p>
    <w:p w14:paraId="7D5166B2" w14:textId="77777777" w:rsidR="008351E7" w:rsidRPr="00FC6087" w:rsidRDefault="008351E7" w:rsidP="009C1EAB">
      <w:pPr>
        <w:pStyle w:val="APAParagraph"/>
      </w:pPr>
      <w:r w:rsidRPr="00FC6087">
        <w:t xml:space="preserve">This chapter presents the theoretical background of </w:t>
      </w:r>
      <w:r w:rsidR="00D534DD" w:rsidRPr="00FC6087">
        <w:t>the present</w:t>
      </w:r>
      <w:r w:rsidRPr="00FC6087">
        <w:t xml:space="preserve"> research, which is rooted in </w:t>
      </w:r>
      <w:r w:rsidR="00D534DD" w:rsidRPr="00FC6087">
        <w:t>stakeholder theory</w:t>
      </w:r>
      <w:r w:rsidRPr="00FC6087">
        <w:t xml:space="preserve"> and </w:t>
      </w:r>
      <w:r w:rsidR="00D534DD" w:rsidRPr="00FC6087">
        <w:t xml:space="preserve">the </w:t>
      </w:r>
      <w:r w:rsidRPr="00FC6087">
        <w:t xml:space="preserve">UTAUT model, and the applicability of the two paradigms to the healthcare ecosystem. Over recent decades, numerous studies have been conducted to understand technology acceptance and the opinions of those in healthcare towards HIT. Therefore, for a comprehensive assessment of technology adoption motivators (or barriers), </w:t>
      </w:r>
      <w:r w:rsidR="0076789A" w:rsidRPr="00FC6087">
        <w:t>the pr</w:t>
      </w:r>
      <w:r w:rsidR="003E5116" w:rsidRPr="00FC6087">
        <w:t>e</w:t>
      </w:r>
      <w:r w:rsidR="0076789A" w:rsidRPr="00FC6087">
        <w:t xml:space="preserve">sent research has </w:t>
      </w:r>
      <w:r w:rsidRPr="00FC6087">
        <w:t>identified four major stakeholders groups: employees</w:t>
      </w:r>
      <w:r w:rsidR="0076789A" w:rsidRPr="00FC6087">
        <w:t>;</w:t>
      </w:r>
      <w:r w:rsidRPr="00FC6087">
        <w:t xml:space="preserve"> patients</w:t>
      </w:r>
      <w:r w:rsidR="0076789A" w:rsidRPr="00FC6087">
        <w:t>;</w:t>
      </w:r>
      <w:r w:rsidRPr="00FC6087">
        <w:t xml:space="preserve"> UAE citizens and residents</w:t>
      </w:r>
      <w:r w:rsidR="0076789A" w:rsidRPr="00FC6087">
        <w:t>;</w:t>
      </w:r>
      <w:r w:rsidRPr="00FC6087">
        <w:t xml:space="preserve"> and domain experts (i.e. foresight experts)</w:t>
      </w:r>
      <w:r w:rsidR="003E5116" w:rsidRPr="00FC6087">
        <w:t>. Individuals</w:t>
      </w:r>
      <w:r w:rsidRPr="00FC6087">
        <w:t xml:space="preserve"> were interviewed to document </w:t>
      </w:r>
      <w:r w:rsidRPr="00FC6087">
        <w:rPr>
          <w:rFonts w:asciiTheme="majorBidi" w:hAnsiTheme="majorBidi" w:cstheme="majorBidi"/>
        </w:rPr>
        <w:t>their perspective</w:t>
      </w:r>
      <w:r w:rsidR="003E5116" w:rsidRPr="00FC6087">
        <w:rPr>
          <w:rFonts w:asciiTheme="majorBidi" w:hAnsiTheme="majorBidi" w:cstheme="majorBidi"/>
        </w:rPr>
        <w:t>s</w:t>
      </w:r>
      <w:r w:rsidRPr="00FC6087">
        <w:rPr>
          <w:rFonts w:asciiTheme="majorBidi" w:hAnsiTheme="majorBidi" w:cstheme="majorBidi"/>
        </w:rPr>
        <w:t xml:space="preserve"> on HIT adoption in the UAE</w:t>
      </w:r>
      <w:r w:rsidRPr="00FC6087">
        <w:t xml:space="preserve">. </w:t>
      </w:r>
      <w:r w:rsidR="003E5116" w:rsidRPr="00FC6087">
        <w:t xml:space="preserve">The research also </w:t>
      </w:r>
      <w:r w:rsidRPr="00FC6087">
        <w:t>highlight</w:t>
      </w:r>
      <w:r w:rsidR="003E5116" w:rsidRPr="00FC6087">
        <w:t>s</w:t>
      </w:r>
      <w:r w:rsidRPr="00FC6087">
        <w:t xml:space="preserve"> the importance of these groups in reacting critically to the external environment and to the different innovations, meaning that, throughout HIT implementation, stakeholders make strategic choices that have a major impact on the probability of successful adoption. Additionally, </w:t>
      </w:r>
      <w:r w:rsidR="003E5116" w:rsidRPr="00FC6087">
        <w:t xml:space="preserve">the </w:t>
      </w:r>
      <w:r w:rsidR="009A4DEE" w:rsidRPr="00FC6087">
        <w:lastRenderedPageBreak/>
        <w:t>research</w:t>
      </w:r>
      <w:r w:rsidR="008F061A" w:rsidRPr="00FC6087">
        <w:t xml:space="preserve"> </w:t>
      </w:r>
      <w:r w:rsidRPr="00FC6087">
        <w:t>stress</w:t>
      </w:r>
      <w:r w:rsidR="003E5116" w:rsidRPr="00FC6087">
        <w:t>es</w:t>
      </w:r>
      <w:r w:rsidRPr="00FC6087">
        <w:t xml:space="preserve"> the urgent need for quantitative research to shed light on the most important motivato</w:t>
      </w:r>
      <w:r w:rsidR="0041248D" w:rsidRPr="00FC6087">
        <w:t>r</w:t>
      </w:r>
      <w:r w:rsidRPr="00FC6087">
        <w:t xml:space="preserve">s/de-motivators </w:t>
      </w:r>
      <w:r w:rsidR="000E4D12" w:rsidRPr="00FC6087">
        <w:t>for</w:t>
      </w:r>
      <w:r w:rsidRPr="00FC6087">
        <w:t xml:space="preserve"> technology acceptance. </w:t>
      </w:r>
    </w:p>
    <w:p w14:paraId="7D5166B3" w14:textId="77777777" w:rsidR="008351E7" w:rsidRPr="00FC6087" w:rsidRDefault="008351E7" w:rsidP="008351E7">
      <w:pPr>
        <w:rPr>
          <w:rFonts w:eastAsiaTheme="majorEastAsia" w:cstheme="majorBidi"/>
          <w:b/>
          <w:bCs/>
          <w:sz w:val="28"/>
          <w:szCs w:val="32"/>
        </w:rPr>
      </w:pPr>
      <w:r w:rsidRPr="00FC6087">
        <w:br w:type="page"/>
      </w:r>
    </w:p>
    <w:p w14:paraId="7D5166B4" w14:textId="15EDEA42" w:rsidR="008351E7" w:rsidRPr="00FC6087" w:rsidRDefault="008351E7" w:rsidP="00790070">
      <w:pPr>
        <w:pStyle w:val="ChapterTitle"/>
      </w:pPr>
      <w:bookmarkStart w:id="89" w:name="_Toc24447783"/>
      <w:r w:rsidRPr="00FC6087">
        <w:lastRenderedPageBreak/>
        <w:t>CHAPTER</w:t>
      </w:r>
      <w:r w:rsidR="00EF1A3D">
        <w:t xml:space="preserve"> </w:t>
      </w:r>
      <w:r w:rsidRPr="00FC6087">
        <w:t xml:space="preserve">4: </w:t>
      </w:r>
      <w:r w:rsidRPr="003B4042">
        <w:rPr>
          <w:color w:val="FF0000"/>
        </w:rPr>
        <w:t>Data and</w:t>
      </w:r>
      <w:bookmarkEnd w:id="71"/>
      <w:bookmarkEnd w:id="72"/>
      <w:r w:rsidR="00EF1A3D" w:rsidRPr="003B4042">
        <w:rPr>
          <w:color w:val="FF0000"/>
        </w:rPr>
        <w:t xml:space="preserve"> </w:t>
      </w:r>
      <w:r w:rsidR="00514F5B" w:rsidRPr="003B4042">
        <w:rPr>
          <w:color w:val="FF0000"/>
        </w:rPr>
        <w:t>M</w:t>
      </w:r>
      <w:r w:rsidRPr="003B4042">
        <w:rPr>
          <w:color w:val="FF0000"/>
        </w:rPr>
        <w:t>ethodology</w:t>
      </w:r>
      <w:bookmarkEnd w:id="73"/>
      <w:bookmarkEnd w:id="89"/>
    </w:p>
    <w:p w14:paraId="7D5166B5" w14:textId="77777777" w:rsidR="003647D3" w:rsidRPr="00A76642" w:rsidRDefault="008351E7" w:rsidP="00790070">
      <w:pPr>
        <w:jc w:val="center"/>
        <w:rPr>
          <w:b/>
          <w:sz w:val="30"/>
          <w:szCs w:val="30"/>
        </w:rPr>
      </w:pPr>
      <w:bookmarkStart w:id="90" w:name="_Toc535934692"/>
      <w:bookmarkStart w:id="91" w:name="_Toc532800293"/>
      <w:bookmarkStart w:id="92" w:name="_Toc534028537"/>
      <w:r w:rsidRPr="00A76642">
        <w:rPr>
          <w:b/>
          <w:sz w:val="30"/>
          <w:szCs w:val="30"/>
        </w:rPr>
        <w:t xml:space="preserve">Structure of </w:t>
      </w:r>
      <w:r w:rsidR="005922C2" w:rsidRPr="00A76642">
        <w:rPr>
          <w:b/>
          <w:sz w:val="30"/>
          <w:szCs w:val="30"/>
        </w:rPr>
        <w:t>C</w:t>
      </w:r>
      <w:r w:rsidRPr="00A76642">
        <w:rPr>
          <w:b/>
          <w:sz w:val="30"/>
          <w:szCs w:val="30"/>
        </w:rPr>
        <w:t xml:space="preserve">hapter </w:t>
      </w:r>
      <w:r w:rsidR="005922C2" w:rsidRPr="00A76642">
        <w:rPr>
          <w:b/>
          <w:sz w:val="30"/>
          <w:szCs w:val="30"/>
        </w:rPr>
        <w:t>Four</w:t>
      </w:r>
      <w:bookmarkEnd w:id="90"/>
    </w:p>
    <w:p w14:paraId="7D5166B6" w14:textId="77777777" w:rsidR="008351E7" w:rsidRPr="00A76642" w:rsidRDefault="008351E7" w:rsidP="00790070">
      <w:pPr>
        <w:jc w:val="center"/>
      </w:pPr>
    </w:p>
    <w:p w14:paraId="7D5166B7" w14:textId="77777777" w:rsidR="008351E7" w:rsidRPr="00A76642" w:rsidRDefault="008351E7" w:rsidP="008351E7">
      <w:pPr>
        <w:rPr>
          <w:rFonts w:eastAsiaTheme="majorEastAsia" w:cstheme="majorBidi"/>
          <w:b/>
          <w:bCs/>
          <w:sz w:val="28"/>
          <w:szCs w:val="32"/>
        </w:rPr>
      </w:pPr>
      <w:r w:rsidRPr="00A76642">
        <w:rPr>
          <w:noProof/>
        </w:rPr>
        <w:drawing>
          <wp:inline distT="0" distB="0" distL="0" distR="0" wp14:anchorId="7D516DA0" wp14:editId="73614FBA">
            <wp:extent cx="4958861" cy="2725420"/>
            <wp:effectExtent l="0" t="0" r="13335" b="17780"/>
            <wp:docPr id="17"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D5166B8" w14:textId="77777777" w:rsidR="008351E7" w:rsidRPr="00A76642" w:rsidRDefault="008351E7" w:rsidP="008351E7">
      <w:pPr>
        <w:rPr>
          <w:rFonts w:eastAsiaTheme="majorEastAsia" w:cstheme="majorBidi"/>
          <w:b/>
          <w:bCs/>
          <w:sz w:val="28"/>
          <w:szCs w:val="32"/>
        </w:rPr>
      </w:pPr>
    </w:p>
    <w:p w14:paraId="7D5166B9" w14:textId="41C5E0C2" w:rsidR="003647D3" w:rsidRPr="003647D3" w:rsidRDefault="00142650" w:rsidP="006D69FF">
      <w:pPr>
        <w:spacing w:line="480" w:lineRule="auto"/>
        <w:jc w:val="both"/>
      </w:pPr>
      <w:r w:rsidRPr="00A76642">
        <w:t>T</w:t>
      </w:r>
      <w:r w:rsidR="003647D3" w:rsidRPr="00A76642">
        <w:t>his chapter describe</w:t>
      </w:r>
      <w:r w:rsidRPr="00A76642">
        <w:t>s</w:t>
      </w:r>
      <w:r w:rsidR="003647D3" w:rsidRPr="00A76642">
        <w:t xml:space="preserve"> the empirical research methodology for this study. Mixed methods are used by applying both quantitative and qualitative approaches. Although many techniques and research approaches are available, the method selection should be based on the nature of the research, the aims and objectives of the research, and the most appropriate approach. Thus, this </w:t>
      </w:r>
      <w:r w:rsidR="00C71FAB" w:rsidRPr="00A76642">
        <w:t xml:space="preserve">chapter </w:t>
      </w:r>
      <w:r w:rsidR="003647D3" w:rsidRPr="00A76642">
        <w:t>covers data collection, the techniques used to fulfill the research objectives, and questionnaire development in both phases. The chapter discuss</w:t>
      </w:r>
      <w:r w:rsidR="00C71FAB" w:rsidRPr="00A76642">
        <w:t>es and explains</w:t>
      </w:r>
      <w:r w:rsidR="003647D3" w:rsidRPr="00A76642">
        <w:t xml:space="preserve"> the criteria for the selected sample size</w:t>
      </w:r>
      <w:r w:rsidR="00B74091" w:rsidRPr="00A76642">
        <w:t>,</w:t>
      </w:r>
      <w:r w:rsidR="003647D3" w:rsidRPr="00A76642">
        <w:t xml:space="preserve"> the data collection process</w:t>
      </w:r>
      <w:r w:rsidR="00B74091" w:rsidRPr="00A76642">
        <w:t>es</w:t>
      </w:r>
      <w:r w:rsidR="00C71FAB" w:rsidRPr="00A76642">
        <w:t xml:space="preserve">, </w:t>
      </w:r>
      <w:r w:rsidR="00B74091" w:rsidRPr="00A76642">
        <w:t xml:space="preserve">and the </w:t>
      </w:r>
      <w:r w:rsidR="009A03DE" w:rsidRPr="00A76642">
        <w:t>techniques used for data analysis</w:t>
      </w:r>
      <w:r w:rsidR="003647D3" w:rsidRPr="00A76642">
        <w:t>.</w:t>
      </w:r>
    </w:p>
    <w:p w14:paraId="7D5166BA" w14:textId="77777777" w:rsidR="008351E7" w:rsidRPr="00FC6087" w:rsidRDefault="008351E7" w:rsidP="003A1141">
      <w:pPr>
        <w:pStyle w:val="Heading1"/>
      </w:pPr>
      <w:bookmarkStart w:id="93" w:name="_Toc535934693"/>
      <w:bookmarkStart w:id="94" w:name="_Toc24447784"/>
      <w:r w:rsidRPr="00FC6087">
        <w:lastRenderedPageBreak/>
        <w:t>4.1</w:t>
      </w:r>
      <w:r w:rsidR="00470516" w:rsidRPr="00FC6087">
        <w:t>.</w:t>
      </w:r>
      <w:r w:rsidRPr="00FC6087">
        <w:t xml:space="preserve"> Background of the Research Methodology</w:t>
      </w:r>
      <w:bookmarkEnd w:id="93"/>
      <w:bookmarkEnd w:id="94"/>
    </w:p>
    <w:p w14:paraId="7D5166BB" w14:textId="5B534D94" w:rsidR="008351E7" w:rsidRPr="00FC6087" w:rsidRDefault="008351E7" w:rsidP="009C1EAB">
      <w:pPr>
        <w:pStyle w:val="APAParagraph"/>
      </w:pPr>
      <w:r w:rsidRPr="00FC6087">
        <w:t xml:space="preserve">Qualitative interviews were conducted with representatives of the four stakeholder categories to gain insights into the perceived motivators </w:t>
      </w:r>
      <w:r w:rsidR="0041248D" w:rsidRPr="00FC6087">
        <w:t>for</w:t>
      </w:r>
      <w:r w:rsidR="00D31194" w:rsidRPr="00FC6087">
        <w:t xml:space="preserve"> </w:t>
      </w:r>
      <w:r w:rsidRPr="00FC6087">
        <w:t xml:space="preserve">and barriers to HIT adoption amongst these groups. These responses were then trimmed and quantitatively analyzed to determine their relative importance in affecting HIT adoption. </w:t>
      </w:r>
      <w:r w:rsidR="00676336" w:rsidRPr="00FC6087">
        <w:t>E</w:t>
      </w:r>
      <w:r w:rsidRPr="00FC6087">
        <w:t>xploratory factor analys</w:t>
      </w:r>
      <w:r w:rsidR="00676336" w:rsidRPr="00FC6087">
        <w:t>e</w:t>
      </w:r>
      <w:r w:rsidRPr="00FC6087">
        <w:t>s</w:t>
      </w:r>
      <w:r w:rsidR="009A03DE">
        <w:t xml:space="preserve"> </w:t>
      </w:r>
      <w:r w:rsidR="00676336" w:rsidRPr="00FC6087">
        <w:t>(EFAs</w:t>
      </w:r>
      <w:r w:rsidRPr="00FC6087">
        <w:t>) were conducted to determine the number of underlying factors that best describe each dataset (i.e. motivators</w:t>
      </w:r>
      <w:r w:rsidR="00676336" w:rsidRPr="00FC6087">
        <w:t xml:space="preserve"> and</w:t>
      </w:r>
      <w:r w:rsidRPr="00FC6087">
        <w:t xml:space="preserve"> barriers) and first- and second-order confirmatory factor analys</w:t>
      </w:r>
      <w:r w:rsidR="00676336" w:rsidRPr="00FC6087">
        <w:t>e</w:t>
      </w:r>
      <w:r w:rsidRPr="00FC6087">
        <w:t>s</w:t>
      </w:r>
      <w:r w:rsidR="00676336" w:rsidRPr="00FC6087">
        <w:t xml:space="preserve"> (CFAs</w:t>
      </w:r>
      <w:r w:rsidRPr="00FC6087">
        <w:t xml:space="preserve">) </w:t>
      </w:r>
      <w:r w:rsidR="00531552" w:rsidRPr="00FC6087">
        <w:t>were conducted</w:t>
      </w:r>
      <w:r w:rsidRPr="00FC6087">
        <w:t xml:space="preserve"> to model the datasets in terms of how the factors relate to specific interview questions and to the outcome variable of interest—HIT adoption.</w:t>
      </w:r>
    </w:p>
    <w:p w14:paraId="7D5166BC" w14:textId="77777777" w:rsidR="008351E7" w:rsidRPr="00FC6087" w:rsidRDefault="008351E7" w:rsidP="009C1EAB">
      <w:pPr>
        <w:pStyle w:val="APAParagraph"/>
      </w:pPr>
      <w:r w:rsidRPr="00FC6087">
        <w:t xml:space="preserve">Qualitative interviews are an effective tool for determining the relevant factors that affect decision-making (i.e. adoption of important HIT initiatives and applications) and for gathering detailed information on these factors and how individuals perceive and feel about them. However, qualitative responses alone are unable to establish the relationships among those factors or between those factors and a key outcome of interest (i.e. HIT adoption). In other words, such survey data, by focusing on detail and containing little to no quantitative information, cannot provide certain types of information that would allow for the straightforward application and translation of these findings into practice. Thus, to better quantify and understand these relationships, factor analyses were employed </w:t>
      </w:r>
      <w:r w:rsidRPr="00FC6087">
        <w:lastRenderedPageBreak/>
        <w:t xml:space="preserve">on the trimmed sets of motivators and barriers, respectively. EFA was first conducted on each set to identify the key underlying (i.e. latent) motivators for (or barriers to) HIT adoption. CFAs were </w:t>
      </w:r>
      <w:r w:rsidR="00094395" w:rsidRPr="00FC6087">
        <w:t xml:space="preserve">then </w:t>
      </w:r>
      <w:r w:rsidRPr="00FC6087">
        <w:t>used to build structural models that depict and quantify the relationships among latent factors, between latent factors and their sub-factors, and between latent factors and the outcome variable.</w:t>
      </w:r>
    </w:p>
    <w:p w14:paraId="7D5166BD" w14:textId="77777777" w:rsidR="008351E7" w:rsidRPr="00FC6087" w:rsidRDefault="008351E7" w:rsidP="009C1EAB">
      <w:pPr>
        <w:pStyle w:val="APAParagraph"/>
      </w:pPr>
      <w:r w:rsidRPr="00FC6087">
        <w:t>CFA belongs to the family of covariance-based statistical methods, broadly referred to as SEM (Mardani et al., 2017). Specifically, CFA can be regarded as a fusion between regression (i.e. path) and factors analyses (Fox, 2008) and is used to examine causality relationships involving latent constructs. Because of its explanatory power and effectiveness, it has widespread applications, from the behavioral sciences to management research, and is a popular analysis tool across various industries, including education, hospitality, management, manufacturing, tourism, and more (</w:t>
      </w:r>
      <w:r w:rsidR="00094395" w:rsidRPr="00FC6087">
        <w:t xml:space="preserve">see </w:t>
      </w:r>
      <w:r w:rsidRPr="00FC6087">
        <w:t>Table 4.1).</w:t>
      </w:r>
    </w:p>
    <w:p w14:paraId="7D5166BE" w14:textId="77777777" w:rsidR="00047A71" w:rsidRPr="00FC6087" w:rsidRDefault="00047A71" w:rsidP="009C1EAB">
      <w:pPr>
        <w:pStyle w:val="APAParagraph"/>
      </w:pPr>
    </w:p>
    <w:p w14:paraId="7D5166BF" w14:textId="25D40A1F" w:rsidR="008351E7" w:rsidRPr="00790070" w:rsidRDefault="008351E7" w:rsidP="00790070">
      <w:pPr>
        <w:pStyle w:val="APATableTitle"/>
        <w:jc w:val="left"/>
        <w:rPr>
          <w:i/>
        </w:rPr>
      </w:pPr>
      <w:r w:rsidRPr="00A76642">
        <w:rPr>
          <w:b w:val="0"/>
          <w:noProof w:val="0"/>
          <w:sz w:val="24"/>
          <w:szCs w:val="24"/>
        </w:rPr>
        <w:t>Table 4.1</w:t>
      </w:r>
      <w:r w:rsidR="009A03DE" w:rsidRPr="00A76642">
        <w:rPr>
          <w:b w:val="0"/>
          <w:noProof w:val="0"/>
          <w:sz w:val="24"/>
          <w:szCs w:val="24"/>
        </w:rPr>
        <w:br/>
      </w:r>
      <w:r w:rsidRPr="00A76642">
        <w:rPr>
          <w:b w:val="0"/>
          <w:i/>
          <w:noProof w:val="0"/>
          <w:sz w:val="24"/>
          <w:szCs w:val="24"/>
        </w:rPr>
        <w:t xml:space="preserve">CFA </w:t>
      </w:r>
      <w:r w:rsidR="00862DEC" w:rsidRPr="00A76642">
        <w:rPr>
          <w:b w:val="0"/>
          <w:i/>
          <w:noProof w:val="0"/>
          <w:sz w:val="24"/>
          <w:szCs w:val="24"/>
        </w:rPr>
        <w:t>A</w:t>
      </w:r>
      <w:r w:rsidRPr="00A76642">
        <w:rPr>
          <w:b w:val="0"/>
          <w:i/>
          <w:noProof w:val="0"/>
          <w:sz w:val="24"/>
          <w:szCs w:val="24"/>
        </w:rPr>
        <w:t xml:space="preserve">pplication in </w:t>
      </w:r>
      <w:r w:rsidR="00862DEC" w:rsidRPr="00A76642">
        <w:rPr>
          <w:b w:val="0"/>
          <w:i/>
          <w:noProof w:val="0"/>
          <w:sz w:val="24"/>
          <w:szCs w:val="24"/>
        </w:rPr>
        <w:t>V</w:t>
      </w:r>
      <w:r w:rsidRPr="00A76642">
        <w:rPr>
          <w:b w:val="0"/>
          <w:i/>
          <w:noProof w:val="0"/>
          <w:sz w:val="24"/>
          <w:szCs w:val="24"/>
        </w:rPr>
        <w:t xml:space="preserve">arious </w:t>
      </w:r>
      <w:r w:rsidR="00862DEC" w:rsidRPr="00A76642">
        <w:rPr>
          <w:b w:val="0"/>
          <w:i/>
          <w:noProof w:val="0"/>
          <w:sz w:val="24"/>
          <w:szCs w:val="24"/>
        </w:rPr>
        <w:t>F</w:t>
      </w:r>
      <w:r w:rsidRPr="00A76642">
        <w:rPr>
          <w:b w:val="0"/>
          <w:i/>
          <w:noProof w:val="0"/>
          <w:sz w:val="24"/>
          <w:szCs w:val="24"/>
        </w:rPr>
        <w:t>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509"/>
        <w:gridCol w:w="1824"/>
        <w:gridCol w:w="2803"/>
      </w:tblGrid>
      <w:tr w:rsidR="008351E7" w:rsidRPr="009767FF" w14:paraId="7D5166C3" w14:textId="77777777" w:rsidTr="00790070">
        <w:trPr>
          <w:tblHeader/>
        </w:trPr>
        <w:tc>
          <w:tcPr>
            <w:tcW w:w="4248" w:type="dxa"/>
            <w:tcBorders>
              <w:top w:val="single" w:sz="18" w:space="0" w:color="auto"/>
              <w:bottom w:val="single" w:sz="12" w:space="0" w:color="auto"/>
            </w:tcBorders>
          </w:tcPr>
          <w:p w14:paraId="7D5166C0" w14:textId="77777777" w:rsidR="008351E7" w:rsidRPr="00C0447D" w:rsidRDefault="008351E7" w:rsidP="006D69FF">
            <w:pPr>
              <w:pStyle w:val="APAParagraph"/>
              <w:ind w:firstLine="0"/>
              <w:rPr>
                <w:rFonts w:asciiTheme="majorBidi" w:hAnsiTheme="majorBidi" w:cstheme="majorBidi"/>
                <w:bCs/>
                <w:lang w:val="en-US"/>
              </w:rPr>
            </w:pPr>
            <w:r w:rsidRPr="00C0447D">
              <w:rPr>
                <w:rFonts w:asciiTheme="majorBidi" w:hAnsiTheme="majorBidi" w:cstheme="majorBidi"/>
                <w:bCs/>
                <w:szCs w:val="24"/>
              </w:rPr>
              <w:t>Author</w:t>
            </w:r>
          </w:p>
        </w:tc>
        <w:tc>
          <w:tcPr>
            <w:tcW w:w="2136" w:type="dxa"/>
            <w:tcBorders>
              <w:top w:val="single" w:sz="18" w:space="0" w:color="auto"/>
              <w:bottom w:val="single" w:sz="12" w:space="0" w:color="auto"/>
            </w:tcBorders>
          </w:tcPr>
          <w:p w14:paraId="7D5166C1" w14:textId="77777777" w:rsidR="008351E7" w:rsidRPr="00C0447D" w:rsidRDefault="008351E7" w:rsidP="006D69FF">
            <w:pPr>
              <w:pStyle w:val="APAParagraph"/>
              <w:ind w:firstLine="0"/>
              <w:rPr>
                <w:rFonts w:asciiTheme="majorBidi" w:hAnsiTheme="majorBidi" w:cstheme="majorBidi"/>
                <w:bCs/>
                <w:lang w:val="en-US"/>
              </w:rPr>
            </w:pPr>
            <w:r w:rsidRPr="00C0447D">
              <w:rPr>
                <w:rFonts w:asciiTheme="majorBidi" w:hAnsiTheme="majorBidi" w:cstheme="majorBidi"/>
                <w:bCs/>
                <w:szCs w:val="24"/>
              </w:rPr>
              <w:t xml:space="preserve">Sample </w:t>
            </w:r>
            <w:r w:rsidR="00A61CC3" w:rsidRPr="00C0447D">
              <w:rPr>
                <w:rFonts w:asciiTheme="majorBidi" w:hAnsiTheme="majorBidi" w:cstheme="majorBidi"/>
                <w:bCs/>
                <w:szCs w:val="24"/>
              </w:rPr>
              <w:t>S</w:t>
            </w:r>
            <w:r w:rsidRPr="00C0447D">
              <w:rPr>
                <w:rFonts w:asciiTheme="majorBidi" w:hAnsiTheme="majorBidi" w:cstheme="majorBidi"/>
                <w:bCs/>
                <w:szCs w:val="24"/>
              </w:rPr>
              <w:t>ize</w:t>
            </w:r>
          </w:p>
        </w:tc>
        <w:tc>
          <w:tcPr>
            <w:tcW w:w="3192" w:type="dxa"/>
            <w:tcBorders>
              <w:top w:val="single" w:sz="18" w:space="0" w:color="auto"/>
              <w:bottom w:val="single" w:sz="12" w:space="0" w:color="auto"/>
            </w:tcBorders>
          </w:tcPr>
          <w:p w14:paraId="7D5166C2" w14:textId="77777777" w:rsidR="008351E7" w:rsidRPr="00C0447D" w:rsidRDefault="008351E7" w:rsidP="006D69FF">
            <w:pPr>
              <w:pStyle w:val="APAParagraph"/>
              <w:ind w:firstLine="0"/>
              <w:rPr>
                <w:rFonts w:asciiTheme="majorBidi" w:hAnsiTheme="majorBidi" w:cstheme="majorBidi"/>
                <w:bCs/>
                <w:lang w:val="en-US"/>
              </w:rPr>
            </w:pPr>
            <w:r w:rsidRPr="00C0447D">
              <w:rPr>
                <w:rFonts w:asciiTheme="majorBidi" w:hAnsiTheme="majorBidi" w:cstheme="majorBidi"/>
                <w:bCs/>
                <w:szCs w:val="24"/>
              </w:rPr>
              <w:t>Sector</w:t>
            </w:r>
          </w:p>
        </w:tc>
      </w:tr>
      <w:tr w:rsidR="008351E7" w:rsidRPr="009767FF" w14:paraId="7D5166C7" w14:textId="77777777" w:rsidTr="00790070">
        <w:tc>
          <w:tcPr>
            <w:tcW w:w="4248" w:type="dxa"/>
            <w:tcBorders>
              <w:top w:val="single" w:sz="12" w:space="0" w:color="auto"/>
            </w:tcBorders>
          </w:tcPr>
          <w:p w14:paraId="7D5166C4"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 xml:space="preserve">Abareshi </w:t>
            </w:r>
            <w:r w:rsidR="00A61CC3" w:rsidRPr="009767FF">
              <w:rPr>
                <w:rFonts w:asciiTheme="majorBidi" w:hAnsiTheme="majorBidi" w:cstheme="majorBidi"/>
              </w:rPr>
              <w:t>and</w:t>
            </w:r>
            <w:r w:rsidRPr="009767FF">
              <w:rPr>
                <w:rFonts w:asciiTheme="majorBidi" w:hAnsiTheme="majorBidi" w:cstheme="majorBidi"/>
              </w:rPr>
              <w:t xml:space="preserve"> Molla (2013)</w:t>
            </w:r>
          </w:p>
        </w:tc>
        <w:tc>
          <w:tcPr>
            <w:tcW w:w="2136" w:type="dxa"/>
            <w:tcBorders>
              <w:top w:val="single" w:sz="12" w:space="0" w:color="auto"/>
            </w:tcBorders>
          </w:tcPr>
          <w:p w14:paraId="7D5166C5"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279</w:t>
            </w:r>
          </w:p>
        </w:tc>
        <w:tc>
          <w:tcPr>
            <w:tcW w:w="3192" w:type="dxa"/>
            <w:tcBorders>
              <w:top w:val="single" w:sz="12" w:space="0" w:color="auto"/>
            </w:tcBorders>
          </w:tcPr>
          <w:p w14:paraId="7D5166C6"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 xml:space="preserve">Transport and </w:t>
            </w:r>
            <w:r w:rsidR="00A61CC3" w:rsidRPr="009767FF">
              <w:rPr>
                <w:rFonts w:asciiTheme="majorBidi" w:hAnsiTheme="majorBidi" w:cstheme="majorBidi"/>
              </w:rPr>
              <w:t>l</w:t>
            </w:r>
            <w:r w:rsidRPr="009767FF">
              <w:rPr>
                <w:rFonts w:asciiTheme="majorBidi" w:hAnsiTheme="majorBidi" w:cstheme="majorBidi"/>
              </w:rPr>
              <w:t>ogistics firms</w:t>
            </w:r>
          </w:p>
        </w:tc>
      </w:tr>
      <w:tr w:rsidR="008351E7" w:rsidRPr="009767FF" w14:paraId="7D5166CB" w14:textId="77777777" w:rsidTr="00790070">
        <w:tc>
          <w:tcPr>
            <w:tcW w:w="4248" w:type="dxa"/>
          </w:tcPr>
          <w:p w14:paraId="7D5166C8"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Ahmad et al. (2016)</w:t>
            </w:r>
          </w:p>
        </w:tc>
        <w:tc>
          <w:tcPr>
            <w:tcW w:w="2136" w:type="dxa"/>
          </w:tcPr>
          <w:p w14:paraId="7D5166C9"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230</w:t>
            </w:r>
          </w:p>
        </w:tc>
        <w:tc>
          <w:tcPr>
            <w:tcW w:w="3192" w:type="dxa"/>
          </w:tcPr>
          <w:p w14:paraId="7D5166CA"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University</w:t>
            </w:r>
          </w:p>
        </w:tc>
      </w:tr>
      <w:tr w:rsidR="008351E7" w:rsidRPr="009767FF" w14:paraId="7D5166CF" w14:textId="77777777" w:rsidTr="00790070">
        <w:tc>
          <w:tcPr>
            <w:tcW w:w="4248" w:type="dxa"/>
          </w:tcPr>
          <w:p w14:paraId="7D5166CC" w14:textId="0CA2B66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lastRenderedPageBreak/>
              <w:t>Castellanos-Verdugo</w:t>
            </w:r>
            <w:r w:rsidR="00CF4533" w:rsidRPr="009767FF">
              <w:rPr>
                <w:rFonts w:asciiTheme="majorBidi" w:hAnsiTheme="majorBidi" w:cstheme="majorBidi"/>
              </w:rPr>
              <w:t>,</w:t>
            </w:r>
            <w:r w:rsidR="00B70F4A">
              <w:rPr>
                <w:rFonts w:asciiTheme="majorBidi" w:hAnsiTheme="majorBidi" w:cstheme="majorBidi"/>
              </w:rPr>
              <w:t xml:space="preserve"> </w:t>
            </w:r>
            <w:r w:rsidR="00CF4533" w:rsidRPr="009767FF">
              <w:rPr>
                <w:rFonts w:asciiTheme="majorBidi" w:hAnsiTheme="majorBidi" w:cstheme="majorBidi"/>
              </w:rPr>
              <w:t xml:space="preserve">Vega-Vázquez, </w:t>
            </w:r>
            <w:r w:rsidR="009A03DE">
              <w:rPr>
                <w:rFonts w:asciiTheme="majorBidi" w:hAnsiTheme="majorBidi" w:cstheme="majorBidi"/>
              </w:rPr>
              <w:t xml:space="preserve">and </w:t>
            </w:r>
            <w:r w:rsidR="00CF4533" w:rsidRPr="009767FF">
              <w:rPr>
                <w:rFonts w:asciiTheme="majorBidi" w:hAnsiTheme="majorBidi" w:cstheme="majorBidi"/>
              </w:rPr>
              <w:t xml:space="preserve">Oviedo-García </w:t>
            </w:r>
            <w:r w:rsidRPr="009767FF">
              <w:rPr>
                <w:rFonts w:asciiTheme="majorBidi" w:hAnsiTheme="majorBidi" w:cstheme="majorBidi"/>
              </w:rPr>
              <w:t>(2016)</w:t>
            </w:r>
          </w:p>
        </w:tc>
        <w:tc>
          <w:tcPr>
            <w:tcW w:w="2136" w:type="dxa"/>
          </w:tcPr>
          <w:p w14:paraId="7D5166CD"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520</w:t>
            </w:r>
          </w:p>
        </w:tc>
        <w:tc>
          <w:tcPr>
            <w:tcW w:w="3192" w:type="dxa"/>
          </w:tcPr>
          <w:p w14:paraId="7D5166CE"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Tourism</w:t>
            </w:r>
          </w:p>
        </w:tc>
      </w:tr>
      <w:tr w:rsidR="008351E7" w:rsidRPr="009767FF" w14:paraId="7D5166D3" w14:textId="77777777" w:rsidTr="00790070">
        <w:tc>
          <w:tcPr>
            <w:tcW w:w="4248" w:type="dxa"/>
          </w:tcPr>
          <w:p w14:paraId="7D5166D0" w14:textId="593C4FF4"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Cegarra-Navarro</w:t>
            </w:r>
            <w:r w:rsidR="002B1859" w:rsidRPr="009767FF">
              <w:rPr>
                <w:rFonts w:asciiTheme="majorBidi" w:hAnsiTheme="majorBidi" w:cstheme="majorBidi"/>
              </w:rPr>
              <w:t xml:space="preserve">, Cordoba-Pachon, </w:t>
            </w:r>
            <w:r w:rsidR="009A03DE">
              <w:rPr>
                <w:rFonts w:asciiTheme="majorBidi" w:hAnsiTheme="majorBidi" w:cstheme="majorBidi"/>
              </w:rPr>
              <w:t>and</w:t>
            </w:r>
            <w:r w:rsidR="002B1859" w:rsidRPr="009767FF">
              <w:rPr>
                <w:rFonts w:asciiTheme="majorBidi" w:hAnsiTheme="majorBidi" w:cstheme="majorBidi"/>
              </w:rPr>
              <w:t xml:space="preserve"> Fernandez de Bobadilla</w:t>
            </w:r>
            <w:r w:rsidRPr="009767FF">
              <w:rPr>
                <w:rFonts w:asciiTheme="majorBidi" w:hAnsiTheme="majorBidi" w:cstheme="majorBidi"/>
              </w:rPr>
              <w:t xml:space="preserve"> (2009)</w:t>
            </w:r>
          </w:p>
        </w:tc>
        <w:tc>
          <w:tcPr>
            <w:tcW w:w="2136" w:type="dxa"/>
          </w:tcPr>
          <w:p w14:paraId="7D5166D1"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225</w:t>
            </w:r>
          </w:p>
        </w:tc>
        <w:tc>
          <w:tcPr>
            <w:tcW w:w="3192" w:type="dxa"/>
          </w:tcPr>
          <w:p w14:paraId="7D5166D2"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Pharmaceutical industry</w:t>
            </w:r>
          </w:p>
        </w:tc>
      </w:tr>
      <w:tr w:rsidR="008351E7" w:rsidRPr="009767FF" w14:paraId="7D5166D7" w14:textId="77777777" w:rsidTr="00790070">
        <w:tc>
          <w:tcPr>
            <w:tcW w:w="4248" w:type="dxa"/>
          </w:tcPr>
          <w:p w14:paraId="7D5166D4"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 xml:space="preserve">Gimenez </w:t>
            </w:r>
            <w:r w:rsidR="00A61CC3" w:rsidRPr="009767FF">
              <w:rPr>
                <w:rFonts w:asciiTheme="majorBidi" w:hAnsiTheme="majorBidi" w:cstheme="majorBidi"/>
              </w:rPr>
              <w:t>and</w:t>
            </w:r>
            <w:r w:rsidRPr="009767FF">
              <w:rPr>
                <w:rFonts w:asciiTheme="majorBidi" w:hAnsiTheme="majorBidi" w:cstheme="majorBidi"/>
              </w:rPr>
              <w:t xml:space="preserve"> Sierra (2013)</w:t>
            </w:r>
          </w:p>
        </w:tc>
        <w:tc>
          <w:tcPr>
            <w:tcW w:w="2136" w:type="dxa"/>
          </w:tcPr>
          <w:p w14:paraId="7D5166D5"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109</w:t>
            </w:r>
          </w:p>
        </w:tc>
        <w:tc>
          <w:tcPr>
            <w:tcW w:w="3192" w:type="dxa"/>
          </w:tcPr>
          <w:p w14:paraId="7D5166D6"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Manufacturing sector</w:t>
            </w:r>
          </w:p>
        </w:tc>
      </w:tr>
      <w:tr w:rsidR="008351E7" w:rsidRPr="009767FF" w14:paraId="7D5166DB" w14:textId="77777777" w:rsidTr="00790070">
        <w:tc>
          <w:tcPr>
            <w:tcW w:w="4248" w:type="dxa"/>
          </w:tcPr>
          <w:p w14:paraId="7D5166D8" w14:textId="79D428DE"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González-Rodríguez</w:t>
            </w:r>
            <w:r w:rsidR="008F466B" w:rsidRPr="009767FF">
              <w:rPr>
                <w:rFonts w:asciiTheme="majorBidi" w:hAnsiTheme="majorBidi" w:cstheme="majorBidi"/>
              </w:rPr>
              <w:t xml:space="preserve">, Díaz-Fernández, </w:t>
            </w:r>
            <w:r w:rsidR="009A03DE">
              <w:rPr>
                <w:rFonts w:asciiTheme="majorBidi" w:hAnsiTheme="majorBidi" w:cstheme="majorBidi"/>
              </w:rPr>
              <w:t>and</w:t>
            </w:r>
            <w:r w:rsidR="008F466B" w:rsidRPr="009767FF">
              <w:rPr>
                <w:rFonts w:asciiTheme="majorBidi" w:hAnsiTheme="majorBidi" w:cstheme="majorBidi"/>
              </w:rPr>
              <w:t xml:space="preserve"> Simonetti</w:t>
            </w:r>
            <w:r w:rsidRPr="009767FF">
              <w:rPr>
                <w:rFonts w:asciiTheme="majorBidi" w:hAnsiTheme="majorBidi" w:cstheme="majorBidi"/>
              </w:rPr>
              <w:t xml:space="preserve"> (2015)</w:t>
            </w:r>
          </w:p>
        </w:tc>
        <w:tc>
          <w:tcPr>
            <w:tcW w:w="2136" w:type="dxa"/>
          </w:tcPr>
          <w:p w14:paraId="7D5166D9"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1</w:t>
            </w:r>
            <w:r w:rsidR="00A61CC3" w:rsidRPr="009767FF">
              <w:rPr>
                <w:rFonts w:asciiTheme="majorBidi" w:hAnsiTheme="majorBidi" w:cstheme="majorBidi"/>
              </w:rPr>
              <w:t>,</w:t>
            </w:r>
            <w:r w:rsidRPr="009767FF">
              <w:rPr>
                <w:rFonts w:asciiTheme="majorBidi" w:hAnsiTheme="majorBidi" w:cstheme="majorBidi"/>
              </w:rPr>
              <w:t>600</w:t>
            </w:r>
          </w:p>
        </w:tc>
        <w:tc>
          <w:tcPr>
            <w:tcW w:w="3192" w:type="dxa"/>
          </w:tcPr>
          <w:p w14:paraId="7D5166DA"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University</w:t>
            </w:r>
          </w:p>
        </w:tc>
      </w:tr>
      <w:tr w:rsidR="008351E7" w:rsidRPr="009767FF" w14:paraId="7D5166DF" w14:textId="77777777" w:rsidTr="00790070">
        <w:tc>
          <w:tcPr>
            <w:tcW w:w="4248" w:type="dxa"/>
          </w:tcPr>
          <w:p w14:paraId="7D5166DC" w14:textId="5B30B5B2"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Kochan</w:t>
            </w:r>
            <w:r w:rsidR="008F466B" w:rsidRPr="009767FF">
              <w:rPr>
                <w:rFonts w:asciiTheme="majorBidi" w:hAnsiTheme="majorBidi" w:cstheme="majorBidi"/>
              </w:rPr>
              <w:t xml:space="preserve">, </w:t>
            </w:r>
            <w:r w:rsidR="004A1BAA" w:rsidRPr="009767FF">
              <w:rPr>
                <w:rFonts w:asciiTheme="majorBidi" w:hAnsiTheme="majorBidi" w:cstheme="majorBidi"/>
              </w:rPr>
              <w:t xml:space="preserve">Pourreza, Tran, </w:t>
            </w:r>
            <w:r w:rsidR="009A03DE">
              <w:rPr>
                <w:rFonts w:asciiTheme="majorBidi" w:hAnsiTheme="majorBidi" w:cstheme="majorBidi"/>
              </w:rPr>
              <w:t>and</w:t>
            </w:r>
            <w:r w:rsidR="004A1BAA" w:rsidRPr="009767FF">
              <w:rPr>
                <w:rFonts w:asciiTheme="majorBidi" w:hAnsiTheme="majorBidi" w:cstheme="majorBidi"/>
              </w:rPr>
              <w:t xml:space="preserve"> Prybutok</w:t>
            </w:r>
            <w:r w:rsidRPr="009767FF">
              <w:rPr>
                <w:rFonts w:asciiTheme="majorBidi" w:hAnsiTheme="majorBidi" w:cstheme="majorBidi"/>
              </w:rPr>
              <w:t xml:space="preserve"> (2016)</w:t>
            </w:r>
          </w:p>
        </w:tc>
        <w:tc>
          <w:tcPr>
            <w:tcW w:w="2136" w:type="dxa"/>
          </w:tcPr>
          <w:p w14:paraId="7D5166DD"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327</w:t>
            </w:r>
          </w:p>
        </w:tc>
        <w:tc>
          <w:tcPr>
            <w:tcW w:w="3192" w:type="dxa"/>
          </w:tcPr>
          <w:p w14:paraId="7D5166DE"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University</w:t>
            </w:r>
          </w:p>
        </w:tc>
      </w:tr>
      <w:tr w:rsidR="008351E7" w:rsidRPr="009767FF" w14:paraId="7D5166E3" w14:textId="77777777" w:rsidTr="00790070">
        <w:tc>
          <w:tcPr>
            <w:tcW w:w="4248" w:type="dxa"/>
          </w:tcPr>
          <w:p w14:paraId="7D5166E0"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Kura (2016)</w:t>
            </w:r>
          </w:p>
        </w:tc>
        <w:tc>
          <w:tcPr>
            <w:tcW w:w="2136" w:type="dxa"/>
          </w:tcPr>
          <w:p w14:paraId="7D5166E1"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171</w:t>
            </w:r>
          </w:p>
        </w:tc>
        <w:tc>
          <w:tcPr>
            <w:tcW w:w="3192" w:type="dxa"/>
          </w:tcPr>
          <w:p w14:paraId="7D5166E2" w14:textId="77777777" w:rsidR="008351E7" w:rsidRPr="009767FF" w:rsidRDefault="008351E7" w:rsidP="006D69FF">
            <w:pPr>
              <w:pStyle w:val="APAParagraph"/>
              <w:ind w:firstLine="0"/>
              <w:rPr>
                <w:rFonts w:asciiTheme="majorBidi" w:hAnsiTheme="majorBidi" w:cstheme="majorBidi"/>
                <w:lang w:val="en-US"/>
              </w:rPr>
            </w:pPr>
            <w:r w:rsidRPr="009767FF">
              <w:rPr>
                <w:rFonts w:asciiTheme="majorBidi" w:hAnsiTheme="majorBidi" w:cstheme="majorBidi"/>
              </w:rPr>
              <w:t>Public sector</w:t>
            </w:r>
          </w:p>
        </w:tc>
      </w:tr>
      <w:tr w:rsidR="008351E7" w:rsidRPr="009767FF" w14:paraId="7D5166E7" w14:textId="77777777" w:rsidTr="00790070">
        <w:tc>
          <w:tcPr>
            <w:tcW w:w="4248" w:type="dxa"/>
            <w:tcBorders>
              <w:bottom w:val="single" w:sz="18" w:space="0" w:color="auto"/>
            </w:tcBorders>
          </w:tcPr>
          <w:p w14:paraId="7D5166E4" w14:textId="77777777" w:rsidR="008351E7" w:rsidRPr="009767FF" w:rsidRDefault="008351E7" w:rsidP="006D69FF">
            <w:pPr>
              <w:spacing w:line="480" w:lineRule="auto"/>
              <w:rPr>
                <w:rFonts w:asciiTheme="majorBidi" w:hAnsiTheme="majorBidi" w:cstheme="majorBidi"/>
                <w:lang w:val="en-US"/>
              </w:rPr>
            </w:pPr>
            <w:r w:rsidRPr="009767FF">
              <w:rPr>
                <w:rFonts w:asciiTheme="majorBidi" w:hAnsiTheme="majorBidi" w:cstheme="majorBidi"/>
              </w:rPr>
              <w:t xml:space="preserve">Xu </w:t>
            </w:r>
            <w:r w:rsidR="00A61CC3" w:rsidRPr="009767FF">
              <w:rPr>
                <w:rFonts w:asciiTheme="majorBidi" w:hAnsiTheme="majorBidi" w:cstheme="majorBidi"/>
                <w:lang w:val="en-US"/>
              </w:rPr>
              <w:t>and</w:t>
            </w:r>
            <w:r w:rsidRPr="009767FF">
              <w:rPr>
                <w:rFonts w:asciiTheme="majorBidi" w:hAnsiTheme="majorBidi" w:cstheme="majorBidi"/>
              </w:rPr>
              <w:t xml:space="preserve"> Gursoy (2015)</w:t>
            </w:r>
          </w:p>
        </w:tc>
        <w:tc>
          <w:tcPr>
            <w:tcW w:w="2136" w:type="dxa"/>
            <w:tcBorders>
              <w:bottom w:val="single" w:sz="18" w:space="0" w:color="auto"/>
            </w:tcBorders>
          </w:tcPr>
          <w:p w14:paraId="7D5166E5" w14:textId="77777777" w:rsidR="008351E7" w:rsidRPr="009767FF" w:rsidRDefault="008351E7" w:rsidP="006D69FF">
            <w:pPr>
              <w:spacing w:line="480" w:lineRule="auto"/>
              <w:rPr>
                <w:rFonts w:asciiTheme="majorBidi" w:hAnsiTheme="majorBidi" w:cstheme="majorBidi"/>
                <w:lang w:val="en-US"/>
              </w:rPr>
            </w:pPr>
            <w:r w:rsidRPr="009767FF">
              <w:rPr>
                <w:rFonts w:asciiTheme="majorBidi" w:hAnsiTheme="majorBidi" w:cstheme="majorBidi"/>
              </w:rPr>
              <w:t>449</w:t>
            </w:r>
          </w:p>
        </w:tc>
        <w:tc>
          <w:tcPr>
            <w:tcW w:w="3192" w:type="dxa"/>
            <w:tcBorders>
              <w:bottom w:val="single" w:sz="18" w:space="0" w:color="auto"/>
            </w:tcBorders>
          </w:tcPr>
          <w:p w14:paraId="7D5166E6" w14:textId="77777777" w:rsidR="008351E7" w:rsidRPr="009767FF" w:rsidRDefault="008351E7" w:rsidP="006D69FF">
            <w:pPr>
              <w:spacing w:line="480" w:lineRule="auto"/>
              <w:rPr>
                <w:rFonts w:asciiTheme="majorBidi" w:hAnsiTheme="majorBidi" w:cstheme="majorBidi"/>
                <w:lang w:val="en-US"/>
              </w:rPr>
            </w:pPr>
            <w:r w:rsidRPr="009767FF">
              <w:rPr>
                <w:rFonts w:asciiTheme="majorBidi" w:hAnsiTheme="majorBidi" w:cstheme="majorBidi"/>
              </w:rPr>
              <w:t>Hospitality</w:t>
            </w:r>
          </w:p>
        </w:tc>
      </w:tr>
    </w:tbl>
    <w:p w14:paraId="7D5166E8" w14:textId="77777777" w:rsidR="008351E7" w:rsidRPr="00FC6087" w:rsidRDefault="008351E7" w:rsidP="009C1EAB">
      <w:pPr>
        <w:pStyle w:val="APAParagraph"/>
      </w:pPr>
    </w:p>
    <w:p w14:paraId="7D5166E9" w14:textId="6A619DD1" w:rsidR="008351E7" w:rsidRPr="00FC6087" w:rsidRDefault="008351E7" w:rsidP="009C1EAB">
      <w:pPr>
        <w:pStyle w:val="APAParagraph"/>
      </w:pPr>
      <w:r w:rsidRPr="00FC6087">
        <w:t>The purpose of using CFA is three</w:t>
      </w:r>
      <w:r w:rsidR="00BE5B63" w:rsidRPr="00FC6087">
        <w:t>-</w:t>
      </w:r>
      <w:r w:rsidRPr="00FC6087">
        <w:t>fold. First, it allows for variables to be grouped into theoretically</w:t>
      </w:r>
      <w:r w:rsidR="00D31194">
        <w:t xml:space="preserve"> </w:t>
      </w:r>
      <w:r w:rsidRPr="00FC6087">
        <w:t>grounded and empirically</w:t>
      </w:r>
      <w:r w:rsidR="00D31194">
        <w:t xml:space="preserve"> </w:t>
      </w:r>
      <w:r w:rsidRPr="00FC6087">
        <w:t xml:space="preserve">driven constructs, thus enabling the testing of theory-based hypotheses. Second, unlike many other multivariate procedures available, it provides accurate estimates for measurement errors (Byrne, 2001), which is essential to avoid inaccuracies, especially when </w:t>
      </w:r>
      <w:r w:rsidRPr="00FC6087">
        <w:lastRenderedPageBreak/>
        <w:t>errors can be substantial. Finally, while many other analyses focus only on observed variables, CFA enables the simultaneous examination of both observed and unobserved (i.e. latent) variables (Schumacker</w:t>
      </w:r>
      <w:r w:rsidR="005E7A62">
        <w:t xml:space="preserve"> &amp; </w:t>
      </w:r>
      <w:r w:rsidRPr="00FC6087">
        <w:t>Lomax, 2010), thereby allowing for the determination of the effects exerted by categories of latent motivators and barriers (unobserved) on HIT adoption (observed).</w:t>
      </w:r>
    </w:p>
    <w:p w14:paraId="7D5166EA" w14:textId="77777777" w:rsidR="008351E7" w:rsidRPr="00FC6087" w:rsidRDefault="008351E7" w:rsidP="003A1141">
      <w:pPr>
        <w:pStyle w:val="Heading1"/>
      </w:pPr>
      <w:bookmarkStart w:id="95" w:name="_Toc535934694"/>
      <w:bookmarkStart w:id="96" w:name="_Toc24447785"/>
      <w:r w:rsidRPr="00FC6087">
        <w:t>4.2</w:t>
      </w:r>
      <w:r w:rsidR="00CE79B8" w:rsidRPr="00FC6087">
        <w:t xml:space="preserve">. </w:t>
      </w:r>
      <w:r w:rsidRPr="00FC6087">
        <w:t xml:space="preserve">Justification </w:t>
      </w:r>
      <w:r w:rsidR="00CE79B8" w:rsidRPr="00FC6087">
        <w:t>for</w:t>
      </w:r>
      <w:r w:rsidRPr="00FC6087">
        <w:t xml:space="preserve"> the Research Methodology</w:t>
      </w:r>
      <w:bookmarkEnd w:id="95"/>
      <w:bookmarkEnd w:id="96"/>
    </w:p>
    <w:p w14:paraId="7D5166EB" w14:textId="77777777" w:rsidR="008351E7" w:rsidRPr="00FC6087" w:rsidRDefault="008351E7" w:rsidP="009C1EAB">
      <w:pPr>
        <w:pStyle w:val="APAParagraph"/>
      </w:pPr>
      <w:r w:rsidRPr="00FC6087">
        <w:t xml:space="preserve">First, to gain in-depth insight into the unique landscape of HIT adoption in the UAE, a qualitative exploration of the motivators and barriers to HIT adoption was conducted as reported by selected members of each stakeholder category in the UAE. Lengthy interviews with representatives of the four stakeholder categories helped gather detailed data </w:t>
      </w:r>
      <w:r w:rsidR="00CE79B8" w:rsidRPr="00FC6087">
        <w:t>regarding what</w:t>
      </w:r>
      <w:r w:rsidRPr="00FC6087">
        <w:t xml:space="preserve"> they perceived to be the factors that encouraged and/or hindered adopting healthcare technologies. These data were then trimmed and organized to create a manageably sized list of discrete factors that could then be used for quantitative analyses.</w:t>
      </w:r>
    </w:p>
    <w:p w14:paraId="7D5166EC" w14:textId="77777777" w:rsidR="008351E7" w:rsidRPr="00FC6087" w:rsidRDefault="008351E7" w:rsidP="009C1EAB">
      <w:pPr>
        <w:pStyle w:val="APAParagraph"/>
      </w:pPr>
      <w:r w:rsidRPr="00FC6087">
        <w:t xml:space="preserve">Second, while such detailed, qualitative data allow for the determination of relevant factors, to define the relative importance and weight of these factors, quantitative analyses are required. Factor analysis, in particular, enables the determination of the relative importance of key variables on the outcome variable. Moreover, it allows for the identification of underlying (i.e. latent) variables that may better describe the data and the determination of how those latent variables, in addition to the measured ones (i.e. survey items), influence the outcome </w:t>
      </w:r>
      <w:r w:rsidRPr="00FC6087">
        <w:lastRenderedPageBreak/>
        <w:t>variable. The outcome is represented by detailed models of the paths between variables and their weights, indicating how strongly items are related to their latent variables (both first- and second-order CFAs) and how those latent variables predict the outcome variable (second-order CFA).</w:t>
      </w:r>
    </w:p>
    <w:p w14:paraId="7D5166ED" w14:textId="77777777" w:rsidR="008351E7" w:rsidRPr="00FC6087" w:rsidRDefault="008351E7" w:rsidP="00BB3EAE">
      <w:pPr>
        <w:pStyle w:val="Heading1"/>
      </w:pPr>
      <w:bookmarkStart w:id="97" w:name="_Toc535934695"/>
      <w:bookmarkStart w:id="98" w:name="_Toc24447786"/>
      <w:r w:rsidRPr="00FC6087">
        <w:t>4.3</w:t>
      </w:r>
      <w:r w:rsidR="00687ECA" w:rsidRPr="00FC6087">
        <w:t xml:space="preserve">. </w:t>
      </w:r>
      <w:r w:rsidR="00BF459E" w:rsidRPr="00FC6087">
        <w:t>Step 1 (Qualitative): Exploratory Factor Analysis (EFA)</w:t>
      </w:r>
      <w:bookmarkEnd w:id="91"/>
      <w:bookmarkEnd w:id="92"/>
      <w:bookmarkEnd w:id="97"/>
      <w:bookmarkEnd w:id="98"/>
    </w:p>
    <w:p w14:paraId="7D5166EE" w14:textId="77777777" w:rsidR="008351E7" w:rsidRPr="00790070" w:rsidRDefault="008351E7" w:rsidP="00D36C42">
      <w:pPr>
        <w:pStyle w:val="Heading2"/>
      </w:pPr>
      <w:bookmarkStart w:id="99" w:name="_Toc532800295"/>
      <w:bookmarkStart w:id="100" w:name="_Toc534028539"/>
      <w:bookmarkStart w:id="101" w:name="_Toc535934697"/>
      <w:bookmarkStart w:id="102" w:name="_Toc24447787"/>
      <w:r w:rsidRPr="00FC6087">
        <w:t>4.3.1</w:t>
      </w:r>
      <w:r w:rsidR="00BB3EAE" w:rsidRPr="00FC6087">
        <w:t>.</w:t>
      </w:r>
      <w:r w:rsidRPr="00FC6087">
        <w:t xml:space="preserve"> Participant</w:t>
      </w:r>
      <w:bookmarkEnd w:id="99"/>
      <w:bookmarkEnd w:id="100"/>
      <w:r w:rsidRPr="00FC6087">
        <w:t xml:space="preserve"> Selection</w:t>
      </w:r>
      <w:bookmarkEnd w:id="101"/>
      <w:bookmarkEnd w:id="102"/>
    </w:p>
    <w:p w14:paraId="7D5166EF" w14:textId="3BC319FD" w:rsidR="008351E7" w:rsidRPr="00FC6087" w:rsidRDefault="008351E7" w:rsidP="00BB3EAE">
      <w:pPr>
        <w:pStyle w:val="APAParagraph"/>
      </w:pPr>
      <w:r w:rsidRPr="00FC6087">
        <w:t xml:space="preserve">This </w:t>
      </w:r>
      <w:r w:rsidR="009A4DEE" w:rsidRPr="00FC6087">
        <w:t>research</w:t>
      </w:r>
      <w:r w:rsidR="00D31194" w:rsidRPr="00FC6087">
        <w:t xml:space="preserve"> </w:t>
      </w:r>
      <w:r w:rsidRPr="00FC6087">
        <w:t>adds to the current understanding by examining the perspectives of all relevant healthcare stakeholder categories: healthcare providers</w:t>
      </w:r>
      <w:r w:rsidR="00C06547" w:rsidRPr="00FC6087">
        <w:t>;</w:t>
      </w:r>
      <w:r w:rsidRPr="00FC6087">
        <w:t xml:space="preserve"> patients</w:t>
      </w:r>
      <w:r w:rsidR="00C06547" w:rsidRPr="00FC6087">
        <w:t>;</w:t>
      </w:r>
      <w:r w:rsidRPr="00FC6087">
        <w:t xml:space="preserve"> the public</w:t>
      </w:r>
      <w:r w:rsidR="00C06547" w:rsidRPr="00FC6087">
        <w:t>;</w:t>
      </w:r>
      <w:r w:rsidRPr="00FC6087">
        <w:t xml:space="preserve"> and foresight experts. This will help provide more comprehensive and, therefore, valuable insights. Healthcare employees and patients are presumably the main users of healthcare technologies, and, as such, their opinions should be considered, since their actions (or inactions) determine the effectiveness and future of HIT. Citizens, likely to be largely uninvolved with HIT (unless they are also patients or healthcare providers), can provide a mostly neutral perspective on HIT; however, as taxpayers, they can represent the concerns on the potential tax burden due to expensive technology initiatives and, as such, provide important and valid concerns and opinions. Finally, foresight experts assist organizations </w:t>
      </w:r>
      <w:r w:rsidR="00932397" w:rsidRPr="00FC6087">
        <w:t>in</w:t>
      </w:r>
      <w:r w:rsidRPr="00FC6087">
        <w:t xml:space="preserve"> managing change by assessing current trends and patterns to make useful predictions about</w:t>
      </w:r>
      <w:r w:rsidR="00107959" w:rsidRPr="00FC6087">
        <w:t>,</w:t>
      </w:r>
      <w:r w:rsidRPr="00FC6087">
        <w:t xml:space="preserve"> and suggestions for</w:t>
      </w:r>
      <w:r w:rsidR="00107959" w:rsidRPr="00FC6087">
        <w:t>,</w:t>
      </w:r>
      <w:r w:rsidRPr="00FC6087">
        <w:t xml:space="preserve"> the future. However, they do more than forecast: they also examine current phenomena and </w:t>
      </w:r>
      <w:r w:rsidRPr="00FC6087">
        <w:lastRenderedPageBreak/>
        <w:t>processes (e.g. networks) because the optimization of planning and decision-making requires understanding the extent to which past and present practices have worked or not. As such, their opinions are highly valuable regarding the need</w:t>
      </w:r>
      <w:r w:rsidR="00107959" w:rsidRPr="00FC6087">
        <w:t>,</w:t>
      </w:r>
      <w:r w:rsidRPr="00FC6087">
        <w:t xml:space="preserve"> and how best</w:t>
      </w:r>
      <w:r w:rsidR="00DF4BB9" w:rsidRPr="00FC6087">
        <w:t>, to</w:t>
      </w:r>
      <w:r w:rsidRPr="00FC6087">
        <w:t xml:space="preserve"> increase the use of healthcare technologies. The inclusion of foresight experts is novel within academic research on HIT motivators and barriers, making th</w:t>
      </w:r>
      <w:r w:rsidR="009A4DEE" w:rsidRPr="00FC6087">
        <w:t>e</w:t>
      </w:r>
      <w:r w:rsidRPr="00FC6087">
        <w:t xml:space="preserve"> findings </w:t>
      </w:r>
      <w:r w:rsidR="009A4DEE" w:rsidRPr="00FC6087">
        <w:t xml:space="preserve">of this research </w:t>
      </w:r>
      <w:r w:rsidRPr="00FC6087">
        <w:t xml:space="preserve">an important academic advancement. Table </w:t>
      </w:r>
      <w:r w:rsidR="007A7312" w:rsidRPr="00FC6087">
        <w:t>4</w:t>
      </w:r>
      <w:r w:rsidRPr="00FC6087">
        <w:t>.</w:t>
      </w:r>
      <w:r w:rsidR="007A7312" w:rsidRPr="00FC6087">
        <w:t>2</w:t>
      </w:r>
      <w:r w:rsidR="00000DF3">
        <w:t xml:space="preserve"> </w:t>
      </w:r>
      <w:r w:rsidR="00DF4BB9" w:rsidRPr="00FC6087">
        <w:t>provides</w:t>
      </w:r>
      <w:r w:rsidRPr="00FC6087">
        <w:t xml:space="preserve"> a detailed description of the four stakeholder</w:t>
      </w:r>
      <w:r w:rsidR="003D0435" w:rsidRPr="00FC6087">
        <w:t xml:space="preserve"> groups</w:t>
      </w:r>
      <w:r w:rsidR="00D31194" w:rsidRPr="00FC6087">
        <w:t xml:space="preserve"> </w:t>
      </w:r>
      <w:r w:rsidR="00637DCF" w:rsidRPr="00FC6087">
        <w:t xml:space="preserve">used </w:t>
      </w:r>
      <w:r w:rsidRPr="00FC6087">
        <w:t>in this research.</w:t>
      </w:r>
    </w:p>
    <w:p w14:paraId="7D5166F2" w14:textId="77777777" w:rsidR="003647D3" w:rsidRPr="00FC6087" w:rsidRDefault="003647D3" w:rsidP="00BB3EAE">
      <w:pPr>
        <w:pStyle w:val="APAParagraph"/>
      </w:pPr>
    </w:p>
    <w:p w14:paraId="7D5166F3" w14:textId="62D84138" w:rsidR="008351E7" w:rsidRPr="00790070" w:rsidRDefault="008351E7" w:rsidP="003647D3">
      <w:pPr>
        <w:spacing w:line="480" w:lineRule="auto"/>
        <w:rPr>
          <w:i/>
        </w:rPr>
      </w:pPr>
      <w:r w:rsidRPr="00A76642">
        <w:t xml:space="preserve">Table </w:t>
      </w:r>
      <w:r w:rsidR="007A7312" w:rsidRPr="00A76642">
        <w:t>4</w:t>
      </w:r>
      <w:r w:rsidRPr="00A76642">
        <w:t>.</w:t>
      </w:r>
      <w:r w:rsidR="007A7312" w:rsidRPr="00A76642">
        <w:t>2</w:t>
      </w:r>
      <w:r w:rsidR="00D32C58" w:rsidRPr="00A76642">
        <w:br/>
      </w:r>
      <w:r w:rsidRPr="00A76642">
        <w:rPr>
          <w:i/>
        </w:rPr>
        <w:t>Stakeholder Categories and Definitions</w:t>
      </w:r>
    </w:p>
    <w:tbl>
      <w:tblPr>
        <w:tblStyle w:val="LightShading1"/>
        <w:tblW w:w="7965" w:type="dxa"/>
        <w:tblLayout w:type="fixed"/>
        <w:tblCellMar>
          <w:top w:w="57" w:type="dxa"/>
          <w:bottom w:w="57" w:type="dxa"/>
        </w:tblCellMar>
        <w:tblLook w:val="04A0" w:firstRow="1" w:lastRow="0" w:firstColumn="1" w:lastColumn="0" w:noHBand="0" w:noVBand="1"/>
      </w:tblPr>
      <w:tblGrid>
        <w:gridCol w:w="1773"/>
        <w:gridCol w:w="6192"/>
      </w:tblGrid>
      <w:tr w:rsidR="008351E7" w:rsidRPr="00FC6087" w14:paraId="7D5166F6" w14:textId="77777777" w:rsidTr="006D69FF">
        <w:trPr>
          <w:cnfStyle w:val="100000000000" w:firstRow="1" w:lastRow="0" w:firstColumn="0" w:lastColumn="0" w:oddVBand="0" w:evenVBand="0" w:oddHBand="0" w:evenHBand="0" w:firstRowFirstColumn="0" w:firstRowLastColumn="0" w:lastRowFirstColumn="0" w:lastRowLastColumn="0"/>
          <w:trHeight w:val="313"/>
          <w:tblHeader/>
        </w:trPr>
        <w:tc>
          <w:tcPr>
            <w:cnfStyle w:val="001000000000" w:firstRow="0" w:lastRow="0" w:firstColumn="1" w:lastColumn="0" w:oddVBand="0" w:evenVBand="0" w:oddHBand="0" w:evenHBand="0" w:firstRowFirstColumn="0" w:firstRowLastColumn="0" w:lastRowFirstColumn="0" w:lastRowLastColumn="0"/>
            <w:tcW w:w="1773" w:type="dxa"/>
            <w:tcBorders>
              <w:top w:val="single" w:sz="18" w:space="0" w:color="auto"/>
              <w:bottom w:val="single" w:sz="12" w:space="0" w:color="auto"/>
            </w:tcBorders>
            <w:shd w:val="clear" w:color="auto" w:fill="auto"/>
            <w:hideMark/>
          </w:tcPr>
          <w:p w14:paraId="7D5166F4" w14:textId="77777777" w:rsidR="008351E7" w:rsidRPr="00C0447D" w:rsidRDefault="008351E7" w:rsidP="00790070">
            <w:pPr>
              <w:ind w:left="176"/>
              <w:contextualSpacing/>
              <w:rPr>
                <w:rFonts w:eastAsia="Times New Roman"/>
                <w:b w:val="0"/>
                <w:color w:val="auto"/>
              </w:rPr>
            </w:pPr>
            <w:r w:rsidRPr="00C0447D">
              <w:rPr>
                <w:rFonts w:eastAsia="Times New Roman"/>
                <w:color w:val="auto"/>
              </w:rPr>
              <w:t>Stakeholder Group</w:t>
            </w:r>
          </w:p>
        </w:tc>
        <w:tc>
          <w:tcPr>
            <w:tcW w:w="6192" w:type="dxa"/>
            <w:tcBorders>
              <w:top w:val="single" w:sz="18" w:space="0" w:color="auto"/>
              <w:bottom w:val="single" w:sz="12" w:space="0" w:color="auto"/>
            </w:tcBorders>
            <w:shd w:val="clear" w:color="auto" w:fill="auto"/>
            <w:vAlign w:val="center"/>
            <w:hideMark/>
          </w:tcPr>
          <w:p w14:paraId="7D5166F5" w14:textId="77777777" w:rsidR="008351E7" w:rsidRPr="00C0447D" w:rsidRDefault="008351E7" w:rsidP="00790070">
            <w:pPr>
              <w:contextualSpacing/>
              <w:jc w:val="both"/>
              <w:cnfStyle w:val="100000000000" w:firstRow="1" w:lastRow="0" w:firstColumn="0" w:lastColumn="0" w:oddVBand="0" w:evenVBand="0" w:oddHBand="0" w:evenHBand="0" w:firstRowFirstColumn="0" w:firstRowLastColumn="0" w:lastRowFirstColumn="0" w:lastRowLastColumn="0"/>
              <w:rPr>
                <w:rFonts w:eastAsia="Times New Roman"/>
                <w:b w:val="0"/>
                <w:color w:val="auto"/>
              </w:rPr>
            </w:pPr>
            <w:r w:rsidRPr="00C0447D">
              <w:rPr>
                <w:rFonts w:eastAsia="Times New Roman"/>
                <w:color w:val="auto"/>
              </w:rPr>
              <w:t>Description</w:t>
            </w:r>
          </w:p>
        </w:tc>
      </w:tr>
      <w:tr w:rsidR="008351E7" w:rsidRPr="00FC6087" w14:paraId="7D5166F9" w14:textId="77777777" w:rsidTr="006D69FF">
        <w:trPr>
          <w:cnfStyle w:val="000000100000" w:firstRow="0" w:lastRow="0" w:firstColumn="0" w:lastColumn="0" w:oddVBand="0" w:evenVBand="0" w:oddHBand="1" w:evenHBand="0" w:firstRowFirstColumn="0" w:firstRowLastColumn="0" w:lastRowFirstColumn="0" w:lastRowLastColumn="0"/>
          <w:trHeight w:val="868"/>
        </w:trPr>
        <w:tc>
          <w:tcPr>
            <w:cnfStyle w:val="001000000000" w:firstRow="0" w:lastRow="0" w:firstColumn="1" w:lastColumn="0" w:oddVBand="0" w:evenVBand="0" w:oddHBand="0" w:evenHBand="0" w:firstRowFirstColumn="0" w:firstRowLastColumn="0" w:lastRowFirstColumn="0" w:lastRowLastColumn="0"/>
            <w:tcW w:w="1773" w:type="dxa"/>
            <w:tcBorders>
              <w:top w:val="single" w:sz="12" w:space="0" w:color="auto"/>
            </w:tcBorders>
            <w:shd w:val="clear" w:color="auto" w:fill="auto"/>
            <w:hideMark/>
          </w:tcPr>
          <w:p w14:paraId="7D5166F7" w14:textId="77777777" w:rsidR="008351E7" w:rsidRPr="00C0447D" w:rsidRDefault="008351E7" w:rsidP="00790070">
            <w:pPr>
              <w:ind w:left="176"/>
              <w:contextualSpacing/>
              <w:rPr>
                <w:rFonts w:eastAsia="Times New Roman"/>
                <w:b w:val="0"/>
                <w:color w:val="auto"/>
              </w:rPr>
            </w:pPr>
            <w:r w:rsidRPr="00C0447D">
              <w:rPr>
                <w:rFonts w:eastAsia="Times New Roman"/>
                <w:color w:val="auto"/>
              </w:rPr>
              <w:t>Employee</w:t>
            </w:r>
          </w:p>
        </w:tc>
        <w:tc>
          <w:tcPr>
            <w:tcW w:w="6192" w:type="dxa"/>
            <w:tcBorders>
              <w:top w:val="single" w:sz="12" w:space="0" w:color="auto"/>
            </w:tcBorders>
            <w:shd w:val="clear" w:color="auto" w:fill="auto"/>
            <w:hideMark/>
          </w:tcPr>
          <w:p w14:paraId="7D5166F8" w14:textId="77777777" w:rsidR="008351E7" w:rsidRPr="00FC6087" w:rsidRDefault="008351E7" w:rsidP="00DC785B">
            <w:pPr>
              <w:spacing w:line="480" w:lineRule="auto"/>
              <w:contextualSpacing/>
              <w:jc w:val="both"/>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FC6087">
              <w:rPr>
                <w:rFonts w:eastAsia="Times New Roman"/>
                <w:color w:val="auto"/>
              </w:rPr>
              <w:t>Any individual, male or female, working in the healthcare sector, regardless of the nature of their job (physician, nurse, technician, administrator, or others), with no limit to their years of experience.</w:t>
            </w:r>
          </w:p>
        </w:tc>
      </w:tr>
      <w:tr w:rsidR="008351E7" w:rsidRPr="00FC6087" w14:paraId="7D5166FC" w14:textId="77777777" w:rsidTr="006D69FF">
        <w:trPr>
          <w:trHeight w:val="530"/>
        </w:trPr>
        <w:tc>
          <w:tcPr>
            <w:cnfStyle w:val="001000000000" w:firstRow="0" w:lastRow="0" w:firstColumn="1" w:lastColumn="0" w:oddVBand="0" w:evenVBand="0" w:oddHBand="0" w:evenHBand="0" w:firstRowFirstColumn="0" w:firstRowLastColumn="0" w:lastRowFirstColumn="0" w:lastRowLastColumn="0"/>
            <w:tcW w:w="1773" w:type="dxa"/>
            <w:shd w:val="clear" w:color="auto" w:fill="auto"/>
            <w:hideMark/>
          </w:tcPr>
          <w:p w14:paraId="7D5166FA" w14:textId="77777777" w:rsidR="008351E7" w:rsidRPr="00C0447D" w:rsidRDefault="008351E7" w:rsidP="00790070">
            <w:pPr>
              <w:ind w:left="176"/>
              <w:contextualSpacing/>
              <w:rPr>
                <w:rFonts w:eastAsia="Times New Roman"/>
                <w:b w:val="0"/>
                <w:color w:val="auto"/>
              </w:rPr>
            </w:pPr>
            <w:r w:rsidRPr="00C0447D">
              <w:rPr>
                <w:rFonts w:eastAsia="Times New Roman"/>
                <w:color w:val="auto"/>
              </w:rPr>
              <w:t>Patient</w:t>
            </w:r>
          </w:p>
        </w:tc>
        <w:tc>
          <w:tcPr>
            <w:tcW w:w="6192" w:type="dxa"/>
            <w:shd w:val="clear" w:color="auto" w:fill="auto"/>
            <w:hideMark/>
          </w:tcPr>
          <w:p w14:paraId="7D5166FB" w14:textId="77777777" w:rsidR="008351E7" w:rsidRPr="00FC6087" w:rsidRDefault="008351E7" w:rsidP="00DC785B">
            <w:pPr>
              <w:spacing w:line="480" w:lineRule="auto"/>
              <w:contextualSpacing/>
              <w:jc w:val="both"/>
              <w:cnfStyle w:val="000000000000" w:firstRow="0" w:lastRow="0" w:firstColumn="0" w:lastColumn="0" w:oddVBand="0" w:evenVBand="0" w:oddHBand="0" w:evenHBand="0" w:firstRowFirstColumn="0" w:firstRowLastColumn="0" w:lastRowFirstColumn="0" w:lastRowLastColumn="0"/>
              <w:rPr>
                <w:rFonts w:eastAsia="Times New Roman"/>
                <w:color w:val="auto"/>
              </w:rPr>
            </w:pPr>
            <w:r w:rsidRPr="00FC6087">
              <w:rPr>
                <w:rFonts w:eastAsia="Times New Roman"/>
                <w:color w:val="auto"/>
              </w:rPr>
              <w:t xml:space="preserve">Any individual, male or female, that has received services provided by the healthcare sector. The service provider can belong to any medical facility (type clinic or hospital) and any sector (private or public). If the patient is under the age of 18, the interview can be conducted in the presence of any of </w:t>
            </w:r>
            <w:r w:rsidRPr="00FC6087">
              <w:rPr>
                <w:rFonts w:eastAsia="Times New Roman"/>
                <w:color w:val="auto"/>
              </w:rPr>
              <w:lastRenderedPageBreak/>
              <w:t>his parents or tutors.</w:t>
            </w:r>
          </w:p>
        </w:tc>
      </w:tr>
      <w:tr w:rsidR="008351E7" w:rsidRPr="00FC6087" w14:paraId="7D5166FF" w14:textId="77777777" w:rsidTr="006D69FF">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1773" w:type="dxa"/>
            <w:tcBorders>
              <w:bottom w:val="nil"/>
            </w:tcBorders>
            <w:shd w:val="clear" w:color="auto" w:fill="auto"/>
            <w:hideMark/>
          </w:tcPr>
          <w:p w14:paraId="7D5166FD" w14:textId="740A85D2" w:rsidR="008351E7" w:rsidRPr="00C0447D" w:rsidRDefault="008351E7" w:rsidP="00790070">
            <w:pPr>
              <w:ind w:left="176"/>
              <w:contextualSpacing/>
              <w:rPr>
                <w:rFonts w:eastAsia="Times New Roman"/>
                <w:b w:val="0"/>
                <w:color w:val="auto"/>
              </w:rPr>
            </w:pPr>
            <w:r w:rsidRPr="00C0447D">
              <w:rPr>
                <w:rFonts w:eastAsia="Times New Roman"/>
                <w:color w:val="auto"/>
              </w:rPr>
              <w:lastRenderedPageBreak/>
              <w:t xml:space="preserve">UAE </w:t>
            </w:r>
            <w:r w:rsidR="00D32C58" w:rsidRPr="00C0447D">
              <w:rPr>
                <w:rFonts w:eastAsia="Times New Roman"/>
                <w:b w:val="0"/>
                <w:color w:val="auto"/>
              </w:rPr>
              <w:t>C</w:t>
            </w:r>
            <w:r w:rsidRPr="00C0447D">
              <w:rPr>
                <w:rFonts w:eastAsia="Times New Roman"/>
                <w:color w:val="auto"/>
              </w:rPr>
              <w:t xml:space="preserve">itizen or </w:t>
            </w:r>
            <w:r w:rsidR="00D32C58" w:rsidRPr="00C0447D">
              <w:rPr>
                <w:rFonts w:eastAsia="Times New Roman"/>
                <w:b w:val="0"/>
                <w:color w:val="auto"/>
              </w:rPr>
              <w:t>R</w:t>
            </w:r>
            <w:r w:rsidRPr="00C0447D">
              <w:rPr>
                <w:rFonts w:eastAsia="Times New Roman"/>
                <w:color w:val="auto"/>
              </w:rPr>
              <w:t>esident</w:t>
            </w:r>
          </w:p>
        </w:tc>
        <w:tc>
          <w:tcPr>
            <w:tcW w:w="6192" w:type="dxa"/>
            <w:tcBorders>
              <w:bottom w:val="nil"/>
            </w:tcBorders>
            <w:shd w:val="clear" w:color="auto" w:fill="auto"/>
            <w:hideMark/>
          </w:tcPr>
          <w:p w14:paraId="7D5166FE" w14:textId="77777777" w:rsidR="008351E7" w:rsidRPr="00FC6087" w:rsidRDefault="008351E7" w:rsidP="00DC785B">
            <w:pPr>
              <w:spacing w:line="480" w:lineRule="auto"/>
              <w:contextualSpacing/>
              <w:jc w:val="both"/>
              <w:cnfStyle w:val="000000100000" w:firstRow="0" w:lastRow="0" w:firstColumn="0" w:lastColumn="0" w:oddVBand="0" w:evenVBand="0" w:oddHBand="1" w:evenHBand="0" w:firstRowFirstColumn="0" w:firstRowLastColumn="0" w:lastRowFirstColumn="0" w:lastRowLastColumn="0"/>
              <w:rPr>
                <w:rFonts w:eastAsia="Times New Roman"/>
                <w:color w:val="auto"/>
              </w:rPr>
            </w:pPr>
            <w:r w:rsidRPr="00FC6087">
              <w:rPr>
                <w:rFonts w:eastAsia="Times New Roman"/>
                <w:color w:val="auto"/>
              </w:rPr>
              <w:t>Any UAE citizen or resident, male or female, aged 18−65 years.</w:t>
            </w:r>
          </w:p>
        </w:tc>
      </w:tr>
      <w:tr w:rsidR="008351E7" w:rsidRPr="00FC6087" w14:paraId="7D516702" w14:textId="77777777" w:rsidTr="006D69FF">
        <w:trPr>
          <w:trHeight w:val="733"/>
        </w:trPr>
        <w:tc>
          <w:tcPr>
            <w:cnfStyle w:val="001000000000" w:firstRow="0" w:lastRow="0" w:firstColumn="1" w:lastColumn="0" w:oddVBand="0" w:evenVBand="0" w:oddHBand="0" w:evenHBand="0" w:firstRowFirstColumn="0" w:firstRowLastColumn="0" w:lastRowFirstColumn="0" w:lastRowLastColumn="0"/>
            <w:tcW w:w="1773" w:type="dxa"/>
            <w:tcBorders>
              <w:top w:val="nil"/>
              <w:bottom w:val="single" w:sz="18" w:space="0" w:color="auto"/>
            </w:tcBorders>
            <w:shd w:val="clear" w:color="auto" w:fill="auto"/>
            <w:hideMark/>
          </w:tcPr>
          <w:p w14:paraId="7D516700" w14:textId="52BCBD34" w:rsidR="008351E7" w:rsidRPr="00C0447D" w:rsidRDefault="008351E7" w:rsidP="00790070">
            <w:pPr>
              <w:ind w:left="176"/>
              <w:contextualSpacing/>
              <w:rPr>
                <w:rFonts w:eastAsia="Times New Roman"/>
                <w:b w:val="0"/>
                <w:color w:val="auto"/>
              </w:rPr>
            </w:pPr>
            <w:r w:rsidRPr="00C0447D">
              <w:rPr>
                <w:rFonts w:eastAsia="Times New Roman"/>
                <w:color w:val="auto"/>
              </w:rPr>
              <w:t xml:space="preserve">Foresight </w:t>
            </w:r>
            <w:r w:rsidR="00D32C58" w:rsidRPr="00C0447D">
              <w:rPr>
                <w:rFonts w:eastAsia="Times New Roman"/>
                <w:b w:val="0"/>
                <w:color w:val="auto"/>
              </w:rPr>
              <w:t>E</w:t>
            </w:r>
            <w:r w:rsidRPr="00C0447D">
              <w:rPr>
                <w:rFonts w:eastAsia="Times New Roman"/>
                <w:color w:val="auto"/>
              </w:rPr>
              <w:t>xpert</w:t>
            </w:r>
          </w:p>
        </w:tc>
        <w:tc>
          <w:tcPr>
            <w:tcW w:w="6192" w:type="dxa"/>
            <w:tcBorders>
              <w:top w:val="nil"/>
              <w:bottom w:val="single" w:sz="18" w:space="0" w:color="auto"/>
            </w:tcBorders>
            <w:shd w:val="clear" w:color="auto" w:fill="auto"/>
            <w:hideMark/>
          </w:tcPr>
          <w:p w14:paraId="7D516701" w14:textId="77777777" w:rsidR="008351E7" w:rsidRPr="00FC6087" w:rsidRDefault="008351E7" w:rsidP="00DC785B">
            <w:pPr>
              <w:spacing w:line="480" w:lineRule="auto"/>
              <w:contextualSpacing/>
              <w:jc w:val="both"/>
              <w:cnfStyle w:val="000000000000" w:firstRow="0" w:lastRow="0" w:firstColumn="0" w:lastColumn="0" w:oddVBand="0" w:evenVBand="0" w:oddHBand="0" w:evenHBand="0" w:firstRowFirstColumn="0" w:firstRowLastColumn="0" w:lastRowFirstColumn="0" w:lastRowLastColumn="0"/>
              <w:rPr>
                <w:rFonts w:eastAsia="Times New Roman"/>
                <w:color w:val="auto"/>
              </w:rPr>
            </w:pPr>
            <w:r w:rsidRPr="00FC6087">
              <w:rPr>
                <w:rFonts w:eastAsia="Times New Roman"/>
                <w:color w:val="auto"/>
              </w:rPr>
              <w:t xml:space="preserve">Any trainee, male or female, that has undertaken foresight training or is foresight accredited. Foresight refers to potential changes in the external surroundings and how these could impact an organization. Experts in this field assist companies in navigating such likely changes by presenting an early assessment of opportunities (or obstacles). Foresight specialists do more than forecasting: they examine all aspects of networking and prepare future decisions. In addition, they provide information about the future, which is part of the planning and decision processes. </w:t>
            </w:r>
          </w:p>
        </w:tc>
      </w:tr>
    </w:tbl>
    <w:p w14:paraId="7D516703" w14:textId="77777777" w:rsidR="008351E7" w:rsidRPr="00FC6087" w:rsidRDefault="008351E7" w:rsidP="008351E7"/>
    <w:p w14:paraId="7D516704" w14:textId="3D25FB7C" w:rsidR="008351E7" w:rsidRPr="0019132F" w:rsidRDefault="008351E7" w:rsidP="009C1EAB">
      <w:pPr>
        <w:pStyle w:val="APAParagraph"/>
        <w:rPr>
          <w:color w:val="FF0000"/>
        </w:rPr>
      </w:pPr>
      <w:r w:rsidRPr="0019132F">
        <w:rPr>
          <w:color w:val="FF0000"/>
        </w:rPr>
        <w:t xml:space="preserve">Representatives of the four stakeholder groups were invited via email to participate </w:t>
      </w:r>
      <w:r w:rsidR="006E5594" w:rsidRPr="0019132F">
        <w:rPr>
          <w:color w:val="FF0000"/>
        </w:rPr>
        <w:t>in</w:t>
      </w:r>
      <w:r w:rsidR="00D32C58" w:rsidRPr="0019132F">
        <w:rPr>
          <w:color w:val="FF0000"/>
        </w:rPr>
        <w:t xml:space="preserve"> </w:t>
      </w:r>
      <w:r w:rsidR="006E5594" w:rsidRPr="0019132F">
        <w:rPr>
          <w:color w:val="FF0000"/>
        </w:rPr>
        <w:t>an</w:t>
      </w:r>
      <w:r w:rsidRPr="0019132F">
        <w:rPr>
          <w:color w:val="FF0000"/>
        </w:rPr>
        <w:t xml:space="preserve"> interview. For employees, physicians</w:t>
      </w:r>
      <w:r w:rsidR="00A20F03" w:rsidRPr="0019132F">
        <w:rPr>
          <w:color w:val="FF0000"/>
        </w:rPr>
        <w:t>,</w:t>
      </w:r>
      <w:r w:rsidRPr="0019132F">
        <w:rPr>
          <w:color w:val="FF0000"/>
        </w:rPr>
        <w:t xml:space="preserve"> and administrators (local and foreign) working in hospitals (public or private) with at least five years of experience in selecting and implementing healthcare technologies were considered. A total of 25 employees were approached, from which 20 were selected and interviewed based on their availability. For patients, candidates with long-term experiences with treatment of chronic illnesses (e.g. genetic blood cell </w:t>
      </w:r>
      <w:r w:rsidRPr="0019132F">
        <w:rPr>
          <w:color w:val="FF0000"/>
        </w:rPr>
        <w:lastRenderedPageBreak/>
        <w:t xml:space="preserve">disorders, multiple sclerosis, diabetes) that required significant technology involvement (e.g. procedures, scans) were considered. In some cases, the participant was the one receiving treatment, while in others, it was a family member of the patient who was receiving the treatment (e.g. a child, an elderly parent). A total of 55 candidates were approached, of which 40 were selected and interviewed based on their availability. For the society members category, candidates were considered and selected based on age, education level, and job experience to match the other categories as closely as possible on these factors. A total of 50 candidates were approached, of which 40 were selected and interviewed. Finally, for the foresight expert category, given its novelty as a field and that only </w:t>
      </w:r>
      <w:r w:rsidR="00E20CD7" w:rsidRPr="0019132F">
        <w:rPr>
          <w:color w:val="FF0000"/>
        </w:rPr>
        <w:t xml:space="preserve">a </w:t>
      </w:r>
      <w:r w:rsidRPr="0019132F">
        <w:rPr>
          <w:color w:val="FF0000"/>
        </w:rPr>
        <w:t>few organizations are working to</w:t>
      </w:r>
      <w:r w:rsidR="00E20CD7" w:rsidRPr="0019132F">
        <w:rPr>
          <w:color w:val="FF0000"/>
        </w:rPr>
        <w:t>wards</w:t>
      </w:r>
      <w:r w:rsidRPr="0019132F">
        <w:rPr>
          <w:color w:val="FF0000"/>
        </w:rPr>
        <w:t xml:space="preserve"> have their employees trained and certified</w:t>
      </w:r>
      <w:r w:rsidR="00E20CD7" w:rsidRPr="0019132F">
        <w:rPr>
          <w:color w:val="FF0000"/>
        </w:rPr>
        <w:t xml:space="preserve"> in this field</w:t>
      </w:r>
      <w:r w:rsidRPr="0019132F">
        <w:rPr>
          <w:color w:val="FF0000"/>
        </w:rPr>
        <w:t xml:space="preserve">, it was an already narrow category in terms of selection. A total of 20 experts were approached, of which 15 were selected and interviewed. </w:t>
      </w:r>
    </w:p>
    <w:p w14:paraId="7D516705" w14:textId="30FD1EEE" w:rsidR="001141F2" w:rsidRDefault="008351E7" w:rsidP="00A54E5F">
      <w:pPr>
        <w:pStyle w:val="APAParagraph"/>
      </w:pPr>
      <w:r w:rsidRPr="00FC6087">
        <w:t>The problem of sample size in exploratory factor analysis has been extensively debated over the recent decades, as inadequate sample size has often had a negative impact on EFA application (MacCallum, Widaman, Zhang</w:t>
      </w:r>
      <w:r w:rsidR="008D0F3F" w:rsidRPr="00FC6087">
        <w:t>,</w:t>
      </w:r>
      <w:r w:rsidR="005E7A62">
        <w:t xml:space="preserve"> &amp; </w:t>
      </w:r>
      <w:r w:rsidRPr="00FC6087">
        <w:t>Hong,</w:t>
      </w:r>
      <w:r w:rsidR="00D32C58">
        <w:t xml:space="preserve"> </w:t>
      </w:r>
      <w:hyperlink r:id="rId44" w:anchor="CR19" w:tooltip="View reference" w:history="1">
        <w:r w:rsidRPr="00FC6087">
          <w:t>1999</w:t>
        </w:r>
      </w:hyperlink>
      <w:r w:rsidRPr="00FC6087">
        <w:t>). The literature offers a plethora of rough guidelines on adequate sample size, but most of these consistently recommend large samples (at least 200) to achieve high-quality solutions (Jung</w:t>
      </w:r>
      <w:r w:rsidR="005E7A62">
        <w:t xml:space="preserve"> &amp; </w:t>
      </w:r>
      <w:r w:rsidRPr="00FC6087">
        <w:t>Lee, 2011).</w:t>
      </w:r>
    </w:p>
    <w:p w14:paraId="7B475E9C" w14:textId="2E34532B" w:rsidR="0019132F" w:rsidRPr="0019132F" w:rsidRDefault="0019132F" w:rsidP="0019132F">
      <w:pPr>
        <w:pStyle w:val="APAParagraph"/>
        <w:rPr>
          <w:color w:val="FF0000"/>
        </w:rPr>
      </w:pPr>
      <w:r w:rsidRPr="0019132F">
        <w:rPr>
          <w:color w:val="FF0000"/>
        </w:rPr>
        <w:t>Participants’ responses were collected and filtered to remove repetitive answers</w:t>
      </w:r>
      <w:r>
        <w:rPr>
          <w:color w:val="FF0000"/>
        </w:rPr>
        <w:t xml:space="preserve"> using Microsoft Excel</w:t>
      </w:r>
      <w:r w:rsidRPr="0019132F">
        <w:rPr>
          <w:color w:val="FF0000"/>
        </w:rPr>
        <w:t xml:space="preserve">. They were additionally condensed according to </w:t>
      </w:r>
      <w:r w:rsidRPr="0019132F">
        <w:rPr>
          <w:color w:val="FF0000"/>
        </w:rPr>
        <w:lastRenderedPageBreak/>
        <w:t>similarity in order to create a list of a more manageable length and discrete thematic items were produced. Finally, these discrete items were grouped in to broader, thematically consistent, categories.</w:t>
      </w:r>
    </w:p>
    <w:p w14:paraId="7C05703E" w14:textId="77777777" w:rsidR="0019132F" w:rsidRPr="0019132F" w:rsidRDefault="0019132F" w:rsidP="0019132F">
      <w:pPr>
        <w:pStyle w:val="APAParagraph"/>
        <w:rPr>
          <w:color w:val="FF0000"/>
        </w:rPr>
      </w:pPr>
    </w:p>
    <w:p w14:paraId="77AFF82D" w14:textId="77777777" w:rsidR="0019132F" w:rsidRPr="0019132F" w:rsidRDefault="0019132F" w:rsidP="0019132F">
      <w:pPr>
        <w:pStyle w:val="APAParagraph"/>
        <w:rPr>
          <w:color w:val="FF0000"/>
        </w:rPr>
      </w:pPr>
      <w:r w:rsidRPr="0019132F">
        <w:rPr>
          <w:color w:val="FF0000"/>
        </w:rPr>
        <w:t xml:space="preserve">The analysis process included four steps: </w:t>
      </w:r>
    </w:p>
    <w:p w14:paraId="34D0C7B7" w14:textId="77777777" w:rsidR="0019132F" w:rsidRPr="0019132F" w:rsidRDefault="0019132F" w:rsidP="0019132F">
      <w:pPr>
        <w:pStyle w:val="APAParagraph"/>
        <w:rPr>
          <w:color w:val="FF0000"/>
        </w:rPr>
      </w:pPr>
      <w:r w:rsidRPr="0019132F">
        <w:rPr>
          <w:color w:val="FF0000"/>
        </w:rPr>
        <w:t xml:space="preserve">1) During the interview all answers and thoughts shared by the interviewee were typed for our records. </w:t>
      </w:r>
    </w:p>
    <w:p w14:paraId="488A8A93" w14:textId="77777777" w:rsidR="0019132F" w:rsidRPr="0019132F" w:rsidRDefault="0019132F" w:rsidP="0019132F">
      <w:pPr>
        <w:pStyle w:val="APAParagraph"/>
        <w:rPr>
          <w:color w:val="FF0000"/>
        </w:rPr>
      </w:pPr>
      <w:r w:rsidRPr="0019132F">
        <w:rPr>
          <w:color w:val="FF0000"/>
        </w:rPr>
        <w:t>2) During author meetings, the transcripts were analyzed and explored by the authors in order to code and group ideas in to one common factor.</w:t>
      </w:r>
    </w:p>
    <w:p w14:paraId="05F3141B" w14:textId="77777777" w:rsidR="0019132F" w:rsidRPr="0019132F" w:rsidRDefault="0019132F" w:rsidP="0019132F">
      <w:pPr>
        <w:pStyle w:val="APAParagraph"/>
        <w:rPr>
          <w:color w:val="FF0000"/>
        </w:rPr>
      </w:pPr>
      <w:r w:rsidRPr="0019132F">
        <w:rPr>
          <w:color w:val="FF0000"/>
        </w:rPr>
        <w:t>3) Topics and factors which shared similar overarching themes were then combined and eliminated.</w:t>
      </w:r>
    </w:p>
    <w:p w14:paraId="5956F619" w14:textId="77777777" w:rsidR="0019132F" w:rsidRPr="0019132F" w:rsidRDefault="0019132F" w:rsidP="0019132F">
      <w:pPr>
        <w:pStyle w:val="APAParagraph"/>
        <w:rPr>
          <w:color w:val="FF0000"/>
        </w:rPr>
      </w:pPr>
      <w:r w:rsidRPr="0019132F">
        <w:rPr>
          <w:color w:val="FF0000"/>
        </w:rPr>
        <w:t xml:space="preserve">4) At this juncture, a secondary exploration of the available, published literature was undertaken to develop and utilize the appropriate scientific language for each factor. </w:t>
      </w:r>
    </w:p>
    <w:p w14:paraId="05B65902" w14:textId="782BEFF3" w:rsidR="0019132F" w:rsidRPr="0019132F" w:rsidRDefault="0019132F" w:rsidP="0019132F">
      <w:pPr>
        <w:pStyle w:val="APAParagraph"/>
        <w:rPr>
          <w:color w:val="FF0000"/>
        </w:rPr>
      </w:pPr>
      <w:r w:rsidRPr="0019132F">
        <w:rPr>
          <w:color w:val="FF0000"/>
        </w:rPr>
        <w:t>5) A final list of, thematically organized, factors was produced.</w:t>
      </w:r>
    </w:p>
    <w:p w14:paraId="7D516706" w14:textId="77777777" w:rsidR="001141F2" w:rsidRPr="00FC6087" w:rsidRDefault="001141F2" w:rsidP="00790070">
      <w:pPr>
        <w:pStyle w:val="Heading2"/>
      </w:pPr>
      <w:bookmarkStart w:id="103" w:name="_Toc24447788"/>
      <w:r w:rsidRPr="00FC6087">
        <w:t>4.3.2. Instrument and Data Collection for Exploratory Analysis</w:t>
      </w:r>
      <w:bookmarkEnd w:id="103"/>
    </w:p>
    <w:p w14:paraId="7D516707" w14:textId="77777777" w:rsidR="008351E7" w:rsidRPr="00FC6087" w:rsidRDefault="00A54E5F" w:rsidP="00A54E5F">
      <w:pPr>
        <w:pStyle w:val="APAParagraph"/>
      </w:pPr>
      <w:r w:rsidRPr="00FC6087">
        <w:t>T</w:t>
      </w:r>
      <w:r w:rsidR="008351E7" w:rsidRPr="00FC6087">
        <w:t>he first part of the survey consisted of relevant demographic questions, while the subsequent open-ended questions</w:t>
      </w:r>
      <w:r w:rsidR="00470516" w:rsidRPr="00FC6087">
        <w:t xml:space="preserve"> were</w:t>
      </w:r>
      <w:r w:rsidR="008351E7" w:rsidRPr="00FC6087">
        <w:t xml:space="preserve"> intended to elicit views on HIT adoption, including what motivates it and what hinders it. All stakeholder categories were asked about their age and gender, but the remaining demographic questions were tailored to each group: employees were asked about the years of </w:t>
      </w:r>
      <w:r w:rsidR="008351E7" w:rsidRPr="00FC6087">
        <w:lastRenderedPageBreak/>
        <w:t xml:space="preserve">experience in their field, the size of the hospital (i.e. number of employees), and whether it is a public or private hospital; patients were asked about their level of education, the nature of the illness and type of treatment received, and the name of the hospital </w:t>
      </w:r>
      <w:r w:rsidR="00CE499C" w:rsidRPr="00FC6087">
        <w:t xml:space="preserve">at which </w:t>
      </w:r>
      <w:r w:rsidR="008351E7" w:rsidRPr="00FC6087">
        <w:t>they were receiving care; citizens were asked about their level of education (although most, if not all, also provided their professions and years of experience); foresight experts were asked about their level of education and whether they had obtained a</w:t>
      </w:r>
      <w:r w:rsidR="00CE499C" w:rsidRPr="00FC6087">
        <w:t>ny</w:t>
      </w:r>
      <w:r w:rsidR="008351E7" w:rsidRPr="00FC6087">
        <w:t xml:space="preserve"> future foresight accreditation. The interviews lasted from 40 to 90 minutes and were conducted though face</w:t>
      </w:r>
      <w:r w:rsidR="00CE499C" w:rsidRPr="00FC6087">
        <w:t>-</w:t>
      </w:r>
      <w:r w:rsidR="008351E7" w:rsidRPr="00FC6087">
        <w:t>to</w:t>
      </w:r>
      <w:r w:rsidR="00CE499C" w:rsidRPr="00FC6087">
        <w:t>-</w:t>
      </w:r>
      <w:r w:rsidR="008351E7" w:rsidRPr="00FC6087">
        <w:t>face meetings.</w:t>
      </w:r>
    </w:p>
    <w:p w14:paraId="7D516708" w14:textId="49F8F045" w:rsidR="008351E7" w:rsidRPr="00FC6087" w:rsidRDefault="008351E7" w:rsidP="00D36C42">
      <w:pPr>
        <w:pStyle w:val="Heading2"/>
      </w:pPr>
      <w:bookmarkStart w:id="104" w:name="_Toc532800297"/>
      <w:bookmarkStart w:id="105" w:name="_Toc534028541"/>
      <w:bookmarkStart w:id="106" w:name="_Toc535934698"/>
      <w:bookmarkStart w:id="107" w:name="_Toc24447789"/>
      <w:r w:rsidRPr="00FC6087">
        <w:t>4.3.3</w:t>
      </w:r>
      <w:r w:rsidR="009A03DE">
        <w:t>.</w:t>
      </w:r>
      <w:r w:rsidRPr="00FC6087">
        <w:t xml:space="preserve"> Data Analysis</w:t>
      </w:r>
      <w:bookmarkEnd w:id="104"/>
      <w:bookmarkEnd w:id="105"/>
      <w:bookmarkEnd w:id="106"/>
      <w:r w:rsidR="00B40206" w:rsidRPr="00FC6087">
        <w:t xml:space="preserve">: </w:t>
      </w:r>
      <w:r w:rsidR="00BA5F69" w:rsidRPr="00FC6087">
        <w:t>Exploratory</w:t>
      </w:r>
      <w:r w:rsidR="00B40206" w:rsidRPr="00FC6087">
        <w:t xml:space="preserve"> Factor Analysis</w:t>
      </w:r>
      <w:r w:rsidRPr="00FC6087">
        <w:t xml:space="preserve"> (EFA)</w:t>
      </w:r>
      <w:bookmarkEnd w:id="107"/>
    </w:p>
    <w:p w14:paraId="7D516709" w14:textId="77777777" w:rsidR="008351E7" w:rsidRPr="00FC6087" w:rsidRDefault="008351E7" w:rsidP="009C1EAB">
      <w:pPr>
        <w:pStyle w:val="APAParagraph"/>
      </w:pPr>
      <w:r w:rsidRPr="00FC6087">
        <w:t xml:space="preserve">Participants’ responses were collected and filtered to remove any repetitive answers. They were additionally categorized by similarity to create a list of a more manageable length consisting of discrete items. Finally, these discrete items were grouped into broader, thematically consistent categories </w:t>
      </w:r>
      <w:r w:rsidR="00B40206" w:rsidRPr="00FC6087">
        <w:t>using</w:t>
      </w:r>
      <w:r w:rsidRPr="00FC6087">
        <w:t xml:space="preserve"> SPSS.</w:t>
      </w:r>
    </w:p>
    <w:p w14:paraId="7D51670A" w14:textId="77777777" w:rsidR="008351E7" w:rsidRPr="00FC6087" w:rsidRDefault="008351E7" w:rsidP="003A1141">
      <w:pPr>
        <w:pStyle w:val="Heading1"/>
      </w:pPr>
      <w:bookmarkStart w:id="108" w:name="_Toc535934699"/>
      <w:bookmarkStart w:id="109" w:name="_Toc532800298"/>
      <w:bookmarkStart w:id="110" w:name="_Toc534028542"/>
      <w:bookmarkStart w:id="111" w:name="_Toc24447790"/>
      <w:r w:rsidRPr="00FC6087">
        <w:t>4.4</w:t>
      </w:r>
      <w:r w:rsidR="00B40206" w:rsidRPr="00FC6087">
        <w:t xml:space="preserve">. </w:t>
      </w:r>
      <w:r w:rsidR="00132390" w:rsidRPr="00FC6087">
        <w:t xml:space="preserve">Step 2 (Quantitative): </w:t>
      </w:r>
      <w:r w:rsidRPr="00FC6087">
        <w:t>Factor</w:t>
      </w:r>
      <w:r w:rsidR="00D31194" w:rsidRPr="00FC6087">
        <w:t xml:space="preserve"> </w:t>
      </w:r>
      <w:r w:rsidRPr="00FC6087">
        <w:t>Analyses and Structural Equation Modeling</w:t>
      </w:r>
      <w:r w:rsidR="00B40206" w:rsidRPr="00FC6087">
        <w:t xml:space="preserve"> (SEM)</w:t>
      </w:r>
      <w:bookmarkEnd w:id="108"/>
      <w:bookmarkEnd w:id="109"/>
      <w:bookmarkEnd w:id="110"/>
      <w:bookmarkEnd w:id="111"/>
    </w:p>
    <w:p w14:paraId="7D51670B" w14:textId="77777777" w:rsidR="008351E7" w:rsidRPr="00FC6087" w:rsidRDefault="008351E7" w:rsidP="00D36C42">
      <w:pPr>
        <w:pStyle w:val="Heading2"/>
      </w:pPr>
      <w:bookmarkStart w:id="112" w:name="_Toc535934700"/>
      <w:bookmarkStart w:id="113" w:name="_Toc24447791"/>
      <w:r w:rsidRPr="00FC6087">
        <w:t>4.4.1</w:t>
      </w:r>
      <w:r w:rsidR="00514F5B">
        <w:t>.</w:t>
      </w:r>
      <w:r w:rsidRPr="00FC6087">
        <w:t xml:space="preserve"> Motivators </w:t>
      </w:r>
      <w:r w:rsidR="0041248D" w:rsidRPr="00FC6087">
        <w:t>for</w:t>
      </w:r>
      <w:r w:rsidR="00D31194" w:rsidRPr="00FC6087">
        <w:t xml:space="preserve"> </w:t>
      </w:r>
      <w:r w:rsidRPr="00FC6087">
        <w:t xml:space="preserve">and Barriers </w:t>
      </w:r>
      <w:r w:rsidR="0041248D" w:rsidRPr="00FC6087">
        <w:t>to</w:t>
      </w:r>
      <w:r w:rsidRPr="00FC6087">
        <w:t xml:space="preserve"> HIT Adoption</w:t>
      </w:r>
      <w:bookmarkEnd w:id="112"/>
      <w:bookmarkEnd w:id="113"/>
    </w:p>
    <w:p w14:paraId="7D51670C" w14:textId="77777777" w:rsidR="008351E7" w:rsidRPr="00FC6087" w:rsidRDefault="008351E7" w:rsidP="009C1EAB">
      <w:pPr>
        <w:pStyle w:val="APAParagraph"/>
      </w:pPr>
      <w:r w:rsidRPr="00FC6087">
        <w:t xml:space="preserve">This </w:t>
      </w:r>
      <w:r w:rsidR="00987092" w:rsidRPr="00FC6087">
        <w:t>research</w:t>
      </w:r>
      <w:r w:rsidRPr="00FC6087">
        <w:t xml:space="preserve"> use</w:t>
      </w:r>
      <w:r w:rsidR="0090500C" w:rsidRPr="00FC6087">
        <w:t>d</w:t>
      </w:r>
      <w:r w:rsidRPr="00FC6087">
        <w:t xml:space="preserve"> a three-part design. First, motivators and barriers related to HIT adoption were identified through surveys. </w:t>
      </w:r>
      <w:r w:rsidR="0090500C" w:rsidRPr="00FC6087">
        <w:t>Such a</w:t>
      </w:r>
      <w:r w:rsidRPr="00FC6087">
        <w:t xml:space="preserve"> qualitative exploration approach can shed light on the beliefs, opinions, and experiences of participants. </w:t>
      </w:r>
      <w:r w:rsidRPr="00FC6087">
        <w:lastRenderedPageBreak/>
        <w:t xml:space="preserve">Furthermore, </w:t>
      </w:r>
      <w:r w:rsidR="0090500C" w:rsidRPr="00FC6087">
        <w:t xml:space="preserve">the </w:t>
      </w:r>
      <w:r w:rsidR="009A4DEE" w:rsidRPr="00FC6087">
        <w:t xml:space="preserve">research </w:t>
      </w:r>
      <w:r w:rsidR="0090500C" w:rsidRPr="00FC6087">
        <w:t>design was</w:t>
      </w:r>
      <w:r w:rsidRPr="00FC6087">
        <w:t xml:space="preserve"> interpretative and ethnographic in nature and benefit</w:t>
      </w:r>
      <w:r w:rsidR="0090500C" w:rsidRPr="00FC6087">
        <w:t>ed</w:t>
      </w:r>
      <w:r w:rsidRPr="00FC6087">
        <w:t xml:space="preserve"> from simplifying and managing the data without affecting complexity or context (Atieno, 2009). Second, the most important factors were used in further quantitative surveys with the representatives of the four stakeholder categories. These responses were then analyzed and used to create a structural model of the relationships between key motivators and barriers and HIT adoption. The final outcomes are models that describe the interplay between the various motivators (</w:t>
      </w:r>
      <w:r w:rsidR="00E84EDC" w:rsidRPr="00FC6087">
        <w:t xml:space="preserve">or </w:t>
      </w:r>
      <w:r w:rsidRPr="00FC6087">
        <w:t>barriers) and their effect on HIT adoption in the UAE, providing concrete evidence as to what motivates (</w:t>
      </w:r>
      <w:r w:rsidR="00E84EDC" w:rsidRPr="00FC6087">
        <w:t xml:space="preserve">or </w:t>
      </w:r>
      <w:r w:rsidRPr="00FC6087">
        <w:t xml:space="preserve">demotivates) HIT users in the UAE. These models can be used to inform UAE policy and </w:t>
      </w:r>
      <w:r w:rsidR="00254728" w:rsidRPr="00FC6087">
        <w:t xml:space="preserve">aid </w:t>
      </w:r>
      <w:r w:rsidRPr="00FC6087">
        <w:t xml:space="preserve">decision-makers </w:t>
      </w:r>
      <w:r w:rsidR="00254728" w:rsidRPr="00FC6087">
        <w:t>regarding</w:t>
      </w:r>
      <w:r w:rsidRPr="00FC6087">
        <w:t xml:space="preserve"> how to better implement HIT, thereby helping them achieve the Vision 2021 goals </w:t>
      </w:r>
      <w:r w:rsidR="00254728" w:rsidRPr="00FC6087">
        <w:t xml:space="preserve">with the aim of </w:t>
      </w:r>
      <w:r w:rsidRPr="00FC6087">
        <w:t>the nation becoming a global leader and role model in healthcare provision.</w:t>
      </w:r>
    </w:p>
    <w:p w14:paraId="7D51670D" w14:textId="77777777" w:rsidR="008351E7" w:rsidRPr="00FC6087" w:rsidRDefault="008351E7" w:rsidP="00790070">
      <w:pPr>
        <w:pStyle w:val="Heading2"/>
      </w:pPr>
      <w:bookmarkStart w:id="114" w:name="_Toc535934702"/>
      <w:bookmarkStart w:id="115" w:name="_Toc24447792"/>
      <w:r w:rsidRPr="00FC6087">
        <w:t>4.4.2</w:t>
      </w:r>
      <w:r w:rsidR="00514F5B">
        <w:t>.</w:t>
      </w:r>
      <w:r w:rsidRPr="00FC6087">
        <w:t xml:space="preserve"> Participants</w:t>
      </w:r>
      <w:bookmarkEnd w:id="114"/>
      <w:bookmarkEnd w:id="115"/>
    </w:p>
    <w:p w14:paraId="7D51670E" w14:textId="77777777" w:rsidR="008351E7" w:rsidRPr="00FC6087" w:rsidRDefault="008351E7" w:rsidP="009C1EAB">
      <w:pPr>
        <w:pStyle w:val="APAParagraph"/>
      </w:pPr>
      <w:r w:rsidRPr="00FC6087">
        <w:t>For the motivators, participants (</w:t>
      </w:r>
      <w:r w:rsidRPr="00FC6087">
        <w:rPr>
          <w:i/>
        </w:rPr>
        <w:t>N</w:t>
      </w:r>
      <w:r w:rsidRPr="00FC6087">
        <w:t xml:space="preserve"> = 391; 296 females), representative of the four stakeholder categories in the UAE, were electronically invited and completed the survey. The demographic breakdown of the population, including the number of individuals in each stakeholder category, is shown in Table 4.3.</w:t>
      </w:r>
    </w:p>
    <w:p w14:paraId="7D51670F" w14:textId="77777777" w:rsidR="00047A71" w:rsidRPr="00FC6087" w:rsidRDefault="00047A71" w:rsidP="009C1EAB">
      <w:pPr>
        <w:pStyle w:val="APAParagraph"/>
      </w:pPr>
    </w:p>
    <w:p w14:paraId="7D516710" w14:textId="5824CA39" w:rsidR="004F07B4" w:rsidRPr="00FC6087" w:rsidRDefault="004F07B4" w:rsidP="003647D3">
      <w:pPr>
        <w:pStyle w:val="APATableTitle"/>
        <w:jc w:val="left"/>
        <w:rPr>
          <w:b w:val="0"/>
          <w:i/>
          <w:noProof w:val="0"/>
          <w:sz w:val="24"/>
          <w:szCs w:val="24"/>
        </w:rPr>
      </w:pPr>
      <w:r w:rsidRPr="00A76642">
        <w:rPr>
          <w:b w:val="0"/>
          <w:noProof w:val="0"/>
          <w:sz w:val="24"/>
          <w:szCs w:val="24"/>
          <w:lang w:bidi="ar-DZ"/>
        </w:rPr>
        <w:t>Table 4.3</w:t>
      </w:r>
      <w:r w:rsidR="004B55C9" w:rsidRPr="00A76642">
        <w:rPr>
          <w:b w:val="0"/>
          <w:noProof w:val="0"/>
          <w:sz w:val="24"/>
          <w:szCs w:val="24"/>
          <w:lang w:bidi="ar-DZ"/>
        </w:rPr>
        <w:br/>
      </w:r>
      <w:r w:rsidRPr="00A76642">
        <w:rPr>
          <w:b w:val="0"/>
          <w:i/>
          <w:noProof w:val="0"/>
          <w:sz w:val="24"/>
          <w:szCs w:val="24"/>
          <w:lang w:bidi="ar-DZ"/>
        </w:rPr>
        <w:t>Demographic Details of Participants for HIT Motivators</w:t>
      </w:r>
    </w:p>
    <w:tbl>
      <w:tblPr>
        <w:tblStyle w:val="TableGrid"/>
        <w:tblW w:w="0" w:type="auto"/>
        <w:tblBorders>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229"/>
        <w:gridCol w:w="3376"/>
        <w:gridCol w:w="1150"/>
        <w:gridCol w:w="1381"/>
      </w:tblGrid>
      <w:tr w:rsidR="00F52309" w:rsidRPr="00FC6087" w14:paraId="7D516715" w14:textId="77777777" w:rsidTr="00790070">
        <w:trPr>
          <w:tblHeader/>
        </w:trPr>
        <w:tc>
          <w:tcPr>
            <w:tcW w:w="2448" w:type="dxa"/>
            <w:tcBorders>
              <w:top w:val="single" w:sz="18" w:space="0" w:color="auto"/>
              <w:bottom w:val="single" w:sz="12" w:space="0" w:color="auto"/>
            </w:tcBorders>
            <w:shd w:val="clear" w:color="auto" w:fill="auto"/>
            <w:tcMar>
              <w:top w:w="57" w:type="dxa"/>
              <w:bottom w:w="57" w:type="dxa"/>
            </w:tcMar>
          </w:tcPr>
          <w:p w14:paraId="7D516711" w14:textId="77777777" w:rsidR="004F07B4" w:rsidRPr="00FC6087" w:rsidRDefault="004F07B4" w:rsidP="006D69FF">
            <w:pPr>
              <w:spacing w:line="480" w:lineRule="auto"/>
              <w:ind w:left="176"/>
              <w:contextualSpacing/>
              <w:rPr>
                <w:rFonts w:ascii="Times New Roman" w:hAnsi="Times New Roman"/>
                <w:szCs w:val="24"/>
                <w:lang w:val="en-US"/>
              </w:rPr>
            </w:pPr>
            <w:r w:rsidRPr="00FC6087">
              <w:rPr>
                <w:rFonts w:ascii="Times New Roman" w:hAnsi="Times New Roman"/>
                <w:szCs w:val="24"/>
                <w:lang w:val="en-US"/>
              </w:rPr>
              <w:lastRenderedPageBreak/>
              <w:t xml:space="preserve">Attribute </w:t>
            </w:r>
          </w:p>
        </w:tc>
        <w:tc>
          <w:tcPr>
            <w:tcW w:w="4050" w:type="dxa"/>
            <w:tcBorders>
              <w:top w:val="single" w:sz="18" w:space="0" w:color="auto"/>
              <w:bottom w:val="single" w:sz="12" w:space="0" w:color="auto"/>
            </w:tcBorders>
            <w:shd w:val="clear" w:color="auto" w:fill="auto"/>
            <w:tcMar>
              <w:top w:w="0" w:type="dxa"/>
              <w:bottom w:w="0" w:type="dxa"/>
            </w:tcMar>
          </w:tcPr>
          <w:p w14:paraId="7D516712"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Category</w:t>
            </w:r>
          </w:p>
        </w:tc>
        <w:tc>
          <w:tcPr>
            <w:tcW w:w="1260" w:type="dxa"/>
            <w:tcBorders>
              <w:top w:val="single" w:sz="18" w:space="0" w:color="auto"/>
              <w:bottom w:val="single" w:sz="12" w:space="0" w:color="auto"/>
            </w:tcBorders>
            <w:shd w:val="clear" w:color="auto" w:fill="auto"/>
            <w:tcMar>
              <w:top w:w="57" w:type="dxa"/>
              <w:bottom w:w="57" w:type="dxa"/>
            </w:tcMar>
          </w:tcPr>
          <w:p w14:paraId="7D516713"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Count</w:t>
            </w:r>
          </w:p>
        </w:tc>
        <w:tc>
          <w:tcPr>
            <w:tcW w:w="1417" w:type="dxa"/>
            <w:tcBorders>
              <w:top w:val="single" w:sz="18" w:space="0" w:color="auto"/>
              <w:bottom w:val="single" w:sz="12" w:space="0" w:color="auto"/>
            </w:tcBorders>
            <w:shd w:val="clear" w:color="auto" w:fill="auto"/>
            <w:tcMar>
              <w:top w:w="57" w:type="dxa"/>
              <w:bottom w:w="57" w:type="dxa"/>
            </w:tcMar>
          </w:tcPr>
          <w:p w14:paraId="7D516714"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Percentage</w:t>
            </w:r>
          </w:p>
        </w:tc>
      </w:tr>
      <w:tr w:rsidR="00053918" w:rsidRPr="00FC6087" w14:paraId="7D51671A" w14:textId="77777777" w:rsidTr="005A59B7">
        <w:tc>
          <w:tcPr>
            <w:tcW w:w="2448" w:type="dxa"/>
            <w:vMerge w:val="restart"/>
            <w:tcBorders>
              <w:top w:val="single" w:sz="12" w:space="0" w:color="auto"/>
            </w:tcBorders>
            <w:shd w:val="clear" w:color="auto" w:fill="auto"/>
            <w:tcMar>
              <w:top w:w="57" w:type="dxa"/>
              <w:bottom w:w="0" w:type="dxa"/>
            </w:tcMar>
          </w:tcPr>
          <w:p w14:paraId="7D516716" w14:textId="77777777" w:rsidR="004F07B4" w:rsidRPr="00FC6087" w:rsidRDefault="004F07B4" w:rsidP="006D69FF">
            <w:pPr>
              <w:spacing w:line="480" w:lineRule="auto"/>
              <w:ind w:left="176"/>
              <w:contextualSpacing/>
              <w:rPr>
                <w:rFonts w:ascii="Times New Roman" w:hAnsi="Times New Roman"/>
                <w:szCs w:val="24"/>
                <w:lang w:val="en-US"/>
              </w:rPr>
            </w:pPr>
            <w:r w:rsidRPr="00FC6087">
              <w:rPr>
                <w:rFonts w:ascii="Times New Roman" w:hAnsi="Times New Roman"/>
                <w:szCs w:val="24"/>
                <w:lang w:val="en-US"/>
              </w:rPr>
              <w:t>Stakeholder Category</w:t>
            </w:r>
          </w:p>
        </w:tc>
        <w:tc>
          <w:tcPr>
            <w:tcW w:w="4050" w:type="dxa"/>
            <w:tcBorders>
              <w:top w:val="single" w:sz="12" w:space="0" w:color="auto"/>
            </w:tcBorders>
            <w:shd w:val="clear" w:color="auto" w:fill="auto"/>
            <w:tcMar>
              <w:top w:w="0" w:type="dxa"/>
              <w:bottom w:w="0" w:type="dxa"/>
            </w:tcMar>
          </w:tcPr>
          <w:p w14:paraId="7D516717"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Employee in the healthcare sector</w:t>
            </w:r>
          </w:p>
        </w:tc>
        <w:tc>
          <w:tcPr>
            <w:tcW w:w="1260" w:type="dxa"/>
            <w:tcBorders>
              <w:top w:val="single" w:sz="12" w:space="0" w:color="auto"/>
            </w:tcBorders>
            <w:shd w:val="clear" w:color="auto" w:fill="auto"/>
            <w:tcMar>
              <w:top w:w="57" w:type="dxa"/>
            </w:tcMar>
          </w:tcPr>
          <w:p w14:paraId="7D516718"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156</w:t>
            </w:r>
          </w:p>
        </w:tc>
        <w:tc>
          <w:tcPr>
            <w:tcW w:w="1417" w:type="dxa"/>
            <w:tcBorders>
              <w:top w:val="single" w:sz="12" w:space="0" w:color="auto"/>
            </w:tcBorders>
            <w:shd w:val="clear" w:color="auto" w:fill="auto"/>
            <w:tcMar>
              <w:top w:w="57" w:type="dxa"/>
            </w:tcMar>
          </w:tcPr>
          <w:p w14:paraId="7D516719"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39.9</w:t>
            </w:r>
          </w:p>
        </w:tc>
      </w:tr>
      <w:tr w:rsidR="00053918" w:rsidRPr="00FC6087" w14:paraId="7D51671F" w14:textId="77777777" w:rsidTr="00790070">
        <w:tc>
          <w:tcPr>
            <w:tcW w:w="2448" w:type="dxa"/>
            <w:vMerge/>
            <w:shd w:val="clear" w:color="auto" w:fill="auto"/>
            <w:tcMar>
              <w:top w:w="0" w:type="dxa"/>
              <w:bottom w:w="0" w:type="dxa"/>
            </w:tcMar>
          </w:tcPr>
          <w:p w14:paraId="7D51671B"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1C"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Patient using the healthcare services</w:t>
            </w:r>
          </w:p>
        </w:tc>
        <w:tc>
          <w:tcPr>
            <w:tcW w:w="1260" w:type="dxa"/>
            <w:shd w:val="clear" w:color="auto" w:fill="auto"/>
            <w:tcMar>
              <w:top w:w="0" w:type="dxa"/>
              <w:bottom w:w="0" w:type="dxa"/>
            </w:tcMar>
          </w:tcPr>
          <w:p w14:paraId="7D51671D"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46</w:t>
            </w:r>
          </w:p>
        </w:tc>
        <w:tc>
          <w:tcPr>
            <w:tcW w:w="1417" w:type="dxa"/>
            <w:shd w:val="clear" w:color="auto" w:fill="auto"/>
            <w:tcMar>
              <w:top w:w="0" w:type="dxa"/>
              <w:bottom w:w="0" w:type="dxa"/>
            </w:tcMar>
          </w:tcPr>
          <w:p w14:paraId="7D51671E"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11.8</w:t>
            </w:r>
          </w:p>
        </w:tc>
      </w:tr>
      <w:tr w:rsidR="00053918" w:rsidRPr="00FC6087" w14:paraId="7D516724" w14:textId="77777777" w:rsidTr="00790070">
        <w:tc>
          <w:tcPr>
            <w:tcW w:w="2448" w:type="dxa"/>
            <w:vMerge/>
            <w:shd w:val="clear" w:color="auto" w:fill="auto"/>
            <w:tcMar>
              <w:top w:w="0" w:type="dxa"/>
              <w:bottom w:w="0" w:type="dxa"/>
            </w:tcMar>
          </w:tcPr>
          <w:p w14:paraId="7D516720"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21"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Society member</w:t>
            </w:r>
          </w:p>
        </w:tc>
        <w:tc>
          <w:tcPr>
            <w:tcW w:w="1260" w:type="dxa"/>
            <w:shd w:val="clear" w:color="auto" w:fill="auto"/>
            <w:tcMar>
              <w:top w:w="0" w:type="dxa"/>
              <w:bottom w:w="0" w:type="dxa"/>
            </w:tcMar>
          </w:tcPr>
          <w:p w14:paraId="7D516722"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180</w:t>
            </w:r>
          </w:p>
        </w:tc>
        <w:tc>
          <w:tcPr>
            <w:tcW w:w="1417" w:type="dxa"/>
            <w:shd w:val="clear" w:color="auto" w:fill="auto"/>
            <w:tcMar>
              <w:top w:w="0" w:type="dxa"/>
              <w:bottom w:w="0" w:type="dxa"/>
            </w:tcMar>
          </w:tcPr>
          <w:p w14:paraId="7D516723"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46.0</w:t>
            </w:r>
          </w:p>
        </w:tc>
      </w:tr>
      <w:tr w:rsidR="00053918" w:rsidRPr="00FC6087" w14:paraId="7D516729" w14:textId="77777777" w:rsidTr="00790070">
        <w:tc>
          <w:tcPr>
            <w:tcW w:w="2448" w:type="dxa"/>
            <w:vMerge/>
            <w:shd w:val="clear" w:color="auto" w:fill="auto"/>
            <w:tcMar>
              <w:top w:w="0" w:type="dxa"/>
              <w:bottom w:w="0" w:type="dxa"/>
            </w:tcMar>
          </w:tcPr>
          <w:p w14:paraId="7D516725"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26"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Future foresight expert</w:t>
            </w:r>
          </w:p>
        </w:tc>
        <w:tc>
          <w:tcPr>
            <w:tcW w:w="1260" w:type="dxa"/>
            <w:shd w:val="clear" w:color="auto" w:fill="auto"/>
            <w:tcMar>
              <w:top w:w="0" w:type="dxa"/>
              <w:bottom w:w="0" w:type="dxa"/>
            </w:tcMar>
          </w:tcPr>
          <w:p w14:paraId="7D516727"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9</w:t>
            </w:r>
          </w:p>
        </w:tc>
        <w:tc>
          <w:tcPr>
            <w:tcW w:w="1417" w:type="dxa"/>
            <w:shd w:val="clear" w:color="auto" w:fill="auto"/>
            <w:tcMar>
              <w:top w:w="0" w:type="dxa"/>
              <w:bottom w:w="0" w:type="dxa"/>
            </w:tcMar>
          </w:tcPr>
          <w:p w14:paraId="7D516728"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2.3</w:t>
            </w:r>
          </w:p>
        </w:tc>
      </w:tr>
      <w:tr w:rsidR="00F52309" w:rsidRPr="00FC6087" w14:paraId="7D51672E" w14:textId="77777777" w:rsidTr="00790070">
        <w:tc>
          <w:tcPr>
            <w:tcW w:w="2448" w:type="dxa"/>
            <w:vMerge w:val="restart"/>
            <w:shd w:val="clear" w:color="auto" w:fill="auto"/>
            <w:tcMar>
              <w:top w:w="113" w:type="dxa"/>
              <w:bottom w:w="0" w:type="dxa"/>
            </w:tcMar>
          </w:tcPr>
          <w:p w14:paraId="7D51672A" w14:textId="77777777" w:rsidR="004F07B4" w:rsidRPr="00FC6087" w:rsidRDefault="004F07B4" w:rsidP="006D69FF">
            <w:pPr>
              <w:spacing w:line="480" w:lineRule="auto"/>
              <w:ind w:left="176"/>
              <w:contextualSpacing/>
              <w:rPr>
                <w:rFonts w:ascii="Times New Roman" w:hAnsi="Times New Roman"/>
                <w:szCs w:val="24"/>
                <w:lang w:val="en-US"/>
              </w:rPr>
            </w:pPr>
            <w:r w:rsidRPr="00FC6087">
              <w:rPr>
                <w:rFonts w:ascii="Times New Roman" w:hAnsi="Times New Roman"/>
                <w:szCs w:val="24"/>
                <w:lang w:val="en-US"/>
              </w:rPr>
              <w:t>Gender</w:t>
            </w:r>
          </w:p>
        </w:tc>
        <w:tc>
          <w:tcPr>
            <w:tcW w:w="4050" w:type="dxa"/>
            <w:shd w:val="clear" w:color="auto" w:fill="auto"/>
            <w:tcMar>
              <w:top w:w="0" w:type="dxa"/>
              <w:bottom w:w="0" w:type="dxa"/>
            </w:tcMar>
          </w:tcPr>
          <w:p w14:paraId="7D51672B"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Male</w:t>
            </w:r>
          </w:p>
        </w:tc>
        <w:tc>
          <w:tcPr>
            <w:tcW w:w="1260" w:type="dxa"/>
            <w:shd w:val="clear" w:color="auto" w:fill="auto"/>
            <w:tcMar>
              <w:top w:w="113" w:type="dxa"/>
            </w:tcMar>
          </w:tcPr>
          <w:p w14:paraId="7D51672C"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95</w:t>
            </w:r>
          </w:p>
        </w:tc>
        <w:tc>
          <w:tcPr>
            <w:tcW w:w="1417" w:type="dxa"/>
            <w:shd w:val="clear" w:color="auto" w:fill="auto"/>
            <w:tcMar>
              <w:top w:w="113" w:type="dxa"/>
            </w:tcMar>
          </w:tcPr>
          <w:p w14:paraId="7D51672D"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24.3</w:t>
            </w:r>
          </w:p>
        </w:tc>
      </w:tr>
      <w:tr w:rsidR="00F52309" w:rsidRPr="00FC6087" w14:paraId="7D516733" w14:textId="77777777" w:rsidTr="00790070">
        <w:tc>
          <w:tcPr>
            <w:tcW w:w="2448" w:type="dxa"/>
            <w:vMerge/>
            <w:shd w:val="clear" w:color="auto" w:fill="auto"/>
            <w:tcMar>
              <w:top w:w="0" w:type="dxa"/>
              <w:bottom w:w="0" w:type="dxa"/>
            </w:tcMar>
          </w:tcPr>
          <w:p w14:paraId="7D51672F"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30"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Female</w:t>
            </w:r>
          </w:p>
        </w:tc>
        <w:tc>
          <w:tcPr>
            <w:tcW w:w="1260" w:type="dxa"/>
            <w:shd w:val="clear" w:color="auto" w:fill="auto"/>
            <w:tcMar>
              <w:top w:w="0" w:type="dxa"/>
              <w:bottom w:w="0" w:type="dxa"/>
            </w:tcMar>
          </w:tcPr>
          <w:p w14:paraId="7D516731"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296</w:t>
            </w:r>
          </w:p>
        </w:tc>
        <w:tc>
          <w:tcPr>
            <w:tcW w:w="1417" w:type="dxa"/>
            <w:shd w:val="clear" w:color="auto" w:fill="auto"/>
            <w:tcMar>
              <w:top w:w="0" w:type="dxa"/>
              <w:bottom w:w="0" w:type="dxa"/>
            </w:tcMar>
          </w:tcPr>
          <w:p w14:paraId="7D516732"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75.7</w:t>
            </w:r>
          </w:p>
        </w:tc>
      </w:tr>
      <w:tr w:rsidR="00053918" w:rsidRPr="00FC6087" w14:paraId="7D516738" w14:textId="77777777" w:rsidTr="00790070">
        <w:tc>
          <w:tcPr>
            <w:tcW w:w="2448" w:type="dxa"/>
            <w:vMerge w:val="restart"/>
            <w:shd w:val="clear" w:color="auto" w:fill="auto"/>
            <w:tcMar>
              <w:top w:w="113" w:type="dxa"/>
              <w:bottom w:w="0" w:type="dxa"/>
            </w:tcMar>
          </w:tcPr>
          <w:p w14:paraId="7D516734" w14:textId="77777777" w:rsidR="004F07B4" w:rsidRPr="00FC6087" w:rsidRDefault="004F07B4" w:rsidP="006D69FF">
            <w:pPr>
              <w:spacing w:line="480" w:lineRule="auto"/>
              <w:ind w:left="176"/>
              <w:contextualSpacing/>
              <w:rPr>
                <w:rFonts w:ascii="Times New Roman" w:hAnsi="Times New Roman"/>
                <w:szCs w:val="24"/>
                <w:lang w:val="en-US"/>
              </w:rPr>
            </w:pPr>
            <w:r w:rsidRPr="00FC6087">
              <w:rPr>
                <w:rFonts w:ascii="Times New Roman" w:hAnsi="Times New Roman"/>
                <w:szCs w:val="24"/>
                <w:lang w:val="en-US"/>
              </w:rPr>
              <w:t>Age</w:t>
            </w:r>
          </w:p>
        </w:tc>
        <w:tc>
          <w:tcPr>
            <w:tcW w:w="4050" w:type="dxa"/>
            <w:shd w:val="clear" w:color="auto" w:fill="auto"/>
            <w:tcMar>
              <w:top w:w="0" w:type="dxa"/>
              <w:bottom w:w="0" w:type="dxa"/>
            </w:tcMar>
          </w:tcPr>
          <w:p w14:paraId="7D516735"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18 to 24</w:t>
            </w:r>
          </w:p>
        </w:tc>
        <w:tc>
          <w:tcPr>
            <w:tcW w:w="1260" w:type="dxa"/>
            <w:shd w:val="clear" w:color="auto" w:fill="auto"/>
            <w:tcMar>
              <w:top w:w="113" w:type="dxa"/>
            </w:tcMar>
          </w:tcPr>
          <w:p w14:paraId="7D516736"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44</w:t>
            </w:r>
          </w:p>
        </w:tc>
        <w:tc>
          <w:tcPr>
            <w:tcW w:w="1417" w:type="dxa"/>
            <w:shd w:val="clear" w:color="auto" w:fill="auto"/>
            <w:tcMar>
              <w:top w:w="113" w:type="dxa"/>
            </w:tcMar>
          </w:tcPr>
          <w:p w14:paraId="7D516737"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11.3</w:t>
            </w:r>
          </w:p>
        </w:tc>
      </w:tr>
      <w:tr w:rsidR="00053918" w:rsidRPr="00FC6087" w14:paraId="7D51673D" w14:textId="77777777" w:rsidTr="00790070">
        <w:tc>
          <w:tcPr>
            <w:tcW w:w="2448" w:type="dxa"/>
            <w:vMerge/>
            <w:shd w:val="clear" w:color="auto" w:fill="auto"/>
            <w:tcMar>
              <w:top w:w="0" w:type="dxa"/>
              <w:bottom w:w="0" w:type="dxa"/>
            </w:tcMar>
          </w:tcPr>
          <w:p w14:paraId="7D516739"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3A"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25 to 34</w:t>
            </w:r>
          </w:p>
        </w:tc>
        <w:tc>
          <w:tcPr>
            <w:tcW w:w="1260" w:type="dxa"/>
            <w:shd w:val="clear" w:color="auto" w:fill="auto"/>
            <w:tcMar>
              <w:top w:w="0" w:type="dxa"/>
              <w:bottom w:w="0" w:type="dxa"/>
            </w:tcMar>
          </w:tcPr>
          <w:p w14:paraId="7D51673B"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134</w:t>
            </w:r>
          </w:p>
        </w:tc>
        <w:tc>
          <w:tcPr>
            <w:tcW w:w="1417" w:type="dxa"/>
            <w:shd w:val="clear" w:color="auto" w:fill="auto"/>
            <w:tcMar>
              <w:top w:w="0" w:type="dxa"/>
              <w:bottom w:w="0" w:type="dxa"/>
            </w:tcMar>
          </w:tcPr>
          <w:p w14:paraId="7D51673C"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34.3</w:t>
            </w:r>
          </w:p>
        </w:tc>
      </w:tr>
      <w:tr w:rsidR="00053918" w:rsidRPr="00FC6087" w14:paraId="7D516742" w14:textId="77777777" w:rsidTr="00790070">
        <w:tc>
          <w:tcPr>
            <w:tcW w:w="2448" w:type="dxa"/>
            <w:vMerge/>
            <w:shd w:val="clear" w:color="auto" w:fill="auto"/>
            <w:tcMar>
              <w:top w:w="0" w:type="dxa"/>
              <w:bottom w:w="0" w:type="dxa"/>
            </w:tcMar>
          </w:tcPr>
          <w:p w14:paraId="7D51673E"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3F"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35 to 44</w:t>
            </w:r>
          </w:p>
        </w:tc>
        <w:tc>
          <w:tcPr>
            <w:tcW w:w="1260" w:type="dxa"/>
            <w:shd w:val="clear" w:color="auto" w:fill="auto"/>
            <w:tcMar>
              <w:top w:w="0" w:type="dxa"/>
              <w:bottom w:w="0" w:type="dxa"/>
            </w:tcMar>
          </w:tcPr>
          <w:p w14:paraId="7D516740"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138</w:t>
            </w:r>
          </w:p>
        </w:tc>
        <w:tc>
          <w:tcPr>
            <w:tcW w:w="1417" w:type="dxa"/>
            <w:shd w:val="clear" w:color="auto" w:fill="auto"/>
            <w:tcMar>
              <w:top w:w="0" w:type="dxa"/>
              <w:bottom w:w="0" w:type="dxa"/>
            </w:tcMar>
          </w:tcPr>
          <w:p w14:paraId="7D516741"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35.3</w:t>
            </w:r>
          </w:p>
        </w:tc>
      </w:tr>
      <w:tr w:rsidR="00053918" w:rsidRPr="00FC6087" w14:paraId="7D516747" w14:textId="77777777" w:rsidTr="00790070">
        <w:tc>
          <w:tcPr>
            <w:tcW w:w="2448" w:type="dxa"/>
            <w:vMerge/>
            <w:shd w:val="clear" w:color="auto" w:fill="auto"/>
            <w:tcMar>
              <w:top w:w="0" w:type="dxa"/>
              <w:bottom w:w="0" w:type="dxa"/>
            </w:tcMar>
          </w:tcPr>
          <w:p w14:paraId="7D516743"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44"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45 to 54</w:t>
            </w:r>
          </w:p>
        </w:tc>
        <w:tc>
          <w:tcPr>
            <w:tcW w:w="1260" w:type="dxa"/>
            <w:shd w:val="clear" w:color="auto" w:fill="auto"/>
            <w:tcMar>
              <w:top w:w="0" w:type="dxa"/>
              <w:bottom w:w="0" w:type="dxa"/>
            </w:tcMar>
          </w:tcPr>
          <w:p w14:paraId="7D516745"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62</w:t>
            </w:r>
          </w:p>
        </w:tc>
        <w:tc>
          <w:tcPr>
            <w:tcW w:w="1417" w:type="dxa"/>
            <w:shd w:val="clear" w:color="auto" w:fill="auto"/>
            <w:tcMar>
              <w:top w:w="0" w:type="dxa"/>
              <w:bottom w:w="0" w:type="dxa"/>
            </w:tcMar>
          </w:tcPr>
          <w:p w14:paraId="7D516746"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15.9</w:t>
            </w:r>
          </w:p>
        </w:tc>
      </w:tr>
      <w:tr w:rsidR="00053918" w:rsidRPr="00FC6087" w14:paraId="7D51674C" w14:textId="77777777" w:rsidTr="00790070">
        <w:tc>
          <w:tcPr>
            <w:tcW w:w="2448" w:type="dxa"/>
            <w:vMerge/>
            <w:shd w:val="clear" w:color="auto" w:fill="auto"/>
            <w:tcMar>
              <w:top w:w="0" w:type="dxa"/>
              <w:bottom w:w="0" w:type="dxa"/>
            </w:tcMar>
          </w:tcPr>
          <w:p w14:paraId="7D516748"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49"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55 to 64</w:t>
            </w:r>
          </w:p>
        </w:tc>
        <w:tc>
          <w:tcPr>
            <w:tcW w:w="1260" w:type="dxa"/>
            <w:shd w:val="clear" w:color="auto" w:fill="auto"/>
            <w:tcMar>
              <w:top w:w="0" w:type="dxa"/>
              <w:bottom w:w="0" w:type="dxa"/>
            </w:tcMar>
          </w:tcPr>
          <w:p w14:paraId="7D51674A"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12</w:t>
            </w:r>
          </w:p>
        </w:tc>
        <w:tc>
          <w:tcPr>
            <w:tcW w:w="1417" w:type="dxa"/>
            <w:shd w:val="clear" w:color="auto" w:fill="auto"/>
            <w:tcMar>
              <w:top w:w="0" w:type="dxa"/>
              <w:bottom w:w="0" w:type="dxa"/>
            </w:tcMar>
          </w:tcPr>
          <w:p w14:paraId="7D51674B"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3.1</w:t>
            </w:r>
          </w:p>
        </w:tc>
      </w:tr>
      <w:tr w:rsidR="00053918" w:rsidRPr="00FC6087" w14:paraId="7D516751" w14:textId="77777777" w:rsidTr="00790070">
        <w:tc>
          <w:tcPr>
            <w:tcW w:w="2448" w:type="dxa"/>
            <w:vMerge/>
            <w:shd w:val="clear" w:color="auto" w:fill="auto"/>
            <w:tcMar>
              <w:top w:w="0" w:type="dxa"/>
              <w:bottom w:w="0" w:type="dxa"/>
            </w:tcMar>
          </w:tcPr>
          <w:p w14:paraId="7D51674D"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4E"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65 to 74</w:t>
            </w:r>
          </w:p>
        </w:tc>
        <w:tc>
          <w:tcPr>
            <w:tcW w:w="1260" w:type="dxa"/>
            <w:shd w:val="clear" w:color="auto" w:fill="auto"/>
            <w:tcMar>
              <w:top w:w="0" w:type="dxa"/>
              <w:bottom w:w="0" w:type="dxa"/>
            </w:tcMar>
          </w:tcPr>
          <w:p w14:paraId="7D51674F"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w:t>
            </w:r>
          </w:p>
        </w:tc>
        <w:tc>
          <w:tcPr>
            <w:tcW w:w="1417" w:type="dxa"/>
            <w:shd w:val="clear" w:color="auto" w:fill="auto"/>
            <w:tcMar>
              <w:top w:w="0" w:type="dxa"/>
              <w:bottom w:w="0" w:type="dxa"/>
            </w:tcMar>
          </w:tcPr>
          <w:p w14:paraId="7D516750"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0.3</w:t>
            </w:r>
          </w:p>
        </w:tc>
      </w:tr>
      <w:tr w:rsidR="00F52309" w:rsidRPr="00FC6087" w14:paraId="7D516756" w14:textId="77777777" w:rsidTr="00790070">
        <w:tc>
          <w:tcPr>
            <w:tcW w:w="2448" w:type="dxa"/>
            <w:vMerge w:val="restart"/>
            <w:shd w:val="clear" w:color="auto" w:fill="auto"/>
            <w:tcMar>
              <w:top w:w="113" w:type="dxa"/>
              <w:bottom w:w="0" w:type="dxa"/>
            </w:tcMar>
          </w:tcPr>
          <w:p w14:paraId="7D516752" w14:textId="77777777" w:rsidR="004F07B4" w:rsidRPr="00FC6087" w:rsidRDefault="004F07B4" w:rsidP="006D69FF">
            <w:pPr>
              <w:spacing w:line="480" w:lineRule="auto"/>
              <w:ind w:left="176"/>
              <w:contextualSpacing/>
              <w:rPr>
                <w:rFonts w:ascii="Times New Roman" w:hAnsi="Times New Roman"/>
                <w:szCs w:val="24"/>
                <w:lang w:val="en-US"/>
              </w:rPr>
            </w:pPr>
            <w:r w:rsidRPr="00FC6087">
              <w:rPr>
                <w:rFonts w:ascii="Times New Roman" w:hAnsi="Times New Roman"/>
                <w:szCs w:val="24"/>
                <w:lang w:val="en-US"/>
              </w:rPr>
              <w:t>Years of Experience</w:t>
            </w:r>
          </w:p>
        </w:tc>
        <w:tc>
          <w:tcPr>
            <w:tcW w:w="4050" w:type="dxa"/>
            <w:shd w:val="clear" w:color="auto" w:fill="auto"/>
            <w:tcMar>
              <w:top w:w="0" w:type="dxa"/>
              <w:bottom w:w="0" w:type="dxa"/>
            </w:tcMar>
          </w:tcPr>
          <w:p w14:paraId="7D516753"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Less than 5</w:t>
            </w:r>
          </w:p>
        </w:tc>
        <w:tc>
          <w:tcPr>
            <w:tcW w:w="1260" w:type="dxa"/>
            <w:shd w:val="clear" w:color="auto" w:fill="auto"/>
            <w:tcMar>
              <w:top w:w="113" w:type="dxa"/>
            </w:tcMar>
          </w:tcPr>
          <w:p w14:paraId="7D516754"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118</w:t>
            </w:r>
          </w:p>
        </w:tc>
        <w:tc>
          <w:tcPr>
            <w:tcW w:w="1417" w:type="dxa"/>
            <w:shd w:val="clear" w:color="auto" w:fill="auto"/>
            <w:tcMar>
              <w:top w:w="113" w:type="dxa"/>
            </w:tcMar>
          </w:tcPr>
          <w:p w14:paraId="7D516755"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30.2</w:t>
            </w:r>
          </w:p>
        </w:tc>
      </w:tr>
      <w:tr w:rsidR="00F52309" w:rsidRPr="00FC6087" w14:paraId="7D51675B" w14:textId="77777777" w:rsidTr="00790070">
        <w:tc>
          <w:tcPr>
            <w:tcW w:w="2448" w:type="dxa"/>
            <w:vMerge/>
            <w:shd w:val="clear" w:color="auto" w:fill="auto"/>
            <w:tcMar>
              <w:top w:w="0" w:type="dxa"/>
              <w:bottom w:w="0" w:type="dxa"/>
            </w:tcMar>
          </w:tcPr>
          <w:p w14:paraId="7D516757"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58"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5 to 10</w:t>
            </w:r>
          </w:p>
        </w:tc>
        <w:tc>
          <w:tcPr>
            <w:tcW w:w="1260" w:type="dxa"/>
            <w:shd w:val="clear" w:color="auto" w:fill="auto"/>
            <w:tcMar>
              <w:top w:w="0" w:type="dxa"/>
              <w:bottom w:w="0" w:type="dxa"/>
            </w:tcMar>
          </w:tcPr>
          <w:p w14:paraId="7D516759"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83</w:t>
            </w:r>
          </w:p>
        </w:tc>
        <w:tc>
          <w:tcPr>
            <w:tcW w:w="1417" w:type="dxa"/>
            <w:shd w:val="clear" w:color="auto" w:fill="auto"/>
            <w:tcMar>
              <w:top w:w="0" w:type="dxa"/>
              <w:bottom w:w="0" w:type="dxa"/>
            </w:tcMar>
          </w:tcPr>
          <w:p w14:paraId="7D51675A"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21.2</w:t>
            </w:r>
          </w:p>
        </w:tc>
      </w:tr>
      <w:tr w:rsidR="00F52309" w:rsidRPr="00FC6087" w14:paraId="7D516760" w14:textId="77777777" w:rsidTr="00790070">
        <w:tc>
          <w:tcPr>
            <w:tcW w:w="2448" w:type="dxa"/>
            <w:vMerge/>
            <w:shd w:val="clear" w:color="auto" w:fill="auto"/>
            <w:tcMar>
              <w:top w:w="0" w:type="dxa"/>
              <w:bottom w:w="0" w:type="dxa"/>
            </w:tcMar>
          </w:tcPr>
          <w:p w14:paraId="7D51675C"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5D"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10 to 15</w:t>
            </w:r>
          </w:p>
        </w:tc>
        <w:tc>
          <w:tcPr>
            <w:tcW w:w="1260" w:type="dxa"/>
            <w:shd w:val="clear" w:color="auto" w:fill="auto"/>
            <w:tcMar>
              <w:top w:w="0" w:type="dxa"/>
              <w:bottom w:w="0" w:type="dxa"/>
            </w:tcMar>
          </w:tcPr>
          <w:p w14:paraId="7D51675E"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83</w:t>
            </w:r>
          </w:p>
        </w:tc>
        <w:tc>
          <w:tcPr>
            <w:tcW w:w="1417" w:type="dxa"/>
            <w:shd w:val="clear" w:color="auto" w:fill="auto"/>
            <w:tcMar>
              <w:top w:w="0" w:type="dxa"/>
              <w:bottom w:w="0" w:type="dxa"/>
            </w:tcMar>
          </w:tcPr>
          <w:p w14:paraId="7D51675F"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21.2</w:t>
            </w:r>
          </w:p>
        </w:tc>
      </w:tr>
      <w:tr w:rsidR="00F52309" w:rsidRPr="00FC6087" w14:paraId="7D516765" w14:textId="77777777" w:rsidTr="00790070">
        <w:tc>
          <w:tcPr>
            <w:tcW w:w="2448" w:type="dxa"/>
            <w:vMerge/>
            <w:shd w:val="clear" w:color="auto" w:fill="auto"/>
            <w:tcMar>
              <w:top w:w="0" w:type="dxa"/>
              <w:bottom w:w="0" w:type="dxa"/>
            </w:tcMar>
          </w:tcPr>
          <w:p w14:paraId="7D516761"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62"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15 to 20</w:t>
            </w:r>
          </w:p>
        </w:tc>
        <w:tc>
          <w:tcPr>
            <w:tcW w:w="1260" w:type="dxa"/>
            <w:shd w:val="clear" w:color="auto" w:fill="auto"/>
            <w:tcMar>
              <w:top w:w="0" w:type="dxa"/>
              <w:bottom w:w="0" w:type="dxa"/>
            </w:tcMar>
          </w:tcPr>
          <w:p w14:paraId="7D516763"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53</w:t>
            </w:r>
          </w:p>
        </w:tc>
        <w:tc>
          <w:tcPr>
            <w:tcW w:w="1417" w:type="dxa"/>
            <w:shd w:val="clear" w:color="auto" w:fill="auto"/>
            <w:tcMar>
              <w:top w:w="0" w:type="dxa"/>
              <w:bottom w:w="0" w:type="dxa"/>
            </w:tcMar>
          </w:tcPr>
          <w:p w14:paraId="7D516764"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13.6</w:t>
            </w:r>
          </w:p>
        </w:tc>
      </w:tr>
      <w:tr w:rsidR="00F52309" w:rsidRPr="00FC6087" w14:paraId="7D51676A" w14:textId="77777777" w:rsidTr="00790070">
        <w:tc>
          <w:tcPr>
            <w:tcW w:w="2448" w:type="dxa"/>
            <w:vMerge/>
            <w:shd w:val="clear" w:color="auto" w:fill="auto"/>
            <w:tcMar>
              <w:top w:w="0" w:type="dxa"/>
              <w:bottom w:w="0" w:type="dxa"/>
            </w:tcMar>
          </w:tcPr>
          <w:p w14:paraId="7D516766"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67"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20 to 25</w:t>
            </w:r>
          </w:p>
        </w:tc>
        <w:tc>
          <w:tcPr>
            <w:tcW w:w="1260" w:type="dxa"/>
            <w:shd w:val="clear" w:color="auto" w:fill="auto"/>
            <w:tcMar>
              <w:top w:w="0" w:type="dxa"/>
              <w:bottom w:w="0" w:type="dxa"/>
            </w:tcMar>
          </w:tcPr>
          <w:p w14:paraId="7D516768"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28</w:t>
            </w:r>
          </w:p>
        </w:tc>
        <w:tc>
          <w:tcPr>
            <w:tcW w:w="1417" w:type="dxa"/>
            <w:shd w:val="clear" w:color="auto" w:fill="auto"/>
            <w:tcMar>
              <w:top w:w="0" w:type="dxa"/>
              <w:bottom w:w="0" w:type="dxa"/>
            </w:tcMar>
          </w:tcPr>
          <w:p w14:paraId="7D516769"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7.2</w:t>
            </w:r>
          </w:p>
        </w:tc>
      </w:tr>
      <w:tr w:rsidR="00F52309" w:rsidRPr="00FC6087" w14:paraId="7D51676F" w14:textId="77777777" w:rsidTr="00790070">
        <w:tc>
          <w:tcPr>
            <w:tcW w:w="2448" w:type="dxa"/>
            <w:vMerge/>
            <w:shd w:val="clear" w:color="auto" w:fill="auto"/>
            <w:tcMar>
              <w:top w:w="0" w:type="dxa"/>
              <w:bottom w:w="0" w:type="dxa"/>
            </w:tcMar>
          </w:tcPr>
          <w:p w14:paraId="7D51676B"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6C"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25 to 30</w:t>
            </w:r>
          </w:p>
        </w:tc>
        <w:tc>
          <w:tcPr>
            <w:tcW w:w="1260" w:type="dxa"/>
            <w:shd w:val="clear" w:color="auto" w:fill="auto"/>
            <w:tcMar>
              <w:top w:w="0" w:type="dxa"/>
              <w:bottom w:w="0" w:type="dxa"/>
            </w:tcMar>
          </w:tcPr>
          <w:p w14:paraId="7D51676D"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15</w:t>
            </w:r>
          </w:p>
        </w:tc>
        <w:tc>
          <w:tcPr>
            <w:tcW w:w="1417" w:type="dxa"/>
            <w:shd w:val="clear" w:color="auto" w:fill="auto"/>
            <w:tcMar>
              <w:top w:w="0" w:type="dxa"/>
              <w:bottom w:w="0" w:type="dxa"/>
            </w:tcMar>
          </w:tcPr>
          <w:p w14:paraId="7D51676E"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3.8</w:t>
            </w:r>
          </w:p>
        </w:tc>
      </w:tr>
      <w:tr w:rsidR="00F52309" w:rsidRPr="00FC6087" w14:paraId="7D516774" w14:textId="77777777" w:rsidTr="00790070">
        <w:tc>
          <w:tcPr>
            <w:tcW w:w="2448" w:type="dxa"/>
            <w:vMerge/>
            <w:shd w:val="clear" w:color="auto" w:fill="auto"/>
            <w:tcMar>
              <w:top w:w="0" w:type="dxa"/>
              <w:bottom w:w="0" w:type="dxa"/>
            </w:tcMar>
          </w:tcPr>
          <w:p w14:paraId="7D516770"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71"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More than 30</w:t>
            </w:r>
          </w:p>
        </w:tc>
        <w:tc>
          <w:tcPr>
            <w:tcW w:w="1260" w:type="dxa"/>
            <w:shd w:val="clear" w:color="auto" w:fill="auto"/>
            <w:tcMar>
              <w:top w:w="0" w:type="dxa"/>
              <w:bottom w:w="0" w:type="dxa"/>
            </w:tcMar>
          </w:tcPr>
          <w:p w14:paraId="7D516772"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11</w:t>
            </w:r>
          </w:p>
        </w:tc>
        <w:tc>
          <w:tcPr>
            <w:tcW w:w="1417" w:type="dxa"/>
            <w:shd w:val="clear" w:color="auto" w:fill="auto"/>
            <w:tcMar>
              <w:top w:w="0" w:type="dxa"/>
              <w:bottom w:w="0" w:type="dxa"/>
            </w:tcMar>
          </w:tcPr>
          <w:p w14:paraId="7D516773"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2.8</w:t>
            </w:r>
          </w:p>
        </w:tc>
      </w:tr>
      <w:tr w:rsidR="00053918" w:rsidRPr="00FC6087" w14:paraId="7D516779" w14:textId="77777777" w:rsidTr="00790070">
        <w:tc>
          <w:tcPr>
            <w:tcW w:w="2448" w:type="dxa"/>
            <w:vMerge w:val="restart"/>
            <w:shd w:val="clear" w:color="auto" w:fill="auto"/>
            <w:tcMar>
              <w:top w:w="113" w:type="dxa"/>
              <w:bottom w:w="0" w:type="dxa"/>
            </w:tcMar>
          </w:tcPr>
          <w:p w14:paraId="7D516775" w14:textId="77777777" w:rsidR="004F07B4" w:rsidRPr="00FC6087" w:rsidRDefault="004F07B4" w:rsidP="006D69FF">
            <w:pPr>
              <w:spacing w:line="480" w:lineRule="auto"/>
              <w:ind w:left="176"/>
              <w:contextualSpacing/>
              <w:rPr>
                <w:rFonts w:ascii="Times New Roman" w:hAnsi="Times New Roman"/>
                <w:szCs w:val="24"/>
                <w:lang w:val="en-US"/>
              </w:rPr>
            </w:pPr>
            <w:r w:rsidRPr="00FC6087">
              <w:rPr>
                <w:rFonts w:ascii="Times New Roman" w:hAnsi="Times New Roman"/>
                <w:szCs w:val="24"/>
                <w:lang w:val="en-US"/>
              </w:rPr>
              <w:t>Level of Education</w:t>
            </w:r>
          </w:p>
        </w:tc>
        <w:tc>
          <w:tcPr>
            <w:tcW w:w="4050" w:type="dxa"/>
            <w:shd w:val="clear" w:color="auto" w:fill="auto"/>
            <w:tcMar>
              <w:top w:w="0" w:type="dxa"/>
              <w:bottom w:w="0" w:type="dxa"/>
            </w:tcMar>
          </w:tcPr>
          <w:p w14:paraId="7D516776"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High school</w:t>
            </w:r>
          </w:p>
        </w:tc>
        <w:tc>
          <w:tcPr>
            <w:tcW w:w="1260" w:type="dxa"/>
            <w:shd w:val="clear" w:color="auto" w:fill="auto"/>
            <w:tcMar>
              <w:top w:w="113" w:type="dxa"/>
            </w:tcMar>
          </w:tcPr>
          <w:p w14:paraId="7D516777"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58</w:t>
            </w:r>
          </w:p>
        </w:tc>
        <w:tc>
          <w:tcPr>
            <w:tcW w:w="1417" w:type="dxa"/>
            <w:shd w:val="clear" w:color="auto" w:fill="auto"/>
            <w:tcMar>
              <w:top w:w="113" w:type="dxa"/>
            </w:tcMar>
          </w:tcPr>
          <w:p w14:paraId="7D516778"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14.8</w:t>
            </w:r>
          </w:p>
        </w:tc>
      </w:tr>
      <w:tr w:rsidR="004F07B4" w:rsidRPr="00FC6087" w14:paraId="7D51677E" w14:textId="77777777" w:rsidTr="00790070">
        <w:tc>
          <w:tcPr>
            <w:tcW w:w="2448" w:type="dxa"/>
            <w:vMerge/>
            <w:shd w:val="clear" w:color="auto" w:fill="auto"/>
            <w:tcMar>
              <w:top w:w="0" w:type="dxa"/>
              <w:bottom w:w="0" w:type="dxa"/>
            </w:tcMar>
          </w:tcPr>
          <w:p w14:paraId="7D51677A"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7B"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Diploma</w:t>
            </w:r>
          </w:p>
        </w:tc>
        <w:tc>
          <w:tcPr>
            <w:tcW w:w="1260" w:type="dxa"/>
            <w:shd w:val="clear" w:color="auto" w:fill="auto"/>
            <w:tcMar>
              <w:top w:w="0" w:type="dxa"/>
              <w:bottom w:w="0" w:type="dxa"/>
            </w:tcMar>
          </w:tcPr>
          <w:p w14:paraId="7D51677C"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38</w:t>
            </w:r>
          </w:p>
        </w:tc>
        <w:tc>
          <w:tcPr>
            <w:tcW w:w="1417" w:type="dxa"/>
            <w:shd w:val="clear" w:color="auto" w:fill="auto"/>
            <w:tcMar>
              <w:top w:w="0" w:type="dxa"/>
              <w:bottom w:w="0" w:type="dxa"/>
            </w:tcMar>
          </w:tcPr>
          <w:p w14:paraId="7D51677D"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9.7</w:t>
            </w:r>
          </w:p>
        </w:tc>
      </w:tr>
      <w:tr w:rsidR="004F07B4" w:rsidRPr="00FC6087" w14:paraId="7D516783" w14:textId="77777777" w:rsidTr="00790070">
        <w:tc>
          <w:tcPr>
            <w:tcW w:w="2448" w:type="dxa"/>
            <w:vMerge/>
            <w:shd w:val="clear" w:color="auto" w:fill="auto"/>
            <w:tcMar>
              <w:top w:w="0" w:type="dxa"/>
              <w:bottom w:w="0" w:type="dxa"/>
            </w:tcMar>
          </w:tcPr>
          <w:p w14:paraId="7D51677F"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80"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Higher diploma</w:t>
            </w:r>
          </w:p>
        </w:tc>
        <w:tc>
          <w:tcPr>
            <w:tcW w:w="1260" w:type="dxa"/>
            <w:shd w:val="clear" w:color="auto" w:fill="auto"/>
            <w:tcMar>
              <w:top w:w="0" w:type="dxa"/>
              <w:bottom w:w="0" w:type="dxa"/>
            </w:tcMar>
          </w:tcPr>
          <w:p w14:paraId="7D516781"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26</w:t>
            </w:r>
          </w:p>
        </w:tc>
        <w:tc>
          <w:tcPr>
            <w:tcW w:w="1417" w:type="dxa"/>
            <w:shd w:val="clear" w:color="auto" w:fill="auto"/>
            <w:tcMar>
              <w:top w:w="0" w:type="dxa"/>
              <w:bottom w:w="0" w:type="dxa"/>
            </w:tcMar>
          </w:tcPr>
          <w:p w14:paraId="7D516782"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6.6</w:t>
            </w:r>
          </w:p>
        </w:tc>
      </w:tr>
      <w:tr w:rsidR="004F07B4" w:rsidRPr="00FC6087" w14:paraId="7D516788" w14:textId="77777777" w:rsidTr="00790070">
        <w:tc>
          <w:tcPr>
            <w:tcW w:w="2448" w:type="dxa"/>
            <w:vMerge/>
            <w:shd w:val="clear" w:color="auto" w:fill="auto"/>
            <w:tcMar>
              <w:top w:w="0" w:type="dxa"/>
              <w:bottom w:w="0" w:type="dxa"/>
            </w:tcMar>
          </w:tcPr>
          <w:p w14:paraId="7D516784" w14:textId="77777777" w:rsidR="004F07B4" w:rsidRPr="00FC6087" w:rsidRDefault="004F07B4" w:rsidP="006D69FF">
            <w:pPr>
              <w:spacing w:line="480" w:lineRule="auto"/>
              <w:ind w:left="176"/>
              <w:contextualSpacing/>
              <w:rPr>
                <w:rFonts w:ascii="Times New Roman" w:hAnsi="Times New Roman"/>
                <w:szCs w:val="24"/>
                <w:lang w:val="en-US"/>
              </w:rPr>
            </w:pPr>
          </w:p>
        </w:tc>
        <w:tc>
          <w:tcPr>
            <w:tcW w:w="4050" w:type="dxa"/>
            <w:shd w:val="clear" w:color="auto" w:fill="auto"/>
            <w:tcMar>
              <w:top w:w="0" w:type="dxa"/>
              <w:bottom w:w="0" w:type="dxa"/>
            </w:tcMar>
          </w:tcPr>
          <w:p w14:paraId="7D516785"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Bachelor’s degree</w:t>
            </w:r>
          </w:p>
        </w:tc>
        <w:tc>
          <w:tcPr>
            <w:tcW w:w="1260" w:type="dxa"/>
            <w:shd w:val="clear" w:color="auto" w:fill="auto"/>
            <w:tcMar>
              <w:top w:w="0" w:type="dxa"/>
              <w:bottom w:w="0" w:type="dxa"/>
            </w:tcMar>
          </w:tcPr>
          <w:p w14:paraId="7D516786"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192</w:t>
            </w:r>
          </w:p>
        </w:tc>
        <w:tc>
          <w:tcPr>
            <w:tcW w:w="1417" w:type="dxa"/>
            <w:shd w:val="clear" w:color="auto" w:fill="auto"/>
            <w:tcMar>
              <w:top w:w="0" w:type="dxa"/>
              <w:bottom w:w="0" w:type="dxa"/>
            </w:tcMar>
          </w:tcPr>
          <w:p w14:paraId="7D516787"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49.1</w:t>
            </w:r>
          </w:p>
        </w:tc>
      </w:tr>
      <w:tr w:rsidR="004F07B4" w:rsidRPr="00FC6087" w14:paraId="7D51678D" w14:textId="77777777" w:rsidTr="00790070">
        <w:tc>
          <w:tcPr>
            <w:tcW w:w="2448" w:type="dxa"/>
            <w:vMerge/>
            <w:shd w:val="clear" w:color="auto" w:fill="auto"/>
            <w:tcMar>
              <w:top w:w="0" w:type="dxa"/>
              <w:bottom w:w="0" w:type="dxa"/>
            </w:tcMar>
          </w:tcPr>
          <w:p w14:paraId="7D516789" w14:textId="77777777" w:rsidR="004F07B4" w:rsidRPr="00FC6087" w:rsidRDefault="004F07B4" w:rsidP="006D69FF">
            <w:pPr>
              <w:spacing w:line="480" w:lineRule="auto"/>
              <w:ind w:left="176"/>
              <w:contextualSpacing/>
              <w:rPr>
                <w:rFonts w:ascii="Times New Roman" w:hAnsi="Times New Roman"/>
                <w:i/>
                <w:szCs w:val="24"/>
                <w:lang w:val="en-US"/>
              </w:rPr>
            </w:pPr>
          </w:p>
        </w:tc>
        <w:tc>
          <w:tcPr>
            <w:tcW w:w="4050" w:type="dxa"/>
            <w:tcBorders>
              <w:bottom w:val="nil"/>
            </w:tcBorders>
            <w:shd w:val="clear" w:color="auto" w:fill="auto"/>
            <w:tcMar>
              <w:top w:w="0" w:type="dxa"/>
              <w:bottom w:w="0" w:type="dxa"/>
            </w:tcMar>
          </w:tcPr>
          <w:p w14:paraId="7D51678A"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Master’s degree</w:t>
            </w:r>
          </w:p>
        </w:tc>
        <w:tc>
          <w:tcPr>
            <w:tcW w:w="1260" w:type="dxa"/>
            <w:tcBorders>
              <w:bottom w:val="nil"/>
            </w:tcBorders>
            <w:shd w:val="clear" w:color="auto" w:fill="auto"/>
            <w:tcMar>
              <w:top w:w="0" w:type="dxa"/>
              <w:bottom w:w="0" w:type="dxa"/>
            </w:tcMar>
          </w:tcPr>
          <w:p w14:paraId="7D51678B"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69</w:t>
            </w:r>
          </w:p>
        </w:tc>
        <w:tc>
          <w:tcPr>
            <w:tcW w:w="1417" w:type="dxa"/>
            <w:tcBorders>
              <w:bottom w:val="nil"/>
            </w:tcBorders>
            <w:shd w:val="clear" w:color="auto" w:fill="auto"/>
            <w:tcMar>
              <w:top w:w="0" w:type="dxa"/>
              <w:bottom w:w="0" w:type="dxa"/>
            </w:tcMar>
          </w:tcPr>
          <w:p w14:paraId="7D51678C"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17.6</w:t>
            </w:r>
          </w:p>
        </w:tc>
      </w:tr>
      <w:tr w:rsidR="00053918" w:rsidRPr="00FC6087" w14:paraId="7D516792" w14:textId="77777777" w:rsidTr="005A59B7">
        <w:tc>
          <w:tcPr>
            <w:tcW w:w="2448" w:type="dxa"/>
            <w:vMerge/>
            <w:tcBorders>
              <w:bottom w:val="single" w:sz="12" w:space="0" w:color="auto"/>
            </w:tcBorders>
            <w:shd w:val="clear" w:color="auto" w:fill="auto"/>
            <w:tcMar>
              <w:top w:w="0" w:type="dxa"/>
              <w:bottom w:w="0" w:type="dxa"/>
            </w:tcMar>
          </w:tcPr>
          <w:p w14:paraId="7D51678E" w14:textId="77777777" w:rsidR="004F07B4" w:rsidRPr="00FC6087" w:rsidRDefault="004F07B4" w:rsidP="006D69FF">
            <w:pPr>
              <w:spacing w:line="480" w:lineRule="auto"/>
              <w:ind w:left="176"/>
              <w:contextualSpacing/>
              <w:rPr>
                <w:rFonts w:ascii="Times New Roman" w:hAnsi="Times New Roman"/>
                <w:i/>
                <w:szCs w:val="24"/>
                <w:lang w:val="en-US"/>
              </w:rPr>
            </w:pPr>
          </w:p>
        </w:tc>
        <w:tc>
          <w:tcPr>
            <w:tcW w:w="4050" w:type="dxa"/>
            <w:tcBorders>
              <w:top w:val="nil"/>
              <w:bottom w:val="single" w:sz="12" w:space="0" w:color="auto"/>
            </w:tcBorders>
            <w:shd w:val="clear" w:color="auto" w:fill="auto"/>
            <w:tcMar>
              <w:top w:w="0" w:type="dxa"/>
              <w:bottom w:w="57" w:type="dxa"/>
            </w:tcMar>
          </w:tcPr>
          <w:p w14:paraId="7D51678F" w14:textId="77777777" w:rsidR="004F07B4" w:rsidRPr="00FC6087" w:rsidRDefault="004F07B4" w:rsidP="006D69FF">
            <w:pPr>
              <w:spacing w:line="480" w:lineRule="auto"/>
              <w:contextualSpacing/>
              <w:rPr>
                <w:rFonts w:ascii="Times New Roman" w:hAnsi="Times New Roman"/>
                <w:szCs w:val="24"/>
                <w:lang w:val="en-US"/>
              </w:rPr>
            </w:pPr>
            <w:r w:rsidRPr="00FC6087">
              <w:rPr>
                <w:rFonts w:ascii="Times New Roman" w:hAnsi="Times New Roman"/>
                <w:szCs w:val="24"/>
                <w:lang w:val="en-US"/>
              </w:rPr>
              <w:t>Doctoral degree</w:t>
            </w:r>
          </w:p>
        </w:tc>
        <w:tc>
          <w:tcPr>
            <w:tcW w:w="1260" w:type="dxa"/>
            <w:tcBorders>
              <w:top w:val="nil"/>
              <w:bottom w:val="single" w:sz="12" w:space="0" w:color="auto"/>
            </w:tcBorders>
            <w:shd w:val="clear" w:color="auto" w:fill="auto"/>
            <w:tcMar>
              <w:top w:w="0" w:type="dxa"/>
              <w:bottom w:w="0" w:type="dxa"/>
            </w:tcMar>
          </w:tcPr>
          <w:p w14:paraId="7D516790" w14:textId="77777777" w:rsidR="004F07B4" w:rsidRPr="00FC6087" w:rsidRDefault="004F07B4" w:rsidP="006D69FF">
            <w:pPr>
              <w:spacing w:line="480" w:lineRule="auto"/>
              <w:contextualSpacing/>
              <w:jc w:val="center"/>
              <w:rPr>
                <w:rFonts w:ascii="Times New Roman" w:hAnsi="Times New Roman"/>
                <w:szCs w:val="24"/>
                <w:lang w:val="en-US"/>
              </w:rPr>
            </w:pPr>
            <w:r w:rsidRPr="00FC6087">
              <w:rPr>
                <w:rFonts w:ascii="Times New Roman" w:hAnsi="Times New Roman"/>
                <w:szCs w:val="24"/>
                <w:lang w:val="en-US"/>
              </w:rPr>
              <w:t>8</w:t>
            </w:r>
          </w:p>
        </w:tc>
        <w:tc>
          <w:tcPr>
            <w:tcW w:w="1417" w:type="dxa"/>
            <w:tcBorders>
              <w:top w:val="nil"/>
              <w:bottom w:val="single" w:sz="12" w:space="0" w:color="auto"/>
            </w:tcBorders>
            <w:shd w:val="clear" w:color="auto" w:fill="auto"/>
            <w:tcMar>
              <w:top w:w="0" w:type="dxa"/>
              <w:bottom w:w="0" w:type="dxa"/>
            </w:tcMar>
          </w:tcPr>
          <w:p w14:paraId="7D516791" w14:textId="77777777" w:rsidR="004F07B4" w:rsidRPr="00FC6087" w:rsidRDefault="004F07B4" w:rsidP="006D69FF">
            <w:pPr>
              <w:keepNext/>
              <w:spacing w:line="480" w:lineRule="auto"/>
              <w:contextualSpacing/>
              <w:jc w:val="center"/>
              <w:rPr>
                <w:rFonts w:ascii="Times New Roman" w:hAnsi="Times New Roman"/>
                <w:szCs w:val="24"/>
                <w:lang w:val="en-US"/>
              </w:rPr>
            </w:pPr>
            <w:r w:rsidRPr="00FC6087">
              <w:rPr>
                <w:rFonts w:ascii="Times New Roman" w:hAnsi="Times New Roman"/>
                <w:szCs w:val="24"/>
                <w:lang w:val="en-US"/>
              </w:rPr>
              <w:t>2.0</w:t>
            </w:r>
          </w:p>
        </w:tc>
      </w:tr>
    </w:tbl>
    <w:p w14:paraId="7D516793" w14:textId="77777777" w:rsidR="004F07B4" w:rsidRPr="00FC6087" w:rsidRDefault="004F07B4" w:rsidP="004F07B4">
      <w:pPr>
        <w:pStyle w:val="APATableTitle"/>
        <w:rPr>
          <w:noProof w:val="0"/>
        </w:rPr>
      </w:pPr>
    </w:p>
    <w:p w14:paraId="7D516794" w14:textId="77777777" w:rsidR="008351E7" w:rsidRPr="00FC6087" w:rsidRDefault="008351E7" w:rsidP="009C1EAB">
      <w:pPr>
        <w:pStyle w:val="APAParagraph"/>
      </w:pPr>
      <w:r w:rsidRPr="00FC6087">
        <w:t>For the barriers, participants (</w:t>
      </w:r>
      <w:r w:rsidRPr="00FC6087">
        <w:rPr>
          <w:i/>
        </w:rPr>
        <w:t>N</w:t>
      </w:r>
      <w:r w:rsidRPr="00FC6087">
        <w:t xml:space="preserve"> = 150; 85 females), representative of the four stakeholders categories in the UAE, were electronically invited and completed the survey. The demographic breakdown of the population including the number of individuals in each stakeholder category, are shown in Table 4.4.</w:t>
      </w:r>
    </w:p>
    <w:p w14:paraId="7D516795" w14:textId="77777777" w:rsidR="00047A71" w:rsidRPr="00FC6087" w:rsidRDefault="00047A71" w:rsidP="009C1EAB">
      <w:pPr>
        <w:pStyle w:val="APAParagraph"/>
      </w:pPr>
    </w:p>
    <w:p w14:paraId="7D516796" w14:textId="166EC9EC" w:rsidR="008351E7" w:rsidRPr="00790070" w:rsidRDefault="008351E7" w:rsidP="003647D3">
      <w:pPr>
        <w:pStyle w:val="APATableTitle"/>
        <w:jc w:val="left"/>
        <w:rPr>
          <w:b w:val="0"/>
          <w:i/>
          <w:noProof w:val="0"/>
          <w:sz w:val="24"/>
          <w:szCs w:val="24"/>
        </w:rPr>
      </w:pPr>
      <w:r w:rsidRPr="00A76642">
        <w:rPr>
          <w:b w:val="0"/>
          <w:noProof w:val="0"/>
          <w:sz w:val="24"/>
          <w:szCs w:val="24"/>
        </w:rPr>
        <w:t>Table 4.4</w:t>
      </w:r>
      <w:r w:rsidR="004B55C9" w:rsidRPr="00A76642">
        <w:rPr>
          <w:b w:val="0"/>
          <w:noProof w:val="0"/>
          <w:sz w:val="24"/>
          <w:szCs w:val="24"/>
        </w:rPr>
        <w:br/>
      </w:r>
      <w:r w:rsidRPr="00A76642">
        <w:rPr>
          <w:b w:val="0"/>
          <w:i/>
          <w:noProof w:val="0"/>
          <w:sz w:val="24"/>
          <w:szCs w:val="24"/>
        </w:rPr>
        <w:t>Demographic De</w:t>
      </w:r>
      <w:r w:rsidR="00CB5CE6" w:rsidRPr="00A76642">
        <w:rPr>
          <w:b w:val="0"/>
          <w:i/>
          <w:noProof w:val="0"/>
          <w:sz w:val="24"/>
          <w:szCs w:val="24"/>
        </w:rPr>
        <w:t>tails</w:t>
      </w:r>
      <w:r w:rsidRPr="00A76642">
        <w:rPr>
          <w:b w:val="0"/>
          <w:i/>
          <w:noProof w:val="0"/>
          <w:sz w:val="24"/>
          <w:szCs w:val="24"/>
        </w:rPr>
        <w:t xml:space="preserve"> of </w:t>
      </w:r>
      <w:r w:rsidR="00CB5CE6" w:rsidRPr="00A76642">
        <w:rPr>
          <w:b w:val="0"/>
          <w:i/>
          <w:noProof w:val="0"/>
          <w:sz w:val="24"/>
          <w:szCs w:val="24"/>
        </w:rPr>
        <w:t>P</w:t>
      </w:r>
      <w:r w:rsidRPr="00A76642">
        <w:rPr>
          <w:b w:val="0"/>
          <w:i/>
          <w:noProof w:val="0"/>
          <w:sz w:val="24"/>
          <w:szCs w:val="24"/>
        </w:rPr>
        <w:t>articipants for HIT Barriers</w:t>
      </w:r>
    </w:p>
    <w:tbl>
      <w:tblPr>
        <w:tblStyle w:val="TableGrid"/>
        <w:tblW w:w="0" w:type="auto"/>
        <w:tblBorders>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146"/>
        <w:gridCol w:w="3470"/>
        <w:gridCol w:w="1075"/>
        <w:gridCol w:w="1445"/>
      </w:tblGrid>
      <w:tr w:rsidR="008351E7" w:rsidRPr="006D69FF" w14:paraId="7D51679B" w14:textId="77777777" w:rsidTr="00790070">
        <w:tc>
          <w:tcPr>
            <w:tcW w:w="2358" w:type="dxa"/>
            <w:tcBorders>
              <w:top w:val="single" w:sz="18" w:space="0" w:color="auto"/>
              <w:bottom w:val="single" w:sz="12" w:space="0" w:color="auto"/>
            </w:tcBorders>
            <w:shd w:val="clear" w:color="auto" w:fill="auto"/>
            <w:tcMar>
              <w:top w:w="57" w:type="dxa"/>
              <w:bottom w:w="57" w:type="dxa"/>
            </w:tcMar>
          </w:tcPr>
          <w:p w14:paraId="7D516797" w14:textId="77777777" w:rsidR="008351E7" w:rsidRPr="006D69FF" w:rsidRDefault="008351E7" w:rsidP="006D69FF">
            <w:pPr>
              <w:spacing w:after="200" w:line="480" w:lineRule="auto"/>
              <w:ind w:left="176"/>
              <w:contextualSpacing/>
              <w:mirrorIndents/>
              <w:jc w:val="both"/>
              <w:rPr>
                <w:rFonts w:ascii="Times New Roman" w:hAnsi="Times New Roman"/>
                <w:szCs w:val="24"/>
                <w:lang w:val="en-US"/>
              </w:rPr>
            </w:pPr>
            <w:r w:rsidRPr="006D69FF">
              <w:rPr>
                <w:rFonts w:ascii="Times New Roman" w:hAnsi="Times New Roman"/>
                <w:szCs w:val="24"/>
              </w:rPr>
              <w:t xml:space="preserve">Attribute </w:t>
            </w:r>
          </w:p>
        </w:tc>
        <w:tc>
          <w:tcPr>
            <w:tcW w:w="4140" w:type="dxa"/>
            <w:tcBorders>
              <w:top w:val="single" w:sz="18" w:space="0" w:color="auto"/>
              <w:bottom w:val="single" w:sz="12" w:space="0" w:color="auto"/>
            </w:tcBorders>
            <w:shd w:val="clear" w:color="auto" w:fill="auto"/>
            <w:tcMar>
              <w:top w:w="0" w:type="dxa"/>
              <w:bottom w:w="0" w:type="dxa"/>
            </w:tcMar>
          </w:tcPr>
          <w:p w14:paraId="7D516798" w14:textId="77777777" w:rsidR="008351E7" w:rsidRPr="006D69FF" w:rsidRDefault="008351E7" w:rsidP="006D69FF">
            <w:pPr>
              <w:spacing w:after="200" w:line="480" w:lineRule="auto"/>
              <w:contextualSpacing/>
              <w:mirrorIndents/>
              <w:jc w:val="both"/>
              <w:rPr>
                <w:rFonts w:ascii="Times New Roman" w:hAnsi="Times New Roman"/>
                <w:szCs w:val="24"/>
                <w:lang w:val="en-US"/>
              </w:rPr>
            </w:pPr>
            <w:r w:rsidRPr="006D69FF">
              <w:rPr>
                <w:rFonts w:ascii="Times New Roman" w:hAnsi="Times New Roman"/>
                <w:szCs w:val="24"/>
              </w:rPr>
              <w:t>Category</w:t>
            </w:r>
          </w:p>
        </w:tc>
        <w:tc>
          <w:tcPr>
            <w:tcW w:w="1170" w:type="dxa"/>
            <w:tcBorders>
              <w:top w:val="single" w:sz="18" w:space="0" w:color="auto"/>
              <w:bottom w:val="single" w:sz="12" w:space="0" w:color="auto"/>
            </w:tcBorders>
            <w:shd w:val="clear" w:color="auto" w:fill="auto"/>
            <w:tcMar>
              <w:top w:w="57" w:type="dxa"/>
              <w:bottom w:w="57" w:type="dxa"/>
            </w:tcMar>
          </w:tcPr>
          <w:p w14:paraId="7D516799" w14:textId="77777777" w:rsidR="008351E7" w:rsidRPr="006D69FF" w:rsidRDefault="008351E7" w:rsidP="006D69FF">
            <w:pPr>
              <w:spacing w:after="200" w:line="480" w:lineRule="auto"/>
              <w:contextualSpacing/>
              <w:mirrorIndents/>
              <w:jc w:val="center"/>
              <w:rPr>
                <w:rFonts w:ascii="Times New Roman" w:hAnsi="Times New Roman"/>
                <w:szCs w:val="24"/>
                <w:lang w:val="en-US"/>
              </w:rPr>
            </w:pPr>
            <w:r w:rsidRPr="006D69FF">
              <w:rPr>
                <w:rFonts w:ascii="Times New Roman" w:hAnsi="Times New Roman"/>
                <w:szCs w:val="24"/>
              </w:rPr>
              <w:t>Count</w:t>
            </w:r>
          </w:p>
        </w:tc>
        <w:tc>
          <w:tcPr>
            <w:tcW w:w="1507" w:type="dxa"/>
            <w:tcBorders>
              <w:top w:val="single" w:sz="18" w:space="0" w:color="auto"/>
              <w:bottom w:val="single" w:sz="12" w:space="0" w:color="auto"/>
            </w:tcBorders>
            <w:shd w:val="clear" w:color="auto" w:fill="auto"/>
            <w:tcMar>
              <w:top w:w="57" w:type="dxa"/>
              <w:bottom w:w="57" w:type="dxa"/>
            </w:tcMar>
          </w:tcPr>
          <w:p w14:paraId="7D51679A" w14:textId="77777777" w:rsidR="008351E7" w:rsidRPr="006D69FF" w:rsidRDefault="008351E7" w:rsidP="006D69FF">
            <w:pPr>
              <w:spacing w:after="200" w:line="480" w:lineRule="auto"/>
              <w:contextualSpacing/>
              <w:mirrorIndents/>
              <w:jc w:val="center"/>
              <w:rPr>
                <w:rFonts w:ascii="Times New Roman" w:hAnsi="Times New Roman"/>
                <w:szCs w:val="24"/>
                <w:lang w:val="en-US"/>
              </w:rPr>
            </w:pPr>
            <w:r w:rsidRPr="006D69FF">
              <w:rPr>
                <w:rFonts w:ascii="Times New Roman" w:hAnsi="Times New Roman"/>
                <w:szCs w:val="24"/>
              </w:rPr>
              <w:t>Percentage</w:t>
            </w:r>
          </w:p>
        </w:tc>
      </w:tr>
      <w:tr w:rsidR="008351E7" w:rsidRPr="006D69FF" w14:paraId="7D5167A0" w14:textId="77777777" w:rsidTr="00790070">
        <w:tc>
          <w:tcPr>
            <w:tcW w:w="2358" w:type="dxa"/>
            <w:vMerge w:val="restart"/>
            <w:tcBorders>
              <w:top w:val="single" w:sz="12" w:space="0" w:color="auto"/>
            </w:tcBorders>
            <w:shd w:val="clear" w:color="auto" w:fill="auto"/>
            <w:tcMar>
              <w:top w:w="57" w:type="dxa"/>
              <w:bottom w:w="0" w:type="dxa"/>
            </w:tcMar>
          </w:tcPr>
          <w:p w14:paraId="7D51679C" w14:textId="77777777" w:rsidR="008351E7" w:rsidRPr="006D69FF" w:rsidRDefault="008351E7" w:rsidP="006D69FF">
            <w:pPr>
              <w:spacing w:line="480" w:lineRule="auto"/>
              <w:ind w:left="176"/>
              <w:contextualSpacing/>
              <w:mirrorIndents/>
              <w:rPr>
                <w:rFonts w:ascii="Times New Roman" w:hAnsi="Times New Roman"/>
                <w:szCs w:val="24"/>
                <w:lang w:val="en-US"/>
              </w:rPr>
            </w:pPr>
            <w:r w:rsidRPr="006D69FF">
              <w:rPr>
                <w:rFonts w:ascii="Times New Roman" w:hAnsi="Times New Roman"/>
                <w:szCs w:val="24"/>
              </w:rPr>
              <w:t xml:space="preserve">Stakeholder </w:t>
            </w:r>
            <w:r w:rsidRPr="006D69FF">
              <w:rPr>
                <w:rFonts w:ascii="Times New Roman" w:hAnsi="Times New Roman"/>
                <w:szCs w:val="24"/>
              </w:rPr>
              <w:lastRenderedPageBreak/>
              <w:t>Category</w:t>
            </w:r>
          </w:p>
        </w:tc>
        <w:tc>
          <w:tcPr>
            <w:tcW w:w="4140" w:type="dxa"/>
            <w:tcBorders>
              <w:top w:val="single" w:sz="12" w:space="0" w:color="auto"/>
            </w:tcBorders>
            <w:shd w:val="clear" w:color="auto" w:fill="auto"/>
            <w:tcMar>
              <w:top w:w="0" w:type="dxa"/>
              <w:bottom w:w="0" w:type="dxa"/>
            </w:tcMar>
          </w:tcPr>
          <w:p w14:paraId="7D51679D"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lastRenderedPageBreak/>
              <w:t>Employee in the healthcare sector</w:t>
            </w:r>
          </w:p>
        </w:tc>
        <w:tc>
          <w:tcPr>
            <w:tcW w:w="1170" w:type="dxa"/>
            <w:tcBorders>
              <w:top w:val="single" w:sz="12" w:space="0" w:color="auto"/>
            </w:tcBorders>
            <w:shd w:val="clear" w:color="auto" w:fill="auto"/>
            <w:tcMar>
              <w:top w:w="57" w:type="dxa"/>
            </w:tcMar>
          </w:tcPr>
          <w:p w14:paraId="7D51679E"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75</w:t>
            </w:r>
          </w:p>
        </w:tc>
        <w:tc>
          <w:tcPr>
            <w:tcW w:w="1507" w:type="dxa"/>
            <w:tcBorders>
              <w:top w:val="single" w:sz="12" w:space="0" w:color="auto"/>
            </w:tcBorders>
            <w:shd w:val="clear" w:color="auto" w:fill="auto"/>
            <w:tcMar>
              <w:top w:w="57" w:type="dxa"/>
            </w:tcMar>
          </w:tcPr>
          <w:p w14:paraId="7D51679F"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50</w:t>
            </w:r>
          </w:p>
        </w:tc>
      </w:tr>
      <w:tr w:rsidR="008351E7" w:rsidRPr="006D69FF" w14:paraId="7D5167A5" w14:textId="77777777" w:rsidTr="00790070">
        <w:tc>
          <w:tcPr>
            <w:tcW w:w="2358" w:type="dxa"/>
            <w:vMerge/>
            <w:shd w:val="clear" w:color="auto" w:fill="auto"/>
            <w:tcMar>
              <w:top w:w="0" w:type="dxa"/>
              <w:bottom w:w="0" w:type="dxa"/>
            </w:tcMar>
          </w:tcPr>
          <w:p w14:paraId="7D5167A1"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A2"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Future foresight expert</w:t>
            </w:r>
          </w:p>
        </w:tc>
        <w:tc>
          <w:tcPr>
            <w:tcW w:w="1170" w:type="dxa"/>
            <w:shd w:val="clear" w:color="auto" w:fill="auto"/>
            <w:tcMar>
              <w:top w:w="0" w:type="dxa"/>
              <w:bottom w:w="0" w:type="dxa"/>
            </w:tcMar>
          </w:tcPr>
          <w:p w14:paraId="7D5167A3"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6</w:t>
            </w:r>
          </w:p>
        </w:tc>
        <w:tc>
          <w:tcPr>
            <w:tcW w:w="1507" w:type="dxa"/>
            <w:shd w:val="clear" w:color="auto" w:fill="auto"/>
            <w:tcMar>
              <w:top w:w="0" w:type="dxa"/>
              <w:bottom w:w="0" w:type="dxa"/>
            </w:tcMar>
          </w:tcPr>
          <w:p w14:paraId="7D5167A4"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4</w:t>
            </w:r>
          </w:p>
        </w:tc>
      </w:tr>
      <w:tr w:rsidR="008351E7" w:rsidRPr="006D69FF" w14:paraId="7D5167AA" w14:textId="77777777" w:rsidTr="00790070">
        <w:tc>
          <w:tcPr>
            <w:tcW w:w="2358" w:type="dxa"/>
            <w:vMerge/>
            <w:shd w:val="clear" w:color="auto" w:fill="auto"/>
            <w:tcMar>
              <w:top w:w="0" w:type="dxa"/>
              <w:bottom w:w="0" w:type="dxa"/>
            </w:tcMar>
          </w:tcPr>
          <w:p w14:paraId="7D5167A6"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A7"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Patient using the healthcare services</w:t>
            </w:r>
          </w:p>
        </w:tc>
        <w:tc>
          <w:tcPr>
            <w:tcW w:w="1170" w:type="dxa"/>
            <w:shd w:val="clear" w:color="auto" w:fill="auto"/>
            <w:tcMar>
              <w:top w:w="0" w:type="dxa"/>
              <w:bottom w:w="0" w:type="dxa"/>
            </w:tcMar>
          </w:tcPr>
          <w:p w14:paraId="7D5167A8"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18</w:t>
            </w:r>
          </w:p>
        </w:tc>
        <w:tc>
          <w:tcPr>
            <w:tcW w:w="1507" w:type="dxa"/>
            <w:shd w:val="clear" w:color="auto" w:fill="auto"/>
            <w:tcMar>
              <w:top w:w="0" w:type="dxa"/>
              <w:bottom w:w="0" w:type="dxa"/>
            </w:tcMar>
          </w:tcPr>
          <w:p w14:paraId="7D5167A9"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12</w:t>
            </w:r>
          </w:p>
        </w:tc>
      </w:tr>
      <w:tr w:rsidR="008351E7" w:rsidRPr="006D69FF" w14:paraId="7D5167AF" w14:textId="77777777" w:rsidTr="00790070">
        <w:tc>
          <w:tcPr>
            <w:tcW w:w="2358" w:type="dxa"/>
            <w:vMerge/>
            <w:shd w:val="clear" w:color="auto" w:fill="auto"/>
            <w:tcMar>
              <w:top w:w="0" w:type="dxa"/>
              <w:bottom w:w="0" w:type="dxa"/>
            </w:tcMar>
          </w:tcPr>
          <w:p w14:paraId="7D5167AB"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AC"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Society member</w:t>
            </w:r>
          </w:p>
        </w:tc>
        <w:tc>
          <w:tcPr>
            <w:tcW w:w="1170" w:type="dxa"/>
            <w:shd w:val="clear" w:color="auto" w:fill="auto"/>
            <w:tcMar>
              <w:top w:w="0" w:type="dxa"/>
              <w:bottom w:w="0" w:type="dxa"/>
            </w:tcMar>
          </w:tcPr>
          <w:p w14:paraId="7D5167AD"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48</w:t>
            </w:r>
          </w:p>
        </w:tc>
        <w:tc>
          <w:tcPr>
            <w:tcW w:w="1507" w:type="dxa"/>
            <w:shd w:val="clear" w:color="auto" w:fill="auto"/>
            <w:tcMar>
              <w:top w:w="0" w:type="dxa"/>
              <w:bottom w:w="0" w:type="dxa"/>
            </w:tcMar>
          </w:tcPr>
          <w:p w14:paraId="7D5167AE"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32</w:t>
            </w:r>
          </w:p>
        </w:tc>
      </w:tr>
      <w:tr w:rsidR="008351E7" w:rsidRPr="006D69FF" w14:paraId="7D5167B4" w14:textId="77777777" w:rsidTr="00790070">
        <w:tc>
          <w:tcPr>
            <w:tcW w:w="2358" w:type="dxa"/>
            <w:vMerge w:val="restart"/>
            <w:shd w:val="clear" w:color="auto" w:fill="auto"/>
            <w:tcMar>
              <w:top w:w="113" w:type="dxa"/>
              <w:bottom w:w="0" w:type="dxa"/>
            </w:tcMar>
          </w:tcPr>
          <w:p w14:paraId="7D5167B0" w14:textId="77777777" w:rsidR="008351E7" w:rsidRPr="006D69FF" w:rsidRDefault="008351E7" w:rsidP="006D69FF">
            <w:pPr>
              <w:spacing w:line="480" w:lineRule="auto"/>
              <w:ind w:left="176"/>
              <w:contextualSpacing/>
              <w:mirrorIndents/>
              <w:rPr>
                <w:rFonts w:ascii="Times New Roman" w:hAnsi="Times New Roman"/>
                <w:szCs w:val="24"/>
                <w:lang w:val="en-US"/>
              </w:rPr>
            </w:pPr>
            <w:r w:rsidRPr="006D69FF">
              <w:rPr>
                <w:rFonts w:ascii="Times New Roman" w:hAnsi="Times New Roman"/>
                <w:szCs w:val="24"/>
              </w:rPr>
              <w:t>Gender</w:t>
            </w:r>
          </w:p>
        </w:tc>
        <w:tc>
          <w:tcPr>
            <w:tcW w:w="4140" w:type="dxa"/>
            <w:shd w:val="clear" w:color="auto" w:fill="auto"/>
            <w:tcMar>
              <w:top w:w="0" w:type="dxa"/>
              <w:bottom w:w="0" w:type="dxa"/>
            </w:tcMar>
          </w:tcPr>
          <w:p w14:paraId="7D5167B1"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Male</w:t>
            </w:r>
          </w:p>
        </w:tc>
        <w:tc>
          <w:tcPr>
            <w:tcW w:w="1170" w:type="dxa"/>
            <w:shd w:val="clear" w:color="auto" w:fill="auto"/>
            <w:tcMar>
              <w:top w:w="113" w:type="dxa"/>
            </w:tcMar>
          </w:tcPr>
          <w:p w14:paraId="7D5167B2"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63</w:t>
            </w:r>
          </w:p>
        </w:tc>
        <w:tc>
          <w:tcPr>
            <w:tcW w:w="1507" w:type="dxa"/>
            <w:shd w:val="clear" w:color="auto" w:fill="auto"/>
            <w:tcMar>
              <w:top w:w="113" w:type="dxa"/>
            </w:tcMar>
          </w:tcPr>
          <w:p w14:paraId="7D5167B3"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42</w:t>
            </w:r>
          </w:p>
        </w:tc>
      </w:tr>
      <w:tr w:rsidR="008351E7" w:rsidRPr="006D69FF" w14:paraId="7D5167B9" w14:textId="77777777" w:rsidTr="00790070">
        <w:tc>
          <w:tcPr>
            <w:tcW w:w="2358" w:type="dxa"/>
            <w:vMerge/>
            <w:shd w:val="clear" w:color="auto" w:fill="auto"/>
            <w:tcMar>
              <w:top w:w="0" w:type="dxa"/>
              <w:bottom w:w="0" w:type="dxa"/>
            </w:tcMar>
          </w:tcPr>
          <w:p w14:paraId="7D5167B5"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B6"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Female</w:t>
            </w:r>
          </w:p>
        </w:tc>
        <w:tc>
          <w:tcPr>
            <w:tcW w:w="1170" w:type="dxa"/>
            <w:shd w:val="clear" w:color="auto" w:fill="auto"/>
            <w:tcMar>
              <w:top w:w="0" w:type="dxa"/>
              <w:bottom w:w="0" w:type="dxa"/>
            </w:tcMar>
          </w:tcPr>
          <w:p w14:paraId="7D5167B7"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85</w:t>
            </w:r>
          </w:p>
        </w:tc>
        <w:tc>
          <w:tcPr>
            <w:tcW w:w="1507" w:type="dxa"/>
            <w:shd w:val="clear" w:color="auto" w:fill="auto"/>
            <w:tcMar>
              <w:top w:w="0" w:type="dxa"/>
              <w:bottom w:w="0" w:type="dxa"/>
            </w:tcMar>
          </w:tcPr>
          <w:p w14:paraId="7D5167B8"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56.7</w:t>
            </w:r>
          </w:p>
        </w:tc>
      </w:tr>
      <w:tr w:rsidR="008351E7" w:rsidRPr="006D69FF" w14:paraId="7D5167BE" w14:textId="77777777" w:rsidTr="00790070">
        <w:tc>
          <w:tcPr>
            <w:tcW w:w="2358" w:type="dxa"/>
            <w:vMerge w:val="restart"/>
            <w:shd w:val="clear" w:color="auto" w:fill="auto"/>
            <w:tcMar>
              <w:top w:w="113" w:type="dxa"/>
              <w:bottom w:w="0" w:type="dxa"/>
            </w:tcMar>
          </w:tcPr>
          <w:p w14:paraId="7D5167BA" w14:textId="77777777" w:rsidR="008351E7" w:rsidRPr="006D69FF" w:rsidRDefault="008351E7" w:rsidP="006D69FF">
            <w:pPr>
              <w:spacing w:line="480" w:lineRule="auto"/>
              <w:ind w:left="176"/>
              <w:contextualSpacing/>
              <w:mirrorIndents/>
              <w:rPr>
                <w:rFonts w:ascii="Times New Roman" w:hAnsi="Times New Roman"/>
                <w:szCs w:val="24"/>
                <w:lang w:val="en-US"/>
              </w:rPr>
            </w:pPr>
            <w:r w:rsidRPr="006D69FF">
              <w:rPr>
                <w:rFonts w:ascii="Times New Roman" w:hAnsi="Times New Roman"/>
                <w:szCs w:val="24"/>
              </w:rPr>
              <w:t>Age</w:t>
            </w:r>
          </w:p>
        </w:tc>
        <w:tc>
          <w:tcPr>
            <w:tcW w:w="4140" w:type="dxa"/>
            <w:shd w:val="clear" w:color="auto" w:fill="auto"/>
            <w:tcMar>
              <w:top w:w="0" w:type="dxa"/>
              <w:bottom w:w="0" w:type="dxa"/>
            </w:tcMar>
          </w:tcPr>
          <w:p w14:paraId="7D5167BB"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18 to 24</w:t>
            </w:r>
          </w:p>
        </w:tc>
        <w:tc>
          <w:tcPr>
            <w:tcW w:w="1170" w:type="dxa"/>
            <w:shd w:val="clear" w:color="auto" w:fill="auto"/>
            <w:tcMar>
              <w:top w:w="113" w:type="dxa"/>
            </w:tcMar>
          </w:tcPr>
          <w:p w14:paraId="7D5167BC"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6</w:t>
            </w:r>
          </w:p>
        </w:tc>
        <w:tc>
          <w:tcPr>
            <w:tcW w:w="1507" w:type="dxa"/>
            <w:shd w:val="clear" w:color="auto" w:fill="auto"/>
            <w:tcMar>
              <w:top w:w="113" w:type="dxa"/>
            </w:tcMar>
          </w:tcPr>
          <w:p w14:paraId="7D5167BD"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4</w:t>
            </w:r>
          </w:p>
        </w:tc>
      </w:tr>
      <w:tr w:rsidR="008351E7" w:rsidRPr="006D69FF" w14:paraId="7D5167C3" w14:textId="77777777" w:rsidTr="00790070">
        <w:tc>
          <w:tcPr>
            <w:tcW w:w="2358" w:type="dxa"/>
            <w:vMerge/>
            <w:shd w:val="clear" w:color="auto" w:fill="auto"/>
            <w:tcMar>
              <w:top w:w="0" w:type="dxa"/>
              <w:bottom w:w="0" w:type="dxa"/>
            </w:tcMar>
          </w:tcPr>
          <w:p w14:paraId="7D5167BF"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C0"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25 to 34</w:t>
            </w:r>
          </w:p>
        </w:tc>
        <w:tc>
          <w:tcPr>
            <w:tcW w:w="1170" w:type="dxa"/>
            <w:shd w:val="clear" w:color="auto" w:fill="auto"/>
            <w:tcMar>
              <w:top w:w="0" w:type="dxa"/>
              <w:bottom w:w="0" w:type="dxa"/>
            </w:tcMar>
          </w:tcPr>
          <w:p w14:paraId="7D5167C1"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48</w:t>
            </w:r>
          </w:p>
        </w:tc>
        <w:tc>
          <w:tcPr>
            <w:tcW w:w="1507" w:type="dxa"/>
            <w:shd w:val="clear" w:color="auto" w:fill="auto"/>
            <w:tcMar>
              <w:top w:w="0" w:type="dxa"/>
              <w:bottom w:w="0" w:type="dxa"/>
            </w:tcMar>
          </w:tcPr>
          <w:p w14:paraId="7D5167C2"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32</w:t>
            </w:r>
          </w:p>
        </w:tc>
      </w:tr>
      <w:tr w:rsidR="008351E7" w:rsidRPr="006D69FF" w14:paraId="7D5167C8" w14:textId="77777777" w:rsidTr="00790070">
        <w:tc>
          <w:tcPr>
            <w:tcW w:w="2358" w:type="dxa"/>
            <w:vMerge/>
            <w:shd w:val="clear" w:color="auto" w:fill="auto"/>
            <w:tcMar>
              <w:top w:w="0" w:type="dxa"/>
              <w:bottom w:w="0" w:type="dxa"/>
            </w:tcMar>
          </w:tcPr>
          <w:p w14:paraId="7D5167C4"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C5"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35 to 44</w:t>
            </w:r>
          </w:p>
        </w:tc>
        <w:tc>
          <w:tcPr>
            <w:tcW w:w="1170" w:type="dxa"/>
            <w:shd w:val="clear" w:color="auto" w:fill="auto"/>
            <w:tcMar>
              <w:top w:w="0" w:type="dxa"/>
              <w:bottom w:w="0" w:type="dxa"/>
            </w:tcMar>
          </w:tcPr>
          <w:p w14:paraId="7D5167C6"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58</w:t>
            </w:r>
          </w:p>
        </w:tc>
        <w:tc>
          <w:tcPr>
            <w:tcW w:w="1507" w:type="dxa"/>
            <w:shd w:val="clear" w:color="auto" w:fill="auto"/>
            <w:tcMar>
              <w:top w:w="0" w:type="dxa"/>
              <w:bottom w:w="0" w:type="dxa"/>
            </w:tcMar>
          </w:tcPr>
          <w:p w14:paraId="7D5167C7"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38.7</w:t>
            </w:r>
          </w:p>
        </w:tc>
      </w:tr>
      <w:tr w:rsidR="008351E7" w:rsidRPr="006D69FF" w14:paraId="7D5167CD" w14:textId="77777777" w:rsidTr="00790070">
        <w:tc>
          <w:tcPr>
            <w:tcW w:w="2358" w:type="dxa"/>
            <w:vMerge/>
            <w:shd w:val="clear" w:color="auto" w:fill="auto"/>
            <w:tcMar>
              <w:top w:w="0" w:type="dxa"/>
              <w:bottom w:w="0" w:type="dxa"/>
            </w:tcMar>
          </w:tcPr>
          <w:p w14:paraId="7D5167C9"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CA"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45 to 54</w:t>
            </w:r>
          </w:p>
        </w:tc>
        <w:tc>
          <w:tcPr>
            <w:tcW w:w="1170" w:type="dxa"/>
            <w:shd w:val="clear" w:color="auto" w:fill="auto"/>
            <w:tcMar>
              <w:top w:w="0" w:type="dxa"/>
              <w:bottom w:w="0" w:type="dxa"/>
            </w:tcMar>
          </w:tcPr>
          <w:p w14:paraId="7D5167CB"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26</w:t>
            </w:r>
          </w:p>
        </w:tc>
        <w:tc>
          <w:tcPr>
            <w:tcW w:w="1507" w:type="dxa"/>
            <w:shd w:val="clear" w:color="auto" w:fill="auto"/>
            <w:tcMar>
              <w:top w:w="0" w:type="dxa"/>
              <w:bottom w:w="0" w:type="dxa"/>
            </w:tcMar>
          </w:tcPr>
          <w:p w14:paraId="7D5167CC"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17.3</w:t>
            </w:r>
          </w:p>
        </w:tc>
      </w:tr>
      <w:tr w:rsidR="008351E7" w:rsidRPr="006D69FF" w14:paraId="7D5167D2" w14:textId="77777777" w:rsidTr="00790070">
        <w:tc>
          <w:tcPr>
            <w:tcW w:w="2358" w:type="dxa"/>
            <w:vMerge/>
            <w:shd w:val="clear" w:color="auto" w:fill="auto"/>
            <w:tcMar>
              <w:top w:w="0" w:type="dxa"/>
              <w:bottom w:w="0" w:type="dxa"/>
            </w:tcMar>
          </w:tcPr>
          <w:p w14:paraId="7D5167CE"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CF"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55 to 64</w:t>
            </w:r>
          </w:p>
        </w:tc>
        <w:tc>
          <w:tcPr>
            <w:tcW w:w="1170" w:type="dxa"/>
            <w:shd w:val="clear" w:color="auto" w:fill="auto"/>
            <w:tcMar>
              <w:top w:w="0" w:type="dxa"/>
              <w:bottom w:w="0" w:type="dxa"/>
            </w:tcMar>
          </w:tcPr>
          <w:p w14:paraId="7D5167D0"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9</w:t>
            </w:r>
          </w:p>
        </w:tc>
        <w:tc>
          <w:tcPr>
            <w:tcW w:w="1507" w:type="dxa"/>
            <w:shd w:val="clear" w:color="auto" w:fill="auto"/>
            <w:tcMar>
              <w:top w:w="0" w:type="dxa"/>
              <w:bottom w:w="0" w:type="dxa"/>
            </w:tcMar>
          </w:tcPr>
          <w:p w14:paraId="7D5167D1"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6</w:t>
            </w:r>
          </w:p>
        </w:tc>
      </w:tr>
      <w:tr w:rsidR="008351E7" w:rsidRPr="006D69FF" w14:paraId="7D5167D7" w14:textId="77777777" w:rsidTr="00790070">
        <w:tc>
          <w:tcPr>
            <w:tcW w:w="2358" w:type="dxa"/>
            <w:vMerge/>
            <w:shd w:val="clear" w:color="auto" w:fill="auto"/>
            <w:tcMar>
              <w:top w:w="0" w:type="dxa"/>
              <w:bottom w:w="0" w:type="dxa"/>
            </w:tcMar>
          </w:tcPr>
          <w:p w14:paraId="7D5167D3"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D4"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65 to 74</w:t>
            </w:r>
          </w:p>
        </w:tc>
        <w:tc>
          <w:tcPr>
            <w:tcW w:w="1170" w:type="dxa"/>
            <w:shd w:val="clear" w:color="auto" w:fill="auto"/>
            <w:tcMar>
              <w:top w:w="0" w:type="dxa"/>
              <w:bottom w:w="0" w:type="dxa"/>
            </w:tcMar>
          </w:tcPr>
          <w:p w14:paraId="7D5167D5"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w:t>
            </w:r>
          </w:p>
        </w:tc>
        <w:tc>
          <w:tcPr>
            <w:tcW w:w="1507" w:type="dxa"/>
            <w:shd w:val="clear" w:color="auto" w:fill="auto"/>
            <w:tcMar>
              <w:top w:w="0" w:type="dxa"/>
              <w:bottom w:w="0" w:type="dxa"/>
            </w:tcMar>
          </w:tcPr>
          <w:p w14:paraId="7D5167D6"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0.7</w:t>
            </w:r>
          </w:p>
        </w:tc>
      </w:tr>
      <w:tr w:rsidR="008351E7" w:rsidRPr="006D69FF" w14:paraId="7D5167DC" w14:textId="77777777" w:rsidTr="00790070">
        <w:tc>
          <w:tcPr>
            <w:tcW w:w="2358" w:type="dxa"/>
            <w:vMerge w:val="restart"/>
            <w:shd w:val="clear" w:color="auto" w:fill="auto"/>
            <w:tcMar>
              <w:top w:w="113" w:type="dxa"/>
              <w:bottom w:w="0" w:type="dxa"/>
            </w:tcMar>
          </w:tcPr>
          <w:p w14:paraId="7D5167D8" w14:textId="77777777" w:rsidR="008351E7" w:rsidRPr="006D69FF" w:rsidRDefault="008351E7" w:rsidP="006D69FF">
            <w:pPr>
              <w:spacing w:line="480" w:lineRule="auto"/>
              <w:ind w:left="176"/>
              <w:contextualSpacing/>
              <w:mirrorIndents/>
              <w:rPr>
                <w:rFonts w:ascii="Times New Roman" w:hAnsi="Times New Roman"/>
                <w:szCs w:val="24"/>
                <w:lang w:val="en-US"/>
              </w:rPr>
            </w:pPr>
            <w:r w:rsidRPr="006D69FF">
              <w:rPr>
                <w:rFonts w:ascii="Times New Roman" w:hAnsi="Times New Roman"/>
                <w:szCs w:val="24"/>
              </w:rPr>
              <w:t>Years of Experience</w:t>
            </w:r>
          </w:p>
        </w:tc>
        <w:tc>
          <w:tcPr>
            <w:tcW w:w="4140" w:type="dxa"/>
            <w:shd w:val="clear" w:color="auto" w:fill="auto"/>
            <w:tcMar>
              <w:top w:w="0" w:type="dxa"/>
              <w:bottom w:w="0" w:type="dxa"/>
            </w:tcMar>
          </w:tcPr>
          <w:p w14:paraId="7D5167D9"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Less than 5</w:t>
            </w:r>
          </w:p>
        </w:tc>
        <w:tc>
          <w:tcPr>
            <w:tcW w:w="1170" w:type="dxa"/>
            <w:shd w:val="clear" w:color="auto" w:fill="auto"/>
            <w:tcMar>
              <w:top w:w="113" w:type="dxa"/>
            </w:tcMar>
          </w:tcPr>
          <w:p w14:paraId="7D5167DA"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23</w:t>
            </w:r>
          </w:p>
        </w:tc>
        <w:tc>
          <w:tcPr>
            <w:tcW w:w="1507" w:type="dxa"/>
            <w:shd w:val="clear" w:color="auto" w:fill="auto"/>
            <w:tcMar>
              <w:top w:w="113" w:type="dxa"/>
            </w:tcMar>
          </w:tcPr>
          <w:p w14:paraId="7D5167DB"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15.3</w:t>
            </w:r>
          </w:p>
        </w:tc>
      </w:tr>
      <w:tr w:rsidR="008351E7" w:rsidRPr="006D69FF" w14:paraId="7D5167E1" w14:textId="77777777" w:rsidTr="00790070">
        <w:tc>
          <w:tcPr>
            <w:tcW w:w="2358" w:type="dxa"/>
            <w:vMerge/>
            <w:shd w:val="clear" w:color="auto" w:fill="auto"/>
            <w:tcMar>
              <w:top w:w="0" w:type="dxa"/>
              <w:bottom w:w="0" w:type="dxa"/>
            </w:tcMar>
          </w:tcPr>
          <w:p w14:paraId="7D5167DD"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DE"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5 to 10</w:t>
            </w:r>
          </w:p>
        </w:tc>
        <w:tc>
          <w:tcPr>
            <w:tcW w:w="1170" w:type="dxa"/>
            <w:shd w:val="clear" w:color="auto" w:fill="auto"/>
            <w:tcMar>
              <w:top w:w="0" w:type="dxa"/>
              <w:bottom w:w="0" w:type="dxa"/>
            </w:tcMar>
          </w:tcPr>
          <w:p w14:paraId="7D5167DF"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36</w:t>
            </w:r>
          </w:p>
        </w:tc>
        <w:tc>
          <w:tcPr>
            <w:tcW w:w="1507" w:type="dxa"/>
            <w:shd w:val="clear" w:color="auto" w:fill="auto"/>
            <w:tcMar>
              <w:top w:w="0" w:type="dxa"/>
              <w:bottom w:w="0" w:type="dxa"/>
            </w:tcMar>
          </w:tcPr>
          <w:p w14:paraId="7D5167E0"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24</w:t>
            </w:r>
          </w:p>
        </w:tc>
      </w:tr>
      <w:tr w:rsidR="008351E7" w:rsidRPr="006D69FF" w14:paraId="7D5167E6" w14:textId="77777777" w:rsidTr="00790070">
        <w:tc>
          <w:tcPr>
            <w:tcW w:w="2358" w:type="dxa"/>
            <w:vMerge/>
            <w:shd w:val="clear" w:color="auto" w:fill="auto"/>
            <w:tcMar>
              <w:top w:w="0" w:type="dxa"/>
              <w:bottom w:w="0" w:type="dxa"/>
            </w:tcMar>
          </w:tcPr>
          <w:p w14:paraId="7D5167E2"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E3"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10 to 15</w:t>
            </w:r>
          </w:p>
        </w:tc>
        <w:tc>
          <w:tcPr>
            <w:tcW w:w="1170" w:type="dxa"/>
            <w:shd w:val="clear" w:color="auto" w:fill="auto"/>
            <w:tcMar>
              <w:top w:w="0" w:type="dxa"/>
              <w:bottom w:w="0" w:type="dxa"/>
            </w:tcMar>
          </w:tcPr>
          <w:p w14:paraId="7D5167E4"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34</w:t>
            </w:r>
          </w:p>
        </w:tc>
        <w:tc>
          <w:tcPr>
            <w:tcW w:w="1507" w:type="dxa"/>
            <w:shd w:val="clear" w:color="auto" w:fill="auto"/>
            <w:tcMar>
              <w:top w:w="0" w:type="dxa"/>
              <w:bottom w:w="0" w:type="dxa"/>
            </w:tcMar>
          </w:tcPr>
          <w:p w14:paraId="7D5167E5"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22.7</w:t>
            </w:r>
          </w:p>
        </w:tc>
      </w:tr>
      <w:tr w:rsidR="008351E7" w:rsidRPr="006D69FF" w14:paraId="7D5167EB" w14:textId="77777777" w:rsidTr="00790070">
        <w:tc>
          <w:tcPr>
            <w:tcW w:w="2358" w:type="dxa"/>
            <w:vMerge/>
            <w:shd w:val="clear" w:color="auto" w:fill="auto"/>
            <w:tcMar>
              <w:top w:w="0" w:type="dxa"/>
              <w:bottom w:w="0" w:type="dxa"/>
            </w:tcMar>
          </w:tcPr>
          <w:p w14:paraId="7D5167E7"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E8"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15 to 20</w:t>
            </w:r>
          </w:p>
        </w:tc>
        <w:tc>
          <w:tcPr>
            <w:tcW w:w="1170" w:type="dxa"/>
            <w:shd w:val="clear" w:color="auto" w:fill="auto"/>
            <w:tcMar>
              <w:top w:w="0" w:type="dxa"/>
              <w:bottom w:w="0" w:type="dxa"/>
            </w:tcMar>
          </w:tcPr>
          <w:p w14:paraId="7D5167E9"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28</w:t>
            </w:r>
          </w:p>
        </w:tc>
        <w:tc>
          <w:tcPr>
            <w:tcW w:w="1507" w:type="dxa"/>
            <w:shd w:val="clear" w:color="auto" w:fill="auto"/>
            <w:tcMar>
              <w:top w:w="0" w:type="dxa"/>
              <w:bottom w:w="0" w:type="dxa"/>
            </w:tcMar>
          </w:tcPr>
          <w:p w14:paraId="7D5167EA"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18.7</w:t>
            </w:r>
          </w:p>
        </w:tc>
      </w:tr>
      <w:tr w:rsidR="008351E7" w:rsidRPr="006D69FF" w14:paraId="7D5167F0" w14:textId="77777777" w:rsidTr="00790070">
        <w:tc>
          <w:tcPr>
            <w:tcW w:w="2358" w:type="dxa"/>
            <w:vMerge/>
            <w:shd w:val="clear" w:color="auto" w:fill="auto"/>
            <w:tcMar>
              <w:top w:w="0" w:type="dxa"/>
              <w:bottom w:w="0" w:type="dxa"/>
            </w:tcMar>
          </w:tcPr>
          <w:p w14:paraId="7D5167EC"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ED"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20 to 25</w:t>
            </w:r>
          </w:p>
        </w:tc>
        <w:tc>
          <w:tcPr>
            <w:tcW w:w="1170" w:type="dxa"/>
            <w:shd w:val="clear" w:color="auto" w:fill="auto"/>
            <w:tcMar>
              <w:top w:w="0" w:type="dxa"/>
              <w:bottom w:w="0" w:type="dxa"/>
            </w:tcMar>
          </w:tcPr>
          <w:p w14:paraId="7D5167EE"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12</w:t>
            </w:r>
          </w:p>
        </w:tc>
        <w:tc>
          <w:tcPr>
            <w:tcW w:w="1507" w:type="dxa"/>
            <w:shd w:val="clear" w:color="auto" w:fill="auto"/>
            <w:tcMar>
              <w:top w:w="0" w:type="dxa"/>
              <w:bottom w:w="0" w:type="dxa"/>
            </w:tcMar>
          </w:tcPr>
          <w:p w14:paraId="7D5167EF"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8</w:t>
            </w:r>
          </w:p>
        </w:tc>
      </w:tr>
      <w:tr w:rsidR="008351E7" w:rsidRPr="006D69FF" w14:paraId="7D5167F5" w14:textId="77777777" w:rsidTr="00790070">
        <w:tc>
          <w:tcPr>
            <w:tcW w:w="2358" w:type="dxa"/>
            <w:vMerge/>
            <w:shd w:val="clear" w:color="auto" w:fill="auto"/>
            <w:tcMar>
              <w:top w:w="0" w:type="dxa"/>
              <w:bottom w:w="0" w:type="dxa"/>
            </w:tcMar>
          </w:tcPr>
          <w:p w14:paraId="7D5167F1"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F2"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25 to 30</w:t>
            </w:r>
          </w:p>
        </w:tc>
        <w:tc>
          <w:tcPr>
            <w:tcW w:w="1170" w:type="dxa"/>
            <w:shd w:val="clear" w:color="auto" w:fill="auto"/>
            <w:tcMar>
              <w:top w:w="0" w:type="dxa"/>
              <w:bottom w:w="0" w:type="dxa"/>
            </w:tcMar>
          </w:tcPr>
          <w:p w14:paraId="7D5167F3"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11</w:t>
            </w:r>
          </w:p>
        </w:tc>
        <w:tc>
          <w:tcPr>
            <w:tcW w:w="1507" w:type="dxa"/>
            <w:shd w:val="clear" w:color="auto" w:fill="auto"/>
            <w:tcMar>
              <w:top w:w="0" w:type="dxa"/>
              <w:bottom w:w="0" w:type="dxa"/>
            </w:tcMar>
          </w:tcPr>
          <w:p w14:paraId="7D5167F4"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7.3</w:t>
            </w:r>
          </w:p>
        </w:tc>
      </w:tr>
      <w:tr w:rsidR="008351E7" w:rsidRPr="006D69FF" w14:paraId="7D5167FA" w14:textId="77777777" w:rsidTr="00790070">
        <w:tc>
          <w:tcPr>
            <w:tcW w:w="2358" w:type="dxa"/>
            <w:vMerge/>
            <w:shd w:val="clear" w:color="auto" w:fill="auto"/>
            <w:tcMar>
              <w:top w:w="0" w:type="dxa"/>
              <w:bottom w:w="0" w:type="dxa"/>
            </w:tcMar>
          </w:tcPr>
          <w:p w14:paraId="7D5167F6" w14:textId="77777777" w:rsidR="008351E7" w:rsidRPr="006D69FF" w:rsidRDefault="008351E7" w:rsidP="006D69FF">
            <w:pPr>
              <w:spacing w:line="480" w:lineRule="auto"/>
              <w:ind w:left="176"/>
              <w:contextualSpacing/>
              <w:mirrorIndents/>
              <w:rPr>
                <w:rFonts w:ascii="Times New Roman" w:hAnsi="Times New Roman"/>
                <w:szCs w:val="24"/>
                <w:lang w:val="en-US"/>
              </w:rPr>
            </w:pPr>
          </w:p>
        </w:tc>
        <w:tc>
          <w:tcPr>
            <w:tcW w:w="4140" w:type="dxa"/>
            <w:shd w:val="clear" w:color="auto" w:fill="auto"/>
            <w:tcMar>
              <w:top w:w="0" w:type="dxa"/>
              <w:bottom w:w="0" w:type="dxa"/>
            </w:tcMar>
          </w:tcPr>
          <w:p w14:paraId="7D5167F7"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More than 30</w:t>
            </w:r>
          </w:p>
        </w:tc>
        <w:tc>
          <w:tcPr>
            <w:tcW w:w="1170" w:type="dxa"/>
            <w:shd w:val="clear" w:color="auto" w:fill="auto"/>
            <w:tcMar>
              <w:top w:w="0" w:type="dxa"/>
              <w:bottom w:w="0" w:type="dxa"/>
            </w:tcMar>
          </w:tcPr>
          <w:p w14:paraId="7D5167F8"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6</w:t>
            </w:r>
          </w:p>
        </w:tc>
        <w:tc>
          <w:tcPr>
            <w:tcW w:w="1507" w:type="dxa"/>
            <w:shd w:val="clear" w:color="auto" w:fill="auto"/>
            <w:tcMar>
              <w:top w:w="0" w:type="dxa"/>
              <w:bottom w:w="0" w:type="dxa"/>
            </w:tcMar>
          </w:tcPr>
          <w:p w14:paraId="7D5167F9"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4</w:t>
            </w:r>
          </w:p>
        </w:tc>
      </w:tr>
      <w:tr w:rsidR="008351E7" w:rsidRPr="006D69FF" w14:paraId="7D5167FF" w14:textId="77777777" w:rsidTr="00790070">
        <w:tc>
          <w:tcPr>
            <w:tcW w:w="2358" w:type="dxa"/>
            <w:vMerge w:val="restart"/>
            <w:shd w:val="clear" w:color="auto" w:fill="auto"/>
            <w:tcMar>
              <w:top w:w="113" w:type="dxa"/>
              <w:bottom w:w="0" w:type="dxa"/>
            </w:tcMar>
          </w:tcPr>
          <w:p w14:paraId="7D5167FB" w14:textId="77777777" w:rsidR="008351E7" w:rsidRPr="006D69FF" w:rsidRDefault="008351E7" w:rsidP="006D69FF">
            <w:pPr>
              <w:spacing w:line="480" w:lineRule="auto"/>
              <w:ind w:left="176"/>
              <w:contextualSpacing/>
              <w:mirrorIndents/>
              <w:rPr>
                <w:rFonts w:ascii="Times New Roman" w:hAnsi="Times New Roman"/>
                <w:szCs w:val="24"/>
                <w:lang w:val="en-US"/>
              </w:rPr>
            </w:pPr>
            <w:r w:rsidRPr="006D69FF">
              <w:rPr>
                <w:rFonts w:ascii="Times New Roman" w:hAnsi="Times New Roman"/>
                <w:szCs w:val="24"/>
              </w:rPr>
              <w:t xml:space="preserve">Level of </w:t>
            </w:r>
            <w:r w:rsidRPr="006D69FF">
              <w:rPr>
                <w:rFonts w:ascii="Times New Roman" w:hAnsi="Times New Roman"/>
                <w:szCs w:val="24"/>
              </w:rPr>
              <w:lastRenderedPageBreak/>
              <w:t>Education</w:t>
            </w:r>
          </w:p>
        </w:tc>
        <w:tc>
          <w:tcPr>
            <w:tcW w:w="4140" w:type="dxa"/>
            <w:shd w:val="clear" w:color="auto" w:fill="auto"/>
            <w:tcMar>
              <w:top w:w="0" w:type="dxa"/>
              <w:bottom w:w="0" w:type="dxa"/>
            </w:tcMar>
          </w:tcPr>
          <w:p w14:paraId="7D5167FC"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lastRenderedPageBreak/>
              <w:t>High school</w:t>
            </w:r>
          </w:p>
        </w:tc>
        <w:tc>
          <w:tcPr>
            <w:tcW w:w="1170" w:type="dxa"/>
            <w:shd w:val="clear" w:color="auto" w:fill="auto"/>
            <w:tcMar>
              <w:top w:w="113" w:type="dxa"/>
            </w:tcMar>
          </w:tcPr>
          <w:p w14:paraId="7D5167FD"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17</w:t>
            </w:r>
          </w:p>
        </w:tc>
        <w:tc>
          <w:tcPr>
            <w:tcW w:w="1507" w:type="dxa"/>
            <w:shd w:val="clear" w:color="auto" w:fill="auto"/>
            <w:tcMar>
              <w:top w:w="113" w:type="dxa"/>
            </w:tcMar>
          </w:tcPr>
          <w:p w14:paraId="7D5167FE"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11.3</w:t>
            </w:r>
          </w:p>
        </w:tc>
      </w:tr>
      <w:tr w:rsidR="008351E7" w:rsidRPr="006D69FF" w14:paraId="7D516804" w14:textId="77777777" w:rsidTr="00790070">
        <w:tc>
          <w:tcPr>
            <w:tcW w:w="2358" w:type="dxa"/>
            <w:vMerge/>
            <w:shd w:val="clear" w:color="auto" w:fill="auto"/>
            <w:tcMar>
              <w:top w:w="0" w:type="dxa"/>
              <w:bottom w:w="0" w:type="dxa"/>
            </w:tcMar>
          </w:tcPr>
          <w:p w14:paraId="7D516800" w14:textId="77777777" w:rsidR="008351E7" w:rsidRPr="006D69FF" w:rsidRDefault="008351E7" w:rsidP="006D69FF">
            <w:pPr>
              <w:spacing w:line="480" w:lineRule="auto"/>
              <w:ind w:left="176"/>
              <w:contextualSpacing/>
              <w:mirrorIndents/>
              <w:jc w:val="both"/>
              <w:rPr>
                <w:rFonts w:ascii="Times New Roman" w:hAnsi="Times New Roman"/>
                <w:szCs w:val="24"/>
                <w:lang w:val="en-US"/>
              </w:rPr>
            </w:pPr>
          </w:p>
        </w:tc>
        <w:tc>
          <w:tcPr>
            <w:tcW w:w="4140" w:type="dxa"/>
            <w:shd w:val="clear" w:color="auto" w:fill="auto"/>
            <w:tcMar>
              <w:top w:w="0" w:type="dxa"/>
              <w:bottom w:w="0" w:type="dxa"/>
            </w:tcMar>
          </w:tcPr>
          <w:p w14:paraId="7D516801"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Higher diploma</w:t>
            </w:r>
          </w:p>
        </w:tc>
        <w:tc>
          <w:tcPr>
            <w:tcW w:w="1170" w:type="dxa"/>
            <w:shd w:val="clear" w:color="auto" w:fill="auto"/>
            <w:tcMar>
              <w:top w:w="0" w:type="dxa"/>
              <w:bottom w:w="0" w:type="dxa"/>
            </w:tcMar>
          </w:tcPr>
          <w:p w14:paraId="7D516802"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11</w:t>
            </w:r>
          </w:p>
        </w:tc>
        <w:tc>
          <w:tcPr>
            <w:tcW w:w="1507" w:type="dxa"/>
            <w:shd w:val="clear" w:color="auto" w:fill="auto"/>
            <w:tcMar>
              <w:top w:w="0" w:type="dxa"/>
              <w:bottom w:w="0" w:type="dxa"/>
            </w:tcMar>
          </w:tcPr>
          <w:p w14:paraId="7D516803"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7.3</w:t>
            </w:r>
          </w:p>
        </w:tc>
      </w:tr>
      <w:tr w:rsidR="008351E7" w:rsidRPr="006D69FF" w14:paraId="7D516809" w14:textId="77777777" w:rsidTr="00790070">
        <w:tc>
          <w:tcPr>
            <w:tcW w:w="2358" w:type="dxa"/>
            <w:vMerge/>
            <w:shd w:val="clear" w:color="auto" w:fill="auto"/>
            <w:tcMar>
              <w:top w:w="0" w:type="dxa"/>
              <w:bottom w:w="0" w:type="dxa"/>
            </w:tcMar>
          </w:tcPr>
          <w:p w14:paraId="7D516805" w14:textId="77777777" w:rsidR="008351E7" w:rsidRPr="006D69FF" w:rsidRDefault="008351E7" w:rsidP="006D69FF">
            <w:pPr>
              <w:spacing w:line="480" w:lineRule="auto"/>
              <w:ind w:left="176"/>
              <w:contextualSpacing/>
              <w:mirrorIndents/>
              <w:jc w:val="both"/>
              <w:rPr>
                <w:rFonts w:ascii="Times New Roman" w:hAnsi="Times New Roman"/>
                <w:szCs w:val="24"/>
                <w:lang w:val="en-US"/>
              </w:rPr>
            </w:pPr>
          </w:p>
        </w:tc>
        <w:tc>
          <w:tcPr>
            <w:tcW w:w="4140" w:type="dxa"/>
            <w:shd w:val="clear" w:color="auto" w:fill="auto"/>
            <w:tcMar>
              <w:top w:w="0" w:type="dxa"/>
              <w:bottom w:w="0" w:type="dxa"/>
            </w:tcMar>
          </w:tcPr>
          <w:p w14:paraId="7D516806"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Bachelor’s degree</w:t>
            </w:r>
          </w:p>
        </w:tc>
        <w:tc>
          <w:tcPr>
            <w:tcW w:w="1170" w:type="dxa"/>
            <w:shd w:val="clear" w:color="auto" w:fill="auto"/>
            <w:tcMar>
              <w:top w:w="0" w:type="dxa"/>
              <w:bottom w:w="0" w:type="dxa"/>
            </w:tcMar>
          </w:tcPr>
          <w:p w14:paraId="7D516807"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59</w:t>
            </w:r>
          </w:p>
        </w:tc>
        <w:tc>
          <w:tcPr>
            <w:tcW w:w="1507" w:type="dxa"/>
            <w:shd w:val="clear" w:color="auto" w:fill="auto"/>
            <w:tcMar>
              <w:top w:w="0" w:type="dxa"/>
              <w:bottom w:w="0" w:type="dxa"/>
            </w:tcMar>
          </w:tcPr>
          <w:p w14:paraId="7D516808"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39.3</w:t>
            </w:r>
          </w:p>
        </w:tc>
      </w:tr>
      <w:tr w:rsidR="008351E7" w:rsidRPr="006D69FF" w14:paraId="7D51680E" w14:textId="77777777" w:rsidTr="00790070">
        <w:tc>
          <w:tcPr>
            <w:tcW w:w="2358" w:type="dxa"/>
            <w:vMerge/>
            <w:shd w:val="clear" w:color="auto" w:fill="auto"/>
            <w:tcMar>
              <w:top w:w="0" w:type="dxa"/>
              <w:bottom w:w="0" w:type="dxa"/>
            </w:tcMar>
          </w:tcPr>
          <w:p w14:paraId="7D51680A" w14:textId="77777777" w:rsidR="008351E7" w:rsidRPr="006D69FF" w:rsidRDefault="008351E7" w:rsidP="006D69FF">
            <w:pPr>
              <w:spacing w:line="480" w:lineRule="auto"/>
              <w:ind w:left="176"/>
              <w:contextualSpacing/>
              <w:mirrorIndents/>
              <w:jc w:val="both"/>
              <w:rPr>
                <w:rFonts w:ascii="Times New Roman" w:hAnsi="Times New Roman"/>
                <w:szCs w:val="24"/>
                <w:lang w:val="en-US"/>
              </w:rPr>
            </w:pPr>
          </w:p>
        </w:tc>
        <w:tc>
          <w:tcPr>
            <w:tcW w:w="4140" w:type="dxa"/>
            <w:shd w:val="clear" w:color="auto" w:fill="auto"/>
            <w:tcMar>
              <w:top w:w="0" w:type="dxa"/>
              <w:bottom w:w="0" w:type="dxa"/>
            </w:tcMar>
          </w:tcPr>
          <w:p w14:paraId="7D51680B"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Diploma</w:t>
            </w:r>
          </w:p>
        </w:tc>
        <w:tc>
          <w:tcPr>
            <w:tcW w:w="1170" w:type="dxa"/>
            <w:shd w:val="clear" w:color="auto" w:fill="auto"/>
            <w:tcMar>
              <w:top w:w="0" w:type="dxa"/>
              <w:bottom w:w="0" w:type="dxa"/>
            </w:tcMar>
          </w:tcPr>
          <w:p w14:paraId="7D51680C"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11</w:t>
            </w:r>
          </w:p>
        </w:tc>
        <w:tc>
          <w:tcPr>
            <w:tcW w:w="1507" w:type="dxa"/>
            <w:shd w:val="clear" w:color="auto" w:fill="auto"/>
            <w:tcMar>
              <w:top w:w="0" w:type="dxa"/>
              <w:bottom w:w="0" w:type="dxa"/>
            </w:tcMar>
          </w:tcPr>
          <w:p w14:paraId="7D51680D"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7.3</w:t>
            </w:r>
          </w:p>
        </w:tc>
      </w:tr>
      <w:tr w:rsidR="008351E7" w:rsidRPr="006D69FF" w14:paraId="7D516813" w14:textId="77777777" w:rsidTr="00790070">
        <w:tc>
          <w:tcPr>
            <w:tcW w:w="2358" w:type="dxa"/>
            <w:vMerge/>
            <w:shd w:val="clear" w:color="auto" w:fill="auto"/>
            <w:tcMar>
              <w:top w:w="0" w:type="dxa"/>
              <w:bottom w:w="0" w:type="dxa"/>
            </w:tcMar>
          </w:tcPr>
          <w:p w14:paraId="7D51680F" w14:textId="77777777" w:rsidR="008351E7" w:rsidRPr="006D69FF" w:rsidRDefault="008351E7" w:rsidP="006D69FF">
            <w:pPr>
              <w:spacing w:line="480" w:lineRule="auto"/>
              <w:ind w:left="176"/>
              <w:contextualSpacing/>
              <w:mirrorIndents/>
              <w:jc w:val="both"/>
              <w:rPr>
                <w:rFonts w:ascii="Times New Roman" w:hAnsi="Times New Roman"/>
                <w:szCs w:val="24"/>
                <w:lang w:val="en-US"/>
              </w:rPr>
            </w:pPr>
          </w:p>
        </w:tc>
        <w:tc>
          <w:tcPr>
            <w:tcW w:w="4140" w:type="dxa"/>
            <w:tcBorders>
              <w:bottom w:val="nil"/>
            </w:tcBorders>
            <w:shd w:val="clear" w:color="auto" w:fill="auto"/>
            <w:tcMar>
              <w:top w:w="0" w:type="dxa"/>
              <w:bottom w:w="0" w:type="dxa"/>
            </w:tcMar>
          </w:tcPr>
          <w:p w14:paraId="7D516810"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Master’s degree</w:t>
            </w:r>
          </w:p>
        </w:tc>
        <w:tc>
          <w:tcPr>
            <w:tcW w:w="1170" w:type="dxa"/>
            <w:tcBorders>
              <w:bottom w:val="nil"/>
            </w:tcBorders>
            <w:shd w:val="clear" w:color="auto" w:fill="auto"/>
            <w:tcMar>
              <w:top w:w="0" w:type="dxa"/>
              <w:bottom w:w="0" w:type="dxa"/>
            </w:tcMar>
          </w:tcPr>
          <w:p w14:paraId="7D516811"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39</w:t>
            </w:r>
          </w:p>
        </w:tc>
        <w:tc>
          <w:tcPr>
            <w:tcW w:w="1507" w:type="dxa"/>
            <w:tcBorders>
              <w:bottom w:val="nil"/>
            </w:tcBorders>
            <w:shd w:val="clear" w:color="auto" w:fill="auto"/>
            <w:tcMar>
              <w:top w:w="0" w:type="dxa"/>
              <w:bottom w:w="0" w:type="dxa"/>
            </w:tcMar>
          </w:tcPr>
          <w:p w14:paraId="7D516812"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26</w:t>
            </w:r>
          </w:p>
        </w:tc>
      </w:tr>
      <w:tr w:rsidR="008351E7" w:rsidRPr="006D69FF" w14:paraId="7D516818" w14:textId="77777777" w:rsidTr="00790070">
        <w:tc>
          <w:tcPr>
            <w:tcW w:w="2358" w:type="dxa"/>
            <w:vMerge/>
            <w:tcBorders>
              <w:bottom w:val="single" w:sz="18" w:space="0" w:color="auto"/>
            </w:tcBorders>
            <w:shd w:val="clear" w:color="auto" w:fill="auto"/>
            <w:tcMar>
              <w:top w:w="0" w:type="dxa"/>
              <w:bottom w:w="0" w:type="dxa"/>
            </w:tcMar>
          </w:tcPr>
          <w:p w14:paraId="7D516814" w14:textId="77777777" w:rsidR="008351E7" w:rsidRPr="006D69FF" w:rsidRDefault="008351E7" w:rsidP="006D69FF">
            <w:pPr>
              <w:spacing w:line="480" w:lineRule="auto"/>
              <w:ind w:left="176"/>
              <w:contextualSpacing/>
              <w:mirrorIndents/>
              <w:jc w:val="both"/>
              <w:rPr>
                <w:rFonts w:ascii="Times New Roman" w:hAnsi="Times New Roman"/>
                <w:szCs w:val="24"/>
                <w:lang w:val="en-US"/>
              </w:rPr>
            </w:pPr>
          </w:p>
        </w:tc>
        <w:tc>
          <w:tcPr>
            <w:tcW w:w="4140" w:type="dxa"/>
            <w:tcBorders>
              <w:top w:val="nil"/>
              <w:bottom w:val="single" w:sz="18" w:space="0" w:color="auto"/>
            </w:tcBorders>
            <w:shd w:val="clear" w:color="auto" w:fill="auto"/>
            <w:tcMar>
              <w:top w:w="0" w:type="dxa"/>
              <w:bottom w:w="57" w:type="dxa"/>
            </w:tcMar>
          </w:tcPr>
          <w:p w14:paraId="7D516815" w14:textId="77777777" w:rsidR="008351E7" w:rsidRPr="006D69FF" w:rsidRDefault="008351E7" w:rsidP="006D69FF">
            <w:pPr>
              <w:spacing w:line="480" w:lineRule="auto"/>
              <w:contextualSpacing/>
              <w:mirrorIndents/>
              <w:jc w:val="both"/>
              <w:rPr>
                <w:rFonts w:ascii="Times New Roman" w:hAnsi="Times New Roman"/>
                <w:szCs w:val="24"/>
                <w:lang w:val="en-US"/>
              </w:rPr>
            </w:pPr>
            <w:r w:rsidRPr="006D69FF">
              <w:rPr>
                <w:rFonts w:ascii="Times New Roman" w:hAnsi="Times New Roman"/>
                <w:szCs w:val="24"/>
              </w:rPr>
              <w:t>Doctoral/PhD degree</w:t>
            </w:r>
          </w:p>
        </w:tc>
        <w:tc>
          <w:tcPr>
            <w:tcW w:w="1170" w:type="dxa"/>
            <w:tcBorders>
              <w:top w:val="nil"/>
              <w:bottom w:val="single" w:sz="18" w:space="0" w:color="auto"/>
            </w:tcBorders>
            <w:shd w:val="clear" w:color="auto" w:fill="auto"/>
            <w:tcMar>
              <w:top w:w="0" w:type="dxa"/>
              <w:bottom w:w="0" w:type="dxa"/>
            </w:tcMar>
          </w:tcPr>
          <w:p w14:paraId="7D516816"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13</w:t>
            </w:r>
          </w:p>
        </w:tc>
        <w:tc>
          <w:tcPr>
            <w:tcW w:w="1507" w:type="dxa"/>
            <w:tcBorders>
              <w:top w:val="nil"/>
              <w:bottom w:val="single" w:sz="18" w:space="0" w:color="auto"/>
            </w:tcBorders>
            <w:shd w:val="clear" w:color="auto" w:fill="auto"/>
            <w:tcMar>
              <w:top w:w="0" w:type="dxa"/>
              <w:bottom w:w="0" w:type="dxa"/>
            </w:tcMar>
          </w:tcPr>
          <w:p w14:paraId="7D516817" w14:textId="77777777" w:rsidR="008351E7" w:rsidRPr="006D69FF" w:rsidRDefault="008351E7" w:rsidP="006D69FF">
            <w:pPr>
              <w:spacing w:line="480" w:lineRule="auto"/>
              <w:contextualSpacing/>
              <w:mirrorIndents/>
              <w:jc w:val="center"/>
              <w:rPr>
                <w:rFonts w:ascii="Times New Roman" w:hAnsi="Times New Roman"/>
                <w:szCs w:val="24"/>
                <w:lang w:val="en-US"/>
              </w:rPr>
            </w:pPr>
            <w:r w:rsidRPr="006D69FF">
              <w:rPr>
                <w:rFonts w:ascii="Times New Roman" w:hAnsi="Times New Roman"/>
                <w:szCs w:val="24"/>
              </w:rPr>
              <w:t>8.7</w:t>
            </w:r>
          </w:p>
        </w:tc>
      </w:tr>
    </w:tbl>
    <w:p w14:paraId="7D516819" w14:textId="77777777" w:rsidR="008351E7" w:rsidRPr="00FC6087" w:rsidRDefault="008351E7" w:rsidP="009C1EAB">
      <w:pPr>
        <w:pStyle w:val="APAParagraph"/>
      </w:pPr>
    </w:p>
    <w:p w14:paraId="7D51681A" w14:textId="5A800237" w:rsidR="008351E7" w:rsidRPr="00FC6087" w:rsidRDefault="008351E7" w:rsidP="009C1EAB">
      <w:pPr>
        <w:pStyle w:val="APAParagraph"/>
      </w:pPr>
      <w:r w:rsidRPr="00FC6087">
        <w:t xml:space="preserve">General rules to determine the proper sample size are only of limited use in achieving high-quality empirical results for </w:t>
      </w:r>
      <w:r w:rsidR="002137CC" w:rsidRPr="00FC6087">
        <w:t xml:space="preserve">specific </w:t>
      </w:r>
      <w:r w:rsidRPr="00FC6087">
        <w:t>applicat</w:t>
      </w:r>
      <w:r w:rsidR="002137CC" w:rsidRPr="00FC6087">
        <w:t xml:space="preserve">ions </w:t>
      </w:r>
      <w:r w:rsidRPr="00FC6087">
        <w:t>of CFA with real data (Marsh, Hau, Ball</w:t>
      </w:r>
      <w:r w:rsidR="002137CC" w:rsidRPr="00FC6087">
        <w:t>a</w:t>
      </w:r>
      <w:r w:rsidR="00394352">
        <w:t>,</w:t>
      </w:r>
      <w:r w:rsidR="005E7A62">
        <w:t xml:space="preserve"> &amp; </w:t>
      </w:r>
      <w:r w:rsidRPr="00FC6087">
        <w:t xml:space="preserve">Grayson, 1998). Researchers </w:t>
      </w:r>
      <w:r w:rsidR="002137CC" w:rsidRPr="00FC6087">
        <w:t xml:space="preserve">have </w:t>
      </w:r>
      <w:r w:rsidRPr="00FC6087">
        <w:t xml:space="preserve">indicated that close to ideal usually amounts to </w:t>
      </w:r>
      <w:r w:rsidRPr="00790070">
        <w:rPr>
          <w:i/>
        </w:rPr>
        <w:t>N</w:t>
      </w:r>
      <w:r w:rsidRPr="00FC6087">
        <w:t>=200 (</w:t>
      </w:r>
      <w:r w:rsidR="002137CC" w:rsidRPr="00FC6087">
        <w:t>Boomsma</w:t>
      </w:r>
      <w:r w:rsidR="005E7A62">
        <w:t xml:space="preserve"> &amp; </w:t>
      </w:r>
      <w:r w:rsidR="002137CC" w:rsidRPr="00FC6087">
        <w:t xml:space="preserve">Hoogland, 2001; </w:t>
      </w:r>
      <w:r w:rsidRPr="00FC6087">
        <w:t xml:space="preserve">Kline, 1998; Loehlin, 1998). </w:t>
      </w:r>
    </w:p>
    <w:p w14:paraId="7D51681B" w14:textId="77777777" w:rsidR="008351E7" w:rsidRPr="00FC6087" w:rsidRDefault="008351E7" w:rsidP="00790070">
      <w:pPr>
        <w:pStyle w:val="Heading2"/>
      </w:pPr>
      <w:bookmarkStart w:id="116" w:name="_Toc535934701"/>
      <w:bookmarkStart w:id="117" w:name="_Toc24447793"/>
      <w:r w:rsidRPr="00FC6087">
        <w:t>4.4.3</w:t>
      </w:r>
      <w:r w:rsidR="00514F5B">
        <w:t>.</w:t>
      </w:r>
      <w:r w:rsidRPr="00FC6087">
        <w:t xml:space="preserve"> Instruments and Data Collection</w:t>
      </w:r>
      <w:bookmarkEnd w:id="116"/>
      <w:bookmarkEnd w:id="117"/>
    </w:p>
    <w:p w14:paraId="33F27CD8" w14:textId="2A5B5A52" w:rsidR="002B5175" w:rsidRDefault="008351E7" w:rsidP="008B6660">
      <w:pPr>
        <w:pStyle w:val="APAParagraph"/>
      </w:pPr>
      <w:r w:rsidRPr="00FC6087">
        <w:t>The motivator</w:t>
      </w:r>
      <w:r w:rsidR="002137CC" w:rsidRPr="00FC6087">
        <w:t>s</w:t>
      </w:r>
      <w:r w:rsidR="00D31194" w:rsidRPr="00FC6087">
        <w:t>’</w:t>
      </w:r>
      <w:r w:rsidR="002137CC" w:rsidRPr="00FC6087">
        <w:t xml:space="preserve"> </w:t>
      </w:r>
      <w:r w:rsidRPr="00FC6087">
        <w:t>survey included a brief demographics section, asking for the age, gender, level of education, and years of experience of the respondents. Then, the participants were presented with a list of 41 motivators divided into seven categories: government support</w:t>
      </w:r>
      <w:r w:rsidR="002137CC" w:rsidRPr="00FC6087">
        <w:t>;</w:t>
      </w:r>
      <w:r w:rsidRPr="00FC6087">
        <w:t xml:space="preserve"> infrastructure</w:t>
      </w:r>
      <w:r w:rsidR="002137CC" w:rsidRPr="00FC6087">
        <w:t>;</w:t>
      </w:r>
      <w:r w:rsidRPr="00FC6087">
        <w:t xml:space="preserve"> knowledge sharing</w:t>
      </w:r>
      <w:r w:rsidR="002137CC" w:rsidRPr="00FC6087">
        <w:t>;</w:t>
      </w:r>
      <w:r w:rsidRPr="00FC6087">
        <w:t xml:space="preserve"> internal/external environment</w:t>
      </w:r>
      <w:r w:rsidR="002137CC" w:rsidRPr="00FC6087">
        <w:t>;</w:t>
      </w:r>
      <w:r w:rsidRPr="00FC6087">
        <w:t xml:space="preserve"> social sustainability</w:t>
      </w:r>
      <w:r w:rsidR="002137CC" w:rsidRPr="00FC6087">
        <w:t>;</w:t>
      </w:r>
      <w:r w:rsidRPr="00FC6087">
        <w:t xml:space="preserve"> green management</w:t>
      </w:r>
      <w:r w:rsidR="002137CC" w:rsidRPr="00FC6087">
        <w:t>;</w:t>
      </w:r>
      <w:r w:rsidRPr="00FC6087">
        <w:t xml:space="preserve"> and lean management. For each motivator, participants were asked to rate their agreement on</w:t>
      </w:r>
      <w:r w:rsidR="00D31194" w:rsidRPr="00FC6087">
        <w:t xml:space="preserve"> </w:t>
      </w:r>
      <w:r w:rsidRPr="00FC6087">
        <w:t xml:space="preserve">whether that factor </w:t>
      </w:r>
      <w:r w:rsidR="002137CC" w:rsidRPr="00FC6087">
        <w:t>wa</w:t>
      </w:r>
      <w:r w:rsidRPr="00FC6087">
        <w:t>s a motivator for</w:t>
      </w:r>
      <w:r w:rsidR="00D31194" w:rsidRPr="00FC6087">
        <w:t xml:space="preserve"> </w:t>
      </w:r>
      <w:r w:rsidRPr="00FC6087">
        <w:t>HIT adoption in the UAE using a five-point scale, from 1 (</w:t>
      </w:r>
      <w:r w:rsidRPr="00790070">
        <w:t>strongly disagree</w:t>
      </w:r>
      <w:r w:rsidRPr="00FC6087">
        <w:t>) to 5 (</w:t>
      </w:r>
      <w:r w:rsidRPr="00790070">
        <w:t>strongly agree</w:t>
      </w:r>
      <w:r w:rsidRPr="00FC6087">
        <w:t>).</w:t>
      </w:r>
      <w:r w:rsidR="00F3019D" w:rsidRPr="00F3019D">
        <w:rPr>
          <w:color w:val="FF0000"/>
        </w:rPr>
        <w:t xml:space="preserve"> Once the instrument was developed, </w:t>
      </w:r>
      <w:r w:rsidR="002B5175">
        <w:rPr>
          <w:color w:val="FF0000"/>
        </w:rPr>
        <w:t xml:space="preserve">and prior to the distribution , we pre-tested our instrument for </w:t>
      </w:r>
      <w:r w:rsidR="002B5175">
        <w:rPr>
          <w:color w:val="FF0000"/>
        </w:rPr>
        <w:lastRenderedPageBreak/>
        <w:t>content validity in two stages, we sent the instrument to 3 fellow scholars and asked them to provide feedback on the instrument for clarity and appropriateness of the measured used. B</w:t>
      </w:r>
      <w:r w:rsidR="00F3019D" w:rsidRPr="00F3019D">
        <w:rPr>
          <w:color w:val="FF0000"/>
        </w:rPr>
        <w:t xml:space="preserve">ased on the </w:t>
      </w:r>
      <w:r w:rsidR="002B5175">
        <w:rPr>
          <w:color w:val="FF0000"/>
        </w:rPr>
        <w:t xml:space="preserve">feedback we got we then sent the improved instrument to 3 participants from each stakeholder category, once data was collected back and the instrument got approved </w:t>
      </w:r>
      <w:r w:rsidR="00F3019D" w:rsidRPr="00F3019D">
        <w:rPr>
          <w:color w:val="FF0000"/>
        </w:rPr>
        <w:t xml:space="preserve"> </w:t>
      </w:r>
      <w:r w:rsidR="002B5175">
        <w:rPr>
          <w:color w:val="FF0000"/>
        </w:rPr>
        <w:t xml:space="preserve">we moved on to the final stage of data collection. </w:t>
      </w:r>
      <w:r w:rsidR="002B5175" w:rsidRPr="002B5175">
        <w:rPr>
          <w:color w:val="FF0000"/>
        </w:rPr>
        <w:t xml:space="preserve">(Chen et al., 2004; DeVellis, 2012). </w:t>
      </w:r>
    </w:p>
    <w:p w14:paraId="182F8932" w14:textId="77777777" w:rsidR="002B5175" w:rsidRDefault="002B5175" w:rsidP="002B5175">
      <w:pPr>
        <w:pStyle w:val="APAParagraph"/>
        <w:ind w:firstLine="0"/>
      </w:pPr>
    </w:p>
    <w:p w14:paraId="7D51681C" w14:textId="2BDE201F" w:rsidR="008351E7" w:rsidRPr="00FC6087" w:rsidRDefault="008351E7" w:rsidP="002B5175">
      <w:pPr>
        <w:pStyle w:val="APAParagraph"/>
        <w:ind w:firstLine="0"/>
      </w:pPr>
      <w:r w:rsidRPr="00FC6087">
        <w:t xml:space="preserve">The list of the </w:t>
      </w:r>
      <w:r w:rsidR="00394352" w:rsidRPr="00FC6087">
        <w:t>41 motivators</w:t>
      </w:r>
      <w:r w:rsidRPr="00FC6087">
        <w:t>, according to their categories, is presented in Table 4.</w:t>
      </w:r>
      <w:r w:rsidR="0078659F" w:rsidRPr="00FC6087">
        <w:t>5</w:t>
      </w:r>
      <w:r w:rsidRPr="00FC6087">
        <w:t>. In general, the interviews</w:t>
      </w:r>
      <w:r w:rsidR="00D31194" w:rsidRPr="00FC6087">
        <w:t xml:space="preserve"> </w:t>
      </w:r>
      <w:r w:rsidRPr="00FC6087">
        <w:t>took between 60 and 90 minutes to complete.</w:t>
      </w:r>
    </w:p>
    <w:p w14:paraId="7D51681D" w14:textId="77777777" w:rsidR="00047A71" w:rsidRPr="00FC6087" w:rsidRDefault="00047A71" w:rsidP="009C1EAB">
      <w:pPr>
        <w:pStyle w:val="APAParagraph"/>
      </w:pPr>
    </w:p>
    <w:p w14:paraId="7D51681E" w14:textId="557F1C00" w:rsidR="008351E7" w:rsidRPr="00790070" w:rsidRDefault="008351E7" w:rsidP="003647D3">
      <w:pPr>
        <w:pStyle w:val="APATableTitle"/>
        <w:jc w:val="left"/>
        <w:rPr>
          <w:b w:val="0"/>
          <w:i/>
          <w:noProof w:val="0"/>
          <w:sz w:val="24"/>
          <w:szCs w:val="24"/>
        </w:rPr>
      </w:pPr>
      <w:r w:rsidRPr="00A76642">
        <w:rPr>
          <w:b w:val="0"/>
          <w:noProof w:val="0"/>
          <w:sz w:val="24"/>
          <w:szCs w:val="24"/>
        </w:rPr>
        <w:t>Table 4.</w:t>
      </w:r>
      <w:r w:rsidR="0078659F" w:rsidRPr="00A76642">
        <w:rPr>
          <w:b w:val="0"/>
          <w:noProof w:val="0"/>
          <w:sz w:val="24"/>
          <w:szCs w:val="24"/>
        </w:rPr>
        <w:t>5</w:t>
      </w:r>
      <w:r w:rsidR="00F870DE" w:rsidRPr="00A76642">
        <w:rPr>
          <w:b w:val="0"/>
          <w:noProof w:val="0"/>
          <w:sz w:val="24"/>
          <w:szCs w:val="24"/>
        </w:rPr>
        <w:br/>
      </w:r>
      <w:r w:rsidRPr="00A76642">
        <w:rPr>
          <w:b w:val="0"/>
          <w:i/>
          <w:noProof w:val="0"/>
          <w:sz w:val="24"/>
          <w:szCs w:val="24"/>
          <w:lang w:bidi="ar-DZ"/>
        </w:rPr>
        <w:t>List of Motivators (and Their Respective Categories) Used in the Survey</w:t>
      </w:r>
    </w:p>
    <w:tbl>
      <w:tblPr>
        <w:tblStyle w:val="LightShading1"/>
        <w:tblW w:w="0" w:type="auto"/>
        <w:tblLook w:val="04A0" w:firstRow="1" w:lastRow="0" w:firstColumn="1" w:lastColumn="0" w:noHBand="0" w:noVBand="1"/>
      </w:tblPr>
      <w:tblGrid>
        <w:gridCol w:w="3259"/>
        <w:gridCol w:w="4661"/>
      </w:tblGrid>
      <w:tr w:rsidR="008351E7" w:rsidRPr="00FC6087" w14:paraId="7D516821" w14:textId="77777777" w:rsidTr="00DC78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9" w:type="dxa"/>
            <w:tcBorders>
              <w:top w:val="single" w:sz="18" w:space="0" w:color="auto"/>
              <w:bottom w:val="single" w:sz="12" w:space="0" w:color="auto"/>
            </w:tcBorders>
            <w:shd w:val="clear" w:color="auto" w:fill="auto"/>
            <w:tcMar>
              <w:top w:w="57" w:type="dxa"/>
              <w:bottom w:w="57" w:type="dxa"/>
            </w:tcMar>
          </w:tcPr>
          <w:p w14:paraId="7D51681F" w14:textId="77777777" w:rsidR="008351E7" w:rsidRPr="00C0447D" w:rsidRDefault="008351E7" w:rsidP="00DC785B">
            <w:pPr>
              <w:spacing w:line="480" w:lineRule="auto"/>
              <w:ind w:left="176"/>
              <w:rPr>
                <w:rFonts w:asciiTheme="majorBidi" w:hAnsiTheme="majorBidi" w:cstheme="majorBidi"/>
                <w:b w:val="0"/>
                <w:color w:val="auto"/>
              </w:rPr>
            </w:pPr>
            <w:r w:rsidRPr="00C0447D">
              <w:rPr>
                <w:i/>
                <w:color w:val="auto"/>
              </w:rPr>
              <w:br w:type="page"/>
            </w:r>
            <w:r w:rsidRPr="00C0447D">
              <w:rPr>
                <w:rFonts w:asciiTheme="majorBidi" w:hAnsiTheme="majorBidi" w:cstheme="majorBidi"/>
                <w:color w:val="auto"/>
              </w:rPr>
              <w:t>Category</w:t>
            </w:r>
          </w:p>
        </w:tc>
        <w:tc>
          <w:tcPr>
            <w:tcW w:w="4661" w:type="dxa"/>
            <w:tcBorders>
              <w:top w:val="single" w:sz="18" w:space="0" w:color="auto"/>
              <w:bottom w:val="single" w:sz="12" w:space="0" w:color="auto"/>
            </w:tcBorders>
            <w:shd w:val="clear" w:color="auto" w:fill="auto"/>
          </w:tcPr>
          <w:p w14:paraId="7D516820" w14:textId="77777777" w:rsidR="008351E7" w:rsidRPr="00C0447D" w:rsidRDefault="008351E7" w:rsidP="00DC785B">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auto"/>
                <w:lang w:bidi="ar-DZ"/>
              </w:rPr>
            </w:pPr>
            <w:r w:rsidRPr="00C0447D">
              <w:rPr>
                <w:rFonts w:asciiTheme="majorBidi" w:hAnsiTheme="majorBidi" w:cstheme="majorBidi"/>
                <w:color w:val="auto"/>
              </w:rPr>
              <w:t>Items</w:t>
            </w:r>
          </w:p>
        </w:tc>
      </w:tr>
      <w:tr w:rsidR="008351E7" w:rsidRPr="00FC6087" w14:paraId="7D516824" w14:textId="77777777" w:rsidTr="00DC7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vMerge w:val="restart"/>
            <w:tcBorders>
              <w:top w:val="single" w:sz="12" w:space="0" w:color="auto"/>
            </w:tcBorders>
            <w:shd w:val="clear" w:color="auto" w:fill="auto"/>
            <w:tcMar>
              <w:top w:w="57" w:type="dxa"/>
            </w:tcMar>
          </w:tcPr>
          <w:p w14:paraId="7D516822" w14:textId="77777777" w:rsidR="008351E7" w:rsidRPr="006B2498" w:rsidRDefault="008351E7" w:rsidP="00DC785B">
            <w:pPr>
              <w:spacing w:line="480" w:lineRule="auto"/>
              <w:ind w:left="176"/>
              <w:rPr>
                <w:rFonts w:asciiTheme="majorBidi" w:hAnsiTheme="majorBidi" w:cstheme="majorBidi"/>
                <w:b w:val="0"/>
                <w:bCs w:val="0"/>
                <w:color w:val="auto"/>
              </w:rPr>
            </w:pPr>
            <w:r w:rsidRPr="00C0447D">
              <w:rPr>
                <w:rFonts w:asciiTheme="majorBidi" w:hAnsiTheme="majorBidi" w:cstheme="majorBidi"/>
                <w:color w:val="auto"/>
              </w:rPr>
              <w:t>Government Support</w:t>
            </w:r>
          </w:p>
        </w:tc>
        <w:tc>
          <w:tcPr>
            <w:tcW w:w="4661" w:type="dxa"/>
            <w:tcBorders>
              <w:top w:val="single" w:sz="12" w:space="0" w:color="auto"/>
            </w:tcBorders>
            <w:shd w:val="clear" w:color="auto" w:fill="auto"/>
          </w:tcPr>
          <w:p w14:paraId="7D516823" w14:textId="77777777" w:rsidR="008351E7" w:rsidRPr="00FC6087" w:rsidRDefault="008351E7" w:rsidP="00DC785B">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bidi="ar-DZ"/>
              </w:rPr>
            </w:pPr>
            <w:r w:rsidRPr="00FC6087">
              <w:rPr>
                <w:rFonts w:asciiTheme="majorBidi" w:hAnsiTheme="majorBidi" w:cstheme="majorBidi"/>
                <w:color w:val="auto"/>
              </w:rPr>
              <w:t>2030 vision</w:t>
            </w:r>
          </w:p>
        </w:tc>
      </w:tr>
      <w:tr w:rsidR="008351E7" w:rsidRPr="00FC6087" w14:paraId="7D516827" w14:textId="77777777" w:rsidTr="00DC785B">
        <w:trPr>
          <w:trHeight w:val="341"/>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25" w14:textId="77777777" w:rsidR="008351E7" w:rsidRPr="006B2498" w:rsidRDefault="008351E7" w:rsidP="00DC785B">
            <w:pPr>
              <w:spacing w:line="480" w:lineRule="auto"/>
              <w:ind w:left="176"/>
              <w:rPr>
                <w:rFonts w:asciiTheme="majorBidi" w:hAnsiTheme="majorBidi" w:cstheme="majorBidi"/>
                <w:b w:val="0"/>
                <w:bCs w:val="0"/>
                <w:color w:val="auto"/>
              </w:rPr>
            </w:pPr>
          </w:p>
        </w:tc>
        <w:tc>
          <w:tcPr>
            <w:tcW w:w="4661" w:type="dxa"/>
            <w:shd w:val="clear" w:color="auto" w:fill="auto"/>
          </w:tcPr>
          <w:p w14:paraId="7D516826" w14:textId="77777777" w:rsidR="008351E7" w:rsidRPr="00FC6087" w:rsidRDefault="008351E7" w:rsidP="00DC785B">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lang w:bidi="ar-DZ"/>
              </w:rPr>
            </w:pPr>
            <w:r w:rsidRPr="00FC6087">
              <w:rPr>
                <w:rFonts w:asciiTheme="majorBidi" w:hAnsiTheme="majorBidi" w:cstheme="majorBidi"/>
                <w:color w:val="auto"/>
              </w:rPr>
              <w:t>Strategic support</w:t>
            </w:r>
          </w:p>
        </w:tc>
      </w:tr>
      <w:tr w:rsidR="008351E7" w:rsidRPr="00FC6087" w14:paraId="7D51682A" w14:textId="77777777" w:rsidTr="00DC7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vMerge/>
            <w:tcBorders>
              <w:bottom w:val="nil"/>
            </w:tcBorders>
            <w:shd w:val="clear" w:color="auto" w:fill="auto"/>
          </w:tcPr>
          <w:p w14:paraId="7D516828" w14:textId="77777777" w:rsidR="008351E7" w:rsidRPr="006B2498" w:rsidRDefault="008351E7" w:rsidP="00DC785B">
            <w:pPr>
              <w:spacing w:line="480" w:lineRule="auto"/>
              <w:ind w:left="176"/>
              <w:rPr>
                <w:rFonts w:asciiTheme="majorBidi" w:hAnsiTheme="majorBidi" w:cstheme="majorBidi"/>
                <w:b w:val="0"/>
                <w:bCs w:val="0"/>
                <w:color w:val="auto"/>
              </w:rPr>
            </w:pPr>
          </w:p>
        </w:tc>
        <w:tc>
          <w:tcPr>
            <w:tcW w:w="4661" w:type="dxa"/>
            <w:tcBorders>
              <w:bottom w:val="nil"/>
            </w:tcBorders>
            <w:shd w:val="clear" w:color="auto" w:fill="auto"/>
          </w:tcPr>
          <w:p w14:paraId="7D516829" w14:textId="77777777" w:rsidR="008351E7" w:rsidRPr="00FC6087" w:rsidRDefault="008351E7" w:rsidP="00DC785B">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bidi="ar-DZ"/>
              </w:rPr>
            </w:pPr>
            <w:r w:rsidRPr="00FC6087">
              <w:rPr>
                <w:rFonts w:asciiTheme="majorBidi" w:hAnsiTheme="majorBidi" w:cstheme="majorBidi"/>
                <w:color w:val="auto"/>
              </w:rPr>
              <w:t>Financial support</w:t>
            </w:r>
          </w:p>
        </w:tc>
      </w:tr>
      <w:tr w:rsidR="008351E7" w:rsidRPr="00FC6087" w14:paraId="7D51682D" w14:textId="77777777" w:rsidTr="00DC785B">
        <w:trPr>
          <w:trHeight w:val="98"/>
        </w:trPr>
        <w:tc>
          <w:tcPr>
            <w:cnfStyle w:val="001000000000" w:firstRow="0" w:lastRow="0" w:firstColumn="1" w:lastColumn="0" w:oddVBand="0" w:evenVBand="0" w:oddHBand="0" w:evenHBand="0" w:firstRowFirstColumn="0" w:firstRowLastColumn="0" w:lastRowFirstColumn="0" w:lastRowLastColumn="0"/>
            <w:tcW w:w="3259" w:type="dxa"/>
            <w:vMerge/>
            <w:tcBorders>
              <w:top w:val="nil"/>
              <w:bottom w:val="nil"/>
            </w:tcBorders>
            <w:shd w:val="clear" w:color="auto" w:fill="auto"/>
          </w:tcPr>
          <w:p w14:paraId="7D51682B" w14:textId="77777777" w:rsidR="008351E7" w:rsidRPr="006B2498" w:rsidRDefault="008351E7" w:rsidP="00DC785B">
            <w:pPr>
              <w:spacing w:line="480" w:lineRule="auto"/>
              <w:ind w:left="176"/>
              <w:rPr>
                <w:rFonts w:asciiTheme="majorBidi" w:hAnsiTheme="majorBidi" w:cstheme="majorBidi"/>
                <w:b w:val="0"/>
                <w:bCs w:val="0"/>
                <w:color w:val="auto"/>
              </w:rPr>
            </w:pPr>
          </w:p>
        </w:tc>
        <w:tc>
          <w:tcPr>
            <w:tcW w:w="4661" w:type="dxa"/>
            <w:tcBorders>
              <w:top w:val="nil"/>
              <w:bottom w:val="nil"/>
            </w:tcBorders>
            <w:shd w:val="clear" w:color="auto" w:fill="auto"/>
          </w:tcPr>
          <w:p w14:paraId="7D51682C" w14:textId="77777777" w:rsidR="008351E7" w:rsidRPr="00FC6087" w:rsidRDefault="008351E7" w:rsidP="00DC785B">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lang w:bidi="ar-DZ"/>
              </w:rPr>
            </w:pPr>
            <w:r w:rsidRPr="00FC6087">
              <w:rPr>
                <w:rFonts w:asciiTheme="majorBidi" w:hAnsiTheme="majorBidi" w:cstheme="majorBidi"/>
                <w:color w:val="auto"/>
              </w:rPr>
              <w:t>Future foresight</w:t>
            </w:r>
          </w:p>
        </w:tc>
      </w:tr>
      <w:tr w:rsidR="008351E7" w:rsidRPr="00FC6087" w14:paraId="7D516830" w14:textId="77777777" w:rsidTr="00DC7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9" w:type="dxa"/>
            <w:vMerge/>
            <w:tcBorders>
              <w:top w:val="nil"/>
            </w:tcBorders>
            <w:shd w:val="clear" w:color="auto" w:fill="auto"/>
          </w:tcPr>
          <w:p w14:paraId="7D51682E" w14:textId="77777777" w:rsidR="008351E7" w:rsidRPr="006B2498" w:rsidRDefault="008351E7" w:rsidP="00DC785B">
            <w:pPr>
              <w:spacing w:line="480" w:lineRule="auto"/>
              <w:ind w:left="176"/>
              <w:rPr>
                <w:rFonts w:asciiTheme="majorBidi" w:hAnsiTheme="majorBidi" w:cstheme="majorBidi"/>
                <w:b w:val="0"/>
                <w:bCs w:val="0"/>
                <w:color w:val="auto"/>
              </w:rPr>
            </w:pPr>
          </w:p>
        </w:tc>
        <w:tc>
          <w:tcPr>
            <w:tcW w:w="4661" w:type="dxa"/>
            <w:tcBorders>
              <w:top w:val="nil"/>
            </w:tcBorders>
            <w:shd w:val="clear" w:color="auto" w:fill="auto"/>
          </w:tcPr>
          <w:p w14:paraId="7D51682F" w14:textId="77777777" w:rsidR="008351E7" w:rsidRPr="00FC6087" w:rsidRDefault="008351E7" w:rsidP="00DC785B">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International trade</w:t>
            </w:r>
          </w:p>
        </w:tc>
      </w:tr>
      <w:tr w:rsidR="008351E7" w:rsidRPr="00FC6087" w14:paraId="7D516833" w14:textId="77777777" w:rsidTr="00DC785B">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31" w14:textId="77777777" w:rsidR="008351E7" w:rsidRPr="006B2498" w:rsidRDefault="008351E7" w:rsidP="00DC785B">
            <w:pPr>
              <w:spacing w:line="480" w:lineRule="auto"/>
              <w:ind w:left="176"/>
              <w:rPr>
                <w:rFonts w:asciiTheme="majorBidi" w:hAnsiTheme="majorBidi" w:cstheme="majorBidi"/>
                <w:b w:val="0"/>
                <w:bCs w:val="0"/>
                <w:color w:val="auto"/>
              </w:rPr>
            </w:pPr>
          </w:p>
        </w:tc>
        <w:tc>
          <w:tcPr>
            <w:tcW w:w="4661" w:type="dxa"/>
            <w:shd w:val="clear" w:color="auto" w:fill="auto"/>
          </w:tcPr>
          <w:p w14:paraId="7D516832" w14:textId="77777777" w:rsidR="008351E7" w:rsidRPr="00FC6087" w:rsidRDefault="008351E7" w:rsidP="00DC785B">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Medical legislation</w:t>
            </w:r>
          </w:p>
        </w:tc>
      </w:tr>
      <w:tr w:rsidR="008351E7" w:rsidRPr="00FC6087" w14:paraId="7D516836"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val="restart"/>
            <w:shd w:val="clear" w:color="auto" w:fill="auto"/>
            <w:tcMar>
              <w:top w:w="113" w:type="dxa"/>
            </w:tcMar>
          </w:tcPr>
          <w:p w14:paraId="7D516834" w14:textId="77777777" w:rsidR="008351E7" w:rsidRPr="006B2498" w:rsidRDefault="008351E7" w:rsidP="00DC785B">
            <w:pPr>
              <w:ind w:left="176"/>
              <w:rPr>
                <w:rFonts w:asciiTheme="majorBidi" w:hAnsiTheme="majorBidi" w:cstheme="majorBidi"/>
                <w:b w:val="0"/>
                <w:bCs w:val="0"/>
                <w:color w:val="auto"/>
              </w:rPr>
            </w:pPr>
            <w:r w:rsidRPr="00C0447D">
              <w:rPr>
                <w:rFonts w:asciiTheme="majorBidi" w:hAnsiTheme="majorBidi" w:cstheme="majorBidi"/>
                <w:color w:val="auto"/>
              </w:rPr>
              <w:t>Infrastructure</w:t>
            </w:r>
          </w:p>
        </w:tc>
        <w:tc>
          <w:tcPr>
            <w:tcW w:w="4661" w:type="dxa"/>
            <w:shd w:val="clear" w:color="auto" w:fill="auto"/>
            <w:vAlign w:val="center"/>
          </w:tcPr>
          <w:p w14:paraId="7D516835"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Infrastructure of buildings</w:t>
            </w:r>
          </w:p>
        </w:tc>
      </w:tr>
      <w:tr w:rsidR="008351E7" w:rsidRPr="00FC6087" w14:paraId="7D516839"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37"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38"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lang w:bidi="ar-DZ"/>
              </w:rPr>
            </w:pPr>
            <w:r w:rsidRPr="00FC6087">
              <w:rPr>
                <w:rFonts w:asciiTheme="majorBidi" w:hAnsiTheme="majorBidi" w:cstheme="majorBidi"/>
                <w:color w:val="auto"/>
              </w:rPr>
              <w:t>Information infrastructure</w:t>
            </w:r>
          </w:p>
        </w:tc>
      </w:tr>
      <w:tr w:rsidR="008351E7" w:rsidRPr="00FC6087" w14:paraId="7D51683C"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3A"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3B"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Centralized/Integrated access with Emirates ID</w:t>
            </w:r>
          </w:p>
        </w:tc>
      </w:tr>
      <w:tr w:rsidR="008351E7" w:rsidRPr="00FC6087" w14:paraId="7D51683F"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3D"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3E"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Existence of local medical schools</w:t>
            </w:r>
          </w:p>
        </w:tc>
      </w:tr>
      <w:tr w:rsidR="008351E7" w:rsidRPr="00FC6087" w14:paraId="7D516842"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val="restart"/>
            <w:shd w:val="clear" w:color="auto" w:fill="auto"/>
            <w:tcMar>
              <w:top w:w="113" w:type="dxa"/>
            </w:tcMar>
          </w:tcPr>
          <w:p w14:paraId="7D516840" w14:textId="77777777" w:rsidR="008351E7" w:rsidRPr="006B2498" w:rsidRDefault="008351E7" w:rsidP="00DC785B">
            <w:pPr>
              <w:ind w:left="176"/>
              <w:rPr>
                <w:rFonts w:asciiTheme="majorBidi" w:hAnsiTheme="majorBidi" w:cstheme="majorBidi"/>
                <w:b w:val="0"/>
                <w:bCs w:val="0"/>
                <w:color w:val="auto"/>
              </w:rPr>
            </w:pPr>
            <w:r w:rsidRPr="00C0447D">
              <w:rPr>
                <w:rFonts w:asciiTheme="majorBidi" w:hAnsiTheme="majorBidi" w:cstheme="majorBidi"/>
                <w:color w:val="auto"/>
              </w:rPr>
              <w:t>Knowledge Sharing</w:t>
            </w:r>
          </w:p>
        </w:tc>
        <w:tc>
          <w:tcPr>
            <w:tcW w:w="4661" w:type="dxa"/>
            <w:shd w:val="clear" w:color="auto" w:fill="auto"/>
            <w:vAlign w:val="center"/>
          </w:tcPr>
          <w:p w14:paraId="7D516841"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Online access</w:t>
            </w:r>
          </w:p>
        </w:tc>
      </w:tr>
      <w:tr w:rsidR="008351E7" w:rsidRPr="00FC6087" w14:paraId="7D516845"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43"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44"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Support from teaching hospitals</w:t>
            </w:r>
          </w:p>
        </w:tc>
      </w:tr>
      <w:tr w:rsidR="008351E7" w:rsidRPr="00FC6087" w14:paraId="7D516848"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46"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47"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Support from career development</w:t>
            </w:r>
          </w:p>
        </w:tc>
      </w:tr>
      <w:tr w:rsidR="008351E7" w:rsidRPr="00FC6087" w14:paraId="7D51684B"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49"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4A"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Organizational culture in hospitals</w:t>
            </w:r>
          </w:p>
        </w:tc>
      </w:tr>
      <w:tr w:rsidR="008351E7" w:rsidRPr="00FC6087" w14:paraId="7D51684E"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4C"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4D"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Easy transfer of knowledge</w:t>
            </w:r>
          </w:p>
        </w:tc>
      </w:tr>
      <w:tr w:rsidR="008351E7" w:rsidRPr="00FC6087" w14:paraId="7D516851"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4F"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50"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Geographical location of the UAE</w:t>
            </w:r>
          </w:p>
        </w:tc>
      </w:tr>
      <w:tr w:rsidR="008351E7" w:rsidRPr="00FC6087" w14:paraId="7D516854"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val="restart"/>
            <w:shd w:val="clear" w:color="auto" w:fill="auto"/>
            <w:tcMar>
              <w:top w:w="113" w:type="dxa"/>
            </w:tcMar>
          </w:tcPr>
          <w:p w14:paraId="7D516852" w14:textId="77777777" w:rsidR="008351E7" w:rsidRPr="006B2498" w:rsidRDefault="008351E7" w:rsidP="00DC785B">
            <w:pPr>
              <w:ind w:left="176"/>
              <w:rPr>
                <w:rFonts w:asciiTheme="majorBidi" w:hAnsiTheme="majorBidi" w:cstheme="majorBidi"/>
                <w:b w:val="0"/>
                <w:bCs w:val="0"/>
                <w:color w:val="auto"/>
              </w:rPr>
            </w:pPr>
            <w:r w:rsidRPr="00C0447D">
              <w:rPr>
                <w:rFonts w:asciiTheme="majorBidi" w:hAnsiTheme="majorBidi" w:cstheme="majorBidi"/>
                <w:color w:val="auto"/>
              </w:rPr>
              <w:t>Internal/External Environment</w:t>
            </w:r>
          </w:p>
        </w:tc>
        <w:tc>
          <w:tcPr>
            <w:tcW w:w="4661" w:type="dxa"/>
            <w:shd w:val="clear" w:color="auto" w:fill="auto"/>
            <w:vAlign w:val="center"/>
          </w:tcPr>
          <w:p w14:paraId="7D516853"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Centralized medical logs</w:t>
            </w:r>
          </w:p>
        </w:tc>
      </w:tr>
      <w:tr w:rsidR="008351E7" w:rsidRPr="00FC6087" w14:paraId="7D516857"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55"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56"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Support from insurance companies</w:t>
            </w:r>
          </w:p>
        </w:tc>
      </w:tr>
      <w:tr w:rsidR="008351E7" w:rsidRPr="00FC6087" w14:paraId="7D51685A"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58"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59"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Leadership support</w:t>
            </w:r>
          </w:p>
        </w:tc>
      </w:tr>
      <w:tr w:rsidR="008351E7" w:rsidRPr="00FC6087" w14:paraId="7D51685D"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5B"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5C"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Nature of tasks</w:t>
            </w:r>
          </w:p>
        </w:tc>
      </w:tr>
      <w:tr w:rsidR="008351E7" w:rsidRPr="00FC6087" w14:paraId="7D516860"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5E"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5F"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Competition</w:t>
            </w:r>
          </w:p>
        </w:tc>
      </w:tr>
      <w:tr w:rsidR="008351E7" w:rsidRPr="00FC6087" w14:paraId="7D516863"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61"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62"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Background in science and technology</w:t>
            </w:r>
          </w:p>
        </w:tc>
      </w:tr>
      <w:tr w:rsidR="008351E7" w:rsidRPr="00FC6087" w14:paraId="7D516866"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val="restart"/>
            <w:shd w:val="clear" w:color="auto" w:fill="auto"/>
            <w:tcMar>
              <w:top w:w="113" w:type="dxa"/>
            </w:tcMar>
          </w:tcPr>
          <w:p w14:paraId="7D516864" w14:textId="77777777" w:rsidR="008351E7" w:rsidRPr="006B2498" w:rsidRDefault="008351E7" w:rsidP="00DC785B">
            <w:pPr>
              <w:ind w:left="176"/>
              <w:rPr>
                <w:rFonts w:asciiTheme="majorBidi" w:hAnsiTheme="majorBidi" w:cstheme="majorBidi"/>
                <w:b w:val="0"/>
                <w:bCs w:val="0"/>
                <w:color w:val="auto"/>
              </w:rPr>
            </w:pPr>
            <w:r w:rsidRPr="00C0447D">
              <w:rPr>
                <w:rFonts w:asciiTheme="majorBidi" w:hAnsiTheme="majorBidi" w:cstheme="majorBidi"/>
                <w:color w:val="auto"/>
              </w:rPr>
              <w:t>Social Sustainability</w:t>
            </w:r>
          </w:p>
        </w:tc>
        <w:tc>
          <w:tcPr>
            <w:tcW w:w="4661" w:type="dxa"/>
            <w:shd w:val="clear" w:color="auto" w:fill="auto"/>
            <w:vAlign w:val="center"/>
          </w:tcPr>
          <w:p w14:paraId="7D516865"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bidi="ar-DZ"/>
              </w:rPr>
            </w:pPr>
            <w:r w:rsidRPr="00FC6087">
              <w:rPr>
                <w:rFonts w:asciiTheme="majorBidi" w:hAnsiTheme="majorBidi" w:cstheme="majorBidi"/>
                <w:color w:val="auto"/>
              </w:rPr>
              <w:t>Global access</w:t>
            </w:r>
          </w:p>
        </w:tc>
      </w:tr>
      <w:tr w:rsidR="008351E7" w:rsidRPr="00FC6087" w14:paraId="7D516869"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67"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68"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Market trends</w:t>
            </w:r>
          </w:p>
        </w:tc>
      </w:tr>
      <w:tr w:rsidR="008351E7" w:rsidRPr="00FC6087" w14:paraId="7D51686C"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6A"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6B"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Patient satisfaction</w:t>
            </w:r>
          </w:p>
        </w:tc>
      </w:tr>
      <w:tr w:rsidR="008351E7" w:rsidRPr="00FC6087" w14:paraId="7D51686F"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6D"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6E"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Open communication and feedback system</w:t>
            </w:r>
          </w:p>
        </w:tc>
      </w:tr>
      <w:tr w:rsidR="008351E7" w:rsidRPr="00FC6087" w14:paraId="7D516872"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70"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71"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Happiness indicators</w:t>
            </w:r>
          </w:p>
        </w:tc>
      </w:tr>
      <w:tr w:rsidR="008351E7" w:rsidRPr="00FC6087" w14:paraId="7D516875"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73"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74"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Equality and opportunity</w:t>
            </w:r>
          </w:p>
        </w:tc>
      </w:tr>
      <w:tr w:rsidR="008351E7" w:rsidRPr="00FC6087" w14:paraId="7D516878"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val="restart"/>
            <w:shd w:val="clear" w:color="auto" w:fill="auto"/>
            <w:tcMar>
              <w:top w:w="113" w:type="dxa"/>
            </w:tcMar>
          </w:tcPr>
          <w:p w14:paraId="7D516876" w14:textId="77777777" w:rsidR="008351E7" w:rsidRPr="006B2498" w:rsidRDefault="008351E7" w:rsidP="00DC785B">
            <w:pPr>
              <w:ind w:left="176"/>
              <w:rPr>
                <w:rFonts w:asciiTheme="majorBidi" w:hAnsiTheme="majorBidi" w:cstheme="majorBidi"/>
                <w:b w:val="0"/>
                <w:bCs w:val="0"/>
                <w:color w:val="auto"/>
              </w:rPr>
            </w:pPr>
            <w:r w:rsidRPr="00C0447D">
              <w:rPr>
                <w:rFonts w:asciiTheme="majorBidi" w:hAnsiTheme="majorBidi" w:cstheme="majorBidi"/>
                <w:color w:val="auto"/>
              </w:rPr>
              <w:t>Green Management</w:t>
            </w:r>
          </w:p>
        </w:tc>
        <w:tc>
          <w:tcPr>
            <w:tcW w:w="4661" w:type="dxa"/>
            <w:shd w:val="clear" w:color="auto" w:fill="auto"/>
            <w:vAlign w:val="center"/>
          </w:tcPr>
          <w:p w14:paraId="7D516877"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Mortality</w:t>
            </w:r>
          </w:p>
        </w:tc>
      </w:tr>
      <w:tr w:rsidR="008351E7" w:rsidRPr="00FC6087" w14:paraId="7D51687B"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79"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7A"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Control over contagious illnesses</w:t>
            </w:r>
          </w:p>
        </w:tc>
      </w:tr>
      <w:tr w:rsidR="008351E7" w:rsidRPr="00FC6087" w14:paraId="7D51687E"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7C"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7D"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bidi="ar-DZ"/>
              </w:rPr>
            </w:pPr>
            <w:r w:rsidRPr="00FC6087">
              <w:rPr>
                <w:rFonts w:asciiTheme="majorBidi" w:hAnsiTheme="majorBidi" w:cstheme="majorBidi"/>
                <w:color w:val="auto"/>
              </w:rPr>
              <w:t>Eco-friendly suppliers</w:t>
            </w:r>
          </w:p>
        </w:tc>
      </w:tr>
      <w:tr w:rsidR="008351E7" w:rsidRPr="00FC6087" w14:paraId="7D516881"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7F"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80"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Smart/new technologies</w:t>
            </w:r>
          </w:p>
        </w:tc>
      </w:tr>
      <w:tr w:rsidR="008351E7" w:rsidRPr="00FC6087" w14:paraId="7D516884"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82"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83" w14:textId="77777777" w:rsidR="008351E7" w:rsidRPr="00FC6087" w:rsidRDefault="008351E7"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HIMSS accreditation</w:t>
            </w:r>
          </w:p>
        </w:tc>
      </w:tr>
      <w:tr w:rsidR="008351E7" w:rsidRPr="00FC6087" w14:paraId="7D516887"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tcBorders>
              <w:bottom w:val="nil"/>
            </w:tcBorders>
            <w:shd w:val="clear" w:color="auto" w:fill="auto"/>
          </w:tcPr>
          <w:p w14:paraId="7D516885" w14:textId="77777777" w:rsidR="008351E7" w:rsidRPr="006B2498" w:rsidRDefault="008351E7" w:rsidP="00DC785B">
            <w:pPr>
              <w:ind w:left="176"/>
              <w:rPr>
                <w:rFonts w:asciiTheme="majorBidi" w:hAnsiTheme="majorBidi" w:cstheme="majorBidi"/>
                <w:b w:val="0"/>
                <w:bCs w:val="0"/>
                <w:color w:val="auto"/>
              </w:rPr>
            </w:pPr>
          </w:p>
        </w:tc>
        <w:tc>
          <w:tcPr>
            <w:tcW w:w="4661" w:type="dxa"/>
            <w:shd w:val="clear" w:color="auto" w:fill="auto"/>
            <w:vAlign w:val="center"/>
          </w:tcPr>
          <w:p w14:paraId="7D516886" w14:textId="77777777" w:rsidR="008351E7" w:rsidRPr="00FC6087" w:rsidRDefault="008351E7"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Safety standards</w:t>
            </w:r>
          </w:p>
        </w:tc>
      </w:tr>
      <w:tr w:rsidR="00DC785B" w:rsidRPr="00FC6087" w14:paraId="7D51688A"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val="restart"/>
            <w:tcBorders>
              <w:top w:val="nil"/>
            </w:tcBorders>
            <w:shd w:val="clear" w:color="auto" w:fill="auto"/>
            <w:tcMar>
              <w:top w:w="113" w:type="dxa"/>
            </w:tcMar>
          </w:tcPr>
          <w:p w14:paraId="7D516888" w14:textId="77777777" w:rsidR="00DC785B" w:rsidRPr="006B2498" w:rsidRDefault="00DC785B" w:rsidP="00DC785B">
            <w:pPr>
              <w:ind w:left="176"/>
              <w:rPr>
                <w:rFonts w:asciiTheme="majorBidi" w:hAnsiTheme="majorBidi" w:cstheme="majorBidi"/>
                <w:b w:val="0"/>
                <w:bCs w:val="0"/>
                <w:color w:val="auto"/>
              </w:rPr>
            </w:pPr>
            <w:r w:rsidRPr="00C0447D">
              <w:rPr>
                <w:rFonts w:asciiTheme="majorBidi" w:hAnsiTheme="majorBidi" w:cstheme="majorBidi"/>
                <w:color w:val="auto"/>
              </w:rPr>
              <w:t>Lean Management</w:t>
            </w:r>
          </w:p>
        </w:tc>
        <w:tc>
          <w:tcPr>
            <w:tcW w:w="4661" w:type="dxa"/>
            <w:shd w:val="clear" w:color="auto" w:fill="auto"/>
            <w:vAlign w:val="center"/>
          </w:tcPr>
          <w:p w14:paraId="7D516889" w14:textId="77777777" w:rsidR="00DC785B" w:rsidRPr="00FC6087" w:rsidRDefault="00DC785B"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Quick recovery</w:t>
            </w:r>
          </w:p>
        </w:tc>
      </w:tr>
      <w:tr w:rsidR="00DC785B" w:rsidRPr="00FC6087" w14:paraId="7D51688D"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8B" w14:textId="77777777" w:rsidR="00DC785B" w:rsidRPr="006B2498" w:rsidRDefault="00DC785B" w:rsidP="00DC785B">
            <w:pPr>
              <w:ind w:left="176"/>
              <w:rPr>
                <w:rFonts w:asciiTheme="majorBidi" w:hAnsiTheme="majorBidi" w:cstheme="majorBidi"/>
                <w:b w:val="0"/>
                <w:bCs w:val="0"/>
                <w:color w:val="auto"/>
              </w:rPr>
            </w:pPr>
          </w:p>
        </w:tc>
        <w:tc>
          <w:tcPr>
            <w:tcW w:w="4661" w:type="dxa"/>
            <w:shd w:val="clear" w:color="auto" w:fill="auto"/>
            <w:vAlign w:val="center"/>
          </w:tcPr>
          <w:p w14:paraId="7D51688C" w14:textId="77777777" w:rsidR="00DC785B" w:rsidRPr="00FC6087" w:rsidRDefault="00DC785B"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Quality services</w:t>
            </w:r>
          </w:p>
        </w:tc>
      </w:tr>
      <w:tr w:rsidR="00DC785B" w:rsidRPr="00FC6087" w14:paraId="7D516890"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8E" w14:textId="77777777" w:rsidR="00DC785B" w:rsidRPr="00A750F4" w:rsidRDefault="00DC785B" w:rsidP="00DC785B">
            <w:pPr>
              <w:ind w:left="176"/>
              <w:rPr>
                <w:rFonts w:asciiTheme="majorBidi" w:hAnsiTheme="majorBidi" w:cstheme="majorBidi"/>
                <w:b w:val="0"/>
                <w:bCs w:val="0"/>
                <w:color w:val="auto"/>
              </w:rPr>
            </w:pPr>
          </w:p>
        </w:tc>
        <w:tc>
          <w:tcPr>
            <w:tcW w:w="4661" w:type="dxa"/>
            <w:shd w:val="clear" w:color="auto" w:fill="auto"/>
            <w:vAlign w:val="center"/>
          </w:tcPr>
          <w:p w14:paraId="7D51688F" w14:textId="2DB34DBB" w:rsidR="00DC785B" w:rsidRPr="00FC6087" w:rsidRDefault="00DC785B"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Pr>
                <w:rFonts w:asciiTheme="majorBidi" w:hAnsiTheme="majorBidi" w:cstheme="majorBidi"/>
                <w:color w:val="auto"/>
              </w:rPr>
              <w:t>Fewer</w:t>
            </w:r>
            <w:r w:rsidRPr="00FC6087">
              <w:rPr>
                <w:rFonts w:asciiTheme="majorBidi" w:hAnsiTheme="majorBidi" w:cstheme="majorBidi"/>
                <w:color w:val="auto"/>
              </w:rPr>
              <w:t xml:space="preserve"> medical errors</w:t>
            </w:r>
          </w:p>
        </w:tc>
      </w:tr>
      <w:tr w:rsidR="00DC785B" w:rsidRPr="00FC6087" w14:paraId="7D516893"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91" w14:textId="77777777" w:rsidR="00DC785B" w:rsidRPr="00A750F4" w:rsidRDefault="00DC785B" w:rsidP="00DC785B">
            <w:pPr>
              <w:ind w:left="176"/>
              <w:rPr>
                <w:rFonts w:asciiTheme="majorBidi" w:hAnsiTheme="majorBidi" w:cstheme="majorBidi"/>
                <w:b w:val="0"/>
                <w:bCs w:val="0"/>
                <w:color w:val="auto"/>
              </w:rPr>
            </w:pPr>
          </w:p>
        </w:tc>
        <w:tc>
          <w:tcPr>
            <w:tcW w:w="4661" w:type="dxa"/>
            <w:shd w:val="clear" w:color="auto" w:fill="auto"/>
            <w:vAlign w:val="center"/>
          </w:tcPr>
          <w:p w14:paraId="7D516892" w14:textId="52B9D09B" w:rsidR="00DC785B" w:rsidRPr="00FC6087" w:rsidRDefault="00DC785B"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Pr>
                <w:rFonts w:asciiTheme="majorBidi" w:hAnsiTheme="majorBidi" w:cstheme="majorBidi"/>
                <w:color w:val="auto"/>
              </w:rPr>
              <w:t>Fewer</w:t>
            </w:r>
            <w:r w:rsidRPr="00FC6087">
              <w:rPr>
                <w:rFonts w:asciiTheme="majorBidi" w:hAnsiTheme="majorBidi" w:cstheme="majorBidi"/>
                <w:color w:val="auto"/>
              </w:rPr>
              <w:t xml:space="preserve"> legal medical cases</w:t>
            </w:r>
          </w:p>
        </w:tc>
      </w:tr>
      <w:tr w:rsidR="00DC785B" w:rsidRPr="00FC6087" w14:paraId="7D516896"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94" w14:textId="77777777" w:rsidR="00DC785B" w:rsidRPr="00FC6087" w:rsidRDefault="00DC785B" w:rsidP="00DC785B">
            <w:pPr>
              <w:ind w:left="176"/>
              <w:rPr>
                <w:rFonts w:asciiTheme="majorBidi" w:hAnsiTheme="majorBidi" w:cstheme="majorBidi"/>
                <w:b w:val="0"/>
                <w:bCs w:val="0"/>
                <w:color w:val="auto"/>
              </w:rPr>
            </w:pPr>
          </w:p>
        </w:tc>
        <w:tc>
          <w:tcPr>
            <w:tcW w:w="4661" w:type="dxa"/>
            <w:shd w:val="clear" w:color="auto" w:fill="auto"/>
            <w:vAlign w:val="center"/>
          </w:tcPr>
          <w:p w14:paraId="7D516895" w14:textId="77777777" w:rsidR="00DC785B" w:rsidRPr="00FC6087" w:rsidRDefault="00DC785B" w:rsidP="00DC785B">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JCI accreditation</w:t>
            </w:r>
          </w:p>
        </w:tc>
      </w:tr>
      <w:tr w:rsidR="00DC785B" w:rsidRPr="00FC6087" w14:paraId="7D516899" w14:textId="77777777" w:rsidTr="00DC785B">
        <w:trPr>
          <w:trHeight w:val="576"/>
        </w:trPr>
        <w:tc>
          <w:tcPr>
            <w:cnfStyle w:val="001000000000" w:firstRow="0" w:lastRow="0" w:firstColumn="1" w:lastColumn="0" w:oddVBand="0" w:evenVBand="0" w:oddHBand="0" w:evenHBand="0" w:firstRowFirstColumn="0" w:firstRowLastColumn="0" w:lastRowFirstColumn="0" w:lastRowLastColumn="0"/>
            <w:tcW w:w="3259" w:type="dxa"/>
            <w:vMerge/>
            <w:shd w:val="clear" w:color="auto" w:fill="auto"/>
          </w:tcPr>
          <w:p w14:paraId="7D516897" w14:textId="77777777" w:rsidR="00DC785B" w:rsidRPr="00FC6087" w:rsidRDefault="00DC785B" w:rsidP="00DC785B">
            <w:pPr>
              <w:ind w:left="176"/>
              <w:rPr>
                <w:rFonts w:asciiTheme="majorBidi" w:hAnsiTheme="majorBidi" w:cstheme="majorBidi"/>
                <w:b w:val="0"/>
                <w:bCs w:val="0"/>
                <w:color w:val="auto"/>
              </w:rPr>
            </w:pPr>
          </w:p>
        </w:tc>
        <w:tc>
          <w:tcPr>
            <w:tcW w:w="4661" w:type="dxa"/>
            <w:tcBorders>
              <w:bottom w:val="nil"/>
            </w:tcBorders>
            <w:shd w:val="clear" w:color="auto" w:fill="auto"/>
            <w:vAlign w:val="center"/>
          </w:tcPr>
          <w:p w14:paraId="7D516898" w14:textId="77777777" w:rsidR="00DC785B" w:rsidRPr="00FC6087" w:rsidRDefault="00DC785B" w:rsidP="00DC785B">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Cost</w:t>
            </w:r>
          </w:p>
        </w:tc>
      </w:tr>
      <w:tr w:rsidR="00DC785B" w:rsidRPr="00FC6087" w14:paraId="7D51689C" w14:textId="77777777" w:rsidTr="00DC785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259" w:type="dxa"/>
            <w:vMerge/>
            <w:tcBorders>
              <w:bottom w:val="single" w:sz="18" w:space="0" w:color="auto"/>
            </w:tcBorders>
            <w:shd w:val="clear" w:color="auto" w:fill="auto"/>
          </w:tcPr>
          <w:p w14:paraId="7D51689A" w14:textId="77777777" w:rsidR="00DC785B" w:rsidRPr="00FC6087" w:rsidRDefault="00DC785B" w:rsidP="00DC785B">
            <w:pPr>
              <w:ind w:left="176"/>
              <w:rPr>
                <w:rFonts w:asciiTheme="majorBidi" w:hAnsiTheme="majorBidi" w:cstheme="majorBidi"/>
                <w:b w:val="0"/>
                <w:bCs w:val="0"/>
                <w:color w:val="auto"/>
              </w:rPr>
            </w:pPr>
          </w:p>
        </w:tc>
        <w:tc>
          <w:tcPr>
            <w:tcW w:w="4661" w:type="dxa"/>
            <w:tcBorders>
              <w:top w:val="nil"/>
              <w:bottom w:val="single" w:sz="18" w:space="0" w:color="auto"/>
            </w:tcBorders>
            <w:shd w:val="clear" w:color="auto" w:fill="auto"/>
            <w:tcMar>
              <w:bottom w:w="57" w:type="dxa"/>
            </w:tcMar>
            <w:vAlign w:val="center"/>
          </w:tcPr>
          <w:p w14:paraId="7D51689B" w14:textId="77777777" w:rsidR="00DC785B" w:rsidRPr="00FC6087" w:rsidRDefault="00DC785B" w:rsidP="00DC785B">
            <w:pPr>
              <w:keepNex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rPr>
            </w:pPr>
            <w:r w:rsidRPr="00FC6087">
              <w:rPr>
                <w:rFonts w:asciiTheme="majorBidi" w:hAnsiTheme="majorBidi" w:cstheme="majorBidi"/>
                <w:color w:val="auto"/>
              </w:rPr>
              <w:t>Quality awards</w:t>
            </w:r>
          </w:p>
        </w:tc>
      </w:tr>
    </w:tbl>
    <w:p w14:paraId="7D51689D" w14:textId="77777777" w:rsidR="002137CC" w:rsidRPr="00FC6087" w:rsidRDefault="002137CC" w:rsidP="009C1EAB">
      <w:pPr>
        <w:pStyle w:val="APAParagraph"/>
      </w:pPr>
    </w:p>
    <w:p w14:paraId="7D51689E" w14:textId="77777777" w:rsidR="008351E7" w:rsidRPr="00FC6087" w:rsidRDefault="008351E7" w:rsidP="009C1EAB">
      <w:pPr>
        <w:pStyle w:val="APAParagraph"/>
      </w:pPr>
      <w:r w:rsidRPr="00FC6087">
        <w:t>Similarly, the barrier</w:t>
      </w:r>
      <w:r w:rsidR="002137CC" w:rsidRPr="00FC6087">
        <w:t>s</w:t>
      </w:r>
      <w:r w:rsidRPr="00FC6087">
        <w:t xml:space="preserve"> survey included a brief demographics section, asking for the age, gender, level of education, and years of experience of respondents. Then, participants were presented with a list of 47 barriers divided into eight categories: change management</w:t>
      </w:r>
      <w:r w:rsidR="00E54A74" w:rsidRPr="00FC6087">
        <w:t>;</w:t>
      </w:r>
      <w:r w:rsidRPr="00FC6087">
        <w:t xml:space="preserve"> readiness </w:t>
      </w:r>
      <w:r w:rsidR="00E54A74" w:rsidRPr="00FC6087">
        <w:t>for</w:t>
      </w:r>
      <w:r w:rsidRPr="00FC6087">
        <w:t xml:space="preserve"> big data and IoT</w:t>
      </w:r>
      <w:r w:rsidR="00E54A74" w:rsidRPr="00FC6087">
        <w:t>;</w:t>
      </w:r>
      <w:r w:rsidRPr="00FC6087">
        <w:t xml:space="preserve"> stakeholders</w:t>
      </w:r>
      <w:r w:rsidR="00E54A74" w:rsidRPr="00FC6087">
        <w:t>;</w:t>
      </w:r>
      <w:r w:rsidRPr="00FC6087">
        <w:t xml:space="preserve"> </w:t>
      </w:r>
      <w:r w:rsidRPr="00FC6087">
        <w:lastRenderedPageBreak/>
        <w:t>outsourcing</w:t>
      </w:r>
      <w:r w:rsidR="00E54A74" w:rsidRPr="00FC6087">
        <w:t>;</w:t>
      </w:r>
      <w:r w:rsidRPr="00FC6087">
        <w:t xml:space="preserve"> orientation</w:t>
      </w:r>
      <w:r w:rsidR="00230C6E" w:rsidRPr="00FC6087">
        <w:t>;</w:t>
      </w:r>
      <w:r w:rsidRPr="00FC6087">
        <w:t xml:space="preserve"> organizational strategy</w:t>
      </w:r>
      <w:r w:rsidR="00230C6E" w:rsidRPr="00FC6087">
        <w:t>;</w:t>
      </w:r>
      <w:r w:rsidRPr="00FC6087">
        <w:t xml:space="preserve"> logistics support</w:t>
      </w:r>
      <w:r w:rsidR="00230C6E" w:rsidRPr="00FC6087">
        <w:t>;</w:t>
      </w:r>
      <w:r w:rsidRPr="00FC6087">
        <w:t xml:space="preserve"> and technical barriers. For each barrier, participants were asked to rate their agreement on</w:t>
      </w:r>
      <w:r w:rsidR="00D31194" w:rsidRPr="00FC6087">
        <w:t xml:space="preserve"> </w:t>
      </w:r>
      <w:r w:rsidRPr="00FC6087">
        <w:t xml:space="preserve">whether that factor </w:t>
      </w:r>
      <w:r w:rsidR="00230C6E" w:rsidRPr="00FC6087">
        <w:t>wa</w:t>
      </w:r>
      <w:r w:rsidRPr="00FC6087">
        <w:t>s a barrier to HIT adoption in the UAE using a five-point scale, from 1 (</w:t>
      </w:r>
      <w:r w:rsidRPr="00790070">
        <w:t>strongly disagree</w:t>
      </w:r>
      <w:r w:rsidRPr="00FC6087">
        <w:t>) to 5 (</w:t>
      </w:r>
      <w:r w:rsidRPr="00790070">
        <w:t>strongly agree</w:t>
      </w:r>
      <w:r w:rsidRPr="00FC6087">
        <w:t>). The list of these 47 barriers, according to their categories, is presented in Table 4.</w:t>
      </w:r>
      <w:r w:rsidR="00A5085C" w:rsidRPr="00FC6087">
        <w:t>6</w:t>
      </w:r>
      <w:r w:rsidRPr="00FC6087">
        <w:t>. In general, the interviews</w:t>
      </w:r>
      <w:r w:rsidR="00D31194" w:rsidRPr="00FC6087">
        <w:t xml:space="preserve"> </w:t>
      </w:r>
      <w:r w:rsidRPr="00FC6087">
        <w:t>took between 60 and 90 minutes to complete.</w:t>
      </w:r>
    </w:p>
    <w:p w14:paraId="7D51689F" w14:textId="77777777" w:rsidR="00047A71" w:rsidRPr="00FC6087" w:rsidRDefault="00047A71" w:rsidP="009C1EAB">
      <w:pPr>
        <w:pStyle w:val="APAParagraph"/>
      </w:pPr>
    </w:p>
    <w:p w14:paraId="7D5168A0" w14:textId="093C67A8" w:rsidR="008351E7" w:rsidRPr="00790070" w:rsidRDefault="008351E7" w:rsidP="003647D3">
      <w:pPr>
        <w:pStyle w:val="APATableTitle"/>
        <w:jc w:val="left"/>
        <w:rPr>
          <w:b w:val="0"/>
          <w:i/>
          <w:noProof w:val="0"/>
          <w:sz w:val="24"/>
          <w:szCs w:val="24"/>
        </w:rPr>
      </w:pPr>
      <w:r w:rsidRPr="00A76642">
        <w:rPr>
          <w:b w:val="0"/>
          <w:noProof w:val="0"/>
          <w:sz w:val="24"/>
          <w:szCs w:val="24"/>
        </w:rPr>
        <w:t>Table 4.</w:t>
      </w:r>
      <w:r w:rsidR="00A5085C" w:rsidRPr="00A76642">
        <w:rPr>
          <w:b w:val="0"/>
          <w:noProof w:val="0"/>
          <w:sz w:val="24"/>
          <w:szCs w:val="24"/>
        </w:rPr>
        <w:t>6</w:t>
      </w:r>
      <w:r w:rsidR="00F870DE" w:rsidRPr="00A76642">
        <w:rPr>
          <w:b w:val="0"/>
          <w:noProof w:val="0"/>
          <w:sz w:val="24"/>
          <w:szCs w:val="24"/>
        </w:rPr>
        <w:br/>
      </w:r>
      <w:r w:rsidRPr="00A76642">
        <w:rPr>
          <w:b w:val="0"/>
          <w:i/>
          <w:noProof w:val="0"/>
          <w:sz w:val="24"/>
          <w:szCs w:val="24"/>
          <w:lang w:bidi="ar-DZ"/>
        </w:rPr>
        <w:t>List of Barriers (and Their Respective Categories) Used in the Survey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182"/>
        <w:gridCol w:w="4954"/>
      </w:tblGrid>
      <w:tr w:rsidR="008351E7" w:rsidRPr="00F870DE" w14:paraId="7D5168A3" w14:textId="77777777" w:rsidTr="00790070">
        <w:trPr>
          <w:tblHeader/>
        </w:trPr>
        <w:tc>
          <w:tcPr>
            <w:tcW w:w="3563" w:type="dxa"/>
            <w:tcBorders>
              <w:top w:val="single" w:sz="18" w:space="0" w:color="auto"/>
              <w:bottom w:val="single" w:sz="12" w:space="0" w:color="auto"/>
            </w:tcBorders>
            <w:shd w:val="clear" w:color="auto" w:fill="auto"/>
            <w:tcMar>
              <w:top w:w="57" w:type="dxa"/>
              <w:bottom w:w="57" w:type="dxa"/>
            </w:tcMar>
          </w:tcPr>
          <w:p w14:paraId="7D5168A1"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Category</w:t>
            </w:r>
          </w:p>
        </w:tc>
        <w:tc>
          <w:tcPr>
            <w:tcW w:w="5797" w:type="dxa"/>
            <w:tcBorders>
              <w:top w:val="single" w:sz="18" w:space="0" w:color="auto"/>
              <w:bottom w:val="single" w:sz="12" w:space="0" w:color="auto"/>
            </w:tcBorders>
            <w:shd w:val="clear" w:color="auto" w:fill="auto"/>
            <w:tcMar>
              <w:top w:w="0" w:type="dxa"/>
              <w:bottom w:w="0" w:type="dxa"/>
            </w:tcMar>
          </w:tcPr>
          <w:p w14:paraId="7D5168A2"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Items</w:t>
            </w:r>
          </w:p>
        </w:tc>
      </w:tr>
      <w:tr w:rsidR="008351E7" w:rsidRPr="00F870DE" w14:paraId="7D5168A6" w14:textId="77777777" w:rsidTr="00DC785B">
        <w:trPr>
          <w:trHeight w:val="504"/>
        </w:trPr>
        <w:tc>
          <w:tcPr>
            <w:tcW w:w="3563" w:type="dxa"/>
            <w:vMerge w:val="restart"/>
            <w:tcBorders>
              <w:top w:val="single" w:sz="12" w:space="0" w:color="auto"/>
            </w:tcBorders>
            <w:shd w:val="clear" w:color="auto" w:fill="auto"/>
            <w:tcMar>
              <w:top w:w="57" w:type="dxa"/>
              <w:bottom w:w="0" w:type="dxa"/>
            </w:tcMar>
          </w:tcPr>
          <w:p w14:paraId="7D5168A4"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Change Management</w:t>
            </w:r>
          </w:p>
        </w:tc>
        <w:tc>
          <w:tcPr>
            <w:tcW w:w="5797" w:type="dxa"/>
            <w:tcBorders>
              <w:top w:val="single" w:sz="12" w:space="0" w:color="auto"/>
            </w:tcBorders>
            <w:shd w:val="clear" w:color="auto" w:fill="auto"/>
            <w:tcMar>
              <w:top w:w="0" w:type="dxa"/>
              <w:bottom w:w="0" w:type="dxa"/>
            </w:tcMar>
            <w:vAlign w:val="center"/>
          </w:tcPr>
          <w:p w14:paraId="7D5168A5"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Resistance to change</w:t>
            </w:r>
          </w:p>
        </w:tc>
      </w:tr>
      <w:tr w:rsidR="008351E7" w:rsidRPr="00F870DE" w14:paraId="7D5168A9" w14:textId="77777777" w:rsidTr="00DC785B">
        <w:trPr>
          <w:trHeight w:val="504"/>
        </w:trPr>
        <w:tc>
          <w:tcPr>
            <w:tcW w:w="3563" w:type="dxa"/>
            <w:vMerge/>
            <w:shd w:val="clear" w:color="auto" w:fill="auto"/>
            <w:tcMar>
              <w:top w:w="0" w:type="dxa"/>
              <w:bottom w:w="0" w:type="dxa"/>
            </w:tcMar>
          </w:tcPr>
          <w:p w14:paraId="7D5168A7"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A8"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Pace of change</w:t>
            </w:r>
          </w:p>
        </w:tc>
      </w:tr>
      <w:tr w:rsidR="008351E7" w:rsidRPr="00F870DE" w14:paraId="7D5168AC" w14:textId="77777777" w:rsidTr="00DC785B">
        <w:trPr>
          <w:trHeight w:val="504"/>
        </w:trPr>
        <w:tc>
          <w:tcPr>
            <w:tcW w:w="3563" w:type="dxa"/>
            <w:shd w:val="clear" w:color="auto" w:fill="auto"/>
            <w:tcMar>
              <w:top w:w="0" w:type="dxa"/>
              <w:bottom w:w="0" w:type="dxa"/>
            </w:tcMar>
          </w:tcPr>
          <w:p w14:paraId="7D5168AA"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AB"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Leadership</w:t>
            </w:r>
          </w:p>
        </w:tc>
      </w:tr>
      <w:tr w:rsidR="008351E7" w:rsidRPr="00F870DE" w14:paraId="7D5168AF" w14:textId="77777777" w:rsidTr="00DC785B">
        <w:trPr>
          <w:trHeight w:val="504"/>
        </w:trPr>
        <w:tc>
          <w:tcPr>
            <w:tcW w:w="3563" w:type="dxa"/>
            <w:vMerge w:val="restart"/>
            <w:shd w:val="clear" w:color="auto" w:fill="auto"/>
            <w:tcMar>
              <w:top w:w="113" w:type="dxa"/>
              <w:bottom w:w="0" w:type="dxa"/>
            </w:tcMar>
          </w:tcPr>
          <w:p w14:paraId="7D5168AD"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 xml:space="preserve">Readiness </w:t>
            </w:r>
            <w:r w:rsidR="00230C6E" w:rsidRPr="00C0447D">
              <w:rPr>
                <w:rFonts w:asciiTheme="majorBidi" w:hAnsiTheme="majorBidi" w:cstheme="majorBidi"/>
                <w:bCs/>
                <w:szCs w:val="24"/>
              </w:rPr>
              <w:t>for</w:t>
            </w:r>
            <w:r w:rsidRPr="00C0447D">
              <w:rPr>
                <w:rFonts w:asciiTheme="majorBidi" w:hAnsiTheme="majorBidi" w:cstheme="majorBidi"/>
                <w:bCs/>
                <w:szCs w:val="24"/>
              </w:rPr>
              <w:t xml:space="preserve"> Big Data and I</w:t>
            </w:r>
            <w:r w:rsidR="00FB7561" w:rsidRPr="00C0447D">
              <w:rPr>
                <w:rFonts w:asciiTheme="majorBidi" w:hAnsiTheme="majorBidi" w:cstheme="majorBidi"/>
                <w:bCs/>
                <w:szCs w:val="24"/>
              </w:rPr>
              <w:t>o</w:t>
            </w:r>
            <w:r w:rsidRPr="00C0447D">
              <w:rPr>
                <w:rFonts w:asciiTheme="majorBidi" w:hAnsiTheme="majorBidi" w:cstheme="majorBidi"/>
                <w:bCs/>
                <w:szCs w:val="24"/>
              </w:rPr>
              <w:t>T</w:t>
            </w:r>
          </w:p>
        </w:tc>
        <w:tc>
          <w:tcPr>
            <w:tcW w:w="5797" w:type="dxa"/>
            <w:shd w:val="clear" w:color="auto" w:fill="auto"/>
            <w:tcMar>
              <w:top w:w="0" w:type="dxa"/>
              <w:bottom w:w="0" w:type="dxa"/>
            </w:tcMar>
            <w:vAlign w:val="center"/>
          </w:tcPr>
          <w:p w14:paraId="7D5168AE"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Maturity of big data and IoT technology</w:t>
            </w:r>
          </w:p>
        </w:tc>
      </w:tr>
      <w:tr w:rsidR="008351E7" w:rsidRPr="00F870DE" w14:paraId="7D5168B2" w14:textId="77777777" w:rsidTr="00DC785B">
        <w:trPr>
          <w:trHeight w:val="504"/>
        </w:trPr>
        <w:tc>
          <w:tcPr>
            <w:tcW w:w="3563" w:type="dxa"/>
            <w:vMerge/>
            <w:shd w:val="clear" w:color="auto" w:fill="auto"/>
            <w:tcMar>
              <w:top w:w="0" w:type="dxa"/>
              <w:bottom w:w="0" w:type="dxa"/>
            </w:tcMar>
          </w:tcPr>
          <w:p w14:paraId="7D5168B0"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B1"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 xml:space="preserve">Information </w:t>
            </w:r>
            <w:r w:rsidRPr="00F870DE">
              <w:rPr>
                <w:rFonts w:asciiTheme="majorBidi" w:hAnsiTheme="majorBidi" w:cstheme="majorBidi"/>
              </w:rPr>
              <w:t>infrastructure</w:t>
            </w:r>
          </w:p>
        </w:tc>
      </w:tr>
      <w:tr w:rsidR="008351E7" w:rsidRPr="00F870DE" w14:paraId="7D5168B5" w14:textId="77777777" w:rsidTr="00DC785B">
        <w:trPr>
          <w:trHeight w:val="504"/>
        </w:trPr>
        <w:tc>
          <w:tcPr>
            <w:tcW w:w="3563" w:type="dxa"/>
            <w:vMerge/>
            <w:shd w:val="clear" w:color="auto" w:fill="auto"/>
            <w:tcMar>
              <w:top w:w="0" w:type="dxa"/>
              <w:bottom w:w="0" w:type="dxa"/>
            </w:tcMar>
          </w:tcPr>
          <w:p w14:paraId="7D5168B3"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B4"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Information security (privacy)</w:t>
            </w:r>
          </w:p>
        </w:tc>
      </w:tr>
      <w:tr w:rsidR="008351E7" w:rsidRPr="00F870DE" w14:paraId="7D5168B8" w14:textId="77777777" w:rsidTr="00DC785B">
        <w:trPr>
          <w:trHeight w:val="504"/>
        </w:trPr>
        <w:tc>
          <w:tcPr>
            <w:tcW w:w="3563" w:type="dxa"/>
            <w:vMerge/>
            <w:shd w:val="clear" w:color="auto" w:fill="auto"/>
            <w:tcMar>
              <w:top w:w="0" w:type="dxa"/>
              <w:bottom w:w="0" w:type="dxa"/>
            </w:tcMar>
          </w:tcPr>
          <w:p w14:paraId="7D5168B6"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B7"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Sensitivity of data</w:t>
            </w:r>
          </w:p>
        </w:tc>
      </w:tr>
      <w:tr w:rsidR="008351E7" w:rsidRPr="00F870DE" w14:paraId="7D5168BB" w14:textId="77777777" w:rsidTr="00DC785B">
        <w:trPr>
          <w:trHeight w:val="504"/>
        </w:trPr>
        <w:tc>
          <w:tcPr>
            <w:tcW w:w="3563" w:type="dxa"/>
            <w:shd w:val="clear" w:color="auto" w:fill="auto"/>
            <w:tcMar>
              <w:top w:w="0" w:type="dxa"/>
              <w:bottom w:w="0" w:type="dxa"/>
            </w:tcMar>
          </w:tcPr>
          <w:p w14:paraId="7D5168B9"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BA"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social awareness of big data and IoT technology</w:t>
            </w:r>
          </w:p>
        </w:tc>
      </w:tr>
      <w:tr w:rsidR="008351E7" w:rsidRPr="00F870DE" w14:paraId="7D5168BE" w14:textId="77777777" w:rsidTr="00DC785B">
        <w:trPr>
          <w:trHeight w:val="504"/>
        </w:trPr>
        <w:tc>
          <w:tcPr>
            <w:tcW w:w="3563" w:type="dxa"/>
            <w:vMerge w:val="restart"/>
            <w:shd w:val="clear" w:color="auto" w:fill="auto"/>
            <w:tcMar>
              <w:top w:w="113" w:type="dxa"/>
              <w:bottom w:w="0" w:type="dxa"/>
            </w:tcMar>
          </w:tcPr>
          <w:p w14:paraId="7D5168BC"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Stakeholders</w:t>
            </w:r>
          </w:p>
        </w:tc>
        <w:tc>
          <w:tcPr>
            <w:tcW w:w="5797" w:type="dxa"/>
            <w:shd w:val="clear" w:color="auto" w:fill="auto"/>
            <w:tcMar>
              <w:top w:w="0" w:type="dxa"/>
              <w:bottom w:w="0" w:type="dxa"/>
            </w:tcMar>
            <w:vAlign w:val="center"/>
          </w:tcPr>
          <w:p w14:paraId="7D5168BD"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Support from insurance companies</w:t>
            </w:r>
          </w:p>
        </w:tc>
      </w:tr>
      <w:tr w:rsidR="008351E7" w:rsidRPr="00F870DE" w14:paraId="7D5168C1" w14:textId="77777777" w:rsidTr="00DC785B">
        <w:trPr>
          <w:trHeight w:val="504"/>
        </w:trPr>
        <w:tc>
          <w:tcPr>
            <w:tcW w:w="3563" w:type="dxa"/>
            <w:vMerge/>
            <w:shd w:val="clear" w:color="auto" w:fill="auto"/>
            <w:tcMar>
              <w:top w:w="0" w:type="dxa"/>
              <w:bottom w:w="0" w:type="dxa"/>
            </w:tcMar>
          </w:tcPr>
          <w:p w14:paraId="7D5168BF"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C0"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Support from supplier</w:t>
            </w:r>
          </w:p>
        </w:tc>
      </w:tr>
      <w:tr w:rsidR="008351E7" w:rsidRPr="00F870DE" w14:paraId="7D5168C4" w14:textId="77777777" w:rsidTr="00DC785B">
        <w:trPr>
          <w:trHeight w:val="504"/>
        </w:trPr>
        <w:tc>
          <w:tcPr>
            <w:tcW w:w="3563" w:type="dxa"/>
            <w:shd w:val="clear" w:color="auto" w:fill="auto"/>
            <w:tcMar>
              <w:top w:w="0" w:type="dxa"/>
              <w:bottom w:w="0" w:type="dxa"/>
            </w:tcMar>
          </w:tcPr>
          <w:p w14:paraId="7D5168C2"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C3"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coordination between health authorities</w:t>
            </w:r>
          </w:p>
        </w:tc>
      </w:tr>
      <w:tr w:rsidR="008351E7" w:rsidRPr="00F870DE" w14:paraId="7D5168C7" w14:textId="77777777" w:rsidTr="00DC785B">
        <w:trPr>
          <w:trHeight w:val="504"/>
        </w:trPr>
        <w:tc>
          <w:tcPr>
            <w:tcW w:w="3563" w:type="dxa"/>
            <w:vMerge w:val="restart"/>
            <w:shd w:val="clear" w:color="auto" w:fill="auto"/>
            <w:tcMar>
              <w:top w:w="113" w:type="dxa"/>
              <w:bottom w:w="0" w:type="dxa"/>
            </w:tcMar>
          </w:tcPr>
          <w:p w14:paraId="7D5168C5"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Outsourcing</w:t>
            </w:r>
          </w:p>
        </w:tc>
        <w:tc>
          <w:tcPr>
            <w:tcW w:w="5797" w:type="dxa"/>
            <w:shd w:val="clear" w:color="auto" w:fill="auto"/>
            <w:tcMar>
              <w:top w:w="0" w:type="dxa"/>
              <w:bottom w:w="0" w:type="dxa"/>
            </w:tcMar>
            <w:vAlign w:val="center"/>
          </w:tcPr>
          <w:p w14:paraId="7D5168C6"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role model facilities</w:t>
            </w:r>
          </w:p>
        </w:tc>
      </w:tr>
      <w:tr w:rsidR="008351E7" w:rsidRPr="00F870DE" w14:paraId="7D5168CA" w14:textId="77777777" w:rsidTr="00DC785B">
        <w:trPr>
          <w:trHeight w:val="504"/>
        </w:trPr>
        <w:tc>
          <w:tcPr>
            <w:tcW w:w="3563" w:type="dxa"/>
            <w:vMerge/>
            <w:shd w:val="clear" w:color="auto" w:fill="auto"/>
            <w:tcMar>
              <w:top w:w="0" w:type="dxa"/>
              <w:bottom w:w="0" w:type="dxa"/>
            </w:tcMar>
          </w:tcPr>
          <w:p w14:paraId="7D5168C8"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C9"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knowledge experts</w:t>
            </w:r>
          </w:p>
        </w:tc>
      </w:tr>
      <w:tr w:rsidR="008351E7" w:rsidRPr="00F870DE" w14:paraId="7D5168CD" w14:textId="77777777" w:rsidTr="00DC785B">
        <w:trPr>
          <w:trHeight w:val="504"/>
        </w:trPr>
        <w:tc>
          <w:tcPr>
            <w:tcW w:w="3563" w:type="dxa"/>
            <w:vMerge/>
            <w:shd w:val="clear" w:color="auto" w:fill="auto"/>
            <w:tcMar>
              <w:top w:w="0" w:type="dxa"/>
              <w:bottom w:w="0" w:type="dxa"/>
            </w:tcMar>
          </w:tcPr>
          <w:p w14:paraId="7D5168CB"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CC"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specialization</w:t>
            </w:r>
          </w:p>
        </w:tc>
      </w:tr>
      <w:tr w:rsidR="008351E7" w:rsidRPr="00F870DE" w14:paraId="7D5168D0" w14:textId="77777777" w:rsidTr="00DC785B">
        <w:trPr>
          <w:trHeight w:val="504"/>
        </w:trPr>
        <w:tc>
          <w:tcPr>
            <w:tcW w:w="3563" w:type="dxa"/>
            <w:vMerge/>
            <w:shd w:val="clear" w:color="auto" w:fill="auto"/>
            <w:tcMar>
              <w:top w:w="0" w:type="dxa"/>
              <w:bottom w:w="0" w:type="dxa"/>
            </w:tcMar>
          </w:tcPr>
          <w:p w14:paraId="7D5168CE"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CF"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Dependency on foreign experts</w:t>
            </w:r>
          </w:p>
        </w:tc>
      </w:tr>
      <w:tr w:rsidR="008351E7" w:rsidRPr="00F870DE" w14:paraId="7D5168D3" w14:textId="77777777" w:rsidTr="00DC785B">
        <w:trPr>
          <w:trHeight w:val="504"/>
        </w:trPr>
        <w:tc>
          <w:tcPr>
            <w:tcW w:w="3563" w:type="dxa"/>
            <w:vMerge/>
            <w:shd w:val="clear" w:color="auto" w:fill="auto"/>
            <w:tcMar>
              <w:top w:w="0" w:type="dxa"/>
              <w:bottom w:w="0" w:type="dxa"/>
            </w:tcMar>
          </w:tcPr>
          <w:p w14:paraId="7D5168D1"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D2"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Competition</w:t>
            </w:r>
          </w:p>
        </w:tc>
      </w:tr>
      <w:tr w:rsidR="008351E7" w:rsidRPr="00F870DE" w14:paraId="7D5168D6" w14:textId="77777777" w:rsidTr="00DC785B">
        <w:trPr>
          <w:trHeight w:val="504"/>
        </w:trPr>
        <w:tc>
          <w:tcPr>
            <w:tcW w:w="3563" w:type="dxa"/>
            <w:shd w:val="clear" w:color="auto" w:fill="auto"/>
            <w:tcMar>
              <w:top w:w="0" w:type="dxa"/>
              <w:bottom w:w="0" w:type="dxa"/>
            </w:tcMar>
          </w:tcPr>
          <w:p w14:paraId="7D5168D4"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D5"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Background in science and technology</w:t>
            </w:r>
          </w:p>
        </w:tc>
      </w:tr>
      <w:tr w:rsidR="008351E7" w:rsidRPr="00F870DE" w14:paraId="7D5168D9" w14:textId="77777777" w:rsidTr="00DC785B">
        <w:trPr>
          <w:trHeight w:val="504"/>
        </w:trPr>
        <w:tc>
          <w:tcPr>
            <w:tcW w:w="3563" w:type="dxa"/>
            <w:vMerge w:val="restart"/>
            <w:shd w:val="clear" w:color="auto" w:fill="auto"/>
            <w:tcMar>
              <w:top w:w="113" w:type="dxa"/>
              <w:bottom w:w="0" w:type="dxa"/>
            </w:tcMar>
          </w:tcPr>
          <w:p w14:paraId="7D5168D7"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Orientation</w:t>
            </w:r>
          </w:p>
        </w:tc>
        <w:tc>
          <w:tcPr>
            <w:tcW w:w="5797" w:type="dxa"/>
            <w:shd w:val="clear" w:color="auto" w:fill="auto"/>
            <w:tcMar>
              <w:top w:w="0" w:type="dxa"/>
              <w:bottom w:w="0" w:type="dxa"/>
            </w:tcMar>
            <w:vAlign w:val="center"/>
          </w:tcPr>
          <w:p w14:paraId="7D5168D8"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Educational background</w:t>
            </w:r>
          </w:p>
        </w:tc>
      </w:tr>
      <w:tr w:rsidR="008351E7" w:rsidRPr="00F870DE" w14:paraId="7D5168DC" w14:textId="77777777" w:rsidTr="00DC785B">
        <w:trPr>
          <w:trHeight w:val="504"/>
        </w:trPr>
        <w:tc>
          <w:tcPr>
            <w:tcW w:w="3563" w:type="dxa"/>
            <w:vMerge/>
            <w:shd w:val="clear" w:color="auto" w:fill="auto"/>
            <w:tcMar>
              <w:top w:w="0" w:type="dxa"/>
              <w:bottom w:w="0" w:type="dxa"/>
            </w:tcMar>
          </w:tcPr>
          <w:p w14:paraId="7D5168DA"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DB"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global orientation</w:t>
            </w:r>
          </w:p>
        </w:tc>
      </w:tr>
      <w:tr w:rsidR="008351E7" w:rsidRPr="00F870DE" w14:paraId="7D5168DF" w14:textId="77777777" w:rsidTr="00DC785B">
        <w:trPr>
          <w:trHeight w:val="504"/>
        </w:trPr>
        <w:tc>
          <w:tcPr>
            <w:tcW w:w="3563" w:type="dxa"/>
            <w:vMerge/>
            <w:shd w:val="clear" w:color="auto" w:fill="auto"/>
            <w:tcMar>
              <w:top w:w="0" w:type="dxa"/>
              <w:bottom w:w="0" w:type="dxa"/>
            </w:tcMar>
          </w:tcPr>
          <w:p w14:paraId="7D5168DD"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DE"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 xml:space="preserve">Lack of </w:t>
            </w:r>
            <w:r w:rsidRPr="00F870DE">
              <w:rPr>
                <w:rFonts w:asciiTheme="majorBidi" w:hAnsiTheme="majorBidi" w:cstheme="majorBidi"/>
              </w:rPr>
              <w:t>legislations</w:t>
            </w:r>
          </w:p>
        </w:tc>
      </w:tr>
      <w:tr w:rsidR="008351E7" w:rsidRPr="00F870DE" w14:paraId="7D5168E2" w14:textId="77777777" w:rsidTr="00DC785B">
        <w:trPr>
          <w:trHeight w:val="504"/>
        </w:trPr>
        <w:tc>
          <w:tcPr>
            <w:tcW w:w="3563" w:type="dxa"/>
            <w:vMerge/>
            <w:shd w:val="clear" w:color="auto" w:fill="auto"/>
            <w:tcMar>
              <w:top w:w="0" w:type="dxa"/>
              <w:bottom w:w="0" w:type="dxa"/>
            </w:tcMar>
          </w:tcPr>
          <w:p w14:paraId="7D5168E0"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E1"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 xml:space="preserve">Learning </w:t>
            </w:r>
            <w:r w:rsidR="00D31194" w:rsidRPr="00F870DE">
              <w:rPr>
                <w:rFonts w:asciiTheme="majorBidi" w:hAnsiTheme="majorBidi" w:cstheme="majorBidi"/>
              </w:rPr>
              <w:t>behaviour</w:t>
            </w:r>
            <w:r w:rsidRPr="00F870DE">
              <w:rPr>
                <w:rFonts w:asciiTheme="majorBidi" w:hAnsiTheme="majorBidi" w:cstheme="majorBidi"/>
              </w:rPr>
              <w:t xml:space="preserve"> of staff</w:t>
            </w:r>
          </w:p>
        </w:tc>
      </w:tr>
      <w:tr w:rsidR="008351E7" w:rsidRPr="00F870DE" w14:paraId="7D5168E5" w14:textId="77777777" w:rsidTr="00DC785B">
        <w:trPr>
          <w:trHeight w:val="504"/>
        </w:trPr>
        <w:tc>
          <w:tcPr>
            <w:tcW w:w="3563" w:type="dxa"/>
            <w:vMerge/>
            <w:shd w:val="clear" w:color="auto" w:fill="auto"/>
            <w:tcMar>
              <w:top w:w="0" w:type="dxa"/>
              <w:bottom w:w="0" w:type="dxa"/>
            </w:tcMar>
          </w:tcPr>
          <w:p w14:paraId="7D5168E3"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E4"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Readiness of society</w:t>
            </w:r>
          </w:p>
        </w:tc>
      </w:tr>
      <w:tr w:rsidR="008351E7" w:rsidRPr="00F870DE" w14:paraId="7D5168E8" w14:textId="77777777" w:rsidTr="00DC785B">
        <w:trPr>
          <w:trHeight w:val="504"/>
        </w:trPr>
        <w:tc>
          <w:tcPr>
            <w:tcW w:w="3563" w:type="dxa"/>
            <w:vMerge/>
            <w:shd w:val="clear" w:color="auto" w:fill="auto"/>
            <w:tcMar>
              <w:top w:w="0" w:type="dxa"/>
              <w:bottom w:w="0" w:type="dxa"/>
            </w:tcMar>
          </w:tcPr>
          <w:p w14:paraId="7D5168E6"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E7"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strategy for transition from academia to industry</w:t>
            </w:r>
          </w:p>
        </w:tc>
      </w:tr>
      <w:tr w:rsidR="008351E7" w:rsidRPr="00F870DE" w14:paraId="7D5168EB" w14:textId="77777777" w:rsidTr="00DC785B">
        <w:trPr>
          <w:trHeight w:val="504"/>
        </w:trPr>
        <w:tc>
          <w:tcPr>
            <w:tcW w:w="3563" w:type="dxa"/>
            <w:vMerge/>
            <w:shd w:val="clear" w:color="auto" w:fill="auto"/>
            <w:tcMar>
              <w:top w:w="0" w:type="dxa"/>
              <w:bottom w:w="0" w:type="dxa"/>
            </w:tcMar>
          </w:tcPr>
          <w:p w14:paraId="7D5168E9"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EA"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Shortage of bilingual staff</w:t>
            </w:r>
          </w:p>
        </w:tc>
      </w:tr>
      <w:tr w:rsidR="008351E7" w:rsidRPr="00F870DE" w14:paraId="7D5168EE" w14:textId="77777777" w:rsidTr="00DC785B">
        <w:trPr>
          <w:trHeight w:val="504"/>
        </w:trPr>
        <w:tc>
          <w:tcPr>
            <w:tcW w:w="3563" w:type="dxa"/>
            <w:shd w:val="clear" w:color="auto" w:fill="auto"/>
            <w:tcMar>
              <w:top w:w="0" w:type="dxa"/>
              <w:bottom w:w="0" w:type="dxa"/>
            </w:tcMar>
          </w:tcPr>
          <w:p w14:paraId="7D5168EC"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ED"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Level of knowledge</w:t>
            </w:r>
          </w:p>
        </w:tc>
      </w:tr>
      <w:tr w:rsidR="008351E7" w:rsidRPr="00F870DE" w14:paraId="7D5168F1" w14:textId="77777777" w:rsidTr="00DC785B">
        <w:trPr>
          <w:trHeight w:val="504"/>
        </w:trPr>
        <w:tc>
          <w:tcPr>
            <w:tcW w:w="3563" w:type="dxa"/>
            <w:vMerge w:val="restart"/>
            <w:shd w:val="clear" w:color="auto" w:fill="auto"/>
            <w:tcMar>
              <w:top w:w="113" w:type="dxa"/>
              <w:bottom w:w="0" w:type="dxa"/>
            </w:tcMar>
          </w:tcPr>
          <w:p w14:paraId="7D5168EF"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Organizational Strategy</w:t>
            </w:r>
          </w:p>
        </w:tc>
        <w:tc>
          <w:tcPr>
            <w:tcW w:w="5797" w:type="dxa"/>
            <w:shd w:val="clear" w:color="auto" w:fill="auto"/>
            <w:tcMar>
              <w:top w:w="0" w:type="dxa"/>
              <w:bottom w:w="0" w:type="dxa"/>
            </w:tcMar>
            <w:vAlign w:val="center"/>
          </w:tcPr>
          <w:p w14:paraId="7D5168F0"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 xml:space="preserve">Policies and procedures for adopting new </w:t>
            </w:r>
            <w:r w:rsidRPr="00F870DE">
              <w:rPr>
                <w:rFonts w:asciiTheme="majorBidi" w:hAnsiTheme="majorBidi" w:cstheme="majorBidi"/>
              </w:rPr>
              <w:t>technologies</w:t>
            </w:r>
          </w:p>
        </w:tc>
      </w:tr>
      <w:tr w:rsidR="008351E7" w:rsidRPr="00F870DE" w14:paraId="7D5168F4" w14:textId="77777777" w:rsidTr="00DC785B">
        <w:trPr>
          <w:trHeight w:val="504"/>
        </w:trPr>
        <w:tc>
          <w:tcPr>
            <w:tcW w:w="3563" w:type="dxa"/>
            <w:vMerge/>
            <w:shd w:val="clear" w:color="auto" w:fill="auto"/>
            <w:tcMar>
              <w:top w:w="0" w:type="dxa"/>
              <w:bottom w:w="0" w:type="dxa"/>
            </w:tcMar>
          </w:tcPr>
          <w:p w14:paraId="7D5168F2"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F3"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strategic decision making</w:t>
            </w:r>
          </w:p>
        </w:tc>
      </w:tr>
      <w:tr w:rsidR="008351E7" w:rsidRPr="00F870DE" w14:paraId="7D5168F7" w14:textId="77777777" w:rsidTr="00DC785B">
        <w:trPr>
          <w:trHeight w:val="504"/>
        </w:trPr>
        <w:tc>
          <w:tcPr>
            <w:tcW w:w="3563" w:type="dxa"/>
            <w:vMerge/>
            <w:shd w:val="clear" w:color="auto" w:fill="auto"/>
            <w:tcMar>
              <w:top w:w="0" w:type="dxa"/>
              <w:bottom w:w="0" w:type="dxa"/>
            </w:tcMar>
          </w:tcPr>
          <w:p w14:paraId="7D5168F5"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F6"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a retaining strategy</w:t>
            </w:r>
          </w:p>
        </w:tc>
      </w:tr>
      <w:tr w:rsidR="008351E7" w:rsidRPr="00F870DE" w14:paraId="7D5168FA" w14:textId="77777777" w:rsidTr="00DC785B">
        <w:trPr>
          <w:trHeight w:val="504"/>
        </w:trPr>
        <w:tc>
          <w:tcPr>
            <w:tcW w:w="3563" w:type="dxa"/>
            <w:vMerge/>
            <w:shd w:val="clear" w:color="auto" w:fill="auto"/>
            <w:tcMar>
              <w:top w:w="0" w:type="dxa"/>
              <w:bottom w:w="0" w:type="dxa"/>
            </w:tcMar>
          </w:tcPr>
          <w:p w14:paraId="7D5168F8"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F9"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coordination between health authorities</w:t>
            </w:r>
          </w:p>
        </w:tc>
      </w:tr>
      <w:tr w:rsidR="008351E7" w:rsidRPr="00F870DE" w14:paraId="7D5168FD" w14:textId="77777777" w:rsidTr="00DC785B">
        <w:trPr>
          <w:trHeight w:val="504"/>
        </w:trPr>
        <w:tc>
          <w:tcPr>
            <w:tcW w:w="3563" w:type="dxa"/>
            <w:vMerge/>
            <w:shd w:val="clear" w:color="auto" w:fill="auto"/>
            <w:tcMar>
              <w:top w:w="0" w:type="dxa"/>
              <w:bottom w:w="0" w:type="dxa"/>
            </w:tcMar>
          </w:tcPr>
          <w:p w14:paraId="7D5168FB"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FC"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training strategy</w:t>
            </w:r>
          </w:p>
        </w:tc>
      </w:tr>
      <w:tr w:rsidR="008351E7" w:rsidRPr="00F870DE" w14:paraId="7D516900" w14:textId="77777777" w:rsidTr="00DC785B">
        <w:trPr>
          <w:trHeight w:val="504"/>
        </w:trPr>
        <w:tc>
          <w:tcPr>
            <w:tcW w:w="3563" w:type="dxa"/>
            <w:vMerge/>
            <w:shd w:val="clear" w:color="auto" w:fill="auto"/>
            <w:tcMar>
              <w:top w:w="0" w:type="dxa"/>
              <w:bottom w:w="0" w:type="dxa"/>
            </w:tcMar>
          </w:tcPr>
          <w:p w14:paraId="7D5168FE"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8FF"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Cost strategy</w:t>
            </w:r>
          </w:p>
        </w:tc>
      </w:tr>
      <w:tr w:rsidR="008351E7" w:rsidRPr="00F870DE" w14:paraId="7D516903" w14:textId="77777777" w:rsidTr="00DC785B">
        <w:trPr>
          <w:trHeight w:val="504"/>
        </w:trPr>
        <w:tc>
          <w:tcPr>
            <w:tcW w:w="3563" w:type="dxa"/>
            <w:vMerge/>
            <w:shd w:val="clear" w:color="auto" w:fill="auto"/>
            <w:tcMar>
              <w:top w:w="0" w:type="dxa"/>
              <w:bottom w:w="0" w:type="dxa"/>
            </w:tcMar>
          </w:tcPr>
          <w:p w14:paraId="7D516901"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02"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marketing strategy</w:t>
            </w:r>
          </w:p>
        </w:tc>
      </w:tr>
      <w:tr w:rsidR="008351E7" w:rsidRPr="00F870DE" w14:paraId="7D516906" w14:textId="77777777" w:rsidTr="00DC785B">
        <w:trPr>
          <w:trHeight w:val="504"/>
        </w:trPr>
        <w:tc>
          <w:tcPr>
            <w:tcW w:w="3563" w:type="dxa"/>
            <w:vMerge/>
            <w:shd w:val="clear" w:color="auto" w:fill="auto"/>
            <w:tcMar>
              <w:top w:w="0" w:type="dxa"/>
              <w:bottom w:w="0" w:type="dxa"/>
            </w:tcMar>
          </w:tcPr>
          <w:p w14:paraId="7D516904"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05"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Low standards</w:t>
            </w:r>
          </w:p>
        </w:tc>
      </w:tr>
      <w:tr w:rsidR="008351E7" w:rsidRPr="00F870DE" w14:paraId="7D516909" w14:textId="77777777" w:rsidTr="00DC785B">
        <w:trPr>
          <w:trHeight w:val="504"/>
        </w:trPr>
        <w:tc>
          <w:tcPr>
            <w:tcW w:w="3563" w:type="dxa"/>
            <w:vMerge/>
            <w:shd w:val="clear" w:color="auto" w:fill="auto"/>
            <w:tcMar>
              <w:top w:w="0" w:type="dxa"/>
              <w:bottom w:w="0" w:type="dxa"/>
            </w:tcMar>
          </w:tcPr>
          <w:p w14:paraId="7D516907"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08"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 xml:space="preserve">Lack of unified </w:t>
            </w:r>
            <w:r w:rsidRPr="00F870DE">
              <w:rPr>
                <w:rFonts w:asciiTheme="majorBidi" w:hAnsiTheme="majorBidi" w:cstheme="majorBidi"/>
              </w:rPr>
              <w:t>procedures</w:t>
            </w:r>
          </w:p>
        </w:tc>
      </w:tr>
      <w:tr w:rsidR="008351E7" w:rsidRPr="00F870DE" w14:paraId="7D51690C" w14:textId="77777777" w:rsidTr="00DC785B">
        <w:trPr>
          <w:trHeight w:val="504"/>
        </w:trPr>
        <w:tc>
          <w:tcPr>
            <w:tcW w:w="3563" w:type="dxa"/>
            <w:vMerge/>
            <w:shd w:val="clear" w:color="auto" w:fill="auto"/>
            <w:tcMar>
              <w:top w:w="0" w:type="dxa"/>
              <w:bottom w:w="0" w:type="dxa"/>
            </w:tcMar>
          </w:tcPr>
          <w:p w14:paraId="7D51690A"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0B"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Weak technology strategy</w:t>
            </w:r>
          </w:p>
        </w:tc>
      </w:tr>
      <w:tr w:rsidR="008351E7" w:rsidRPr="00F870DE" w14:paraId="7D51690F" w14:textId="77777777" w:rsidTr="00DC785B">
        <w:trPr>
          <w:trHeight w:val="504"/>
        </w:trPr>
        <w:tc>
          <w:tcPr>
            <w:tcW w:w="3563" w:type="dxa"/>
            <w:shd w:val="clear" w:color="auto" w:fill="auto"/>
            <w:tcMar>
              <w:top w:w="0" w:type="dxa"/>
              <w:bottom w:w="0" w:type="dxa"/>
            </w:tcMar>
          </w:tcPr>
          <w:p w14:paraId="7D51690D"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0E"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motivation</w:t>
            </w:r>
          </w:p>
        </w:tc>
      </w:tr>
      <w:tr w:rsidR="008351E7" w:rsidRPr="00F870DE" w14:paraId="7D516912" w14:textId="77777777" w:rsidTr="00DC785B">
        <w:trPr>
          <w:trHeight w:val="504"/>
        </w:trPr>
        <w:tc>
          <w:tcPr>
            <w:tcW w:w="3563" w:type="dxa"/>
            <w:vMerge w:val="restart"/>
            <w:shd w:val="clear" w:color="auto" w:fill="auto"/>
            <w:tcMar>
              <w:top w:w="113" w:type="dxa"/>
              <w:bottom w:w="0" w:type="dxa"/>
            </w:tcMar>
          </w:tcPr>
          <w:p w14:paraId="7D516910"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Logistics Support</w:t>
            </w:r>
          </w:p>
        </w:tc>
        <w:tc>
          <w:tcPr>
            <w:tcW w:w="5797" w:type="dxa"/>
            <w:shd w:val="clear" w:color="auto" w:fill="auto"/>
            <w:tcMar>
              <w:top w:w="0" w:type="dxa"/>
              <w:bottom w:w="0" w:type="dxa"/>
            </w:tcMar>
            <w:vAlign w:val="center"/>
          </w:tcPr>
          <w:p w14:paraId="7D516911"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 xml:space="preserve">Shortage of research </w:t>
            </w:r>
            <w:r w:rsidR="00D31194" w:rsidRPr="00F870DE">
              <w:rPr>
                <w:rFonts w:asciiTheme="majorBidi" w:hAnsiTheme="majorBidi" w:cstheme="majorBidi"/>
              </w:rPr>
              <w:t>centres</w:t>
            </w:r>
          </w:p>
        </w:tc>
      </w:tr>
      <w:tr w:rsidR="008351E7" w:rsidRPr="00F870DE" w14:paraId="7D516915" w14:textId="77777777" w:rsidTr="00DC785B">
        <w:trPr>
          <w:trHeight w:val="504"/>
        </w:trPr>
        <w:tc>
          <w:tcPr>
            <w:tcW w:w="3563" w:type="dxa"/>
            <w:vMerge/>
            <w:shd w:val="clear" w:color="auto" w:fill="auto"/>
            <w:tcMar>
              <w:top w:w="0" w:type="dxa"/>
              <w:bottom w:w="0" w:type="dxa"/>
            </w:tcMar>
          </w:tcPr>
          <w:p w14:paraId="7D516913"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14"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Lack of centralized reporting system</w:t>
            </w:r>
          </w:p>
        </w:tc>
      </w:tr>
      <w:tr w:rsidR="008351E7" w:rsidRPr="00F870DE" w14:paraId="7D516918" w14:textId="77777777" w:rsidTr="00DC785B">
        <w:trPr>
          <w:trHeight w:val="504"/>
        </w:trPr>
        <w:tc>
          <w:tcPr>
            <w:tcW w:w="3563" w:type="dxa"/>
            <w:vMerge/>
            <w:shd w:val="clear" w:color="auto" w:fill="auto"/>
            <w:tcMar>
              <w:top w:w="0" w:type="dxa"/>
              <w:bottom w:w="0" w:type="dxa"/>
            </w:tcMar>
          </w:tcPr>
          <w:p w14:paraId="7D516916"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17"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Current infrastructure (internal setting)</w:t>
            </w:r>
          </w:p>
        </w:tc>
      </w:tr>
      <w:tr w:rsidR="008351E7" w:rsidRPr="00F870DE" w14:paraId="7D51691B" w14:textId="77777777" w:rsidTr="00DC785B">
        <w:trPr>
          <w:trHeight w:val="504"/>
        </w:trPr>
        <w:tc>
          <w:tcPr>
            <w:tcW w:w="3563" w:type="dxa"/>
            <w:vMerge/>
            <w:shd w:val="clear" w:color="auto" w:fill="auto"/>
            <w:tcMar>
              <w:top w:w="0" w:type="dxa"/>
              <w:bottom w:w="0" w:type="dxa"/>
            </w:tcMar>
          </w:tcPr>
          <w:p w14:paraId="7D516919"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1A"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Current infrastructure (buildings)</w:t>
            </w:r>
          </w:p>
        </w:tc>
      </w:tr>
      <w:tr w:rsidR="008351E7" w:rsidRPr="00F870DE" w14:paraId="7D51691E" w14:textId="77777777" w:rsidTr="00DC785B">
        <w:trPr>
          <w:trHeight w:val="504"/>
        </w:trPr>
        <w:tc>
          <w:tcPr>
            <w:tcW w:w="3563" w:type="dxa"/>
            <w:vMerge/>
            <w:shd w:val="clear" w:color="auto" w:fill="auto"/>
            <w:tcMar>
              <w:top w:w="0" w:type="dxa"/>
              <w:bottom w:w="0" w:type="dxa"/>
            </w:tcMar>
          </w:tcPr>
          <w:p w14:paraId="7D51691C"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1D"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 xml:space="preserve">Security and </w:t>
            </w:r>
            <w:r w:rsidRPr="00F870DE">
              <w:rPr>
                <w:rFonts w:asciiTheme="majorBidi" w:hAnsiTheme="majorBidi" w:cstheme="majorBidi"/>
              </w:rPr>
              <w:t>stability</w:t>
            </w:r>
          </w:p>
        </w:tc>
      </w:tr>
      <w:tr w:rsidR="008351E7" w:rsidRPr="00F870DE" w14:paraId="7D516921" w14:textId="77777777" w:rsidTr="00DC785B">
        <w:trPr>
          <w:trHeight w:val="504"/>
        </w:trPr>
        <w:tc>
          <w:tcPr>
            <w:tcW w:w="3563" w:type="dxa"/>
            <w:shd w:val="clear" w:color="auto" w:fill="auto"/>
            <w:tcMar>
              <w:top w:w="113" w:type="dxa"/>
              <w:bottom w:w="0" w:type="dxa"/>
            </w:tcMar>
          </w:tcPr>
          <w:p w14:paraId="7D51691F" w14:textId="77777777" w:rsidR="008351E7" w:rsidRPr="00C0447D" w:rsidRDefault="008351E7" w:rsidP="006D69FF">
            <w:pPr>
              <w:pStyle w:val="APAParagraph"/>
              <w:ind w:firstLine="0"/>
              <w:rPr>
                <w:rFonts w:asciiTheme="majorBidi" w:hAnsiTheme="majorBidi" w:cstheme="majorBidi"/>
                <w:bCs/>
                <w:szCs w:val="24"/>
                <w:lang w:val="en-US"/>
              </w:rPr>
            </w:pPr>
            <w:r w:rsidRPr="00C0447D">
              <w:rPr>
                <w:rFonts w:asciiTheme="majorBidi" w:hAnsiTheme="majorBidi" w:cstheme="majorBidi"/>
                <w:bCs/>
                <w:szCs w:val="24"/>
              </w:rPr>
              <w:t>Technical Barriers</w:t>
            </w:r>
          </w:p>
        </w:tc>
        <w:tc>
          <w:tcPr>
            <w:tcW w:w="5797" w:type="dxa"/>
            <w:shd w:val="clear" w:color="auto" w:fill="auto"/>
            <w:tcMar>
              <w:top w:w="0" w:type="dxa"/>
              <w:bottom w:w="0" w:type="dxa"/>
            </w:tcMar>
            <w:vAlign w:val="center"/>
          </w:tcPr>
          <w:p w14:paraId="7D516920"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Scope of telecom infrastructure</w:t>
            </w:r>
          </w:p>
        </w:tc>
      </w:tr>
      <w:tr w:rsidR="008351E7" w:rsidRPr="00F870DE" w14:paraId="7D516924" w14:textId="77777777" w:rsidTr="00DC785B">
        <w:trPr>
          <w:trHeight w:val="504"/>
        </w:trPr>
        <w:tc>
          <w:tcPr>
            <w:tcW w:w="3563" w:type="dxa"/>
            <w:shd w:val="clear" w:color="auto" w:fill="auto"/>
            <w:tcMar>
              <w:top w:w="0" w:type="dxa"/>
              <w:bottom w:w="0" w:type="dxa"/>
            </w:tcMar>
          </w:tcPr>
          <w:p w14:paraId="7D516922"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23"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Availability of technology</w:t>
            </w:r>
          </w:p>
        </w:tc>
      </w:tr>
      <w:tr w:rsidR="008351E7" w:rsidRPr="00F870DE" w14:paraId="7D516927" w14:textId="77777777" w:rsidTr="00DC785B">
        <w:trPr>
          <w:trHeight w:val="504"/>
        </w:trPr>
        <w:tc>
          <w:tcPr>
            <w:tcW w:w="3563" w:type="dxa"/>
            <w:shd w:val="clear" w:color="auto" w:fill="auto"/>
            <w:tcMar>
              <w:top w:w="0" w:type="dxa"/>
              <w:bottom w:w="0" w:type="dxa"/>
            </w:tcMar>
          </w:tcPr>
          <w:p w14:paraId="7D516925"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26"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Compatibility between old and new technology</w:t>
            </w:r>
          </w:p>
        </w:tc>
      </w:tr>
      <w:tr w:rsidR="008351E7" w:rsidRPr="00F870DE" w14:paraId="7D51692A" w14:textId="77777777" w:rsidTr="00DC785B">
        <w:trPr>
          <w:trHeight w:val="504"/>
        </w:trPr>
        <w:tc>
          <w:tcPr>
            <w:tcW w:w="3563" w:type="dxa"/>
            <w:shd w:val="clear" w:color="auto" w:fill="auto"/>
            <w:tcMar>
              <w:top w:w="0" w:type="dxa"/>
              <w:bottom w:w="0" w:type="dxa"/>
            </w:tcMar>
          </w:tcPr>
          <w:p w14:paraId="7D516928"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29"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Licensing and accessibility</w:t>
            </w:r>
          </w:p>
        </w:tc>
      </w:tr>
      <w:tr w:rsidR="008351E7" w:rsidRPr="00F870DE" w14:paraId="7D51692D" w14:textId="77777777" w:rsidTr="00DC785B">
        <w:trPr>
          <w:trHeight w:val="504"/>
        </w:trPr>
        <w:tc>
          <w:tcPr>
            <w:tcW w:w="3563" w:type="dxa"/>
            <w:shd w:val="clear" w:color="auto" w:fill="auto"/>
            <w:tcMar>
              <w:top w:w="0" w:type="dxa"/>
              <w:bottom w:w="0" w:type="dxa"/>
            </w:tcMar>
          </w:tcPr>
          <w:p w14:paraId="7D51692B"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shd w:val="clear" w:color="auto" w:fill="auto"/>
            <w:tcMar>
              <w:top w:w="0" w:type="dxa"/>
              <w:bottom w:w="0" w:type="dxa"/>
            </w:tcMar>
            <w:vAlign w:val="center"/>
          </w:tcPr>
          <w:p w14:paraId="7D51692C"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Technology life span</w:t>
            </w:r>
          </w:p>
        </w:tc>
      </w:tr>
      <w:tr w:rsidR="008351E7" w:rsidRPr="00F870DE" w14:paraId="7D516930" w14:textId="77777777" w:rsidTr="00DC785B">
        <w:trPr>
          <w:trHeight w:val="504"/>
        </w:trPr>
        <w:tc>
          <w:tcPr>
            <w:tcW w:w="3563" w:type="dxa"/>
            <w:tcBorders>
              <w:bottom w:val="single" w:sz="18" w:space="0" w:color="auto"/>
            </w:tcBorders>
            <w:shd w:val="clear" w:color="auto" w:fill="auto"/>
            <w:tcMar>
              <w:top w:w="0" w:type="dxa"/>
              <w:bottom w:w="0" w:type="dxa"/>
            </w:tcMar>
          </w:tcPr>
          <w:p w14:paraId="7D51692E" w14:textId="77777777" w:rsidR="008351E7" w:rsidRPr="00C0447D" w:rsidRDefault="008351E7" w:rsidP="006D69FF">
            <w:pPr>
              <w:pStyle w:val="APAParagraph"/>
              <w:ind w:firstLine="0"/>
              <w:rPr>
                <w:rFonts w:asciiTheme="majorBidi" w:hAnsiTheme="majorBidi" w:cstheme="majorBidi"/>
                <w:bCs/>
                <w:szCs w:val="24"/>
                <w:lang w:val="en-US"/>
              </w:rPr>
            </w:pPr>
          </w:p>
        </w:tc>
        <w:tc>
          <w:tcPr>
            <w:tcW w:w="5797" w:type="dxa"/>
            <w:tcBorders>
              <w:bottom w:val="single" w:sz="18" w:space="0" w:color="auto"/>
            </w:tcBorders>
            <w:shd w:val="clear" w:color="auto" w:fill="auto"/>
            <w:tcMar>
              <w:top w:w="0" w:type="dxa"/>
              <w:bottom w:w="57" w:type="dxa"/>
            </w:tcMar>
            <w:vAlign w:val="center"/>
          </w:tcPr>
          <w:p w14:paraId="7D51692F" w14:textId="77777777" w:rsidR="008351E7" w:rsidRPr="00F870DE" w:rsidRDefault="008351E7" w:rsidP="006D69FF">
            <w:pPr>
              <w:pStyle w:val="APAParagraph"/>
              <w:ind w:firstLine="0"/>
              <w:jc w:val="left"/>
              <w:rPr>
                <w:rFonts w:asciiTheme="majorBidi" w:hAnsiTheme="majorBidi" w:cstheme="majorBidi"/>
                <w:szCs w:val="24"/>
                <w:lang w:val="en-US"/>
              </w:rPr>
            </w:pPr>
            <w:r w:rsidRPr="00A750F4">
              <w:rPr>
                <w:rFonts w:asciiTheme="majorBidi" w:hAnsiTheme="majorBidi" w:cstheme="majorBidi"/>
              </w:rPr>
              <w:t>Technology maintenance</w:t>
            </w:r>
          </w:p>
        </w:tc>
      </w:tr>
    </w:tbl>
    <w:p w14:paraId="7D516931" w14:textId="77777777" w:rsidR="008351E7" w:rsidRPr="00FC6087" w:rsidRDefault="008351E7" w:rsidP="009C1EAB">
      <w:pPr>
        <w:pStyle w:val="APAParagraph"/>
      </w:pPr>
    </w:p>
    <w:p w14:paraId="7D516932" w14:textId="77777777" w:rsidR="008351E7" w:rsidRPr="00FC6087" w:rsidRDefault="008351E7" w:rsidP="00790070">
      <w:pPr>
        <w:pStyle w:val="Heading2"/>
      </w:pPr>
      <w:bookmarkStart w:id="118" w:name="_Toc535934703"/>
      <w:bookmarkStart w:id="119" w:name="_Toc24447794"/>
      <w:r w:rsidRPr="00FC6087">
        <w:lastRenderedPageBreak/>
        <w:t>4.4.4</w:t>
      </w:r>
      <w:r w:rsidR="00514F5B">
        <w:t>.</w:t>
      </w:r>
      <w:r w:rsidRPr="00FC6087">
        <w:t xml:space="preserve"> Data Analysis</w:t>
      </w:r>
      <w:bookmarkEnd w:id="118"/>
      <w:r w:rsidR="00562037" w:rsidRPr="00FC6087">
        <w:t xml:space="preserve">: Confirmatory Factor Analysis </w:t>
      </w:r>
      <w:r w:rsidRPr="00FC6087">
        <w:t>(CFA)</w:t>
      </w:r>
      <w:bookmarkEnd w:id="119"/>
    </w:p>
    <w:p w14:paraId="7D516933" w14:textId="77777777" w:rsidR="008351E7" w:rsidRPr="00FC6087" w:rsidRDefault="008351E7" w:rsidP="009C1EAB">
      <w:pPr>
        <w:pStyle w:val="APAParagraph"/>
      </w:pPr>
      <w:r w:rsidRPr="00FA6997">
        <w:rPr>
          <w:color w:val="FF0000"/>
        </w:rPr>
        <w:t>The factor analyses were conducted using SPSS/Amos software</w:t>
      </w:r>
      <w:r w:rsidRPr="00FC6087">
        <w:t>.</w:t>
      </w:r>
      <w:r w:rsidRPr="00D64381">
        <w:rPr>
          <w:color w:val="FF0000"/>
        </w:rPr>
        <w:t xml:space="preserve"> An EFA was first conducted to determine the optimal number of latent variables that effectively describe each dataset (i.e. motivators and barriers). Then, two CFAs were conducted on each dataset: a first-order CFA to determine and quantify the relationships among the latent factors and the relationships between the factors and their associated items</w:t>
      </w:r>
      <w:r w:rsidR="00255C03" w:rsidRPr="00D64381">
        <w:rPr>
          <w:color w:val="FF0000"/>
        </w:rPr>
        <w:t>;</w:t>
      </w:r>
      <w:r w:rsidRPr="00D64381">
        <w:rPr>
          <w:color w:val="FF0000"/>
        </w:rPr>
        <w:t xml:space="preserve"> and a second-order CFA that additionally considered how the latent factors relate</w:t>
      </w:r>
      <w:r w:rsidR="00255C03" w:rsidRPr="00D64381">
        <w:rPr>
          <w:color w:val="FF0000"/>
        </w:rPr>
        <w:t>d</w:t>
      </w:r>
      <w:r w:rsidRPr="00D64381">
        <w:rPr>
          <w:color w:val="FF0000"/>
        </w:rPr>
        <w:t xml:space="preserve"> to the outcome variable of HIT adoption. In building the measurement models, the reliability of the observed variables (i.e. responses to items) was affected by random measurement errors, as presented by the respective error terms. Then, in accordance with the standards of structural modeling (cf. Byrne, 2001), the observed variables were regressed onto their respective latent factors and correlated.</w:t>
      </w:r>
    </w:p>
    <w:p w14:paraId="7D516934" w14:textId="77777777" w:rsidR="008351E7" w:rsidRPr="00FC6087" w:rsidRDefault="008351E7" w:rsidP="004547F6">
      <w:pPr>
        <w:pStyle w:val="Heading1"/>
      </w:pPr>
      <w:bookmarkStart w:id="120" w:name="_Toc535934704"/>
      <w:bookmarkStart w:id="121" w:name="_Toc24447795"/>
      <w:r w:rsidRPr="00FC6087">
        <w:t>4.5. Summary</w:t>
      </w:r>
      <w:bookmarkEnd w:id="120"/>
      <w:bookmarkEnd w:id="121"/>
    </w:p>
    <w:p w14:paraId="7D516935" w14:textId="77777777" w:rsidR="00CD78E1" w:rsidRPr="00FC6087" w:rsidRDefault="00EF558D" w:rsidP="009C1EAB">
      <w:pPr>
        <w:pStyle w:val="APAParagraph"/>
      </w:pPr>
      <w:r w:rsidRPr="00FC6087">
        <w:rPr>
          <w:lang w:bidi="ar-DZ"/>
        </w:rPr>
        <w:t xml:space="preserve">This chapter </w:t>
      </w:r>
      <w:r w:rsidR="00E933D1" w:rsidRPr="00FC6087">
        <w:rPr>
          <w:lang w:bidi="ar-DZ"/>
        </w:rPr>
        <w:t>provides</w:t>
      </w:r>
      <w:r w:rsidR="00D31194" w:rsidRPr="00FC6087">
        <w:rPr>
          <w:lang w:bidi="ar-DZ"/>
        </w:rPr>
        <w:t xml:space="preserve"> </w:t>
      </w:r>
      <w:r w:rsidR="008E4CC3" w:rsidRPr="00FC6087">
        <w:rPr>
          <w:lang w:bidi="ar-DZ"/>
        </w:rPr>
        <w:t xml:space="preserve">details of the </w:t>
      </w:r>
      <w:r w:rsidR="00E933D1" w:rsidRPr="00FC6087">
        <w:rPr>
          <w:lang w:bidi="ar-DZ"/>
        </w:rPr>
        <w:t>sample</w:t>
      </w:r>
      <w:r w:rsidR="005C5565" w:rsidRPr="00FC6087">
        <w:rPr>
          <w:lang w:bidi="ar-DZ"/>
        </w:rPr>
        <w:t xml:space="preserve"> and data</w:t>
      </w:r>
      <w:r w:rsidR="00F6568F" w:rsidRPr="00FC6087">
        <w:rPr>
          <w:lang w:bidi="ar-DZ"/>
        </w:rPr>
        <w:t>-</w:t>
      </w:r>
      <w:r w:rsidR="005C5565" w:rsidRPr="00FC6087">
        <w:rPr>
          <w:lang w:bidi="ar-DZ"/>
        </w:rPr>
        <w:t>collection m</w:t>
      </w:r>
      <w:r w:rsidR="00CD02F5" w:rsidRPr="00FC6087">
        <w:rPr>
          <w:lang w:bidi="ar-DZ"/>
        </w:rPr>
        <w:t>e</w:t>
      </w:r>
      <w:r w:rsidR="005C5565" w:rsidRPr="00FC6087">
        <w:rPr>
          <w:lang w:bidi="ar-DZ"/>
        </w:rPr>
        <w:t>thods used</w:t>
      </w:r>
      <w:r w:rsidR="00D31194" w:rsidRPr="00FC6087">
        <w:rPr>
          <w:lang w:bidi="ar-DZ"/>
        </w:rPr>
        <w:t xml:space="preserve"> </w:t>
      </w:r>
      <w:r w:rsidR="00CD02F5" w:rsidRPr="00FC6087">
        <w:rPr>
          <w:lang w:bidi="ar-DZ"/>
        </w:rPr>
        <w:t xml:space="preserve">prior to describing the </w:t>
      </w:r>
      <w:r w:rsidR="00F6568F" w:rsidRPr="00FC6087">
        <w:rPr>
          <w:lang w:bidi="ar-DZ"/>
        </w:rPr>
        <w:t>data-analysis techniques.</w:t>
      </w:r>
      <w:r w:rsidR="00D31194" w:rsidRPr="00FC6087">
        <w:t xml:space="preserve"> </w:t>
      </w:r>
      <w:r w:rsidR="003D1BD6" w:rsidRPr="00FC6087">
        <w:t>This research used a three-part design. First, motivators and barriers related to HIT adoption were identified through surveys</w:t>
      </w:r>
      <w:r w:rsidR="00D31194" w:rsidRPr="00FC6087">
        <w:t xml:space="preserve"> </w:t>
      </w:r>
      <w:r w:rsidR="00E73316" w:rsidRPr="00FC6087">
        <w:t>a</w:t>
      </w:r>
      <w:r w:rsidR="0067527E" w:rsidRPr="00FC6087">
        <w:t>n</w:t>
      </w:r>
      <w:r w:rsidR="00E73316" w:rsidRPr="00FC6087">
        <w:t>d analyzed using EFA</w:t>
      </w:r>
      <w:r w:rsidR="003D1BD6" w:rsidRPr="00FC6087">
        <w:t xml:space="preserve">. </w:t>
      </w:r>
      <w:r w:rsidR="00C71CBB" w:rsidRPr="00FC6087">
        <w:t>Representatives of the four stakeholder groups were invited via email to participate in an interview: healthcare providers (</w:t>
      </w:r>
      <w:r w:rsidR="00C71CBB" w:rsidRPr="00FC6087">
        <w:rPr>
          <w:i/>
        </w:rPr>
        <w:t>N</w:t>
      </w:r>
      <w:r w:rsidR="00C71CBB" w:rsidRPr="00FC6087">
        <w:t xml:space="preserve"> = 20); patients (</w:t>
      </w:r>
      <w:r w:rsidR="00C71CBB" w:rsidRPr="00FC6087">
        <w:rPr>
          <w:i/>
        </w:rPr>
        <w:t>N</w:t>
      </w:r>
      <w:r w:rsidR="00C71CBB" w:rsidRPr="00FC6087">
        <w:t xml:space="preserve"> = 40); the public (</w:t>
      </w:r>
      <w:r w:rsidR="00C71CBB" w:rsidRPr="00FC6087">
        <w:rPr>
          <w:i/>
        </w:rPr>
        <w:t>N</w:t>
      </w:r>
      <w:r w:rsidR="00C71CBB" w:rsidRPr="00FC6087">
        <w:t xml:space="preserve"> = 40); and foresight experts (</w:t>
      </w:r>
      <w:r w:rsidR="00C71CBB" w:rsidRPr="00FC6087">
        <w:rPr>
          <w:i/>
        </w:rPr>
        <w:t>N</w:t>
      </w:r>
      <w:r w:rsidR="00C71CBB" w:rsidRPr="00FC6087">
        <w:t xml:space="preserve"> = 15). </w:t>
      </w:r>
      <w:r w:rsidR="003D1BD6" w:rsidRPr="00FC6087">
        <w:lastRenderedPageBreak/>
        <w:t>Second, the most important factors were used in further quantitative surveys with the representatives of the four stakeholder categories</w:t>
      </w:r>
      <w:r w:rsidR="00916CD6" w:rsidRPr="00FC6087">
        <w:t xml:space="preserve">. </w:t>
      </w:r>
      <w:r w:rsidR="004953F2" w:rsidRPr="00FC6087">
        <w:t>For motivators (</w:t>
      </w:r>
      <w:r w:rsidR="004953F2" w:rsidRPr="00FC6087">
        <w:rPr>
          <w:i/>
        </w:rPr>
        <w:t>N</w:t>
      </w:r>
      <w:r w:rsidR="004953F2" w:rsidRPr="00FC6087">
        <w:t xml:space="preserve"> = 391, 296 females)</w:t>
      </w:r>
      <w:r w:rsidR="006906F7" w:rsidRPr="00FC6087">
        <w:t>, the participants were presented with a list of 41 motivators divided into seven categories: government support; infrastructure; knowledge sharing; internal/external environment; social sustainability; green management; and lean management</w:t>
      </w:r>
      <w:r w:rsidR="004953F2" w:rsidRPr="00FC6087">
        <w:t>. For barriers (</w:t>
      </w:r>
      <w:r w:rsidR="004953F2" w:rsidRPr="00FC6087">
        <w:rPr>
          <w:i/>
        </w:rPr>
        <w:t>N</w:t>
      </w:r>
      <w:r w:rsidR="004953F2" w:rsidRPr="00FC6087">
        <w:t xml:space="preserve"> = 150; 85 females), participants were presented with a list of 47 barriers divided into eight categories: change management; readiness for big data and IoT; stakeholders; outsourcing; orientation; organizational strategy; logistics support; and technical barriers</w:t>
      </w:r>
      <w:r w:rsidR="00CD78E1" w:rsidRPr="00FC6087">
        <w:t>. T</w:t>
      </w:r>
      <w:r w:rsidR="003D1BD6" w:rsidRPr="00FC6087">
        <w:t xml:space="preserve">hese responses were then analyzed </w:t>
      </w:r>
      <w:r w:rsidR="00E73316" w:rsidRPr="00FC6087">
        <w:t>using CFA</w:t>
      </w:r>
      <w:r w:rsidR="0067527E" w:rsidRPr="00FC6087">
        <w:t xml:space="preserve"> and SEM </w:t>
      </w:r>
      <w:r w:rsidR="003D1BD6" w:rsidRPr="00FC6087">
        <w:t>and used to create a structural model of the relationships between key motivators and barriers and HIT adoption.</w:t>
      </w:r>
    </w:p>
    <w:p w14:paraId="7D516936" w14:textId="77777777" w:rsidR="00CD78E1" w:rsidRPr="00FC6087" w:rsidRDefault="00CD78E1">
      <w:r w:rsidRPr="00FC6087">
        <w:br w:type="page"/>
      </w:r>
    </w:p>
    <w:p w14:paraId="7D516937" w14:textId="301BCF21" w:rsidR="00FD4D49" w:rsidRPr="00FC6087" w:rsidRDefault="00445E76" w:rsidP="00572AA6">
      <w:pPr>
        <w:pStyle w:val="ChapterTitle"/>
        <w:jc w:val="left"/>
        <w:rPr>
          <w:i/>
          <w:iCs/>
          <w:color w:val="000000" w:themeColor="text1"/>
        </w:rPr>
      </w:pPr>
      <w:bookmarkStart w:id="122" w:name="_Toc532800301"/>
      <w:bookmarkStart w:id="123" w:name="_Toc534028545"/>
      <w:bookmarkStart w:id="124" w:name="_Toc534028929"/>
      <w:bookmarkStart w:id="125" w:name="_Toc24447796"/>
      <w:r w:rsidRPr="00FC6087">
        <w:rPr>
          <w:iCs/>
          <w:caps w:val="0"/>
          <w:color w:val="000000" w:themeColor="text1"/>
        </w:rPr>
        <w:lastRenderedPageBreak/>
        <w:t xml:space="preserve">CHAPTER </w:t>
      </w:r>
      <w:r w:rsidR="00FD4D49" w:rsidRPr="00FC6087">
        <w:rPr>
          <w:iCs/>
          <w:color w:val="000000" w:themeColor="text1"/>
        </w:rPr>
        <w:t>5:</w:t>
      </w:r>
      <w:r w:rsidR="00572AA6">
        <w:rPr>
          <w:iCs/>
          <w:color w:val="000000" w:themeColor="text1"/>
        </w:rPr>
        <w:t xml:space="preserve"> </w:t>
      </w:r>
      <w:bookmarkEnd w:id="122"/>
      <w:bookmarkEnd w:id="123"/>
      <w:bookmarkEnd w:id="124"/>
      <w:r w:rsidR="00572AA6" w:rsidRPr="00572AA6">
        <w:rPr>
          <w:iCs/>
          <w:color w:val="FF0000"/>
        </w:rPr>
        <w:t>Data</w:t>
      </w:r>
      <w:r w:rsidR="00FD4D49" w:rsidRPr="00572AA6">
        <w:rPr>
          <w:iCs/>
          <w:color w:val="FF0000"/>
        </w:rPr>
        <w:t xml:space="preserve"> </w:t>
      </w:r>
      <w:r w:rsidR="009511DD" w:rsidRPr="00572AA6">
        <w:rPr>
          <w:iCs/>
          <w:color w:val="FF0000"/>
        </w:rPr>
        <w:t>A</w:t>
      </w:r>
      <w:r w:rsidR="00FD4D49" w:rsidRPr="00572AA6">
        <w:rPr>
          <w:iCs/>
          <w:color w:val="FF0000"/>
        </w:rPr>
        <w:t>nalysis</w:t>
      </w:r>
      <w:bookmarkEnd w:id="125"/>
    </w:p>
    <w:p w14:paraId="7D516938" w14:textId="77777777" w:rsidR="00FD4D49" w:rsidRPr="00FC6087" w:rsidRDefault="00FD4D49" w:rsidP="00790070">
      <w:pPr>
        <w:jc w:val="center"/>
        <w:rPr>
          <w:rFonts w:eastAsiaTheme="majorEastAsia" w:cstheme="majorBidi"/>
          <w:b/>
          <w:bCs/>
          <w:color w:val="000000" w:themeColor="text1"/>
          <w:sz w:val="30"/>
          <w:szCs w:val="30"/>
        </w:rPr>
      </w:pPr>
      <w:bookmarkStart w:id="126" w:name="_Toc532800302"/>
      <w:bookmarkStart w:id="127" w:name="_Toc534028546"/>
      <w:bookmarkStart w:id="128" w:name="_Toc534028930"/>
      <w:r w:rsidRPr="00790070">
        <w:rPr>
          <w:b/>
          <w:bCs/>
          <w:color w:val="000000" w:themeColor="text1"/>
          <w:sz w:val="30"/>
          <w:szCs w:val="30"/>
        </w:rPr>
        <w:t xml:space="preserve">Structure of </w:t>
      </w:r>
      <w:r w:rsidR="005C0F49" w:rsidRPr="00FC6087">
        <w:rPr>
          <w:b/>
          <w:bCs/>
          <w:color w:val="000000" w:themeColor="text1"/>
          <w:sz w:val="30"/>
          <w:szCs w:val="30"/>
        </w:rPr>
        <w:t>C</w:t>
      </w:r>
      <w:r w:rsidRPr="00790070">
        <w:rPr>
          <w:b/>
          <w:bCs/>
          <w:color w:val="000000" w:themeColor="text1"/>
          <w:sz w:val="30"/>
          <w:szCs w:val="30"/>
        </w:rPr>
        <w:t xml:space="preserve">hapter </w:t>
      </w:r>
      <w:r w:rsidR="005C0F49" w:rsidRPr="00FC6087">
        <w:rPr>
          <w:b/>
          <w:bCs/>
          <w:color w:val="000000" w:themeColor="text1"/>
          <w:sz w:val="30"/>
          <w:szCs w:val="30"/>
        </w:rPr>
        <w:t>Five</w:t>
      </w:r>
    </w:p>
    <w:p w14:paraId="7D516939" w14:textId="77777777" w:rsidR="00FD4D49" w:rsidRPr="00FC6087" w:rsidRDefault="00FD4D49" w:rsidP="00FD4D49">
      <w:pPr>
        <w:rPr>
          <w:rFonts w:eastAsiaTheme="majorEastAsia" w:cstheme="majorBidi"/>
          <w:b/>
          <w:bCs/>
          <w:color w:val="000000" w:themeColor="text1"/>
          <w:sz w:val="30"/>
          <w:szCs w:val="30"/>
        </w:rPr>
      </w:pPr>
    </w:p>
    <w:p w14:paraId="7D51693A" w14:textId="77777777" w:rsidR="00CD78E1" w:rsidRPr="00A76642" w:rsidRDefault="00FD4D49" w:rsidP="00FD4D49">
      <w:pPr>
        <w:rPr>
          <w:rFonts w:eastAsiaTheme="majorEastAsia" w:cstheme="majorBidi"/>
          <w:b/>
          <w:bCs/>
          <w:color w:val="000000" w:themeColor="text1"/>
          <w:sz w:val="30"/>
          <w:szCs w:val="30"/>
        </w:rPr>
      </w:pPr>
      <w:r w:rsidRPr="00A76642">
        <w:rPr>
          <w:rFonts w:eastAsiaTheme="majorEastAsia" w:cstheme="majorBidi"/>
          <w:b/>
          <w:bCs/>
          <w:noProof/>
          <w:color w:val="000000" w:themeColor="text1"/>
          <w:sz w:val="30"/>
          <w:szCs w:val="30"/>
        </w:rPr>
        <w:drawing>
          <wp:inline distT="0" distB="0" distL="0" distR="0" wp14:anchorId="7D516DA2" wp14:editId="29EFAD0B">
            <wp:extent cx="4953000" cy="2085975"/>
            <wp:effectExtent l="0" t="0" r="19050" b="0"/>
            <wp:docPr id="18"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7D51693B" w14:textId="77777777" w:rsidR="00CD78E1" w:rsidRPr="00A76642" w:rsidRDefault="00CD78E1" w:rsidP="00FD4D49">
      <w:pPr>
        <w:rPr>
          <w:rFonts w:eastAsiaTheme="majorEastAsia" w:cstheme="majorBidi"/>
          <w:b/>
          <w:bCs/>
          <w:color w:val="000000" w:themeColor="text1"/>
          <w:sz w:val="30"/>
          <w:szCs w:val="30"/>
        </w:rPr>
      </w:pPr>
    </w:p>
    <w:p w14:paraId="7D51693C" w14:textId="298A3F21" w:rsidR="003647D3" w:rsidRPr="003647D3" w:rsidRDefault="00AF20C0" w:rsidP="003647D3">
      <w:pPr>
        <w:spacing w:line="480" w:lineRule="auto"/>
        <w:rPr>
          <w:rFonts w:eastAsiaTheme="majorEastAsia" w:cstheme="majorBidi"/>
          <w:color w:val="000000" w:themeColor="text1"/>
        </w:rPr>
      </w:pPr>
      <w:r w:rsidRPr="00A76642">
        <w:rPr>
          <w:rFonts w:eastAsiaTheme="majorEastAsia" w:cstheme="majorBidi"/>
          <w:color w:val="000000" w:themeColor="text1"/>
        </w:rPr>
        <w:t xml:space="preserve">This </w:t>
      </w:r>
      <w:r w:rsidR="003647D3" w:rsidRPr="00A76642">
        <w:rPr>
          <w:rFonts w:eastAsiaTheme="majorEastAsia" w:cstheme="majorBidi"/>
          <w:color w:val="000000" w:themeColor="text1"/>
        </w:rPr>
        <w:t>chapter</w:t>
      </w:r>
      <w:r w:rsidRPr="00A76642">
        <w:rPr>
          <w:rFonts w:eastAsiaTheme="majorEastAsia" w:cstheme="majorBidi"/>
          <w:color w:val="000000" w:themeColor="text1"/>
        </w:rPr>
        <w:t xml:space="preserve"> presents and analyzes the </w:t>
      </w:r>
      <w:r w:rsidR="003647D3" w:rsidRPr="00A76642">
        <w:rPr>
          <w:rFonts w:eastAsiaTheme="majorEastAsia" w:cstheme="majorBidi"/>
          <w:color w:val="000000" w:themeColor="text1"/>
        </w:rPr>
        <w:t xml:space="preserve">findings from the qualitative and qualitative methods applied in this research </w:t>
      </w:r>
      <w:r w:rsidR="00726786" w:rsidRPr="00A76642">
        <w:rPr>
          <w:rFonts w:eastAsiaTheme="majorEastAsia" w:cstheme="majorBidi"/>
          <w:color w:val="000000" w:themeColor="text1"/>
        </w:rPr>
        <w:t xml:space="preserve">regarding </w:t>
      </w:r>
      <w:r w:rsidR="003647D3" w:rsidRPr="00A76642">
        <w:rPr>
          <w:rFonts w:eastAsiaTheme="majorEastAsia" w:cstheme="majorBidi"/>
          <w:color w:val="000000" w:themeColor="text1"/>
        </w:rPr>
        <w:t xml:space="preserve">both the motivators and barriers </w:t>
      </w:r>
      <w:r w:rsidR="00E03EF8" w:rsidRPr="00A76642">
        <w:rPr>
          <w:rFonts w:eastAsiaTheme="majorEastAsia" w:cstheme="majorBidi"/>
          <w:color w:val="000000" w:themeColor="text1"/>
        </w:rPr>
        <w:t>to HIT adoption</w:t>
      </w:r>
      <w:r w:rsidR="00AA2BEE" w:rsidRPr="00A76642">
        <w:rPr>
          <w:rFonts w:eastAsiaTheme="majorEastAsia" w:cstheme="majorBidi"/>
          <w:color w:val="000000" w:themeColor="text1"/>
        </w:rPr>
        <w:t>.</w:t>
      </w:r>
    </w:p>
    <w:p w14:paraId="14502EB2" w14:textId="6BF4AF59" w:rsidR="00186D0B" w:rsidRPr="00382A8C" w:rsidRDefault="00186D0B" w:rsidP="00186D0B">
      <w:pPr>
        <w:pStyle w:val="Heading1"/>
        <w:rPr>
          <w:color w:val="FF0000"/>
        </w:rPr>
      </w:pPr>
      <w:bookmarkStart w:id="129" w:name="_Toc24447797"/>
      <w:r w:rsidRPr="00382A8C">
        <w:rPr>
          <w:color w:val="FF0000"/>
        </w:rPr>
        <w:t>5.1. Test for Assumptions</w:t>
      </w:r>
      <w:bookmarkEnd w:id="129"/>
    </w:p>
    <w:p w14:paraId="64A707DB" w14:textId="2A217DB6" w:rsidR="00400EE7" w:rsidRPr="00624183" w:rsidRDefault="00400EE7" w:rsidP="00624183">
      <w:pPr>
        <w:autoSpaceDE w:val="0"/>
        <w:autoSpaceDN w:val="0"/>
        <w:adjustRightInd w:val="0"/>
        <w:spacing w:line="480" w:lineRule="auto"/>
        <w:jc w:val="both"/>
        <w:rPr>
          <w:color w:val="FF0000"/>
        </w:rPr>
      </w:pPr>
      <w:r w:rsidRPr="00624183">
        <w:rPr>
          <w:color w:val="FF0000"/>
        </w:rPr>
        <w:t xml:space="preserve">The data on responses about motivators and barriers were investigated for their variance, outliers and normality, through skewness and kurtosis tests. These values were well within the limits recommended in literature skewness &lt; 2; kurtosis &lt; 7 - Dubey et al., 2016) as shown in the Table </w:t>
      </w:r>
    </w:p>
    <w:p w14:paraId="3A22182D" w14:textId="77777777" w:rsidR="009E6732" w:rsidRDefault="009E6732" w:rsidP="009E6732">
      <w:pPr>
        <w:pStyle w:val="APAParagraph"/>
        <w:ind w:firstLine="0"/>
        <w:jc w:val="left"/>
        <w:rPr>
          <w:color w:val="000000" w:themeColor="text1"/>
        </w:rPr>
      </w:pPr>
    </w:p>
    <w:p w14:paraId="1B9B8820" w14:textId="77777777" w:rsidR="009E6732" w:rsidRDefault="009E6732" w:rsidP="009E6732">
      <w:pPr>
        <w:pStyle w:val="APAParagraph"/>
        <w:ind w:firstLine="0"/>
        <w:jc w:val="left"/>
        <w:rPr>
          <w:color w:val="000000" w:themeColor="text1"/>
        </w:rPr>
      </w:pPr>
    </w:p>
    <w:p w14:paraId="6D615FD8" w14:textId="77777777" w:rsidR="009E6732" w:rsidRDefault="009E6732" w:rsidP="009E6732">
      <w:pPr>
        <w:pStyle w:val="APAParagraph"/>
        <w:ind w:firstLine="0"/>
        <w:jc w:val="left"/>
        <w:rPr>
          <w:color w:val="000000" w:themeColor="text1"/>
        </w:rPr>
      </w:pPr>
    </w:p>
    <w:p w14:paraId="6405E608" w14:textId="5418483D" w:rsidR="00186D0B" w:rsidRPr="009E6732" w:rsidRDefault="009E6732" w:rsidP="009E6732">
      <w:pPr>
        <w:pStyle w:val="APAParagraph"/>
        <w:ind w:firstLine="0"/>
        <w:jc w:val="left"/>
        <w:rPr>
          <w:i/>
          <w:color w:val="000000" w:themeColor="text1"/>
          <w:lang w:bidi="ar-DZ"/>
        </w:rPr>
      </w:pPr>
      <w:r>
        <w:rPr>
          <w:color w:val="000000" w:themeColor="text1"/>
        </w:rPr>
        <w:lastRenderedPageBreak/>
        <w:t xml:space="preserve">Table </w:t>
      </w:r>
      <w:r w:rsidRPr="00FC6087">
        <w:rPr>
          <w:color w:val="000000" w:themeColor="text1"/>
        </w:rPr>
        <w:t>5.</w:t>
      </w:r>
      <w:r w:rsidRPr="00FC6087">
        <w:rPr>
          <w:color w:val="000000" w:themeColor="text1"/>
        </w:rPr>
        <w:fldChar w:fldCharType="begin"/>
      </w:r>
      <w:r w:rsidRPr="00FC6087">
        <w:rPr>
          <w:color w:val="000000" w:themeColor="text1"/>
        </w:rPr>
        <w:instrText xml:space="preserve"> SEQ Table_5. \* ARABIC </w:instrText>
      </w:r>
      <w:r w:rsidRPr="00FC6087">
        <w:rPr>
          <w:color w:val="000000" w:themeColor="text1"/>
        </w:rPr>
        <w:fldChar w:fldCharType="separate"/>
      </w:r>
      <w:r>
        <w:rPr>
          <w:noProof/>
          <w:color w:val="000000" w:themeColor="text1"/>
        </w:rPr>
        <w:t>1</w:t>
      </w:r>
      <w:r w:rsidRPr="00FC6087">
        <w:rPr>
          <w:color w:val="000000" w:themeColor="text1"/>
        </w:rPr>
        <w:fldChar w:fldCharType="end"/>
      </w:r>
      <w:r w:rsidRPr="00FC6087">
        <w:rPr>
          <w:color w:val="000000" w:themeColor="text1"/>
        </w:rPr>
        <w:br/>
      </w:r>
      <w:r>
        <w:rPr>
          <w:i/>
          <w:color w:val="000000" w:themeColor="text1"/>
          <w:lang w:bidi="ar-DZ"/>
        </w:rPr>
        <w:t>Test for skewness and kurtosis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2616"/>
        <w:gridCol w:w="2616"/>
      </w:tblGrid>
      <w:tr w:rsidR="00400EE7" w:rsidRPr="009E6732" w14:paraId="737E8576" w14:textId="77777777" w:rsidTr="009E6732">
        <w:tc>
          <w:tcPr>
            <w:tcW w:w="2616" w:type="dxa"/>
            <w:tcBorders>
              <w:top w:val="single" w:sz="12" w:space="0" w:color="auto"/>
              <w:bottom w:val="single" w:sz="4" w:space="0" w:color="auto"/>
            </w:tcBorders>
          </w:tcPr>
          <w:p w14:paraId="019BAFEB" w14:textId="77777777" w:rsidR="00400EE7" w:rsidRPr="009E6732" w:rsidRDefault="00400EE7" w:rsidP="009E6732">
            <w:pPr>
              <w:spacing w:line="360" w:lineRule="auto"/>
              <w:ind w:left="29"/>
              <w:rPr>
                <w:rFonts w:asciiTheme="majorBidi" w:eastAsia="Times New Roman" w:hAnsiTheme="majorBidi" w:cstheme="majorBidi"/>
                <w:color w:val="000000" w:themeColor="text1"/>
              </w:rPr>
            </w:pPr>
          </w:p>
        </w:tc>
        <w:tc>
          <w:tcPr>
            <w:tcW w:w="2616" w:type="dxa"/>
            <w:tcBorders>
              <w:top w:val="single" w:sz="12" w:space="0" w:color="auto"/>
              <w:bottom w:val="single" w:sz="4" w:space="0" w:color="auto"/>
            </w:tcBorders>
          </w:tcPr>
          <w:p w14:paraId="4CB877DA" w14:textId="05A2FA01" w:rsidR="00400EE7" w:rsidRPr="009E6732" w:rsidRDefault="00400EE7"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Motivators</w:t>
            </w:r>
          </w:p>
        </w:tc>
        <w:tc>
          <w:tcPr>
            <w:tcW w:w="2616" w:type="dxa"/>
            <w:tcBorders>
              <w:top w:val="single" w:sz="12" w:space="0" w:color="auto"/>
              <w:bottom w:val="single" w:sz="4" w:space="0" w:color="auto"/>
            </w:tcBorders>
          </w:tcPr>
          <w:p w14:paraId="5BDAC9DA" w14:textId="6C328367" w:rsidR="00400EE7" w:rsidRPr="009E6732" w:rsidRDefault="00400EE7"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Barriers</w:t>
            </w:r>
          </w:p>
        </w:tc>
      </w:tr>
      <w:tr w:rsidR="00400EE7" w:rsidRPr="009E6732" w14:paraId="4BBFB76D" w14:textId="77777777" w:rsidTr="009E6732">
        <w:tc>
          <w:tcPr>
            <w:tcW w:w="2616" w:type="dxa"/>
            <w:tcBorders>
              <w:top w:val="single" w:sz="4" w:space="0" w:color="auto"/>
            </w:tcBorders>
          </w:tcPr>
          <w:p w14:paraId="57D2F4D4" w14:textId="370AC7B8" w:rsidR="00400EE7" w:rsidRPr="009E6732" w:rsidRDefault="00400EE7" w:rsidP="009E6732">
            <w:pPr>
              <w:spacing w:line="360" w:lineRule="auto"/>
              <w:ind w:left="29"/>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Skewness</w:t>
            </w:r>
          </w:p>
        </w:tc>
        <w:tc>
          <w:tcPr>
            <w:tcW w:w="2616" w:type="dxa"/>
            <w:tcBorders>
              <w:top w:val="single" w:sz="4" w:space="0" w:color="auto"/>
            </w:tcBorders>
          </w:tcPr>
          <w:p w14:paraId="530757AF" w14:textId="28479DB8" w:rsidR="00400EE7" w:rsidRPr="009E6732" w:rsidRDefault="00400EE7"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-0.857</w:t>
            </w:r>
          </w:p>
        </w:tc>
        <w:tc>
          <w:tcPr>
            <w:tcW w:w="2616" w:type="dxa"/>
            <w:tcBorders>
              <w:top w:val="single" w:sz="4" w:space="0" w:color="auto"/>
            </w:tcBorders>
          </w:tcPr>
          <w:p w14:paraId="5BBBB947" w14:textId="6515DADE" w:rsidR="00400EE7" w:rsidRPr="009E6732" w:rsidRDefault="009E6732"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-0.734</w:t>
            </w:r>
          </w:p>
        </w:tc>
      </w:tr>
      <w:tr w:rsidR="00400EE7" w:rsidRPr="009E6732" w14:paraId="26813D70" w14:textId="77777777" w:rsidTr="009E6732">
        <w:tc>
          <w:tcPr>
            <w:tcW w:w="2616" w:type="dxa"/>
          </w:tcPr>
          <w:p w14:paraId="51E8B451" w14:textId="54D0FCAD" w:rsidR="00400EE7" w:rsidRPr="009E6732" w:rsidRDefault="00400EE7" w:rsidP="009E6732">
            <w:pPr>
              <w:spacing w:line="360" w:lineRule="auto"/>
              <w:ind w:left="29"/>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 xml:space="preserve">Std. error </w:t>
            </w:r>
            <w:r w:rsidR="009E6732">
              <w:rPr>
                <w:rFonts w:asciiTheme="majorBidi" w:eastAsia="Times New Roman" w:hAnsiTheme="majorBidi" w:cstheme="majorBidi"/>
                <w:color w:val="000000" w:themeColor="text1"/>
              </w:rPr>
              <w:t xml:space="preserve">of </w:t>
            </w:r>
            <w:r w:rsidRPr="009E6732">
              <w:rPr>
                <w:rFonts w:asciiTheme="majorBidi" w:eastAsia="Times New Roman" w:hAnsiTheme="majorBidi" w:cstheme="majorBidi"/>
                <w:color w:val="000000" w:themeColor="text1"/>
              </w:rPr>
              <w:t>skewness</w:t>
            </w:r>
          </w:p>
        </w:tc>
        <w:tc>
          <w:tcPr>
            <w:tcW w:w="2616" w:type="dxa"/>
          </w:tcPr>
          <w:p w14:paraId="675A7B30" w14:textId="458FFECB" w:rsidR="00400EE7" w:rsidRPr="009E6732" w:rsidRDefault="00400EE7"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0.123</w:t>
            </w:r>
          </w:p>
        </w:tc>
        <w:tc>
          <w:tcPr>
            <w:tcW w:w="2616" w:type="dxa"/>
          </w:tcPr>
          <w:p w14:paraId="1534D2A2" w14:textId="3A5FB8C9" w:rsidR="00400EE7" w:rsidRPr="009E6732" w:rsidRDefault="009E6732"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0.198</w:t>
            </w:r>
          </w:p>
        </w:tc>
      </w:tr>
      <w:tr w:rsidR="00400EE7" w:rsidRPr="009E6732" w14:paraId="68CD875E" w14:textId="77777777" w:rsidTr="009E6732">
        <w:tc>
          <w:tcPr>
            <w:tcW w:w="2616" w:type="dxa"/>
          </w:tcPr>
          <w:p w14:paraId="211D5B79" w14:textId="29737057" w:rsidR="00400EE7" w:rsidRPr="009E6732" w:rsidRDefault="00400EE7" w:rsidP="009E6732">
            <w:pPr>
              <w:spacing w:line="360" w:lineRule="auto"/>
              <w:ind w:left="29"/>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Kurtosis</w:t>
            </w:r>
          </w:p>
        </w:tc>
        <w:tc>
          <w:tcPr>
            <w:tcW w:w="2616" w:type="dxa"/>
          </w:tcPr>
          <w:p w14:paraId="7E4AEC86" w14:textId="39AE2144" w:rsidR="00400EE7" w:rsidRPr="009E6732" w:rsidRDefault="00400EE7"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2.940</w:t>
            </w:r>
          </w:p>
        </w:tc>
        <w:tc>
          <w:tcPr>
            <w:tcW w:w="2616" w:type="dxa"/>
          </w:tcPr>
          <w:p w14:paraId="1B60BA08" w14:textId="58819633" w:rsidR="00400EE7" w:rsidRPr="009E6732" w:rsidRDefault="009E6732"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1.469</w:t>
            </w:r>
          </w:p>
        </w:tc>
      </w:tr>
      <w:tr w:rsidR="00400EE7" w:rsidRPr="009E6732" w14:paraId="365F5C85" w14:textId="77777777" w:rsidTr="009E6732">
        <w:tc>
          <w:tcPr>
            <w:tcW w:w="2616" w:type="dxa"/>
            <w:tcBorders>
              <w:bottom w:val="single" w:sz="18" w:space="0" w:color="auto"/>
            </w:tcBorders>
          </w:tcPr>
          <w:p w14:paraId="064099CD" w14:textId="0A5D535D" w:rsidR="00400EE7" w:rsidRPr="009E6732" w:rsidRDefault="00400EE7" w:rsidP="009E6732">
            <w:pPr>
              <w:spacing w:line="360" w:lineRule="auto"/>
              <w:ind w:left="29"/>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 xml:space="preserve">Std. error </w:t>
            </w:r>
            <w:r w:rsidR="009E6732">
              <w:rPr>
                <w:rFonts w:asciiTheme="majorBidi" w:eastAsia="Times New Roman" w:hAnsiTheme="majorBidi" w:cstheme="majorBidi"/>
                <w:color w:val="000000" w:themeColor="text1"/>
              </w:rPr>
              <w:t xml:space="preserve">of </w:t>
            </w:r>
            <w:r w:rsidRPr="009E6732">
              <w:rPr>
                <w:rFonts w:asciiTheme="majorBidi" w:eastAsia="Times New Roman" w:hAnsiTheme="majorBidi" w:cstheme="majorBidi"/>
                <w:color w:val="000000" w:themeColor="text1"/>
              </w:rPr>
              <w:t xml:space="preserve">kurtosis </w:t>
            </w:r>
          </w:p>
        </w:tc>
        <w:tc>
          <w:tcPr>
            <w:tcW w:w="2616" w:type="dxa"/>
            <w:tcBorders>
              <w:bottom w:val="single" w:sz="18" w:space="0" w:color="auto"/>
            </w:tcBorders>
          </w:tcPr>
          <w:p w14:paraId="77590D62" w14:textId="7A22AAEE" w:rsidR="00400EE7" w:rsidRPr="009E6732" w:rsidRDefault="00400EE7"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0.246</w:t>
            </w:r>
          </w:p>
        </w:tc>
        <w:tc>
          <w:tcPr>
            <w:tcW w:w="2616" w:type="dxa"/>
            <w:tcBorders>
              <w:bottom w:val="single" w:sz="18" w:space="0" w:color="auto"/>
            </w:tcBorders>
          </w:tcPr>
          <w:p w14:paraId="2E63667C" w14:textId="79CF1B5E" w:rsidR="00400EE7" w:rsidRPr="009E6732" w:rsidRDefault="009E6732" w:rsidP="009E6732">
            <w:pPr>
              <w:spacing w:line="360" w:lineRule="auto"/>
              <w:ind w:left="29"/>
              <w:jc w:val="center"/>
              <w:rPr>
                <w:rFonts w:asciiTheme="majorBidi" w:eastAsia="Times New Roman" w:hAnsiTheme="majorBidi" w:cstheme="majorBidi"/>
                <w:color w:val="000000" w:themeColor="text1"/>
              </w:rPr>
            </w:pPr>
            <w:r w:rsidRPr="009E6732">
              <w:rPr>
                <w:rFonts w:asciiTheme="majorBidi" w:eastAsia="Times New Roman" w:hAnsiTheme="majorBidi" w:cstheme="majorBidi"/>
                <w:color w:val="000000" w:themeColor="text1"/>
              </w:rPr>
              <w:t>0.394</w:t>
            </w:r>
          </w:p>
        </w:tc>
      </w:tr>
    </w:tbl>
    <w:p w14:paraId="4948E8AB" w14:textId="77777777" w:rsidR="00400EE7" w:rsidRDefault="00400EE7" w:rsidP="00186D0B"/>
    <w:p w14:paraId="00A1EE58" w14:textId="2E61F177" w:rsidR="00186D0B" w:rsidRPr="00FC6087" w:rsidRDefault="00186D0B" w:rsidP="00186D0B">
      <w:pPr>
        <w:pStyle w:val="Heading1"/>
        <w:rPr>
          <w:color w:val="000000" w:themeColor="text1"/>
        </w:rPr>
      </w:pPr>
      <w:bookmarkStart w:id="130" w:name="_Toc24447798"/>
      <w:r>
        <w:rPr>
          <w:color w:val="000000" w:themeColor="text1"/>
        </w:rPr>
        <w:t>5.2</w:t>
      </w:r>
      <w:r w:rsidRPr="00FC6087">
        <w:rPr>
          <w:color w:val="000000" w:themeColor="text1"/>
        </w:rPr>
        <w:t xml:space="preserve">. </w:t>
      </w:r>
      <w:r w:rsidRPr="00626CE7">
        <w:rPr>
          <w:color w:val="FF0000"/>
        </w:rPr>
        <w:t>Common Method Bias</w:t>
      </w:r>
      <w:bookmarkEnd w:id="130"/>
    </w:p>
    <w:p w14:paraId="33819DB5" w14:textId="2F0955E6" w:rsidR="00186D0B" w:rsidRPr="00C16B43" w:rsidRDefault="0035609C" w:rsidP="00F11B91">
      <w:pPr>
        <w:spacing w:line="480" w:lineRule="auto"/>
        <w:rPr>
          <w:color w:val="FF0000"/>
        </w:rPr>
      </w:pPr>
      <w:r w:rsidRPr="00C16B43">
        <w:rPr>
          <w:color w:val="FF0000"/>
        </w:rPr>
        <w:t xml:space="preserve">The methodology suggested by Podsakoff et al. (2003) was employed to test the existence of common method biases in our data. The groups of respondents were ensured of the confidentiality of their responses. The initial number of responses for motivators and barriers were 510 and 178 respectively. This number reduced to 391 and 150  respectively, after replacing the missing values with mean (Schafer and Graham, 2002). Furthermore, no single factor explained most of the variance (i.e. the variances explained ranged from 3.92 to 43.41 per cent for </w:t>
      </w:r>
      <w:r w:rsidR="00F11B91" w:rsidRPr="00C16B43">
        <w:rPr>
          <w:color w:val="FF0000"/>
        </w:rPr>
        <w:t>motivators</w:t>
      </w:r>
      <w:r w:rsidRPr="00C16B43">
        <w:rPr>
          <w:color w:val="FF0000"/>
        </w:rPr>
        <w:t xml:space="preserve"> and from </w:t>
      </w:r>
      <w:r w:rsidR="00F11B91" w:rsidRPr="00C16B43">
        <w:rPr>
          <w:color w:val="FF0000"/>
        </w:rPr>
        <w:t>5.64</w:t>
      </w:r>
      <w:r w:rsidRPr="00C16B43">
        <w:rPr>
          <w:color w:val="FF0000"/>
        </w:rPr>
        <w:t xml:space="preserve"> to </w:t>
      </w:r>
      <w:r w:rsidR="00F11B91" w:rsidRPr="00C16B43">
        <w:rPr>
          <w:color w:val="FF0000"/>
        </w:rPr>
        <w:t>48.52</w:t>
      </w:r>
      <w:r w:rsidRPr="00C16B43">
        <w:rPr>
          <w:color w:val="FF0000"/>
        </w:rPr>
        <w:t xml:space="preserve"> for </w:t>
      </w:r>
      <w:r w:rsidR="00F11B91" w:rsidRPr="00C16B43">
        <w:rPr>
          <w:color w:val="FF0000"/>
        </w:rPr>
        <w:t>barriers</w:t>
      </w:r>
      <w:r w:rsidRPr="00C16B43">
        <w:rPr>
          <w:color w:val="FF0000"/>
        </w:rPr>
        <w:t>). Thurs, it could be safely concluded that the results would not be inflated due to the existence of a common method variance (Singh et al., 2019)</w:t>
      </w:r>
    </w:p>
    <w:p w14:paraId="630E60A7" w14:textId="77777777" w:rsidR="00186D0B" w:rsidRDefault="00186D0B" w:rsidP="00186D0B"/>
    <w:p w14:paraId="2E5C003D" w14:textId="77777777" w:rsidR="00186D0B" w:rsidRPr="00186D0B" w:rsidRDefault="00186D0B" w:rsidP="00186D0B"/>
    <w:p w14:paraId="7D51693D" w14:textId="44E0F0CC" w:rsidR="00FD4D49" w:rsidRPr="00FC6087" w:rsidRDefault="00186D0B" w:rsidP="00626CE7">
      <w:pPr>
        <w:pStyle w:val="Heading1"/>
        <w:rPr>
          <w:color w:val="000000" w:themeColor="text1"/>
        </w:rPr>
      </w:pPr>
      <w:bookmarkStart w:id="131" w:name="_Toc24447799"/>
      <w:r>
        <w:rPr>
          <w:color w:val="000000" w:themeColor="text1"/>
        </w:rPr>
        <w:lastRenderedPageBreak/>
        <w:t>5.3</w:t>
      </w:r>
      <w:r w:rsidR="00E6118C" w:rsidRPr="00FC6087">
        <w:rPr>
          <w:color w:val="000000" w:themeColor="text1"/>
        </w:rPr>
        <w:t xml:space="preserve">. </w:t>
      </w:r>
      <w:r w:rsidR="00FD4D49" w:rsidRPr="00FC6087">
        <w:rPr>
          <w:color w:val="000000" w:themeColor="text1"/>
        </w:rPr>
        <w:t>Exploratory</w:t>
      </w:r>
      <w:r w:rsidR="00206E2A">
        <w:rPr>
          <w:color w:val="000000" w:themeColor="text1"/>
        </w:rPr>
        <w:t xml:space="preserve"> and Confirmatory</w:t>
      </w:r>
      <w:r w:rsidR="00FD4D49" w:rsidRPr="00FC6087">
        <w:rPr>
          <w:color w:val="000000" w:themeColor="text1"/>
        </w:rPr>
        <w:t xml:space="preserve"> </w:t>
      </w:r>
      <w:r w:rsidR="00BF459E" w:rsidRPr="00FC6087">
        <w:rPr>
          <w:color w:val="000000" w:themeColor="text1"/>
        </w:rPr>
        <w:t xml:space="preserve">Factor </w:t>
      </w:r>
      <w:r w:rsidR="00FD4D49" w:rsidRPr="00FC6087">
        <w:rPr>
          <w:color w:val="000000" w:themeColor="text1"/>
        </w:rPr>
        <w:t>Analysis</w:t>
      </w:r>
      <w:bookmarkStart w:id="132" w:name="_Toc532800303"/>
      <w:bookmarkStart w:id="133" w:name="_Toc534028547"/>
      <w:bookmarkStart w:id="134" w:name="_Toc534028931"/>
      <w:bookmarkEnd w:id="126"/>
      <w:bookmarkEnd w:id="127"/>
      <w:bookmarkEnd w:id="128"/>
      <w:r w:rsidR="00BF459E" w:rsidRPr="00FC6087">
        <w:rPr>
          <w:color w:val="000000" w:themeColor="text1"/>
        </w:rPr>
        <w:t xml:space="preserve"> (EFA)</w:t>
      </w:r>
      <w:r w:rsidR="00EE5634">
        <w:rPr>
          <w:color w:val="000000" w:themeColor="text1"/>
        </w:rPr>
        <w:t xml:space="preserve"> </w:t>
      </w:r>
      <w:r w:rsidR="00FD4D49" w:rsidRPr="00FC6087">
        <w:rPr>
          <w:color w:val="000000" w:themeColor="text1"/>
        </w:rPr>
        <w:t>Results</w:t>
      </w:r>
      <w:bookmarkEnd w:id="131"/>
      <w:bookmarkEnd w:id="132"/>
      <w:bookmarkEnd w:id="133"/>
      <w:bookmarkEnd w:id="134"/>
    </w:p>
    <w:p w14:paraId="7D51693E" w14:textId="3DC872C7" w:rsidR="002C634A" w:rsidRPr="00FC6087" w:rsidRDefault="00FD4D49" w:rsidP="00FD4D49">
      <w:pPr>
        <w:pStyle w:val="APAParagraph"/>
        <w:rPr>
          <w:color w:val="000000" w:themeColor="text1"/>
        </w:rPr>
      </w:pPr>
      <w:r w:rsidRPr="00FC6087">
        <w:rPr>
          <w:color w:val="000000" w:themeColor="text1"/>
        </w:rPr>
        <w:t>Based on participant responses, 66 motivators</w:t>
      </w:r>
      <w:r w:rsidR="00400F80" w:rsidRPr="00FC6087">
        <w:rPr>
          <w:color w:val="000000" w:themeColor="text1"/>
        </w:rPr>
        <w:t xml:space="preserve"> (see Table 5.1)</w:t>
      </w:r>
      <w:r w:rsidR="00E44A61">
        <w:rPr>
          <w:color w:val="000000" w:themeColor="text1"/>
        </w:rPr>
        <w:t xml:space="preserve"> </w:t>
      </w:r>
      <w:r w:rsidR="00307F56" w:rsidRPr="00FC6087">
        <w:rPr>
          <w:color w:val="000000" w:themeColor="text1"/>
        </w:rPr>
        <w:t>for</w:t>
      </w:r>
      <w:r w:rsidRPr="00FC6087">
        <w:rPr>
          <w:color w:val="000000" w:themeColor="text1"/>
        </w:rPr>
        <w:t xml:space="preserve"> HIT adoption and 92 barriers </w:t>
      </w:r>
      <w:r w:rsidR="00307F56" w:rsidRPr="00FC6087">
        <w:rPr>
          <w:color w:val="000000" w:themeColor="text1"/>
        </w:rPr>
        <w:t>t</w:t>
      </w:r>
      <w:r w:rsidR="00400F80" w:rsidRPr="00FC6087">
        <w:rPr>
          <w:color w:val="000000" w:themeColor="text1"/>
        </w:rPr>
        <w:t xml:space="preserve">o HIT adoption (see Table 5.2) </w:t>
      </w:r>
      <w:r w:rsidRPr="00FC6087">
        <w:rPr>
          <w:color w:val="000000" w:themeColor="text1"/>
        </w:rPr>
        <w:t xml:space="preserve">were identified across the four </w:t>
      </w:r>
      <w:r w:rsidR="00400F80" w:rsidRPr="00FC6087">
        <w:rPr>
          <w:color w:val="000000" w:themeColor="text1"/>
        </w:rPr>
        <w:t xml:space="preserve">stakeholder </w:t>
      </w:r>
      <w:r w:rsidRPr="00FC6087">
        <w:rPr>
          <w:color w:val="000000" w:themeColor="text1"/>
        </w:rPr>
        <w:t>categories.</w:t>
      </w:r>
    </w:p>
    <w:p w14:paraId="7D51693F" w14:textId="77777777" w:rsidR="00270E2D" w:rsidRPr="00FC6087" w:rsidRDefault="00270E2D" w:rsidP="00FD4D49">
      <w:pPr>
        <w:pStyle w:val="APAParagraph"/>
        <w:rPr>
          <w:color w:val="000000" w:themeColor="text1"/>
        </w:rPr>
      </w:pPr>
    </w:p>
    <w:p w14:paraId="7D516940" w14:textId="5260C419" w:rsidR="002C634A" w:rsidRPr="00FC6087" w:rsidRDefault="009E6732" w:rsidP="003F0A8A">
      <w:pPr>
        <w:pStyle w:val="APAParagraph"/>
        <w:ind w:firstLine="0"/>
        <w:jc w:val="left"/>
        <w:rPr>
          <w:i/>
          <w:color w:val="000000" w:themeColor="text1"/>
          <w:rtl/>
          <w:lang w:bidi="ar-DZ"/>
        </w:rPr>
      </w:pPr>
      <w:bookmarkStart w:id="135" w:name="_Toc534121145"/>
      <w:r>
        <w:rPr>
          <w:color w:val="000000" w:themeColor="text1"/>
        </w:rPr>
        <w:t xml:space="preserve">Table </w:t>
      </w:r>
      <w:r w:rsidR="002C634A" w:rsidRPr="00FC6087">
        <w:rPr>
          <w:color w:val="000000" w:themeColor="text1"/>
        </w:rPr>
        <w:t>5.</w:t>
      </w:r>
      <w:r w:rsidR="000270F9">
        <w:rPr>
          <w:color w:val="000000" w:themeColor="text1"/>
        </w:rPr>
        <w:t>2</w:t>
      </w:r>
      <w:r w:rsidR="002C634A" w:rsidRPr="00FC6087">
        <w:rPr>
          <w:color w:val="000000" w:themeColor="text1"/>
        </w:rPr>
        <w:br/>
      </w:r>
      <w:r w:rsidR="002C634A" w:rsidRPr="00FC6087">
        <w:rPr>
          <w:i/>
          <w:color w:val="000000" w:themeColor="text1"/>
          <w:lang w:bidi="ar-DZ"/>
        </w:rPr>
        <w:t xml:space="preserve">Motivators Reported by </w:t>
      </w:r>
      <w:r w:rsidR="00034AEC">
        <w:rPr>
          <w:i/>
          <w:color w:val="000000" w:themeColor="text1"/>
          <w:lang w:bidi="ar-DZ"/>
        </w:rPr>
        <w:t>E</w:t>
      </w:r>
      <w:r w:rsidR="002C634A" w:rsidRPr="00FC6087">
        <w:rPr>
          <w:i/>
          <w:color w:val="000000" w:themeColor="text1"/>
          <w:lang w:bidi="ar-DZ"/>
        </w:rPr>
        <w:t>ach Stakeholder Group</w:t>
      </w:r>
      <w:bookmarkEnd w:id="135"/>
    </w:p>
    <w:tbl>
      <w:tblPr>
        <w:tblW w:w="7864" w:type="dxa"/>
        <w:tblInd w:w="29" w:type="dxa"/>
        <w:tblBorders>
          <w:top w:val="single" w:sz="4" w:space="0" w:color="auto"/>
          <w:bottom w:val="single" w:sz="4" w:space="0" w:color="auto"/>
        </w:tblBorders>
        <w:tblLayout w:type="fixed"/>
        <w:tblCellMar>
          <w:left w:w="29" w:type="dxa"/>
          <w:right w:w="29" w:type="dxa"/>
        </w:tblCellMar>
        <w:tblLook w:val="0600" w:firstRow="0" w:lastRow="0" w:firstColumn="0" w:lastColumn="0" w:noHBand="1" w:noVBand="1"/>
      </w:tblPr>
      <w:tblGrid>
        <w:gridCol w:w="432"/>
        <w:gridCol w:w="1858"/>
        <w:gridCol w:w="1858"/>
        <w:gridCol w:w="1858"/>
        <w:gridCol w:w="1858"/>
      </w:tblGrid>
      <w:tr w:rsidR="00EC3C91" w:rsidRPr="00FC6087" w14:paraId="7D516946" w14:textId="77777777" w:rsidTr="00551162">
        <w:trPr>
          <w:trHeight w:val="552"/>
          <w:tblHeader/>
        </w:trPr>
        <w:tc>
          <w:tcPr>
            <w:tcW w:w="432" w:type="dxa"/>
            <w:tcBorders>
              <w:top w:val="single" w:sz="18" w:space="0" w:color="auto"/>
              <w:bottom w:val="single" w:sz="12" w:space="0" w:color="auto"/>
            </w:tcBorders>
            <w:shd w:val="clear" w:color="auto" w:fill="auto"/>
            <w:vAlign w:val="center"/>
          </w:tcPr>
          <w:p w14:paraId="7D516941" w14:textId="77777777" w:rsidR="002C634A" w:rsidRPr="00FC6087" w:rsidRDefault="002C634A" w:rsidP="006D69FF">
            <w:pPr>
              <w:spacing w:line="480" w:lineRule="auto"/>
              <w:ind w:left="34"/>
              <w:rPr>
                <w:rFonts w:asciiTheme="majorBidi" w:eastAsia="Times New Roman" w:hAnsiTheme="majorBidi" w:cstheme="majorBidi"/>
                <w:color w:val="000000" w:themeColor="text1"/>
              </w:rPr>
            </w:pPr>
            <w:r w:rsidRPr="00FC6087">
              <w:rPr>
                <w:rFonts w:asciiTheme="majorBidi" w:eastAsia="Times New Roman" w:hAnsiTheme="majorBidi" w:cstheme="majorBidi"/>
                <w:color w:val="000000" w:themeColor="text1"/>
              </w:rPr>
              <w:t>#</w:t>
            </w:r>
          </w:p>
        </w:tc>
        <w:tc>
          <w:tcPr>
            <w:tcW w:w="1858" w:type="dxa"/>
            <w:tcBorders>
              <w:top w:val="single" w:sz="18" w:space="0" w:color="auto"/>
              <w:bottom w:val="single" w:sz="12" w:space="0" w:color="auto"/>
            </w:tcBorders>
            <w:shd w:val="clear" w:color="auto" w:fill="auto"/>
            <w:tcMar>
              <w:top w:w="57" w:type="dxa"/>
              <w:bottom w:w="57" w:type="dxa"/>
            </w:tcMar>
            <w:vAlign w:val="center"/>
          </w:tcPr>
          <w:p w14:paraId="7D516942"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eastAsia="Times New Roman" w:hAnsiTheme="majorBidi" w:cstheme="majorBidi"/>
                <w:color w:val="000000" w:themeColor="text1"/>
              </w:rPr>
              <w:t>UAE Residents</w:t>
            </w:r>
          </w:p>
        </w:tc>
        <w:tc>
          <w:tcPr>
            <w:tcW w:w="1858" w:type="dxa"/>
            <w:tcBorders>
              <w:top w:val="single" w:sz="18" w:space="0" w:color="auto"/>
              <w:bottom w:val="single" w:sz="12" w:space="0" w:color="auto"/>
            </w:tcBorders>
            <w:shd w:val="clear" w:color="auto" w:fill="auto"/>
            <w:vAlign w:val="center"/>
          </w:tcPr>
          <w:p w14:paraId="7D516943"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eastAsia="Times New Roman" w:hAnsiTheme="majorBidi" w:cstheme="majorBidi"/>
                <w:color w:val="000000" w:themeColor="text1"/>
              </w:rPr>
              <w:t>Employees</w:t>
            </w:r>
          </w:p>
        </w:tc>
        <w:tc>
          <w:tcPr>
            <w:tcW w:w="1858" w:type="dxa"/>
            <w:tcBorders>
              <w:top w:val="single" w:sz="18" w:space="0" w:color="auto"/>
              <w:bottom w:val="single" w:sz="12" w:space="0" w:color="auto"/>
            </w:tcBorders>
            <w:shd w:val="clear" w:color="auto" w:fill="auto"/>
            <w:vAlign w:val="center"/>
          </w:tcPr>
          <w:p w14:paraId="7D516944"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eastAsia="Times New Roman" w:hAnsiTheme="majorBidi" w:cstheme="majorBidi"/>
                <w:color w:val="000000" w:themeColor="text1"/>
              </w:rPr>
              <w:t>Patients</w:t>
            </w:r>
          </w:p>
        </w:tc>
        <w:tc>
          <w:tcPr>
            <w:tcW w:w="1858" w:type="dxa"/>
            <w:tcBorders>
              <w:top w:val="single" w:sz="18" w:space="0" w:color="auto"/>
              <w:bottom w:val="single" w:sz="12" w:space="0" w:color="auto"/>
            </w:tcBorders>
            <w:shd w:val="clear" w:color="auto" w:fill="auto"/>
            <w:vAlign w:val="center"/>
          </w:tcPr>
          <w:p w14:paraId="7D516945"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eastAsia="Times New Roman" w:hAnsiTheme="majorBidi" w:cstheme="majorBidi"/>
                <w:color w:val="000000" w:themeColor="text1"/>
              </w:rPr>
              <w:t>Foresight Experts</w:t>
            </w:r>
          </w:p>
        </w:tc>
      </w:tr>
      <w:tr w:rsidR="006B1994" w:rsidRPr="00FC6087" w14:paraId="7D51694C" w14:textId="77777777" w:rsidTr="00551162">
        <w:trPr>
          <w:trHeight w:val="552"/>
        </w:trPr>
        <w:tc>
          <w:tcPr>
            <w:tcW w:w="432" w:type="dxa"/>
            <w:tcBorders>
              <w:top w:val="single" w:sz="12" w:space="0" w:color="auto"/>
            </w:tcBorders>
            <w:shd w:val="clear" w:color="auto" w:fill="auto"/>
            <w:vAlign w:val="center"/>
          </w:tcPr>
          <w:p w14:paraId="7D516947"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1</w:t>
            </w:r>
          </w:p>
        </w:tc>
        <w:tc>
          <w:tcPr>
            <w:tcW w:w="1858" w:type="dxa"/>
            <w:tcBorders>
              <w:top w:val="single" w:sz="12" w:space="0" w:color="auto"/>
            </w:tcBorders>
            <w:shd w:val="clear" w:color="auto" w:fill="auto"/>
            <w:tcMar>
              <w:top w:w="57" w:type="dxa"/>
              <w:bottom w:w="57" w:type="dxa"/>
            </w:tcMar>
            <w:vAlign w:val="center"/>
          </w:tcPr>
          <w:p w14:paraId="7D516948"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Online access</w:t>
            </w:r>
          </w:p>
        </w:tc>
        <w:tc>
          <w:tcPr>
            <w:tcW w:w="1858" w:type="dxa"/>
            <w:tcBorders>
              <w:top w:val="single" w:sz="12" w:space="0" w:color="auto"/>
            </w:tcBorders>
            <w:shd w:val="clear" w:color="auto" w:fill="auto"/>
            <w:tcMar>
              <w:top w:w="57" w:type="dxa"/>
              <w:bottom w:w="57" w:type="dxa"/>
            </w:tcMar>
            <w:vAlign w:val="center"/>
          </w:tcPr>
          <w:p w14:paraId="7D516949"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Strategic support</w:t>
            </w:r>
          </w:p>
        </w:tc>
        <w:tc>
          <w:tcPr>
            <w:tcW w:w="1858" w:type="dxa"/>
            <w:tcBorders>
              <w:top w:val="single" w:sz="12" w:space="0" w:color="auto"/>
            </w:tcBorders>
            <w:shd w:val="clear" w:color="auto" w:fill="auto"/>
            <w:tcMar>
              <w:top w:w="57" w:type="dxa"/>
              <w:bottom w:w="57" w:type="dxa"/>
            </w:tcMar>
            <w:vAlign w:val="center"/>
          </w:tcPr>
          <w:p w14:paraId="7D51694A"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eastAsia="Times New Roman" w:hAnsiTheme="majorBidi" w:cstheme="majorBidi"/>
                <w:color w:val="000000" w:themeColor="text1"/>
              </w:rPr>
              <w:t>Quick recovery</w:t>
            </w:r>
          </w:p>
        </w:tc>
        <w:tc>
          <w:tcPr>
            <w:tcW w:w="1858" w:type="dxa"/>
            <w:tcBorders>
              <w:top w:val="single" w:sz="12" w:space="0" w:color="auto"/>
            </w:tcBorders>
            <w:shd w:val="clear" w:color="auto" w:fill="auto"/>
            <w:tcMar>
              <w:top w:w="57" w:type="dxa"/>
              <w:bottom w:w="57" w:type="dxa"/>
            </w:tcMar>
            <w:vAlign w:val="center"/>
          </w:tcPr>
          <w:p w14:paraId="7D51694B"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2030 vision</w:t>
            </w:r>
          </w:p>
        </w:tc>
      </w:tr>
      <w:tr w:rsidR="00EC3C91" w:rsidRPr="00FC6087" w14:paraId="7D516952" w14:textId="77777777" w:rsidTr="00551162">
        <w:trPr>
          <w:trHeight w:val="552"/>
        </w:trPr>
        <w:tc>
          <w:tcPr>
            <w:tcW w:w="432" w:type="dxa"/>
            <w:shd w:val="clear" w:color="auto" w:fill="auto"/>
            <w:vAlign w:val="center"/>
          </w:tcPr>
          <w:p w14:paraId="7D51694D"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2</w:t>
            </w:r>
          </w:p>
        </w:tc>
        <w:tc>
          <w:tcPr>
            <w:tcW w:w="1858" w:type="dxa"/>
            <w:shd w:val="clear" w:color="auto" w:fill="auto"/>
            <w:tcMar>
              <w:top w:w="57" w:type="dxa"/>
              <w:bottom w:w="57" w:type="dxa"/>
            </w:tcMar>
            <w:vAlign w:val="center"/>
          </w:tcPr>
          <w:p w14:paraId="7D51694E"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Financial support</w:t>
            </w:r>
          </w:p>
        </w:tc>
        <w:tc>
          <w:tcPr>
            <w:tcW w:w="1858" w:type="dxa"/>
            <w:shd w:val="clear" w:color="auto" w:fill="auto"/>
            <w:tcMar>
              <w:top w:w="57" w:type="dxa"/>
              <w:bottom w:w="57" w:type="dxa"/>
            </w:tcMar>
            <w:vAlign w:val="center"/>
          </w:tcPr>
          <w:p w14:paraId="7D51694F" w14:textId="3F2242BF" w:rsidR="002C634A" w:rsidRPr="00FC6087" w:rsidRDefault="002C634A" w:rsidP="006D69FF">
            <w:pPr>
              <w:spacing w:line="480" w:lineRule="auto"/>
              <w:rPr>
                <w:rFonts w:asciiTheme="majorBidi" w:hAnsiTheme="majorBidi" w:cstheme="majorBidi"/>
                <w:color w:val="000000" w:themeColor="text1"/>
              </w:rPr>
            </w:pPr>
            <w:r w:rsidRPr="00FC6087">
              <w:rPr>
                <w:color w:val="000000" w:themeColor="text1"/>
              </w:rPr>
              <w:t xml:space="preserve">JCI </w:t>
            </w:r>
            <w:r w:rsidR="008833B6">
              <w:rPr>
                <w:color w:val="000000" w:themeColor="text1"/>
              </w:rPr>
              <w:t>a</w:t>
            </w:r>
            <w:r w:rsidRPr="00FC6087">
              <w:rPr>
                <w:color w:val="000000" w:themeColor="text1"/>
              </w:rPr>
              <w:t>ccreditation</w:t>
            </w:r>
          </w:p>
        </w:tc>
        <w:tc>
          <w:tcPr>
            <w:tcW w:w="1858" w:type="dxa"/>
            <w:shd w:val="clear" w:color="auto" w:fill="auto"/>
            <w:tcMar>
              <w:top w:w="57" w:type="dxa"/>
              <w:bottom w:w="57" w:type="dxa"/>
            </w:tcMar>
            <w:vAlign w:val="center"/>
          </w:tcPr>
          <w:p w14:paraId="7D516950"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eastAsia="Times New Roman" w:hAnsiTheme="majorBidi" w:cstheme="majorBidi"/>
                <w:color w:val="000000" w:themeColor="text1"/>
              </w:rPr>
              <w:t>Medical legislations</w:t>
            </w:r>
          </w:p>
        </w:tc>
        <w:tc>
          <w:tcPr>
            <w:tcW w:w="1858" w:type="dxa"/>
            <w:shd w:val="clear" w:color="auto" w:fill="auto"/>
            <w:tcMar>
              <w:top w:w="57" w:type="dxa"/>
              <w:bottom w:w="57" w:type="dxa"/>
            </w:tcMar>
            <w:vAlign w:val="center"/>
          </w:tcPr>
          <w:p w14:paraId="7D516951" w14:textId="20676F08" w:rsidR="002C634A" w:rsidRPr="00FC6087" w:rsidRDefault="008833B6" w:rsidP="006D69FF">
            <w:pPr>
              <w:spacing w:line="480" w:lineRule="auto"/>
              <w:rPr>
                <w:rFonts w:asciiTheme="majorBidi" w:hAnsiTheme="majorBidi" w:cstheme="majorBidi"/>
                <w:color w:val="000000" w:themeColor="text1"/>
              </w:rPr>
            </w:pPr>
            <w:r>
              <w:rPr>
                <w:rFonts w:asciiTheme="majorBidi" w:eastAsia="Times New Roman" w:hAnsiTheme="majorBidi" w:cstheme="majorBidi"/>
                <w:color w:val="000000" w:themeColor="text1"/>
              </w:rPr>
              <w:t>Fewer</w:t>
            </w:r>
            <w:r w:rsidR="002C634A" w:rsidRPr="00FC6087">
              <w:rPr>
                <w:rFonts w:asciiTheme="majorBidi" w:eastAsia="Times New Roman" w:hAnsiTheme="majorBidi" w:cstheme="majorBidi"/>
                <w:color w:val="000000" w:themeColor="text1"/>
              </w:rPr>
              <w:t xml:space="preserve"> legal medical cases</w:t>
            </w:r>
          </w:p>
        </w:tc>
      </w:tr>
      <w:tr w:rsidR="006B1994" w:rsidRPr="00FC6087" w14:paraId="7D516958" w14:textId="77777777" w:rsidTr="00551162">
        <w:trPr>
          <w:trHeight w:val="552"/>
        </w:trPr>
        <w:tc>
          <w:tcPr>
            <w:tcW w:w="432" w:type="dxa"/>
            <w:shd w:val="clear" w:color="auto" w:fill="auto"/>
            <w:vAlign w:val="center"/>
          </w:tcPr>
          <w:p w14:paraId="7D516953"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3</w:t>
            </w:r>
          </w:p>
        </w:tc>
        <w:tc>
          <w:tcPr>
            <w:tcW w:w="1858" w:type="dxa"/>
            <w:shd w:val="clear" w:color="auto" w:fill="auto"/>
            <w:tcMar>
              <w:top w:w="57" w:type="dxa"/>
              <w:bottom w:w="57" w:type="dxa"/>
            </w:tcMar>
            <w:vAlign w:val="center"/>
          </w:tcPr>
          <w:p w14:paraId="7D516954"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Information infrastructure</w:t>
            </w:r>
          </w:p>
        </w:tc>
        <w:tc>
          <w:tcPr>
            <w:tcW w:w="1858" w:type="dxa"/>
            <w:shd w:val="clear" w:color="auto" w:fill="auto"/>
            <w:tcMar>
              <w:top w:w="57" w:type="dxa"/>
              <w:bottom w:w="57" w:type="dxa"/>
            </w:tcMar>
            <w:vAlign w:val="center"/>
          </w:tcPr>
          <w:p w14:paraId="7D516955"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Support from teaching hospitals</w:t>
            </w:r>
          </w:p>
        </w:tc>
        <w:tc>
          <w:tcPr>
            <w:tcW w:w="1858" w:type="dxa"/>
            <w:shd w:val="clear" w:color="auto" w:fill="auto"/>
            <w:tcMar>
              <w:top w:w="57" w:type="dxa"/>
              <w:bottom w:w="57" w:type="dxa"/>
            </w:tcMar>
            <w:vAlign w:val="center"/>
          </w:tcPr>
          <w:p w14:paraId="7D516956"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Quality services</w:t>
            </w:r>
          </w:p>
        </w:tc>
        <w:tc>
          <w:tcPr>
            <w:tcW w:w="1858" w:type="dxa"/>
            <w:shd w:val="clear" w:color="auto" w:fill="auto"/>
            <w:tcMar>
              <w:top w:w="57" w:type="dxa"/>
              <w:bottom w:w="57" w:type="dxa"/>
            </w:tcMar>
            <w:vAlign w:val="center"/>
          </w:tcPr>
          <w:p w14:paraId="7D516957" w14:textId="77777777" w:rsidR="002C634A" w:rsidRPr="00FC6087" w:rsidRDefault="002C634A" w:rsidP="006D69FF">
            <w:pPr>
              <w:spacing w:line="480" w:lineRule="auto"/>
              <w:rPr>
                <w:rFonts w:asciiTheme="majorBidi" w:hAnsiTheme="majorBidi" w:cstheme="majorBidi"/>
                <w:color w:val="000000" w:themeColor="text1"/>
              </w:rPr>
            </w:pPr>
            <w:r w:rsidRPr="00FC6087">
              <w:rPr>
                <w:color w:val="000000" w:themeColor="text1"/>
              </w:rPr>
              <w:t>Quality awards</w:t>
            </w:r>
          </w:p>
        </w:tc>
      </w:tr>
      <w:tr w:rsidR="00EC3C91" w:rsidRPr="00FC6087" w14:paraId="7D51695E" w14:textId="77777777" w:rsidTr="00551162">
        <w:trPr>
          <w:trHeight w:val="552"/>
        </w:trPr>
        <w:tc>
          <w:tcPr>
            <w:tcW w:w="432" w:type="dxa"/>
            <w:shd w:val="clear" w:color="auto" w:fill="auto"/>
            <w:vAlign w:val="center"/>
          </w:tcPr>
          <w:p w14:paraId="7D516959"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4</w:t>
            </w:r>
          </w:p>
        </w:tc>
        <w:tc>
          <w:tcPr>
            <w:tcW w:w="1858" w:type="dxa"/>
            <w:shd w:val="clear" w:color="auto" w:fill="auto"/>
            <w:tcMar>
              <w:top w:w="57" w:type="dxa"/>
              <w:bottom w:w="57" w:type="dxa"/>
            </w:tcMar>
            <w:vAlign w:val="center"/>
          </w:tcPr>
          <w:p w14:paraId="7D51695A"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Infrastructure of buildings</w:t>
            </w:r>
          </w:p>
        </w:tc>
        <w:tc>
          <w:tcPr>
            <w:tcW w:w="1858" w:type="dxa"/>
            <w:shd w:val="clear" w:color="auto" w:fill="auto"/>
            <w:tcMar>
              <w:top w:w="57" w:type="dxa"/>
              <w:bottom w:w="57" w:type="dxa"/>
            </w:tcMar>
            <w:vAlign w:val="center"/>
          </w:tcPr>
          <w:p w14:paraId="7D51695B"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Support for career development centers</w:t>
            </w:r>
          </w:p>
        </w:tc>
        <w:tc>
          <w:tcPr>
            <w:tcW w:w="1858" w:type="dxa"/>
            <w:shd w:val="clear" w:color="auto" w:fill="auto"/>
            <w:tcMar>
              <w:top w:w="57" w:type="dxa"/>
              <w:bottom w:w="57" w:type="dxa"/>
            </w:tcMar>
            <w:vAlign w:val="center"/>
          </w:tcPr>
          <w:p w14:paraId="7D51695C"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Strategic support</w:t>
            </w:r>
          </w:p>
        </w:tc>
        <w:tc>
          <w:tcPr>
            <w:tcW w:w="1858" w:type="dxa"/>
            <w:shd w:val="clear" w:color="auto" w:fill="auto"/>
            <w:tcMar>
              <w:top w:w="57" w:type="dxa"/>
              <w:bottom w:w="57" w:type="dxa"/>
            </w:tcMar>
            <w:vAlign w:val="center"/>
          </w:tcPr>
          <w:p w14:paraId="7D51695D"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eastAsia="Times New Roman" w:hAnsiTheme="majorBidi" w:cstheme="majorBidi"/>
                <w:color w:val="000000" w:themeColor="text1"/>
              </w:rPr>
              <w:t>Easy transfer of knowledge</w:t>
            </w:r>
          </w:p>
        </w:tc>
      </w:tr>
      <w:tr w:rsidR="006B1994" w:rsidRPr="00FC6087" w14:paraId="7D516964" w14:textId="77777777" w:rsidTr="00551162">
        <w:trPr>
          <w:trHeight w:val="552"/>
        </w:trPr>
        <w:tc>
          <w:tcPr>
            <w:tcW w:w="432" w:type="dxa"/>
            <w:shd w:val="clear" w:color="auto" w:fill="auto"/>
            <w:vAlign w:val="center"/>
          </w:tcPr>
          <w:p w14:paraId="7D51695F"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5</w:t>
            </w:r>
          </w:p>
        </w:tc>
        <w:tc>
          <w:tcPr>
            <w:tcW w:w="1858" w:type="dxa"/>
            <w:shd w:val="clear" w:color="auto" w:fill="auto"/>
            <w:tcMar>
              <w:top w:w="57" w:type="dxa"/>
              <w:bottom w:w="57" w:type="dxa"/>
            </w:tcMar>
            <w:vAlign w:val="center"/>
          </w:tcPr>
          <w:p w14:paraId="7D516960"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 xml:space="preserve">Centralized access with </w:t>
            </w:r>
            <w:r w:rsidRPr="00FC6087">
              <w:rPr>
                <w:rFonts w:asciiTheme="majorBidi" w:hAnsiTheme="majorBidi" w:cstheme="majorBidi"/>
                <w:color w:val="000000" w:themeColor="text1"/>
              </w:rPr>
              <w:lastRenderedPageBreak/>
              <w:t>Emirates ID</w:t>
            </w:r>
          </w:p>
        </w:tc>
        <w:tc>
          <w:tcPr>
            <w:tcW w:w="1858" w:type="dxa"/>
            <w:shd w:val="clear" w:color="auto" w:fill="auto"/>
            <w:tcMar>
              <w:top w:w="57" w:type="dxa"/>
              <w:bottom w:w="57" w:type="dxa"/>
            </w:tcMar>
            <w:vAlign w:val="center"/>
          </w:tcPr>
          <w:p w14:paraId="7D516961"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lastRenderedPageBreak/>
              <w:t>2030 vision</w:t>
            </w:r>
          </w:p>
        </w:tc>
        <w:tc>
          <w:tcPr>
            <w:tcW w:w="1858" w:type="dxa"/>
            <w:shd w:val="clear" w:color="auto" w:fill="auto"/>
            <w:tcMar>
              <w:top w:w="57" w:type="dxa"/>
              <w:bottom w:w="57" w:type="dxa"/>
            </w:tcMar>
            <w:vAlign w:val="center"/>
          </w:tcPr>
          <w:p w14:paraId="7D516962"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Information of buildings</w:t>
            </w:r>
          </w:p>
        </w:tc>
        <w:tc>
          <w:tcPr>
            <w:tcW w:w="1858" w:type="dxa"/>
            <w:shd w:val="clear" w:color="auto" w:fill="auto"/>
            <w:tcMar>
              <w:top w:w="57" w:type="dxa"/>
              <w:bottom w:w="57" w:type="dxa"/>
            </w:tcMar>
            <w:vAlign w:val="center"/>
          </w:tcPr>
          <w:p w14:paraId="7D516963"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eastAsia="Times New Roman" w:hAnsiTheme="majorBidi" w:cstheme="majorBidi"/>
                <w:color w:val="000000" w:themeColor="text1"/>
              </w:rPr>
              <w:t>Cost of services</w:t>
            </w:r>
          </w:p>
        </w:tc>
      </w:tr>
      <w:tr w:rsidR="00EC3C91" w:rsidRPr="00FC6087" w14:paraId="7D51696A" w14:textId="77777777" w:rsidTr="00551162">
        <w:trPr>
          <w:trHeight w:val="552"/>
        </w:trPr>
        <w:tc>
          <w:tcPr>
            <w:tcW w:w="432" w:type="dxa"/>
            <w:shd w:val="clear" w:color="auto" w:fill="auto"/>
            <w:vAlign w:val="center"/>
          </w:tcPr>
          <w:p w14:paraId="7D516965"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6</w:t>
            </w:r>
          </w:p>
        </w:tc>
        <w:tc>
          <w:tcPr>
            <w:tcW w:w="1858" w:type="dxa"/>
            <w:shd w:val="clear" w:color="auto" w:fill="auto"/>
            <w:tcMar>
              <w:top w:w="57" w:type="dxa"/>
              <w:bottom w:w="57" w:type="dxa"/>
            </w:tcMar>
            <w:vAlign w:val="center"/>
          </w:tcPr>
          <w:p w14:paraId="7D516966"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International trade</w:t>
            </w:r>
          </w:p>
        </w:tc>
        <w:tc>
          <w:tcPr>
            <w:tcW w:w="1858" w:type="dxa"/>
            <w:shd w:val="clear" w:color="auto" w:fill="auto"/>
            <w:tcMar>
              <w:top w:w="57" w:type="dxa"/>
              <w:bottom w:w="57" w:type="dxa"/>
            </w:tcMar>
            <w:vAlign w:val="center"/>
          </w:tcPr>
          <w:p w14:paraId="7D516967"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Infrastructure of buildings</w:t>
            </w:r>
          </w:p>
        </w:tc>
        <w:tc>
          <w:tcPr>
            <w:tcW w:w="1858" w:type="dxa"/>
            <w:shd w:val="clear" w:color="auto" w:fill="auto"/>
            <w:tcMar>
              <w:top w:w="57" w:type="dxa"/>
              <w:bottom w:w="57" w:type="dxa"/>
            </w:tcMar>
            <w:vAlign w:val="center"/>
          </w:tcPr>
          <w:p w14:paraId="7D516968"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Information infrastructure</w:t>
            </w:r>
          </w:p>
        </w:tc>
        <w:tc>
          <w:tcPr>
            <w:tcW w:w="1858" w:type="dxa"/>
            <w:shd w:val="clear" w:color="auto" w:fill="auto"/>
            <w:tcMar>
              <w:top w:w="57" w:type="dxa"/>
              <w:bottom w:w="57" w:type="dxa"/>
            </w:tcMar>
            <w:vAlign w:val="center"/>
          </w:tcPr>
          <w:p w14:paraId="7D516969"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eastAsia="Times New Roman" w:hAnsiTheme="majorBidi" w:cstheme="majorBidi"/>
                <w:color w:val="000000" w:themeColor="text1"/>
              </w:rPr>
              <w:t>Future foresight</w:t>
            </w:r>
          </w:p>
        </w:tc>
      </w:tr>
      <w:tr w:rsidR="006B1994" w:rsidRPr="00FC6087" w14:paraId="7D516970" w14:textId="77777777" w:rsidTr="00551162">
        <w:trPr>
          <w:trHeight w:val="552"/>
        </w:trPr>
        <w:tc>
          <w:tcPr>
            <w:tcW w:w="432" w:type="dxa"/>
            <w:shd w:val="clear" w:color="auto" w:fill="auto"/>
            <w:vAlign w:val="center"/>
          </w:tcPr>
          <w:p w14:paraId="7D51696B"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7</w:t>
            </w:r>
          </w:p>
        </w:tc>
        <w:tc>
          <w:tcPr>
            <w:tcW w:w="1858" w:type="dxa"/>
            <w:shd w:val="clear" w:color="auto" w:fill="auto"/>
            <w:tcMar>
              <w:top w:w="57" w:type="dxa"/>
              <w:bottom w:w="57" w:type="dxa"/>
            </w:tcMar>
            <w:vAlign w:val="center"/>
          </w:tcPr>
          <w:p w14:paraId="7D51696C" w14:textId="3B1B50FC" w:rsidR="002C634A" w:rsidRPr="00FC6087" w:rsidRDefault="008833B6" w:rsidP="006D69FF">
            <w:pPr>
              <w:spacing w:line="480" w:lineRule="auto"/>
              <w:ind w:left="34"/>
              <w:rPr>
                <w:rFonts w:asciiTheme="majorBidi" w:hAnsiTheme="majorBidi" w:cstheme="majorBidi"/>
                <w:color w:val="000000" w:themeColor="text1"/>
              </w:rPr>
            </w:pPr>
            <w:r>
              <w:rPr>
                <w:rFonts w:asciiTheme="majorBidi" w:hAnsiTheme="majorBidi" w:cstheme="majorBidi"/>
                <w:color w:val="000000" w:themeColor="text1"/>
              </w:rPr>
              <w:t>Fewer</w:t>
            </w:r>
            <w:r w:rsidR="002C634A" w:rsidRPr="00FC6087">
              <w:rPr>
                <w:rFonts w:asciiTheme="majorBidi" w:hAnsiTheme="majorBidi" w:cstheme="majorBidi"/>
                <w:color w:val="000000" w:themeColor="text1"/>
              </w:rPr>
              <w:t xml:space="preserve"> medical errors</w:t>
            </w:r>
          </w:p>
        </w:tc>
        <w:tc>
          <w:tcPr>
            <w:tcW w:w="1858" w:type="dxa"/>
            <w:shd w:val="clear" w:color="auto" w:fill="auto"/>
            <w:tcMar>
              <w:top w:w="57" w:type="dxa"/>
              <w:bottom w:w="57" w:type="dxa"/>
            </w:tcMar>
            <w:vAlign w:val="center"/>
          </w:tcPr>
          <w:p w14:paraId="7D51696D"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Safety standards</w:t>
            </w:r>
          </w:p>
        </w:tc>
        <w:tc>
          <w:tcPr>
            <w:tcW w:w="1858" w:type="dxa"/>
            <w:shd w:val="clear" w:color="auto" w:fill="auto"/>
            <w:tcMar>
              <w:top w:w="57" w:type="dxa"/>
              <w:bottom w:w="57" w:type="dxa"/>
            </w:tcMar>
            <w:vAlign w:val="center"/>
          </w:tcPr>
          <w:p w14:paraId="7D51696E"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Quality awards</w:t>
            </w:r>
          </w:p>
        </w:tc>
        <w:tc>
          <w:tcPr>
            <w:tcW w:w="1858" w:type="dxa"/>
            <w:shd w:val="clear" w:color="auto" w:fill="auto"/>
            <w:tcMar>
              <w:top w:w="57" w:type="dxa"/>
              <w:bottom w:w="57" w:type="dxa"/>
            </w:tcMar>
            <w:vAlign w:val="center"/>
          </w:tcPr>
          <w:p w14:paraId="7D51696F"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Safety standards</w:t>
            </w:r>
          </w:p>
        </w:tc>
      </w:tr>
      <w:tr w:rsidR="00EC3C91" w:rsidRPr="00FC6087" w14:paraId="7D516976" w14:textId="77777777" w:rsidTr="00551162">
        <w:trPr>
          <w:trHeight w:val="552"/>
        </w:trPr>
        <w:tc>
          <w:tcPr>
            <w:tcW w:w="432" w:type="dxa"/>
            <w:shd w:val="clear" w:color="auto" w:fill="auto"/>
            <w:vAlign w:val="center"/>
          </w:tcPr>
          <w:p w14:paraId="7D516971"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8</w:t>
            </w:r>
          </w:p>
        </w:tc>
        <w:tc>
          <w:tcPr>
            <w:tcW w:w="1858" w:type="dxa"/>
            <w:shd w:val="clear" w:color="auto" w:fill="auto"/>
            <w:tcMar>
              <w:top w:w="57" w:type="dxa"/>
              <w:bottom w:w="57" w:type="dxa"/>
            </w:tcMar>
            <w:vAlign w:val="center"/>
          </w:tcPr>
          <w:p w14:paraId="7D516972"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Quality services</w:t>
            </w:r>
          </w:p>
        </w:tc>
        <w:tc>
          <w:tcPr>
            <w:tcW w:w="1858" w:type="dxa"/>
            <w:shd w:val="clear" w:color="auto" w:fill="auto"/>
            <w:tcMar>
              <w:top w:w="57" w:type="dxa"/>
              <w:bottom w:w="57" w:type="dxa"/>
            </w:tcMar>
            <w:vAlign w:val="center"/>
          </w:tcPr>
          <w:p w14:paraId="7D516973"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Organizational culture in hospitals</w:t>
            </w:r>
          </w:p>
        </w:tc>
        <w:tc>
          <w:tcPr>
            <w:tcW w:w="1858" w:type="dxa"/>
            <w:shd w:val="clear" w:color="auto" w:fill="auto"/>
            <w:tcMar>
              <w:top w:w="57" w:type="dxa"/>
              <w:bottom w:w="57" w:type="dxa"/>
            </w:tcMar>
            <w:vAlign w:val="center"/>
          </w:tcPr>
          <w:p w14:paraId="7D516974"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Financial support</w:t>
            </w:r>
          </w:p>
        </w:tc>
        <w:tc>
          <w:tcPr>
            <w:tcW w:w="1858" w:type="dxa"/>
            <w:shd w:val="clear" w:color="auto" w:fill="auto"/>
            <w:tcMar>
              <w:top w:w="57" w:type="dxa"/>
              <w:bottom w:w="57" w:type="dxa"/>
            </w:tcMar>
            <w:vAlign w:val="center"/>
          </w:tcPr>
          <w:p w14:paraId="7D516975" w14:textId="77777777" w:rsidR="002C634A" w:rsidRPr="00FC6087" w:rsidRDefault="002C634A" w:rsidP="006D69FF">
            <w:pPr>
              <w:keepNext/>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Information infrastructure</w:t>
            </w:r>
          </w:p>
        </w:tc>
      </w:tr>
      <w:tr w:rsidR="006B1994" w:rsidRPr="00FC6087" w14:paraId="7D51697C" w14:textId="77777777" w:rsidTr="00551162">
        <w:trPr>
          <w:trHeight w:val="552"/>
        </w:trPr>
        <w:tc>
          <w:tcPr>
            <w:tcW w:w="432" w:type="dxa"/>
            <w:shd w:val="clear" w:color="auto" w:fill="auto"/>
            <w:vAlign w:val="center"/>
          </w:tcPr>
          <w:p w14:paraId="7D516977"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9</w:t>
            </w:r>
          </w:p>
        </w:tc>
        <w:tc>
          <w:tcPr>
            <w:tcW w:w="1858" w:type="dxa"/>
            <w:shd w:val="clear" w:color="auto" w:fill="auto"/>
            <w:tcMar>
              <w:top w:w="57" w:type="dxa"/>
              <w:bottom w:w="57" w:type="dxa"/>
            </w:tcMar>
            <w:vAlign w:val="center"/>
          </w:tcPr>
          <w:p w14:paraId="7D516978"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Cost of services</w:t>
            </w:r>
          </w:p>
        </w:tc>
        <w:tc>
          <w:tcPr>
            <w:tcW w:w="1858" w:type="dxa"/>
            <w:shd w:val="clear" w:color="auto" w:fill="auto"/>
            <w:tcMar>
              <w:top w:w="57" w:type="dxa"/>
              <w:bottom w:w="57" w:type="dxa"/>
            </w:tcMar>
            <w:vAlign w:val="center"/>
          </w:tcPr>
          <w:p w14:paraId="7D516979"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Quality services</w:t>
            </w:r>
          </w:p>
        </w:tc>
        <w:tc>
          <w:tcPr>
            <w:tcW w:w="1858" w:type="dxa"/>
            <w:shd w:val="clear" w:color="auto" w:fill="auto"/>
            <w:tcMar>
              <w:top w:w="57" w:type="dxa"/>
              <w:bottom w:w="57" w:type="dxa"/>
            </w:tcMar>
            <w:vAlign w:val="center"/>
          </w:tcPr>
          <w:p w14:paraId="7D51697A" w14:textId="77777777" w:rsidR="002C634A" w:rsidRPr="00FC6087" w:rsidRDefault="002C634A" w:rsidP="006D69FF">
            <w:pPr>
              <w:spacing w:line="480" w:lineRule="auto"/>
              <w:rPr>
                <w:rFonts w:asciiTheme="majorBidi" w:hAnsiTheme="majorBidi" w:cstheme="majorBidi"/>
                <w:color w:val="000000" w:themeColor="text1"/>
              </w:rPr>
            </w:pPr>
          </w:p>
        </w:tc>
        <w:tc>
          <w:tcPr>
            <w:tcW w:w="1858" w:type="dxa"/>
            <w:shd w:val="clear" w:color="auto" w:fill="auto"/>
            <w:tcMar>
              <w:top w:w="57" w:type="dxa"/>
              <w:bottom w:w="57" w:type="dxa"/>
            </w:tcMar>
            <w:vAlign w:val="center"/>
          </w:tcPr>
          <w:p w14:paraId="7D51697B"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Financial support</w:t>
            </w:r>
          </w:p>
        </w:tc>
      </w:tr>
      <w:tr w:rsidR="00EC3C91" w:rsidRPr="00FC6087" w14:paraId="7D516982" w14:textId="77777777" w:rsidTr="00551162">
        <w:trPr>
          <w:trHeight w:val="552"/>
        </w:trPr>
        <w:tc>
          <w:tcPr>
            <w:tcW w:w="432" w:type="dxa"/>
            <w:tcBorders>
              <w:bottom w:val="nil"/>
            </w:tcBorders>
            <w:shd w:val="clear" w:color="auto" w:fill="auto"/>
            <w:vAlign w:val="center"/>
          </w:tcPr>
          <w:p w14:paraId="7D51697D"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10</w:t>
            </w:r>
          </w:p>
        </w:tc>
        <w:tc>
          <w:tcPr>
            <w:tcW w:w="1858" w:type="dxa"/>
            <w:tcBorders>
              <w:bottom w:val="nil"/>
            </w:tcBorders>
            <w:shd w:val="clear" w:color="auto" w:fill="auto"/>
            <w:tcMar>
              <w:top w:w="57" w:type="dxa"/>
              <w:bottom w:w="57" w:type="dxa"/>
            </w:tcMar>
            <w:vAlign w:val="center"/>
          </w:tcPr>
          <w:p w14:paraId="7D51697E"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Strategic support</w:t>
            </w:r>
          </w:p>
        </w:tc>
        <w:tc>
          <w:tcPr>
            <w:tcW w:w="1858" w:type="dxa"/>
            <w:tcBorders>
              <w:bottom w:val="nil"/>
            </w:tcBorders>
            <w:shd w:val="clear" w:color="auto" w:fill="auto"/>
            <w:tcMar>
              <w:top w:w="57" w:type="dxa"/>
              <w:bottom w:w="57" w:type="dxa"/>
            </w:tcMar>
            <w:vAlign w:val="center"/>
          </w:tcPr>
          <w:p w14:paraId="7D51697F" w14:textId="77777777" w:rsidR="002C634A" w:rsidRPr="00FC6087" w:rsidRDefault="002C634A" w:rsidP="006D69FF">
            <w:pPr>
              <w:spacing w:line="480" w:lineRule="auto"/>
              <w:rPr>
                <w:b/>
                <w:bCs/>
                <w:color w:val="000000" w:themeColor="text1"/>
              </w:rPr>
            </w:pPr>
            <w:r w:rsidRPr="00FC6087">
              <w:rPr>
                <w:rFonts w:asciiTheme="majorBidi" w:hAnsiTheme="majorBidi" w:cstheme="majorBidi"/>
                <w:color w:val="000000" w:themeColor="text1"/>
              </w:rPr>
              <w:t>Strategic support</w:t>
            </w:r>
          </w:p>
        </w:tc>
        <w:tc>
          <w:tcPr>
            <w:tcW w:w="1858" w:type="dxa"/>
            <w:tcBorders>
              <w:bottom w:val="nil"/>
            </w:tcBorders>
            <w:shd w:val="clear" w:color="auto" w:fill="auto"/>
            <w:tcMar>
              <w:top w:w="57" w:type="dxa"/>
              <w:bottom w:w="57" w:type="dxa"/>
            </w:tcMar>
            <w:vAlign w:val="center"/>
          </w:tcPr>
          <w:p w14:paraId="7D516980" w14:textId="77777777" w:rsidR="002C634A" w:rsidRPr="00FC6087" w:rsidRDefault="002C634A" w:rsidP="006D69FF">
            <w:pPr>
              <w:spacing w:line="480" w:lineRule="auto"/>
              <w:rPr>
                <w:rFonts w:asciiTheme="majorBidi" w:hAnsiTheme="majorBidi" w:cstheme="majorBidi"/>
                <w:color w:val="000000" w:themeColor="text1"/>
              </w:rPr>
            </w:pPr>
          </w:p>
        </w:tc>
        <w:tc>
          <w:tcPr>
            <w:tcW w:w="1858" w:type="dxa"/>
            <w:tcBorders>
              <w:bottom w:val="nil"/>
            </w:tcBorders>
            <w:shd w:val="clear" w:color="auto" w:fill="auto"/>
            <w:tcMar>
              <w:top w:w="57" w:type="dxa"/>
              <w:bottom w:w="57" w:type="dxa"/>
            </w:tcMar>
            <w:vAlign w:val="center"/>
          </w:tcPr>
          <w:p w14:paraId="7D516981" w14:textId="77777777" w:rsidR="002C634A" w:rsidRPr="00FC6087" w:rsidRDefault="002C634A" w:rsidP="006D69FF">
            <w:pPr>
              <w:keepNext/>
              <w:spacing w:line="480" w:lineRule="auto"/>
              <w:rPr>
                <w:rFonts w:asciiTheme="majorBidi" w:hAnsiTheme="majorBidi" w:cstheme="majorBidi"/>
                <w:color w:val="000000" w:themeColor="text1"/>
              </w:rPr>
            </w:pPr>
          </w:p>
        </w:tc>
      </w:tr>
      <w:tr w:rsidR="00BA10C7" w:rsidRPr="00FC6087" w14:paraId="7D516988" w14:textId="77777777" w:rsidTr="00551162">
        <w:trPr>
          <w:trHeight w:val="552"/>
        </w:trPr>
        <w:tc>
          <w:tcPr>
            <w:tcW w:w="432" w:type="dxa"/>
            <w:tcBorders>
              <w:top w:val="nil"/>
              <w:bottom w:val="single" w:sz="18" w:space="0" w:color="auto"/>
            </w:tcBorders>
            <w:shd w:val="clear" w:color="auto" w:fill="auto"/>
            <w:vAlign w:val="center"/>
          </w:tcPr>
          <w:p w14:paraId="7D516983" w14:textId="77777777" w:rsidR="002C634A" w:rsidRPr="00FC6087" w:rsidRDefault="002C634A" w:rsidP="006D69FF">
            <w:pPr>
              <w:spacing w:line="480" w:lineRule="auto"/>
              <w:ind w:left="34"/>
              <w:rPr>
                <w:rFonts w:asciiTheme="majorBidi" w:hAnsiTheme="majorBidi" w:cstheme="majorBidi"/>
                <w:color w:val="000000" w:themeColor="text1"/>
              </w:rPr>
            </w:pPr>
            <w:r w:rsidRPr="00FC6087">
              <w:rPr>
                <w:rFonts w:asciiTheme="majorBidi" w:hAnsiTheme="majorBidi" w:cstheme="majorBidi"/>
                <w:color w:val="000000" w:themeColor="text1"/>
              </w:rPr>
              <w:t>11</w:t>
            </w:r>
          </w:p>
        </w:tc>
        <w:tc>
          <w:tcPr>
            <w:tcW w:w="1858" w:type="dxa"/>
            <w:tcBorders>
              <w:top w:val="nil"/>
              <w:bottom w:val="single" w:sz="18" w:space="0" w:color="auto"/>
            </w:tcBorders>
            <w:shd w:val="clear" w:color="auto" w:fill="auto"/>
            <w:tcMar>
              <w:top w:w="57" w:type="dxa"/>
              <w:bottom w:w="57" w:type="dxa"/>
            </w:tcMar>
            <w:vAlign w:val="center"/>
          </w:tcPr>
          <w:p w14:paraId="7D516984" w14:textId="77777777" w:rsidR="002C634A" w:rsidRPr="00FC6087" w:rsidRDefault="002C634A" w:rsidP="006D69FF">
            <w:pPr>
              <w:spacing w:line="480" w:lineRule="auto"/>
              <w:ind w:left="34"/>
              <w:rPr>
                <w:rFonts w:asciiTheme="majorBidi" w:hAnsiTheme="majorBidi" w:cstheme="majorBidi"/>
                <w:color w:val="000000" w:themeColor="text1"/>
              </w:rPr>
            </w:pPr>
          </w:p>
        </w:tc>
        <w:tc>
          <w:tcPr>
            <w:tcW w:w="1858" w:type="dxa"/>
            <w:tcBorders>
              <w:top w:val="nil"/>
              <w:bottom w:val="single" w:sz="18" w:space="0" w:color="auto"/>
            </w:tcBorders>
            <w:shd w:val="clear" w:color="auto" w:fill="auto"/>
            <w:tcMar>
              <w:top w:w="57" w:type="dxa"/>
              <w:bottom w:w="57" w:type="dxa"/>
            </w:tcMar>
            <w:vAlign w:val="center"/>
          </w:tcPr>
          <w:p w14:paraId="7D516985" w14:textId="77777777" w:rsidR="002C634A" w:rsidRPr="00FC6087" w:rsidRDefault="002C634A" w:rsidP="006D69FF">
            <w:pPr>
              <w:spacing w:line="480" w:lineRule="auto"/>
              <w:rPr>
                <w:rFonts w:asciiTheme="majorBidi" w:hAnsiTheme="majorBidi" w:cstheme="majorBidi"/>
                <w:color w:val="000000" w:themeColor="text1"/>
              </w:rPr>
            </w:pPr>
            <w:r w:rsidRPr="00FC6087">
              <w:rPr>
                <w:rFonts w:asciiTheme="majorBidi" w:hAnsiTheme="majorBidi" w:cstheme="majorBidi"/>
                <w:color w:val="000000" w:themeColor="text1"/>
              </w:rPr>
              <w:t>Financial support</w:t>
            </w:r>
          </w:p>
        </w:tc>
        <w:tc>
          <w:tcPr>
            <w:tcW w:w="1858" w:type="dxa"/>
            <w:tcBorders>
              <w:top w:val="nil"/>
              <w:bottom w:val="single" w:sz="18" w:space="0" w:color="auto"/>
            </w:tcBorders>
            <w:shd w:val="clear" w:color="auto" w:fill="auto"/>
            <w:tcMar>
              <w:top w:w="57" w:type="dxa"/>
              <w:bottom w:w="57" w:type="dxa"/>
            </w:tcMar>
            <w:vAlign w:val="center"/>
          </w:tcPr>
          <w:p w14:paraId="7D516986" w14:textId="77777777" w:rsidR="002C634A" w:rsidRPr="00FC6087" w:rsidRDefault="002C634A" w:rsidP="006D69FF">
            <w:pPr>
              <w:spacing w:line="480" w:lineRule="auto"/>
              <w:rPr>
                <w:rFonts w:asciiTheme="majorBidi" w:hAnsiTheme="majorBidi" w:cstheme="majorBidi"/>
                <w:color w:val="000000" w:themeColor="text1"/>
              </w:rPr>
            </w:pPr>
          </w:p>
        </w:tc>
        <w:tc>
          <w:tcPr>
            <w:tcW w:w="1858" w:type="dxa"/>
            <w:tcBorders>
              <w:top w:val="nil"/>
              <w:bottom w:val="single" w:sz="18" w:space="0" w:color="auto"/>
            </w:tcBorders>
            <w:shd w:val="clear" w:color="auto" w:fill="auto"/>
            <w:tcMar>
              <w:top w:w="57" w:type="dxa"/>
              <w:bottom w:w="57" w:type="dxa"/>
            </w:tcMar>
            <w:vAlign w:val="center"/>
          </w:tcPr>
          <w:p w14:paraId="7D516987" w14:textId="77777777" w:rsidR="002C634A" w:rsidRPr="00FC6087" w:rsidRDefault="002C634A" w:rsidP="006D69FF">
            <w:pPr>
              <w:keepNext/>
              <w:spacing w:line="480" w:lineRule="auto"/>
              <w:rPr>
                <w:rFonts w:asciiTheme="majorBidi" w:hAnsiTheme="majorBidi" w:cstheme="majorBidi"/>
                <w:color w:val="000000" w:themeColor="text1"/>
              </w:rPr>
            </w:pPr>
          </w:p>
        </w:tc>
      </w:tr>
    </w:tbl>
    <w:p w14:paraId="7D516989" w14:textId="77777777" w:rsidR="002C634A" w:rsidRPr="00FC6087" w:rsidRDefault="002C634A" w:rsidP="002C634A">
      <w:pPr>
        <w:rPr>
          <w:color w:val="000000" w:themeColor="text1"/>
        </w:rPr>
      </w:pPr>
    </w:p>
    <w:p w14:paraId="7D51698A" w14:textId="3B8C3DE9" w:rsidR="002C634A" w:rsidRPr="00790070" w:rsidRDefault="002C634A" w:rsidP="003F0A8A">
      <w:pPr>
        <w:pStyle w:val="Caption"/>
        <w:jc w:val="left"/>
        <w:rPr>
          <w:b w:val="0"/>
          <w:i/>
          <w:noProof w:val="0"/>
          <w:color w:val="000000" w:themeColor="text1"/>
          <w:sz w:val="24"/>
          <w:szCs w:val="24"/>
          <w:lang w:bidi="ar-DZ"/>
        </w:rPr>
      </w:pPr>
      <w:bookmarkStart w:id="136" w:name="_Toc534121146"/>
      <w:r w:rsidRPr="00790070">
        <w:rPr>
          <w:b w:val="0"/>
          <w:noProof w:val="0"/>
          <w:color w:val="000000" w:themeColor="text1"/>
          <w:sz w:val="24"/>
          <w:szCs w:val="24"/>
        </w:rPr>
        <w:t>Table 5.</w:t>
      </w:r>
      <w:r w:rsidR="000270F9">
        <w:rPr>
          <w:b w:val="0"/>
          <w:noProof w:val="0"/>
          <w:color w:val="000000" w:themeColor="text1"/>
          <w:sz w:val="24"/>
          <w:szCs w:val="24"/>
        </w:rPr>
        <w:t>3</w:t>
      </w:r>
      <w:r w:rsidR="00270E2D" w:rsidRPr="00790070">
        <w:rPr>
          <w:b w:val="0"/>
          <w:noProof w:val="0"/>
          <w:color w:val="000000" w:themeColor="text1"/>
          <w:sz w:val="24"/>
          <w:szCs w:val="24"/>
        </w:rPr>
        <w:br/>
      </w:r>
      <w:r w:rsidRPr="00790070">
        <w:rPr>
          <w:b w:val="0"/>
          <w:i/>
          <w:noProof w:val="0"/>
          <w:color w:val="000000" w:themeColor="text1"/>
          <w:sz w:val="24"/>
          <w:szCs w:val="24"/>
        </w:rPr>
        <w:t xml:space="preserve">Barriers Reported by </w:t>
      </w:r>
      <w:r w:rsidR="00C6117D">
        <w:rPr>
          <w:b w:val="0"/>
          <w:i/>
          <w:noProof w:val="0"/>
          <w:color w:val="000000" w:themeColor="text1"/>
          <w:sz w:val="24"/>
          <w:szCs w:val="24"/>
        </w:rPr>
        <w:t>E</w:t>
      </w:r>
      <w:r w:rsidRPr="00790070">
        <w:rPr>
          <w:b w:val="0"/>
          <w:i/>
          <w:noProof w:val="0"/>
          <w:color w:val="000000" w:themeColor="text1"/>
          <w:sz w:val="24"/>
          <w:szCs w:val="24"/>
        </w:rPr>
        <w:t>ach Stakeholder Group</w:t>
      </w:r>
    </w:p>
    <w:tbl>
      <w:tblPr>
        <w:tblW w:w="7948" w:type="dxa"/>
        <w:tblInd w:w="5" w:type="dxa"/>
        <w:tblCellMar>
          <w:left w:w="0" w:type="dxa"/>
          <w:right w:w="0" w:type="dxa"/>
        </w:tblCellMar>
        <w:tblLook w:val="04A0" w:firstRow="1" w:lastRow="0" w:firstColumn="1" w:lastColumn="0" w:noHBand="0" w:noVBand="1"/>
      </w:tblPr>
      <w:tblGrid>
        <w:gridCol w:w="1987"/>
        <w:gridCol w:w="1987"/>
        <w:gridCol w:w="1987"/>
        <w:gridCol w:w="1987"/>
      </w:tblGrid>
      <w:tr w:rsidR="00270E2D" w:rsidRPr="00FC6087" w14:paraId="7D51698F" w14:textId="77777777" w:rsidTr="00551162">
        <w:trPr>
          <w:trHeight w:val="828"/>
          <w:tblHeader/>
        </w:trPr>
        <w:tc>
          <w:tcPr>
            <w:tcW w:w="1987" w:type="dxa"/>
            <w:tcBorders>
              <w:top w:val="single" w:sz="18" w:space="0" w:color="auto"/>
              <w:bottom w:val="single" w:sz="12" w:space="0" w:color="auto"/>
            </w:tcBorders>
            <w:shd w:val="clear" w:color="auto" w:fill="auto"/>
            <w:tcMar>
              <w:top w:w="57" w:type="dxa"/>
              <w:bottom w:w="57" w:type="dxa"/>
            </w:tcMar>
            <w:hideMark/>
          </w:tcPr>
          <w:p w14:paraId="7D51698B" w14:textId="77777777" w:rsidR="002C634A" w:rsidRPr="00790070" w:rsidRDefault="002C634A" w:rsidP="006D69FF">
            <w:pPr>
              <w:spacing w:line="480" w:lineRule="auto"/>
              <w:rPr>
                <w:bCs/>
                <w:color w:val="000000" w:themeColor="text1"/>
              </w:rPr>
            </w:pPr>
            <w:r w:rsidRPr="00790070">
              <w:rPr>
                <w:bCs/>
                <w:color w:val="000000" w:themeColor="text1"/>
              </w:rPr>
              <w:t>Society Members</w:t>
            </w:r>
          </w:p>
        </w:tc>
        <w:tc>
          <w:tcPr>
            <w:tcW w:w="1987" w:type="dxa"/>
            <w:tcBorders>
              <w:top w:val="single" w:sz="18" w:space="0" w:color="auto"/>
              <w:bottom w:val="single" w:sz="12" w:space="0" w:color="auto"/>
            </w:tcBorders>
            <w:shd w:val="clear" w:color="auto" w:fill="auto"/>
            <w:hideMark/>
          </w:tcPr>
          <w:p w14:paraId="7D51698C" w14:textId="77777777" w:rsidR="002C634A" w:rsidRPr="00790070" w:rsidRDefault="002C634A" w:rsidP="006D69FF">
            <w:pPr>
              <w:spacing w:line="480" w:lineRule="auto"/>
              <w:rPr>
                <w:bCs/>
                <w:color w:val="000000" w:themeColor="text1"/>
              </w:rPr>
            </w:pPr>
            <w:r w:rsidRPr="00790070">
              <w:rPr>
                <w:bCs/>
                <w:color w:val="000000" w:themeColor="text1"/>
              </w:rPr>
              <w:t>Employees</w:t>
            </w:r>
          </w:p>
        </w:tc>
        <w:tc>
          <w:tcPr>
            <w:tcW w:w="1987" w:type="dxa"/>
            <w:tcBorders>
              <w:top w:val="single" w:sz="18" w:space="0" w:color="auto"/>
              <w:bottom w:val="single" w:sz="12" w:space="0" w:color="auto"/>
            </w:tcBorders>
            <w:shd w:val="clear" w:color="auto" w:fill="auto"/>
            <w:hideMark/>
          </w:tcPr>
          <w:p w14:paraId="7D51698D" w14:textId="77777777" w:rsidR="002C634A" w:rsidRPr="00790070" w:rsidRDefault="002C634A" w:rsidP="006D69FF">
            <w:pPr>
              <w:spacing w:line="480" w:lineRule="auto"/>
              <w:rPr>
                <w:bCs/>
                <w:color w:val="000000" w:themeColor="text1"/>
              </w:rPr>
            </w:pPr>
            <w:r w:rsidRPr="00790070">
              <w:rPr>
                <w:bCs/>
                <w:color w:val="000000" w:themeColor="text1"/>
              </w:rPr>
              <w:t>Patients</w:t>
            </w:r>
          </w:p>
        </w:tc>
        <w:tc>
          <w:tcPr>
            <w:tcW w:w="1987" w:type="dxa"/>
            <w:tcBorders>
              <w:top w:val="single" w:sz="18" w:space="0" w:color="auto"/>
              <w:bottom w:val="single" w:sz="12" w:space="0" w:color="auto"/>
            </w:tcBorders>
            <w:shd w:val="clear" w:color="auto" w:fill="auto"/>
            <w:hideMark/>
          </w:tcPr>
          <w:p w14:paraId="7D51698E" w14:textId="77777777" w:rsidR="002C634A" w:rsidRPr="00790070" w:rsidRDefault="002C634A" w:rsidP="006D69FF">
            <w:pPr>
              <w:spacing w:line="480" w:lineRule="auto"/>
              <w:rPr>
                <w:bCs/>
                <w:color w:val="000000" w:themeColor="text1"/>
              </w:rPr>
            </w:pPr>
            <w:r w:rsidRPr="00790070">
              <w:rPr>
                <w:bCs/>
                <w:color w:val="000000" w:themeColor="text1"/>
              </w:rPr>
              <w:t>Foresight Experts</w:t>
            </w:r>
          </w:p>
        </w:tc>
      </w:tr>
      <w:tr w:rsidR="00270E2D" w:rsidRPr="00FC6087" w14:paraId="7D516994" w14:textId="77777777" w:rsidTr="00551162">
        <w:trPr>
          <w:trHeight w:val="828"/>
        </w:trPr>
        <w:tc>
          <w:tcPr>
            <w:tcW w:w="1987" w:type="dxa"/>
            <w:tcBorders>
              <w:top w:val="single" w:sz="12" w:space="0" w:color="auto"/>
            </w:tcBorders>
            <w:shd w:val="clear" w:color="auto" w:fill="auto"/>
            <w:tcMar>
              <w:top w:w="57" w:type="dxa"/>
              <w:bottom w:w="57" w:type="dxa"/>
            </w:tcMar>
            <w:hideMark/>
          </w:tcPr>
          <w:p w14:paraId="7D516990" w14:textId="77777777" w:rsidR="002C634A" w:rsidRPr="00FC6087" w:rsidRDefault="002C634A" w:rsidP="006D69FF">
            <w:pPr>
              <w:spacing w:line="480" w:lineRule="auto"/>
              <w:rPr>
                <w:iCs/>
                <w:color w:val="000000" w:themeColor="text1"/>
              </w:rPr>
            </w:pPr>
            <w:r w:rsidRPr="00FC6087">
              <w:rPr>
                <w:iCs/>
                <w:color w:val="000000" w:themeColor="text1"/>
              </w:rPr>
              <w:t>Scope of telecom infrastructure</w:t>
            </w:r>
          </w:p>
        </w:tc>
        <w:tc>
          <w:tcPr>
            <w:tcW w:w="1987" w:type="dxa"/>
            <w:tcBorders>
              <w:top w:val="single" w:sz="12" w:space="0" w:color="auto"/>
            </w:tcBorders>
            <w:shd w:val="clear" w:color="auto" w:fill="auto"/>
            <w:tcMar>
              <w:top w:w="57" w:type="dxa"/>
              <w:bottom w:w="57" w:type="dxa"/>
            </w:tcMar>
            <w:hideMark/>
          </w:tcPr>
          <w:p w14:paraId="7D516991" w14:textId="77777777" w:rsidR="002C634A" w:rsidRPr="00FC6087" w:rsidRDefault="002C634A" w:rsidP="006D69FF">
            <w:pPr>
              <w:spacing w:line="480" w:lineRule="auto"/>
              <w:rPr>
                <w:color w:val="000000" w:themeColor="text1"/>
              </w:rPr>
            </w:pPr>
            <w:r w:rsidRPr="00FC6087">
              <w:rPr>
                <w:color w:val="000000" w:themeColor="text1"/>
              </w:rPr>
              <w:t>Educational background</w:t>
            </w:r>
          </w:p>
        </w:tc>
        <w:tc>
          <w:tcPr>
            <w:tcW w:w="1987" w:type="dxa"/>
            <w:tcBorders>
              <w:top w:val="single" w:sz="12" w:space="0" w:color="auto"/>
            </w:tcBorders>
            <w:shd w:val="clear" w:color="auto" w:fill="auto"/>
            <w:tcMar>
              <w:top w:w="57" w:type="dxa"/>
              <w:bottom w:w="57" w:type="dxa"/>
            </w:tcMar>
            <w:hideMark/>
          </w:tcPr>
          <w:p w14:paraId="7D516992" w14:textId="77777777" w:rsidR="002C634A" w:rsidRPr="00FC6087" w:rsidRDefault="002C634A" w:rsidP="006D69FF">
            <w:pPr>
              <w:spacing w:line="480" w:lineRule="auto"/>
              <w:rPr>
                <w:color w:val="000000" w:themeColor="text1"/>
              </w:rPr>
            </w:pPr>
            <w:r w:rsidRPr="00FC6087">
              <w:rPr>
                <w:color w:val="000000" w:themeColor="text1"/>
              </w:rPr>
              <w:t>Lack of unified procedures</w:t>
            </w:r>
          </w:p>
        </w:tc>
        <w:tc>
          <w:tcPr>
            <w:tcW w:w="1987" w:type="dxa"/>
            <w:tcBorders>
              <w:top w:val="single" w:sz="12" w:space="0" w:color="auto"/>
            </w:tcBorders>
            <w:shd w:val="clear" w:color="auto" w:fill="auto"/>
            <w:tcMar>
              <w:top w:w="57" w:type="dxa"/>
              <w:bottom w:w="57" w:type="dxa"/>
            </w:tcMar>
            <w:hideMark/>
          </w:tcPr>
          <w:p w14:paraId="7D516993" w14:textId="77777777" w:rsidR="002C634A" w:rsidRPr="00FC6087" w:rsidRDefault="002C634A" w:rsidP="006D69FF">
            <w:pPr>
              <w:spacing w:line="480" w:lineRule="auto"/>
              <w:rPr>
                <w:color w:val="000000" w:themeColor="text1"/>
              </w:rPr>
            </w:pPr>
            <w:r w:rsidRPr="00FC6087">
              <w:rPr>
                <w:color w:val="000000" w:themeColor="text1"/>
              </w:rPr>
              <w:t>Educational background</w:t>
            </w:r>
          </w:p>
        </w:tc>
      </w:tr>
      <w:tr w:rsidR="00270E2D" w:rsidRPr="00FC6087" w14:paraId="7D516999" w14:textId="77777777" w:rsidTr="00551162">
        <w:trPr>
          <w:trHeight w:val="828"/>
        </w:trPr>
        <w:tc>
          <w:tcPr>
            <w:tcW w:w="1987" w:type="dxa"/>
            <w:shd w:val="clear" w:color="auto" w:fill="auto"/>
            <w:tcMar>
              <w:top w:w="57" w:type="dxa"/>
              <w:bottom w:w="57" w:type="dxa"/>
            </w:tcMar>
            <w:hideMark/>
          </w:tcPr>
          <w:p w14:paraId="7D516995" w14:textId="77777777" w:rsidR="002C634A" w:rsidRPr="00FC6087" w:rsidRDefault="002C634A" w:rsidP="006D69FF">
            <w:pPr>
              <w:spacing w:line="480" w:lineRule="auto"/>
              <w:rPr>
                <w:iCs/>
                <w:color w:val="000000" w:themeColor="text1"/>
              </w:rPr>
            </w:pPr>
            <w:r w:rsidRPr="00FC6087">
              <w:rPr>
                <w:iCs/>
                <w:color w:val="000000" w:themeColor="text1"/>
              </w:rPr>
              <w:lastRenderedPageBreak/>
              <w:t>Sensitivity of data</w:t>
            </w:r>
          </w:p>
        </w:tc>
        <w:tc>
          <w:tcPr>
            <w:tcW w:w="1987" w:type="dxa"/>
            <w:shd w:val="clear" w:color="auto" w:fill="auto"/>
            <w:tcMar>
              <w:top w:w="57" w:type="dxa"/>
              <w:bottom w:w="57" w:type="dxa"/>
            </w:tcMar>
            <w:hideMark/>
          </w:tcPr>
          <w:p w14:paraId="7D516996" w14:textId="77777777" w:rsidR="002C634A" w:rsidRPr="00FC6087" w:rsidRDefault="002C634A" w:rsidP="006D69FF">
            <w:pPr>
              <w:spacing w:line="480" w:lineRule="auto"/>
              <w:rPr>
                <w:color w:val="000000" w:themeColor="text1"/>
              </w:rPr>
            </w:pPr>
            <w:r w:rsidRPr="00FC6087">
              <w:rPr>
                <w:color w:val="000000" w:themeColor="text1"/>
              </w:rPr>
              <w:t>Week technology strategy</w:t>
            </w:r>
          </w:p>
        </w:tc>
        <w:tc>
          <w:tcPr>
            <w:tcW w:w="1987" w:type="dxa"/>
            <w:shd w:val="clear" w:color="auto" w:fill="auto"/>
            <w:tcMar>
              <w:top w:w="57" w:type="dxa"/>
              <w:bottom w:w="57" w:type="dxa"/>
            </w:tcMar>
            <w:hideMark/>
          </w:tcPr>
          <w:p w14:paraId="7D516997" w14:textId="77777777" w:rsidR="002C634A" w:rsidRPr="00FC6087" w:rsidRDefault="002C634A" w:rsidP="006D69FF">
            <w:pPr>
              <w:spacing w:line="480" w:lineRule="auto"/>
              <w:rPr>
                <w:color w:val="000000" w:themeColor="text1"/>
              </w:rPr>
            </w:pPr>
            <w:r w:rsidRPr="00FC6087">
              <w:rPr>
                <w:color w:val="000000" w:themeColor="text1"/>
              </w:rPr>
              <w:t>Information infrastructure</w:t>
            </w:r>
          </w:p>
        </w:tc>
        <w:tc>
          <w:tcPr>
            <w:tcW w:w="1987" w:type="dxa"/>
            <w:shd w:val="clear" w:color="auto" w:fill="auto"/>
            <w:tcMar>
              <w:top w:w="57" w:type="dxa"/>
              <w:bottom w:w="57" w:type="dxa"/>
            </w:tcMar>
            <w:hideMark/>
          </w:tcPr>
          <w:p w14:paraId="7D516998" w14:textId="77777777" w:rsidR="002C634A" w:rsidRPr="00FC6087" w:rsidRDefault="002C634A" w:rsidP="006D69FF">
            <w:pPr>
              <w:spacing w:line="480" w:lineRule="auto"/>
              <w:rPr>
                <w:color w:val="000000" w:themeColor="text1"/>
              </w:rPr>
            </w:pPr>
            <w:r w:rsidRPr="00FC6087">
              <w:rPr>
                <w:color w:val="000000" w:themeColor="text1"/>
              </w:rPr>
              <w:t>Lack of global orientation</w:t>
            </w:r>
          </w:p>
        </w:tc>
      </w:tr>
      <w:tr w:rsidR="00270E2D" w:rsidRPr="00FC6087" w14:paraId="7D51699E" w14:textId="77777777" w:rsidTr="00551162">
        <w:trPr>
          <w:trHeight w:val="828"/>
        </w:trPr>
        <w:tc>
          <w:tcPr>
            <w:tcW w:w="1987" w:type="dxa"/>
            <w:shd w:val="clear" w:color="auto" w:fill="auto"/>
            <w:tcMar>
              <w:top w:w="57" w:type="dxa"/>
              <w:bottom w:w="57" w:type="dxa"/>
            </w:tcMar>
            <w:hideMark/>
          </w:tcPr>
          <w:p w14:paraId="7D51699A" w14:textId="77777777" w:rsidR="002C634A" w:rsidRPr="00FC6087" w:rsidRDefault="002C634A" w:rsidP="006D69FF">
            <w:pPr>
              <w:spacing w:line="480" w:lineRule="auto"/>
              <w:rPr>
                <w:iCs/>
                <w:color w:val="000000" w:themeColor="text1"/>
              </w:rPr>
            </w:pPr>
            <w:r w:rsidRPr="00FC6087">
              <w:rPr>
                <w:iCs/>
                <w:color w:val="000000" w:themeColor="text1"/>
              </w:rPr>
              <w:t>Educational background</w:t>
            </w:r>
          </w:p>
        </w:tc>
        <w:tc>
          <w:tcPr>
            <w:tcW w:w="1987" w:type="dxa"/>
            <w:shd w:val="clear" w:color="auto" w:fill="auto"/>
            <w:tcMar>
              <w:top w:w="57" w:type="dxa"/>
              <w:bottom w:w="57" w:type="dxa"/>
            </w:tcMar>
            <w:hideMark/>
          </w:tcPr>
          <w:p w14:paraId="7D51699B" w14:textId="77777777" w:rsidR="002C634A" w:rsidRPr="00FC6087" w:rsidRDefault="002C634A" w:rsidP="006D69FF">
            <w:pPr>
              <w:spacing w:line="480" w:lineRule="auto"/>
              <w:rPr>
                <w:color w:val="000000" w:themeColor="text1"/>
              </w:rPr>
            </w:pPr>
            <w:r w:rsidRPr="00FC6087">
              <w:rPr>
                <w:color w:val="000000" w:themeColor="text1"/>
              </w:rPr>
              <w:t>Lack of motivation</w:t>
            </w:r>
          </w:p>
        </w:tc>
        <w:tc>
          <w:tcPr>
            <w:tcW w:w="1987" w:type="dxa"/>
            <w:shd w:val="clear" w:color="auto" w:fill="auto"/>
            <w:tcMar>
              <w:top w:w="57" w:type="dxa"/>
              <w:bottom w:w="57" w:type="dxa"/>
            </w:tcMar>
            <w:hideMark/>
          </w:tcPr>
          <w:p w14:paraId="7D51699C" w14:textId="77777777" w:rsidR="002C634A" w:rsidRPr="00FC6087" w:rsidRDefault="002C634A" w:rsidP="006D69FF">
            <w:pPr>
              <w:spacing w:line="480" w:lineRule="auto"/>
              <w:rPr>
                <w:color w:val="000000" w:themeColor="text1"/>
              </w:rPr>
            </w:pPr>
            <w:r w:rsidRPr="00FC6087">
              <w:rPr>
                <w:color w:val="000000" w:themeColor="text1"/>
              </w:rPr>
              <w:t>Lack of motivation</w:t>
            </w:r>
          </w:p>
        </w:tc>
        <w:tc>
          <w:tcPr>
            <w:tcW w:w="1987" w:type="dxa"/>
            <w:shd w:val="clear" w:color="auto" w:fill="auto"/>
            <w:tcMar>
              <w:top w:w="57" w:type="dxa"/>
              <w:bottom w:w="57" w:type="dxa"/>
            </w:tcMar>
            <w:hideMark/>
          </w:tcPr>
          <w:p w14:paraId="7D51699D" w14:textId="77777777" w:rsidR="002C634A" w:rsidRPr="00FC6087" w:rsidRDefault="002C634A" w:rsidP="006D69FF">
            <w:pPr>
              <w:spacing w:line="480" w:lineRule="auto"/>
              <w:rPr>
                <w:color w:val="000000" w:themeColor="text1"/>
              </w:rPr>
            </w:pPr>
            <w:r w:rsidRPr="00FC6087">
              <w:rPr>
                <w:color w:val="000000" w:themeColor="text1"/>
              </w:rPr>
              <w:t>Information security</w:t>
            </w:r>
          </w:p>
        </w:tc>
      </w:tr>
      <w:tr w:rsidR="00270E2D" w:rsidRPr="00FC6087" w14:paraId="7D5169A3" w14:textId="77777777" w:rsidTr="00551162">
        <w:trPr>
          <w:trHeight w:val="828"/>
        </w:trPr>
        <w:tc>
          <w:tcPr>
            <w:tcW w:w="1987" w:type="dxa"/>
            <w:shd w:val="clear" w:color="auto" w:fill="auto"/>
            <w:tcMar>
              <w:top w:w="57" w:type="dxa"/>
              <w:bottom w:w="57" w:type="dxa"/>
            </w:tcMar>
            <w:hideMark/>
          </w:tcPr>
          <w:p w14:paraId="7D51699F" w14:textId="77777777" w:rsidR="002C634A" w:rsidRPr="00FC6087" w:rsidRDefault="002C634A" w:rsidP="006D69FF">
            <w:pPr>
              <w:spacing w:line="480" w:lineRule="auto"/>
              <w:rPr>
                <w:iCs/>
                <w:color w:val="000000" w:themeColor="text1"/>
              </w:rPr>
            </w:pPr>
            <w:r w:rsidRPr="00FC6087">
              <w:rPr>
                <w:iCs/>
                <w:color w:val="000000" w:themeColor="text1"/>
              </w:rPr>
              <w:t>Information infrastructure</w:t>
            </w:r>
          </w:p>
        </w:tc>
        <w:tc>
          <w:tcPr>
            <w:tcW w:w="1987" w:type="dxa"/>
            <w:shd w:val="clear" w:color="auto" w:fill="auto"/>
            <w:tcMar>
              <w:top w:w="57" w:type="dxa"/>
              <w:bottom w:w="57" w:type="dxa"/>
            </w:tcMar>
            <w:hideMark/>
          </w:tcPr>
          <w:p w14:paraId="7D5169A0" w14:textId="77777777" w:rsidR="002C634A" w:rsidRPr="00FC6087" w:rsidRDefault="002C634A" w:rsidP="006D69FF">
            <w:pPr>
              <w:spacing w:line="480" w:lineRule="auto"/>
              <w:rPr>
                <w:color w:val="000000" w:themeColor="text1"/>
              </w:rPr>
            </w:pPr>
            <w:r w:rsidRPr="00FC6087">
              <w:rPr>
                <w:color w:val="000000" w:themeColor="text1"/>
              </w:rPr>
              <w:t>Availability of technology</w:t>
            </w:r>
          </w:p>
        </w:tc>
        <w:tc>
          <w:tcPr>
            <w:tcW w:w="1987" w:type="dxa"/>
            <w:shd w:val="clear" w:color="auto" w:fill="auto"/>
            <w:tcMar>
              <w:top w:w="57" w:type="dxa"/>
              <w:bottom w:w="57" w:type="dxa"/>
            </w:tcMar>
            <w:hideMark/>
          </w:tcPr>
          <w:p w14:paraId="7D5169A1" w14:textId="77777777" w:rsidR="002C634A" w:rsidRPr="00FC6087" w:rsidRDefault="002C634A" w:rsidP="006D69FF">
            <w:pPr>
              <w:spacing w:line="480" w:lineRule="auto"/>
              <w:rPr>
                <w:color w:val="000000" w:themeColor="text1"/>
              </w:rPr>
            </w:pPr>
            <w:r w:rsidRPr="00FC6087">
              <w:rPr>
                <w:color w:val="000000" w:themeColor="text1"/>
              </w:rPr>
              <w:t>Educational background</w:t>
            </w:r>
          </w:p>
        </w:tc>
        <w:tc>
          <w:tcPr>
            <w:tcW w:w="1987" w:type="dxa"/>
            <w:shd w:val="clear" w:color="auto" w:fill="auto"/>
            <w:tcMar>
              <w:top w:w="57" w:type="dxa"/>
              <w:bottom w:w="57" w:type="dxa"/>
            </w:tcMar>
            <w:hideMark/>
          </w:tcPr>
          <w:p w14:paraId="7D5169A2" w14:textId="77777777" w:rsidR="002C634A" w:rsidRPr="00FC6087" w:rsidRDefault="002C634A" w:rsidP="006D69FF">
            <w:pPr>
              <w:spacing w:line="480" w:lineRule="auto"/>
              <w:rPr>
                <w:color w:val="000000" w:themeColor="text1"/>
              </w:rPr>
            </w:pPr>
            <w:r w:rsidRPr="00FC6087">
              <w:rPr>
                <w:color w:val="000000" w:themeColor="text1"/>
              </w:rPr>
              <w:t>Lack of motivation</w:t>
            </w:r>
          </w:p>
        </w:tc>
      </w:tr>
      <w:tr w:rsidR="00270E2D" w:rsidRPr="00FC6087" w14:paraId="7D5169A8" w14:textId="77777777" w:rsidTr="00551162">
        <w:trPr>
          <w:trHeight w:val="828"/>
        </w:trPr>
        <w:tc>
          <w:tcPr>
            <w:tcW w:w="1987" w:type="dxa"/>
            <w:shd w:val="clear" w:color="auto" w:fill="auto"/>
            <w:tcMar>
              <w:top w:w="57" w:type="dxa"/>
              <w:bottom w:w="57" w:type="dxa"/>
            </w:tcMar>
            <w:hideMark/>
          </w:tcPr>
          <w:p w14:paraId="7D5169A4" w14:textId="77777777" w:rsidR="002C634A" w:rsidRPr="00FC6087" w:rsidRDefault="002C634A" w:rsidP="006D69FF">
            <w:pPr>
              <w:spacing w:line="480" w:lineRule="auto"/>
              <w:rPr>
                <w:iCs/>
                <w:color w:val="000000" w:themeColor="text1"/>
              </w:rPr>
            </w:pPr>
            <w:r w:rsidRPr="00FC6087">
              <w:rPr>
                <w:iCs/>
                <w:color w:val="000000" w:themeColor="text1"/>
              </w:rPr>
              <w:t>Lack of motivation</w:t>
            </w:r>
          </w:p>
        </w:tc>
        <w:tc>
          <w:tcPr>
            <w:tcW w:w="1987" w:type="dxa"/>
            <w:shd w:val="clear" w:color="auto" w:fill="auto"/>
            <w:tcMar>
              <w:top w:w="57" w:type="dxa"/>
              <w:bottom w:w="57" w:type="dxa"/>
            </w:tcMar>
            <w:hideMark/>
          </w:tcPr>
          <w:p w14:paraId="7D5169A5" w14:textId="77777777" w:rsidR="002C634A" w:rsidRPr="00FC6087" w:rsidRDefault="002C634A" w:rsidP="006D69FF">
            <w:pPr>
              <w:spacing w:line="480" w:lineRule="auto"/>
              <w:rPr>
                <w:color w:val="000000" w:themeColor="text1"/>
              </w:rPr>
            </w:pPr>
            <w:r w:rsidRPr="00FC6087">
              <w:rPr>
                <w:color w:val="000000" w:themeColor="text1"/>
              </w:rPr>
              <w:t>Information security</w:t>
            </w:r>
          </w:p>
        </w:tc>
        <w:tc>
          <w:tcPr>
            <w:tcW w:w="1987" w:type="dxa"/>
            <w:shd w:val="clear" w:color="auto" w:fill="auto"/>
            <w:tcMar>
              <w:top w:w="57" w:type="dxa"/>
              <w:bottom w:w="57" w:type="dxa"/>
            </w:tcMar>
            <w:hideMark/>
          </w:tcPr>
          <w:p w14:paraId="7D5169A6" w14:textId="77777777" w:rsidR="002C634A" w:rsidRPr="00FC6087" w:rsidRDefault="002C634A" w:rsidP="006D69FF">
            <w:pPr>
              <w:spacing w:line="480" w:lineRule="auto"/>
              <w:rPr>
                <w:color w:val="000000" w:themeColor="text1"/>
              </w:rPr>
            </w:pPr>
            <w:r w:rsidRPr="00FC6087">
              <w:rPr>
                <w:color w:val="000000" w:themeColor="text1"/>
              </w:rPr>
              <w:t>Availability of technology</w:t>
            </w:r>
          </w:p>
        </w:tc>
        <w:tc>
          <w:tcPr>
            <w:tcW w:w="1987" w:type="dxa"/>
            <w:shd w:val="clear" w:color="auto" w:fill="auto"/>
            <w:tcMar>
              <w:top w:w="57" w:type="dxa"/>
              <w:bottom w:w="57" w:type="dxa"/>
            </w:tcMar>
          </w:tcPr>
          <w:p w14:paraId="7D5169A7" w14:textId="77777777" w:rsidR="002C634A" w:rsidRPr="00FC6087" w:rsidRDefault="002C634A" w:rsidP="006D69FF">
            <w:pPr>
              <w:spacing w:line="480" w:lineRule="auto"/>
              <w:rPr>
                <w:color w:val="000000" w:themeColor="text1"/>
              </w:rPr>
            </w:pPr>
            <w:r w:rsidRPr="00FC6087">
              <w:rPr>
                <w:color w:val="000000" w:themeColor="text1"/>
              </w:rPr>
              <w:t>Learning behavior of staff</w:t>
            </w:r>
          </w:p>
        </w:tc>
      </w:tr>
      <w:tr w:rsidR="00270E2D" w:rsidRPr="00FC6087" w14:paraId="7D5169AD" w14:textId="77777777" w:rsidTr="00551162">
        <w:trPr>
          <w:trHeight w:val="828"/>
        </w:trPr>
        <w:tc>
          <w:tcPr>
            <w:tcW w:w="1987" w:type="dxa"/>
            <w:tcBorders>
              <w:bottom w:val="single" w:sz="18" w:space="0" w:color="auto"/>
            </w:tcBorders>
            <w:shd w:val="clear" w:color="auto" w:fill="auto"/>
            <w:tcMar>
              <w:top w:w="57" w:type="dxa"/>
              <w:bottom w:w="57" w:type="dxa"/>
            </w:tcMar>
          </w:tcPr>
          <w:p w14:paraId="7D5169A9" w14:textId="77777777" w:rsidR="002C634A" w:rsidRPr="00FC6087" w:rsidRDefault="002C634A" w:rsidP="006D69FF">
            <w:pPr>
              <w:spacing w:line="480" w:lineRule="auto"/>
              <w:rPr>
                <w:iCs/>
                <w:color w:val="000000" w:themeColor="text1"/>
              </w:rPr>
            </w:pPr>
            <w:r w:rsidRPr="00FC6087">
              <w:rPr>
                <w:color w:val="000000" w:themeColor="text1"/>
              </w:rPr>
              <w:t>Week technology strategy</w:t>
            </w:r>
          </w:p>
        </w:tc>
        <w:tc>
          <w:tcPr>
            <w:tcW w:w="1987" w:type="dxa"/>
            <w:tcBorders>
              <w:bottom w:val="single" w:sz="18" w:space="0" w:color="auto"/>
            </w:tcBorders>
            <w:shd w:val="clear" w:color="auto" w:fill="auto"/>
            <w:tcMar>
              <w:top w:w="57" w:type="dxa"/>
              <w:bottom w:w="57" w:type="dxa"/>
            </w:tcMar>
          </w:tcPr>
          <w:p w14:paraId="7D5169AA" w14:textId="77777777" w:rsidR="002C634A" w:rsidRPr="00FC6087" w:rsidRDefault="002C634A" w:rsidP="006D69FF">
            <w:pPr>
              <w:spacing w:line="480" w:lineRule="auto"/>
              <w:rPr>
                <w:color w:val="000000" w:themeColor="text1"/>
              </w:rPr>
            </w:pPr>
            <w:r w:rsidRPr="00FC6087">
              <w:rPr>
                <w:color w:val="000000" w:themeColor="text1"/>
              </w:rPr>
              <w:t>Lack of telecom infrastructure</w:t>
            </w:r>
          </w:p>
        </w:tc>
        <w:tc>
          <w:tcPr>
            <w:tcW w:w="1987" w:type="dxa"/>
            <w:tcBorders>
              <w:bottom w:val="single" w:sz="18" w:space="0" w:color="auto"/>
            </w:tcBorders>
            <w:shd w:val="clear" w:color="auto" w:fill="auto"/>
            <w:tcMar>
              <w:top w:w="57" w:type="dxa"/>
              <w:bottom w:w="57" w:type="dxa"/>
            </w:tcMar>
          </w:tcPr>
          <w:p w14:paraId="7D5169AB" w14:textId="77777777" w:rsidR="002C634A" w:rsidRPr="00FC6087" w:rsidRDefault="002C634A" w:rsidP="006D69FF">
            <w:pPr>
              <w:spacing w:line="480" w:lineRule="auto"/>
              <w:rPr>
                <w:color w:val="000000" w:themeColor="text1"/>
              </w:rPr>
            </w:pPr>
          </w:p>
        </w:tc>
        <w:tc>
          <w:tcPr>
            <w:tcW w:w="1987" w:type="dxa"/>
            <w:tcBorders>
              <w:bottom w:val="single" w:sz="18" w:space="0" w:color="auto"/>
            </w:tcBorders>
            <w:shd w:val="clear" w:color="auto" w:fill="auto"/>
            <w:tcMar>
              <w:top w:w="57" w:type="dxa"/>
              <w:bottom w:w="57" w:type="dxa"/>
            </w:tcMar>
          </w:tcPr>
          <w:p w14:paraId="7D5169AC" w14:textId="77777777" w:rsidR="002C634A" w:rsidRPr="00FC6087" w:rsidRDefault="002C634A" w:rsidP="006D69FF">
            <w:pPr>
              <w:spacing w:line="480" w:lineRule="auto"/>
              <w:rPr>
                <w:color w:val="000000" w:themeColor="text1"/>
              </w:rPr>
            </w:pPr>
            <w:r w:rsidRPr="00FC6087">
              <w:rPr>
                <w:color w:val="000000" w:themeColor="text1"/>
              </w:rPr>
              <w:t>Compatibility between old and new technologies</w:t>
            </w:r>
          </w:p>
        </w:tc>
      </w:tr>
      <w:bookmarkEnd w:id="136"/>
    </w:tbl>
    <w:p w14:paraId="7D5169AE" w14:textId="77777777" w:rsidR="002C634A" w:rsidRPr="00FC6087" w:rsidRDefault="002C634A" w:rsidP="00FD4D49">
      <w:pPr>
        <w:pStyle w:val="APAParagraph"/>
        <w:rPr>
          <w:color w:val="000000" w:themeColor="text1"/>
        </w:rPr>
      </w:pPr>
    </w:p>
    <w:p w14:paraId="7D5169AF" w14:textId="77777777" w:rsidR="00FD4D49" w:rsidRPr="00FC6087" w:rsidRDefault="00FD4D49" w:rsidP="00FD4D49">
      <w:pPr>
        <w:pStyle w:val="APAParagraph"/>
        <w:rPr>
          <w:color w:val="000000" w:themeColor="text1"/>
        </w:rPr>
      </w:pPr>
      <w:r w:rsidRPr="00FC6087">
        <w:rPr>
          <w:color w:val="000000" w:themeColor="text1"/>
        </w:rPr>
        <w:t>The 66 motivators were then trimmed down to 41 and grouped, based on thematic similarity, into seven categories</w:t>
      </w:r>
      <w:r w:rsidR="00D31194" w:rsidRPr="00FC6087">
        <w:rPr>
          <w:color w:val="000000" w:themeColor="text1"/>
        </w:rPr>
        <w:t xml:space="preserve"> </w:t>
      </w:r>
      <w:r w:rsidRPr="00FC6087">
        <w:rPr>
          <w:color w:val="000000" w:themeColor="text1"/>
        </w:rPr>
        <w:t>that were named based on terminolog</w:t>
      </w:r>
      <w:r w:rsidR="003E60BD" w:rsidRPr="00FC6087">
        <w:rPr>
          <w:color w:val="000000" w:themeColor="text1"/>
        </w:rPr>
        <w:t>y</w:t>
      </w:r>
      <w:r w:rsidR="00D31194" w:rsidRPr="00FC6087">
        <w:rPr>
          <w:color w:val="000000" w:themeColor="text1"/>
        </w:rPr>
        <w:t xml:space="preserve"> </w:t>
      </w:r>
      <w:r w:rsidR="003E60BD" w:rsidRPr="00FC6087">
        <w:rPr>
          <w:color w:val="000000" w:themeColor="text1"/>
        </w:rPr>
        <w:t xml:space="preserve">prevalent in the current </w:t>
      </w:r>
      <w:r w:rsidRPr="00FC6087">
        <w:rPr>
          <w:color w:val="000000" w:themeColor="text1"/>
        </w:rPr>
        <w:t xml:space="preserve">literature: </w:t>
      </w:r>
      <w:r w:rsidRPr="00790070">
        <w:rPr>
          <w:iCs/>
          <w:color w:val="000000" w:themeColor="text1"/>
        </w:rPr>
        <w:t>government support</w:t>
      </w:r>
      <w:r w:rsidR="00400F80" w:rsidRPr="00FC6087">
        <w:rPr>
          <w:iCs/>
          <w:color w:val="000000" w:themeColor="text1"/>
        </w:rPr>
        <w:t>;</w:t>
      </w:r>
      <w:r w:rsidRPr="00790070">
        <w:rPr>
          <w:iCs/>
          <w:color w:val="000000" w:themeColor="text1"/>
        </w:rPr>
        <w:t xml:space="preserve"> infrastructure</w:t>
      </w:r>
      <w:r w:rsidR="00400F80" w:rsidRPr="00FC6087">
        <w:rPr>
          <w:iCs/>
          <w:color w:val="000000" w:themeColor="text1"/>
        </w:rPr>
        <w:t>;</w:t>
      </w:r>
      <w:r w:rsidRPr="00790070">
        <w:rPr>
          <w:iCs/>
          <w:color w:val="000000" w:themeColor="text1"/>
        </w:rPr>
        <w:t xml:space="preserve"> knowledge sharing</w:t>
      </w:r>
      <w:r w:rsidR="00400F80" w:rsidRPr="00FC6087">
        <w:rPr>
          <w:iCs/>
          <w:color w:val="000000" w:themeColor="text1"/>
        </w:rPr>
        <w:t>;</w:t>
      </w:r>
      <w:r w:rsidRPr="00790070">
        <w:rPr>
          <w:iCs/>
          <w:color w:val="000000" w:themeColor="text1"/>
        </w:rPr>
        <w:t xml:space="preserve"> internal/external environment</w:t>
      </w:r>
      <w:r w:rsidR="00400F80" w:rsidRPr="00FC6087">
        <w:rPr>
          <w:iCs/>
          <w:color w:val="000000" w:themeColor="text1"/>
        </w:rPr>
        <w:t>;</w:t>
      </w:r>
      <w:r w:rsidRPr="00790070">
        <w:rPr>
          <w:iCs/>
          <w:color w:val="000000" w:themeColor="text1"/>
        </w:rPr>
        <w:t xml:space="preserve"> social sustainability</w:t>
      </w:r>
      <w:r w:rsidR="00400F80" w:rsidRPr="00FC6087">
        <w:rPr>
          <w:iCs/>
          <w:color w:val="000000" w:themeColor="text1"/>
        </w:rPr>
        <w:t>;</w:t>
      </w:r>
      <w:r w:rsidRPr="00790070">
        <w:rPr>
          <w:iCs/>
          <w:color w:val="000000" w:themeColor="text1"/>
        </w:rPr>
        <w:t xml:space="preserve"> green management</w:t>
      </w:r>
      <w:r w:rsidR="00400F80" w:rsidRPr="00FC6087">
        <w:rPr>
          <w:iCs/>
          <w:color w:val="000000" w:themeColor="text1"/>
        </w:rPr>
        <w:t>;</w:t>
      </w:r>
      <w:r w:rsidRPr="00790070">
        <w:rPr>
          <w:iCs/>
          <w:color w:val="000000" w:themeColor="text1"/>
        </w:rPr>
        <w:t xml:space="preserve"> and lean management.</w:t>
      </w:r>
      <w:r w:rsidRPr="00FC6087">
        <w:rPr>
          <w:color w:val="000000" w:themeColor="text1"/>
        </w:rPr>
        <w:t xml:space="preserve"> The government</w:t>
      </w:r>
      <w:r w:rsidR="003E60BD" w:rsidRPr="00FC6087">
        <w:rPr>
          <w:color w:val="000000" w:themeColor="text1"/>
        </w:rPr>
        <w:t>-</w:t>
      </w:r>
      <w:r w:rsidRPr="00FC6087">
        <w:rPr>
          <w:color w:val="000000" w:themeColor="text1"/>
        </w:rPr>
        <w:t>support category consisted of items relating to</w:t>
      </w:r>
      <w:r w:rsidR="007E1E82" w:rsidRPr="00FC6087">
        <w:rPr>
          <w:color w:val="000000" w:themeColor="text1"/>
        </w:rPr>
        <w:t>:</w:t>
      </w:r>
      <w:r w:rsidRPr="00FC6087">
        <w:rPr>
          <w:color w:val="000000" w:themeColor="text1"/>
        </w:rPr>
        <w:t xml:space="preserve"> strategies, policies, financial support, and legislation; infrastructure </w:t>
      </w:r>
      <w:r w:rsidR="007E1E82" w:rsidRPr="00FC6087">
        <w:rPr>
          <w:color w:val="000000" w:themeColor="text1"/>
        </w:rPr>
        <w:t>(</w:t>
      </w:r>
      <w:r w:rsidRPr="00FC6087">
        <w:rPr>
          <w:color w:val="000000" w:themeColor="text1"/>
        </w:rPr>
        <w:t xml:space="preserve">items relating to physical infrastructure, technological infrastructure, and </w:t>
      </w:r>
      <w:r w:rsidRPr="00FC6087">
        <w:rPr>
          <w:color w:val="000000" w:themeColor="text1"/>
        </w:rPr>
        <w:lastRenderedPageBreak/>
        <w:t>educational infrastructure</w:t>
      </w:r>
      <w:r w:rsidR="007E1E82" w:rsidRPr="00FC6087">
        <w:rPr>
          <w:color w:val="000000" w:themeColor="text1"/>
        </w:rPr>
        <w:t>)</w:t>
      </w:r>
      <w:r w:rsidRPr="00FC6087">
        <w:rPr>
          <w:color w:val="000000" w:themeColor="text1"/>
        </w:rPr>
        <w:t xml:space="preserve">; knowledge sharing </w:t>
      </w:r>
      <w:r w:rsidR="007E1E82" w:rsidRPr="00FC6087">
        <w:rPr>
          <w:color w:val="000000" w:themeColor="text1"/>
        </w:rPr>
        <w:t>(</w:t>
      </w:r>
      <w:r w:rsidRPr="00FC6087">
        <w:rPr>
          <w:color w:val="000000" w:themeColor="text1"/>
        </w:rPr>
        <w:t>items relating to accessibility to and availability of educational and professional development</w:t>
      </w:r>
      <w:r w:rsidR="007E1E82" w:rsidRPr="00FC6087">
        <w:rPr>
          <w:color w:val="000000" w:themeColor="text1"/>
        </w:rPr>
        <w:t>)</w:t>
      </w:r>
      <w:r w:rsidRPr="00FC6087">
        <w:rPr>
          <w:color w:val="000000" w:themeColor="text1"/>
        </w:rPr>
        <w:t xml:space="preserve">; internal/external environment </w:t>
      </w:r>
      <w:r w:rsidR="007E1E82" w:rsidRPr="00FC6087">
        <w:rPr>
          <w:color w:val="000000" w:themeColor="text1"/>
        </w:rPr>
        <w:t>(</w:t>
      </w:r>
      <w:r w:rsidRPr="00FC6087">
        <w:rPr>
          <w:color w:val="000000" w:themeColor="text1"/>
        </w:rPr>
        <w:t>items relating to task performance and leadership</w:t>
      </w:r>
      <w:r w:rsidR="007E1E82" w:rsidRPr="00FC6087">
        <w:rPr>
          <w:color w:val="000000" w:themeColor="text1"/>
        </w:rPr>
        <w:t>)</w:t>
      </w:r>
      <w:r w:rsidRPr="00FC6087">
        <w:rPr>
          <w:color w:val="000000" w:themeColor="text1"/>
        </w:rPr>
        <w:t xml:space="preserve">; social sustainability </w:t>
      </w:r>
      <w:r w:rsidR="007E1E82" w:rsidRPr="00FC6087">
        <w:rPr>
          <w:color w:val="000000" w:themeColor="text1"/>
        </w:rPr>
        <w:t>(</w:t>
      </w:r>
      <w:r w:rsidRPr="00FC6087">
        <w:rPr>
          <w:color w:val="000000" w:themeColor="text1"/>
        </w:rPr>
        <w:t>items relating to satisfaction, communication, trends, and accessibility</w:t>
      </w:r>
      <w:r w:rsidR="007E1E82" w:rsidRPr="00FC6087">
        <w:rPr>
          <w:color w:val="000000" w:themeColor="text1"/>
        </w:rPr>
        <w:t>)</w:t>
      </w:r>
      <w:r w:rsidRPr="00FC6087">
        <w:rPr>
          <w:color w:val="000000" w:themeColor="text1"/>
        </w:rPr>
        <w:t xml:space="preserve">; green management </w:t>
      </w:r>
      <w:r w:rsidR="007E1E82" w:rsidRPr="00FC6087">
        <w:rPr>
          <w:color w:val="000000" w:themeColor="text1"/>
        </w:rPr>
        <w:t>(</w:t>
      </w:r>
      <w:r w:rsidRPr="00FC6087">
        <w:rPr>
          <w:color w:val="000000" w:themeColor="text1"/>
        </w:rPr>
        <w:t>items relating to health and safety and eco-friendliness</w:t>
      </w:r>
      <w:r w:rsidR="007E1E82" w:rsidRPr="00FC6087">
        <w:rPr>
          <w:color w:val="000000" w:themeColor="text1"/>
        </w:rPr>
        <w:t>)</w:t>
      </w:r>
      <w:r w:rsidRPr="00FC6087">
        <w:rPr>
          <w:color w:val="000000" w:themeColor="text1"/>
        </w:rPr>
        <w:t xml:space="preserve">; and lean management </w:t>
      </w:r>
      <w:r w:rsidR="007E1E82" w:rsidRPr="00FC6087">
        <w:rPr>
          <w:color w:val="000000" w:themeColor="text1"/>
        </w:rPr>
        <w:t>(</w:t>
      </w:r>
      <w:r w:rsidRPr="00FC6087">
        <w:rPr>
          <w:color w:val="000000" w:themeColor="text1"/>
        </w:rPr>
        <w:t>items relating to quality, errors, liability, and cost</w:t>
      </w:r>
      <w:r w:rsidR="007E1E82" w:rsidRPr="00FC6087">
        <w:rPr>
          <w:color w:val="000000" w:themeColor="text1"/>
        </w:rPr>
        <w:t>)</w:t>
      </w:r>
      <w:r w:rsidRPr="00FC6087">
        <w:rPr>
          <w:color w:val="000000" w:themeColor="text1"/>
        </w:rPr>
        <w:t xml:space="preserve"> (see Table 4.</w:t>
      </w:r>
      <w:r w:rsidR="004F5CFC" w:rsidRPr="00FC6087">
        <w:rPr>
          <w:color w:val="000000" w:themeColor="text1"/>
        </w:rPr>
        <w:t>1</w:t>
      </w:r>
      <w:r w:rsidRPr="00FC6087">
        <w:rPr>
          <w:color w:val="000000" w:themeColor="text1"/>
        </w:rPr>
        <w:t>).</w:t>
      </w:r>
    </w:p>
    <w:p w14:paraId="7D5169B0" w14:textId="77777777" w:rsidR="00FD4D49" w:rsidRPr="00FC6087" w:rsidRDefault="00FD4D49" w:rsidP="00FD4D49">
      <w:pPr>
        <w:pStyle w:val="APAParagraph"/>
        <w:rPr>
          <w:color w:val="000000" w:themeColor="text1"/>
        </w:rPr>
      </w:pPr>
      <w:r w:rsidRPr="00FC6087">
        <w:rPr>
          <w:color w:val="000000" w:themeColor="text1"/>
        </w:rPr>
        <w:t>The 92 barriers were similarly trimmed (to 47) and grouped in to eight categories: change management</w:t>
      </w:r>
      <w:r w:rsidR="009A3311" w:rsidRPr="00FC6087">
        <w:rPr>
          <w:color w:val="000000" w:themeColor="text1"/>
        </w:rPr>
        <w:t xml:space="preserve"> (items relating to change and leadership)</w:t>
      </w:r>
      <w:r w:rsidR="003F2700" w:rsidRPr="00FC6087">
        <w:rPr>
          <w:color w:val="000000" w:themeColor="text1"/>
        </w:rPr>
        <w:t>;</w:t>
      </w:r>
      <w:r w:rsidRPr="00FC6087">
        <w:rPr>
          <w:color w:val="000000" w:themeColor="text1"/>
        </w:rPr>
        <w:t xml:space="preserve"> readiness </w:t>
      </w:r>
      <w:r w:rsidR="003F2700" w:rsidRPr="00FC6087">
        <w:rPr>
          <w:color w:val="000000" w:themeColor="text1"/>
        </w:rPr>
        <w:t>for</w:t>
      </w:r>
      <w:r w:rsidRPr="00FC6087">
        <w:rPr>
          <w:color w:val="000000" w:themeColor="text1"/>
        </w:rPr>
        <w:t xml:space="preserve"> big data and I</w:t>
      </w:r>
      <w:r w:rsidR="003F2700" w:rsidRPr="00FC6087">
        <w:rPr>
          <w:color w:val="000000" w:themeColor="text1"/>
        </w:rPr>
        <w:t>o</w:t>
      </w:r>
      <w:r w:rsidRPr="00FC6087">
        <w:rPr>
          <w:color w:val="000000" w:themeColor="text1"/>
        </w:rPr>
        <w:t>T</w:t>
      </w:r>
      <w:r w:rsidR="009A3311" w:rsidRPr="00FC6087">
        <w:rPr>
          <w:color w:val="000000" w:themeColor="text1"/>
        </w:rPr>
        <w:t xml:space="preserve"> (items relating to technology infrastructure and security)</w:t>
      </w:r>
      <w:r w:rsidR="003F2700" w:rsidRPr="00FC6087">
        <w:rPr>
          <w:color w:val="000000" w:themeColor="text1"/>
        </w:rPr>
        <w:t>;</w:t>
      </w:r>
      <w:r w:rsidRPr="00FC6087">
        <w:rPr>
          <w:color w:val="000000" w:themeColor="text1"/>
        </w:rPr>
        <w:t xml:space="preserve"> stakeholders</w:t>
      </w:r>
      <w:r w:rsidR="009A3311" w:rsidRPr="00FC6087">
        <w:rPr>
          <w:color w:val="000000" w:themeColor="text1"/>
        </w:rPr>
        <w:t xml:space="preserve"> (items relating to support and coordination amongst key healthcare players)</w:t>
      </w:r>
      <w:r w:rsidR="003F2700" w:rsidRPr="00FC6087">
        <w:rPr>
          <w:color w:val="000000" w:themeColor="text1"/>
        </w:rPr>
        <w:t>;</w:t>
      </w:r>
      <w:r w:rsidRPr="00FC6087">
        <w:rPr>
          <w:color w:val="000000" w:themeColor="text1"/>
        </w:rPr>
        <w:t xml:space="preserve"> outsourcing</w:t>
      </w:r>
      <w:r w:rsidR="009A3311" w:rsidRPr="00FC6087">
        <w:rPr>
          <w:color w:val="000000" w:themeColor="text1"/>
        </w:rPr>
        <w:t xml:space="preserve"> (items relating to skills and competition)</w:t>
      </w:r>
      <w:r w:rsidR="003F2700" w:rsidRPr="00FC6087">
        <w:rPr>
          <w:color w:val="000000" w:themeColor="text1"/>
        </w:rPr>
        <w:t>;</w:t>
      </w:r>
      <w:r w:rsidRPr="00FC6087">
        <w:rPr>
          <w:color w:val="000000" w:themeColor="text1"/>
        </w:rPr>
        <w:t xml:space="preserve"> orientation</w:t>
      </w:r>
      <w:r w:rsidR="009A3311" w:rsidRPr="00FC6087">
        <w:rPr>
          <w:color w:val="000000" w:themeColor="text1"/>
        </w:rPr>
        <w:t xml:space="preserve"> (items relating to skills, legislation, and preparedness)</w:t>
      </w:r>
      <w:r w:rsidR="003F2700" w:rsidRPr="00FC6087">
        <w:rPr>
          <w:color w:val="000000" w:themeColor="text1"/>
        </w:rPr>
        <w:t>;</w:t>
      </w:r>
      <w:r w:rsidRPr="00FC6087">
        <w:rPr>
          <w:color w:val="000000" w:themeColor="text1"/>
        </w:rPr>
        <w:t xml:space="preserve"> organizational strategy</w:t>
      </w:r>
      <w:r w:rsidR="009A3311" w:rsidRPr="00FC6087">
        <w:rPr>
          <w:color w:val="000000" w:themeColor="text1"/>
        </w:rPr>
        <w:t xml:space="preserve"> (items relating to policies, training, procedures, strategies, and costs)</w:t>
      </w:r>
      <w:r w:rsidR="003F2700" w:rsidRPr="00FC6087">
        <w:rPr>
          <w:color w:val="000000" w:themeColor="text1"/>
        </w:rPr>
        <w:t>;</w:t>
      </w:r>
      <w:r w:rsidRPr="00FC6087">
        <w:rPr>
          <w:color w:val="000000" w:themeColor="text1"/>
        </w:rPr>
        <w:t xml:space="preserve"> logistics support</w:t>
      </w:r>
      <w:r w:rsidR="009A3311" w:rsidRPr="00FC6087">
        <w:rPr>
          <w:color w:val="000000" w:themeColor="text1"/>
        </w:rPr>
        <w:t xml:space="preserve"> (items relating to infrastructure and support)</w:t>
      </w:r>
      <w:r w:rsidR="003F2700" w:rsidRPr="00FC6087">
        <w:rPr>
          <w:color w:val="000000" w:themeColor="text1"/>
        </w:rPr>
        <w:t>;</w:t>
      </w:r>
      <w:r w:rsidRPr="00FC6087">
        <w:rPr>
          <w:color w:val="000000" w:themeColor="text1"/>
        </w:rPr>
        <w:t xml:space="preserve"> and technical barriers</w:t>
      </w:r>
      <w:r w:rsidR="009A3311" w:rsidRPr="00FC6087">
        <w:rPr>
          <w:color w:val="000000" w:themeColor="text1"/>
        </w:rPr>
        <w:t xml:space="preserve"> (items relating to the usability, accessibility, compatibility, and longevity of technology)</w:t>
      </w:r>
      <w:r w:rsidRPr="00FC6087">
        <w:rPr>
          <w:color w:val="000000" w:themeColor="text1"/>
        </w:rPr>
        <w:t xml:space="preserve"> (</w:t>
      </w:r>
      <w:r w:rsidR="002943B9" w:rsidRPr="00FC6087">
        <w:rPr>
          <w:color w:val="000000" w:themeColor="text1"/>
        </w:rPr>
        <w:t xml:space="preserve">see </w:t>
      </w:r>
      <w:r w:rsidRPr="00FC6087">
        <w:rPr>
          <w:color w:val="000000" w:themeColor="text1"/>
        </w:rPr>
        <w:t xml:space="preserve">Table </w:t>
      </w:r>
      <w:r w:rsidR="004F5CFC" w:rsidRPr="00FC6087">
        <w:rPr>
          <w:color w:val="000000" w:themeColor="text1"/>
        </w:rPr>
        <w:t>4.2</w:t>
      </w:r>
      <w:r w:rsidRPr="00FC6087">
        <w:rPr>
          <w:color w:val="000000" w:themeColor="text1"/>
        </w:rPr>
        <w:t xml:space="preserve">). </w:t>
      </w:r>
    </w:p>
    <w:p w14:paraId="7D5169B2" w14:textId="4A583CC9" w:rsidR="00FD4D49" w:rsidRPr="00FC6087" w:rsidRDefault="00FD4D49" w:rsidP="00FD4D49">
      <w:pPr>
        <w:pStyle w:val="APAParagraph"/>
        <w:rPr>
          <w:color w:val="000000" w:themeColor="text1"/>
        </w:rPr>
      </w:pPr>
      <w:r w:rsidRPr="00FC6087">
        <w:rPr>
          <w:color w:val="000000" w:themeColor="text1"/>
        </w:rPr>
        <w:t xml:space="preserve">To determine </w:t>
      </w:r>
      <w:r w:rsidR="00E6465A" w:rsidRPr="00FC6087">
        <w:rPr>
          <w:color w:val="000000" w:themeColor="text1"/>
        </w:rPr>
        <w:t xml:space="preserve">HIT adoption’s </w:t>
      </w:r>
      <w:r w:rsidRPr="00FC6087">
        <w:rPr>
          <w:color w:val="000000" w:themeColor="text1"/>
        </w:rPr>
        <w:t>latent motivational factors,</w:t>
      </w:r>
      <w:r w:rsidR="00830629" w:rsidRPr="00FC6087">
        <w:rPr>
          <w:color w:val="000000" w:themeColor="text1"/>
        </w:rPr>
        <w:t xml:space="preserve"> an</w:t>
      </w:r>
      <w:r w:rsidRPr="00FC6087">
        <w:rPr>
          <w:color w:val="000000" w:themeColor="text1"/>
        </w:rPr>
        <w:t xml:space="preserve"> EFA was conducted on participants’ responses for 22 of the items from the survey.</w:t>
      </w:r>
      <w:r w:rsidR="00D31194" w:rsidRPr="00FC6087">
        <w:rPr>
          <w:color w:val="000000" w:themeColor="text1"/>
        </w:rPr>
        <w:t xml:space="preserve"> </w:t>
      </w:r>
      <w:r w:rsidRPr="00FC6087">
        <w:rPr>
          <w:color w:val="000000" w:themeColor="text1"/>
        </w:rPr>
        <w:t>To ensure the data were of good quality for factor analyses, before conducting the EFA, the data were analyzed based on two criteria: the Kaiser</w:t>
      </w:r>
      <w:r w:rsidR="00393133" w:rsidRPr="00FC6087">
        <w:rPr>
          <w:color w:val="000000" w:themeColor="text1"/>
        </w:rPr>
        <w:t>–</w:t>
      </w:r>
      <w:r w:rsidRPr="00FC6087">
        <w:rPr>
          <w:color w:val="000000" w:themeColor="text1"/>
        </w:rPr>
        <w:t>Meyer</w:t>
      </w:r>
      <w:r w:rsidR="00393133" w:rsidRPr="00FC6087">
        <w:rPr>
          <w:color w:val="000000" w:themeColor="text1"/>
        </w:rPr>
        <w:t>–</w:t>
      </w:r>
      <w:r w:rsidRPr="00FC6087">
        <w:rPr>
          <w:color w:val="000000" w:themeColor="text1"/>
        </w:rPr>
        <w:t>Olkin</w:t>
      </w:r>
      <w:r w:rsidR="000A45F2">
        <w:rPr>
          <w:color w:val="000000" w:themeColor="text1"/>
        </w:rPr>
        <w:t xml:space="preserve"> </w:t>
      </w:r>
      <w:r w:rsidRPr="00FC6087">
        <w:rPr>
          <w:color w:val="000000" w:themeColor="text1"/>
        </w:rPr>
        <w:t xml:space="preserve">(KMO) </w:t>
      </w:r>
      <w:r w:rsidR="00E6465A" w:rsidRPr="00FC6087">
        <w:rPr>
          <w:color w:val="000000" w:themeColor="text1"/>
        </w:rPr>
        <w:t xml:space="preserve">test </w:t>
      </w:r>
      <w:r w:rsidRPr="00FC6087">
        <w:rPr>
          <w:color w:val="000000" w:themeColor="text1"/>
        </w:rPr>
        <w:t>and Bartlett’s test of sphericity (Treiblmaier</w:t>
      </w:r>
      <w:r w:rsidR="005E7A62">
        <w:rPr>
          <w:color w:val="000000" w:themeColor="text1"/>
        </w:rPr>
        <w:t xml:space="preserve"> &amp; </w:t>
      </w:r>
      <w:r w:rsidRPr="00FC6087">
        <w:rPr>
          <w:color w:val="000000" w:themeColor="text1"/>
        </w:rPr>
        <w:t xml:space="preserve">Filzmoser, 2010). </w:t>
      </w:r>
      <w:r w:rsidRPr="00FC6087">
        <w:rPr>
          <w:color w:val="000000" w:themeColor="text1"/>
        </w:rPr>
        <w:lastRenderedPageBreak/>
        <w:t xml:space="preserve">Importantly, both criteria were met: the obtained KMO </w:t>
      </w:r>
      <w:r w:rsidR="00E6465A" w:rsidRPr="00FC6087">
        <w:rPr>
          <w:color w:val="000000" w:themeColor="text1"/>
        </w:rPr>
        <w:t xml:space="preserve">value </w:t>
      </w:r>
      <w:r w:rsidRPr="00FC6087">
        <w:rPr>
          <w:color w:val="000000" w:themeColor="text1"/>
        </w:rPr>
        <w:t>of 0.95 was above the recommended threshold of 0.6 (Worthington</w:t>
      </w:r>
      <w:r w:rsidR="005E7A62">
        <w:rPr>
          <w:color w:val="000000" w:themeColor="text1"/>
        </w:rPr>
        <w:t xml:space="preserve"> &amp; </w:t>
      </w:r>
      <w:r w:rsidRPr="00FC6087">
        <w:rPr>
          <w:color w:val="000000" w:themeColor="text1"/>
        </w:rPr>
        <w:t>Whittaker, 2006)</w:t>
      </w:r>
      <w:r w:rsidR="00393133" w:rsidRPr="00FC6087">
        <w:rPr>
          <w:color w:val="000000" w:themeColor="text1"/>
        </w:rPr>
        <w:t>;</w:t>
      </w:r>
      <w:r w:rsidRPr="00FC6087">
        <w:rPr>
          <w:color w:val="000000" w:themeColor="text1"/>
        </w:rPr>
        <w:t xml:space="preserve"> and Bartlett’s </w:t>
      </w:r>
      <w:r w:rsidR="00393133" w:rsidRPr="00FC6087">
        <w:rPr>
          <w:color w:val="000000" w:themeColor="text1"/>
        </w:rPr>
        <w:t>t</w:t>
      </w:r>
      <w:r w:rsidRPr="00FC6087">
        <w:rPr>
          <w:color w:val="000000" w:themeColor="text1"/>
        </w:rPr>
        <w:t xml:space="preserve">est of </w:t>
      </w:r>
      <w:r w:rsidR="00393133" w:rsidRPr="00FC6087">
        <w:rPr>
          <w:color w:val="000000" w:themeColor="text1"/>
        </w:rPr>
        <w:t>s</w:t>
      </w:r>
      <w:r w:rsidRPr="00FC6087">
        <w:rPr>
          <w:color w:val="000000" w:themeColor="text1"/>
        </w:rPr>
        <w:t>phericity was statistically significant (</w:t>
      </w:r>
      <w:r w:rsidRPr="00FC6087">
        <w:rPr>
          <w:i/>
          <w:color w:val="000000" w:themeColor="text1"/>
        </w:rPr>
        <w:t>χ</w:t>
      </w:r>
      <w:r w:rsidRPr="00FC6087">
        <w:rPr>
          <w:color w:val="000000" w:themeColor="text1"/>
          <w:vertAlign w:val="superscript"/>
        </w:rPr>
        <w:t>2</w:t>
      </w:r>
      <w:r w:rsidRPr="00FC6087">
        <w:rPr>
          <w:color w:val="000000" w:themeColor="text1"/>
        </w:rPr>
        <w:t xml:space="preserve"> = 7891.687, df = 496, </w:t>
      </w:r>
      <w:r w:rsidRPr="00FC6087">
        <w:rPr>
          <w:i/>
          <w:color w:val="000000" w:themeColor="text1"/>
        </w:rPr>
        <w:t>p</w:t>
      </w:r>
      <w:r w:rsidR="008042BA">
        <w:rPr>
          <w:i/>
          <w:color w:val="000000" w:themeColor="text1"/>
        </w:rPr>
        <w:t xml:space="preserve"> </w:t>
      </w:r>
      <w:r w:rsidRPr="00FC6087">
        <w:rPr>
          <w:color w:val="000000" w:themeColor="text1"/>
        </w:rPr>
        <w:t>&lt;</w:t>
      </w:r>
      <w:r w:rsidR="008042BA">
        <w:rPr>
          <w:color w:val="000000" w:themeColor="text1"/>
        </w:rPr>
        <w:t xml:space="preserve"> </w:t>
      </w:r>
      <w:r w:rsidR="00393133" w:rsidRPr="00FC6087">
        <w:rPr>
          <w:color w:val="000000" w:themeColor="text1"/>
        </w:rPr>
        <w:t>0</w:t>
      </w:r>
      <w:r w:rsidRPr="00FC6087">
        <w:rPr>
          <w:color w:val="000000" w:themeColor="text1"/>
        </w:rPr>
        <w:t>.001) (Matsunaga, 2010).</w:t>
      </w:r>
    </w:p>
    <w:p w14:paraId="7D5169B3" w14:textId="39D3C7CD" w:rsidR="00FD4D49" w:rsidRPr="00FC6087" w:rsidRDefault="00FD4D49" w:rsidP="00FD4D49">
      <w:pPr>
        <w:pStyle w:val="APAParagraph"/>
        <w:rPr>
          <w:color w:val="000000" w:themeColor="text1"/>
        </w:rPr>
      </w:pPr>
      <w:r w:rsidRPr="00FC6087">
        <w:rPr>
          <w:color w:val="000000" w:themeColor="text1"/>
        </w:rPr>
        <w:t>The results of the EFA revealed four components with strong factor loadings (&gt; 1): quality management (QM)</w:t>
      </w:r>
      <w:r w:rsidR="00E721D8" w:rsidRPr="00FC6087">
        <w:rPr>
          <w:color w:val="000000" w:themeColor="text1"/>
        </w:rPr>
        <w:t>;</w:t>
      </w:r>
      <w:r w:rsidRPr="00FC6087">
        <w:rPr>
          <w:color w:val="000000" w:themeColor="text1"/>
        </w:rPr>
        <w:t xml:space="preserve"> information sharing (IS)</w:t>
      </w:r>
      <w:r w:rsidR="00E721D8" w:rsidRPr="00FC6087">
        <w:rPr>
          <w:color w:val="000000" w:themeColor="text1"/>
        </w:rPr>
        <w:t>;</w:t>
      </w:r>
      <w:r w:rsidRPr="00FC6087">
        <w:rPr>
          <w:color w:val="000000" w:themeColor="text1"/>
        </w:rPr>
        <w:t xml:space="preserve"> strategic governance (SG)</w:t>
      </w:r>
      <w:r w:rsidR="00E721D8" w:rsidRPr="00FC6087">
        <w:rPr>
          <w:color w:val="000000" w:themeColor="text1"/>
        </w:rPr>
        <w:t>;</w:t>
      </w:r>
      <w:r w:rsidRPr="00FC6087">
        <w:rPr>
          <w:color w:val="000000" w:themeColor="text1"/>
        </w:rPr>
        <w:t xml:space="preserve"> and</w:t>
      </w:r>
      <w:r w:rsidR="000A45F2">
        <w:rPr>
          <w:color w:val="000000" w:themeColor="text1"/>
        </w:rPr>
        <w:t xml:space="preserve"> </w:t>
      </w:r>
      <w:r w:rsidRPr="00FC6087">
        <w:rPr>
          <w:color w:val="000000" w:themeColor="text1"/>
        </w:rPr>
        <w:t xml:space="preserve">technology infrastructure (TI). Together, these four factors explained 59.82% of the total variance. Table 5.3 shows the individual item loadings for each of the four factors, the variance explained by each factor, and Cronbach’s alpha (a measure of internal consistency) for each factor. All values for Cronbach’s alpha were above the recommended value of </w:t>
      </w:r>
      <w:r w:rsidR="00E721D8" w:rsidRPr="00FC6087">
        <w:rPr>
          <w:color w:val="000000" w:themeColor="text1"/>
        </w:rPr>
        <w:t>0</w:t>
      </w:r>
      <w:r w:rsidRPr="00FC6087">
        <w:rPr>
          <w:color w:val="000000" w:themeColor="text1"/>
        </w:rPr>
        <w:t>.7 (Cortina, 1993). Thus, it can be concluded that these constructs have good internal consistency. Cronbach</w:t>
      </w:r>
      <w:r w:rsidR="00E721D8" w:rsidRPr="00FC6087">
        <w:rPr>
          <w:color w:val="000000" w:themeColor="text1"/>
        </w:rPr>
        <w:t>’</w:t>
      </w:r>
      <w:r w:rsidRPr="00FC6087">
        <w:rPr>
          <w:color w:val="000000" w:themeColor="text1"/>
        </w:rPr>
        <w:t xml:space="preserve">s </w:t>
      </w:r>
      <w:r w:rsidR="00E721D8" w:rsidRPr="00FC6087">
        <w:rPr>
          <w:color w:val="000000" w:themeColor="text1"/>
        </w:rPr>
        <w:t>c</w:t>
      </w:r>
      <w:r w:rsidRPr="00FC6087">
        <w:rPr>
          <w:color w:val="000000" w:themeColor="text1"/>
        </w:rPr>
        <w:t xml:space="preserve">oefficient </w:t>
      </w:r>
      <w:r w:rsidR="00E721D8" w:rsidRPr="00FC6087">
        <w:rPr>
          <w:color w:val="000000" w:themeColor="text1"/>
        </w:rPr>
        <w:t>a</w:t>
      </w:r>
      <w:r w:rsidRPr="00FC6087">
        <w:rPr>
          <w:color w:val="000000" w:themeColor="text1"/>
        </w:rPr>
        <w:t>lpha is the most widely used indicator of internal consistency by scholars assessing the reliability of measurement scales adopted (Hair</w:t>
      </w:r>
      <w:r w:rsidR="00664D7F" w:rsidRPr="00FC6087">
        <w:rPr>
          <w:color w:val="000000" w:themeColor="text1"/>
        </w:rPr>
        <w:t>, Black, Babin, Anderson,</w:t>
      </w:r>
      <w:r w:rsidR="005E7A62">
        <w:rPr>
          <w:color w:val="000000" w:themeColor="text1"/>
        </w:rPr>
        <w:t xml:space="preserve"> &amp; </w:t>
      </w:r>
      <w:r w:rsidR="00664D7F" w:rsidRPr="00FC6087">
        <w:rPr>
          <w:color w:val="000000" w:themeColor="text1"/>
        </w:rPr>
        <w:t>Tatham</w:t>
      </w:r>
      <w:r w:rsidRPr="00FC6087">
        <w:rPr>
          <w:color w:val="000000" w:themeColor="text1"/>
        </w:rPr>
        <w:t>, 2006). Reliability mirrors the precision and accuracy level of a measurement procedure (Thorndike, Cunningham, Thorndike</w:t>
      </w:r>
      <w:r w:rsidR="00A54BDE" w:rsidRPr="00FC6087">
        <w:rPr>
          <w:color w:val="000000" w:themeColor="text1"/>
        </w:rPr>
        <w:t>,</w:t>
      </w:r>
      <w:r w:rsidR="005E7A62">
        <w:rPr>
          <w:color w:val="000000" w:themeColor="text1"/>
        </w:rPr>
        <w:t xml:space="preserve"> &amp; </w:t>
      </w:r>
      <w:r w:rsidRPr="00FC6087">
        <w:rPr>
          <w:color w:val="000000" w:themeColor="text1"/>
        </w:rPr>
        <w:t>Hagen, 1991) and may be perceived as a construct’s relative lack of error. The main motivation for conducting reliability checks is to decrease measurement errors (Churchill</w:t>
      </w:r>
      <w:r w:rsidR="005E7A62">
        <w:rPr>
          <w:color w:val="000000" w:themeColor="text1"/>
        </w:rPr>
        <w:t xml:space="preserve"> &amp; </w:t>
      </w:r>
      <w:r w:rsidRPr="00FC6087">
        <w:rPr>
          <w:color w:val="000000" w:themeColor="text1"/>
        </w:rPr>
        <w:t>Iacobucci, 2002). The reliability index ranges between zero and one and high alpha values indicate higher reliability (Tavakol</w:t>
      </w:r>
      <w:r w:rsidR="005E7A62">
        <w:rPr>
          <w:color w:val="000000" w:themeColor="text1"/>
        </w:rPr>
        <w:t xml:space="preserve"> &amp; </w:t>
      </w:r>
      <w:r w:rsidRPr="00FC6087">
        <w:rPr>
          <w:color w:val="000000" w:themeColor="text1"/>
        </w:rPr>
        <w:t xml:space="preserve">Dennick, 2011). </w:t>
      </w:r>
    </w:p>
    <w:p w14:paraId="7D5169B4" w14:textId="77777777" w:rsidR="00FD4D49" w:rsidRPr="00FC6087" w:rsidRDefault="00FD4D49" w:rsidP="00FD4D49">
      <w:pPr>
        <w:rPr>
          <w:b/>
          <w:i/>
          <w:color w:val="000000" w:themeColor="text1"/>
        </w:rPr>
      </w:pPr>
    </w:p>
    <w:p w14:paraId="7D5169B5" w14:textId="24E6E621" w:rsidR="00FD4D49" w:rsidRPr="00790070" w:rsidRDefault="00FD4D49" w:rsidP="003F0A8A">
      <w:pPr>
        <w:pStyle w:val="Caption"/>
        <w:jc w:val="left"/>
        <w:rPr>
          <w:b w:val="0"/>
          <w:i/>
          <w:noProof w:val="0"/>
          <w:color w:val="000000" w:themeColor="text1"/>
          <w:sz w:val="24"/>
          <w:szCs w:val="24"/>
        </w:rPr>
      </w:pPr>
      <w:bookmarkStart w:id="137" w:name="_Toc534121147"/>
      <w:r w:rsidRPr="00790070">
        <w:rPr>
          <w:b w:val="0"/>
          <w:noProof w:val="0"/>
          <w:color w:val="000000" w:themeColor="text1"/>
          <w:sz w:val="24"/>
          <w:szCs w:val="24"/>
        </w:rPr>
        <w:lastRenderedPageBreak/>
        <w:t>Table 5.</w:t>
      </w:r>
      <w:r w:rsidR="000270F9">
        <w:rPr>
          <w:b w:val="0"/>
          <w:noProof w:val="0"/>
          <w:color w:val="000000" w:themeColor="text1"/>
          <w:sz w:val="24"/>
          <w:szCs w:val="24"/>
        </w:rPr>
        <w:t>4</w:t>
      </w:r>
      <w:r w:rsidR="00C6117D">
        <w:rPr>
          <w:b w:val="0"/>
          <w:noProof w:val="0"/>
          <w:color w:val="000000" w:themeColor="text1"/>
          <w:sz w:val="24"/>
          <w:szCs w:val="24"/>
        </w:rPr>
        <w:br/>
      </w:r>
      <w:r w:rsidRPr="00790070">
        <w:rPr>
          <w:b w:val="0"/>
          <w:i/>
          <w:noProof w:val="0"/>
          <w:color w:val="000000" w:themeColor="text1"/>
          <w:sz w:val="24"/>
          <w:szCs w:val="24"/>
          <w:lang w:bidi="ar-DZ"/>
        </w:rPr>
        <w:t>Rotated Component Matrix of Items of the Four Key Latent Motivational</w:t>
      </w:r>
      <w:bookmarkEnd w:id="137"/>
      <w:r w:rsidR="004F6A4D">
        <w:rPr>
          <w:b w:val="0"/>
          <w:i/>
          <w:noProof w:val="0"/>
          <w:color w:val="000000" w:themeColor="text1"/>
          <w:sz w:val="24"/>
          <w:szCs w:val="24"/>
          <w:lang w:bidi="ar-DZ"/>
        </w:rPr>
        <w:t xml:space="preserve"> Factors</w:t>
      </w:r>
    </w:p>
    <w:tbl>
      <w:tblPr>
        <w:tblW w:w="4984" w:type="pct"/>
        <w:jc w:val="center"/>
        <w:tblBorders>
          <w:top w:val="single" w:sz="4" w:space="0" w:color="auto"/>
          <w:bottom w:val="single" w:sz="4" w:space="0" w:color="auto"/>
        </w:tblBorders>
        <w:tblLayout w:type="fixed"/>
        <w:tblLook w:val="04A0" w:firstRow="1" w:lastRow="0" w:firstColumn="1" w:lastColumn="0" w:noHBand="0" w:noVBand="1"/>
      </w:tblPr>
      <w:tblGrid>
        <w:gridCol w:w="839"/>
        <w:gridCol w:w="4755"/>
        <w:gridCol w:w="577"/>
        <w:gridCol w:w="576"/>
        <w:gridCol w:w="576"/>
        <w:gridCol w:w="572"/>
      </w:tblGrid>
      <w:tr w:rsidR="00E721D8" w:rsidRPr="00FC6087" w14:paraId="7D5169BC" w14:textId="77777777" w:rsidTr="006D69FF">
        <w:trPr>
          <w:trHeight w:val="504"/>
          <w:tblHeader/>
          <w:jc w:val="center"/>
        </w:trPr>
        <w:tc>
          <w:tcPr>
            <w:tcW w:w="531" w:type="pct"/>
            <w:tcBorders>
              <w:top w:val="single" w:sz="18" w:space="0" w:color="auto"/>
              <w:bottom w:val="single" w:sz="12" w:space="0" w:color="auto"/>
            </w:tcBorders>
            <w:shd w:val="clear" w:color="auto" w:fill="auto"/>
            <w:tcMar>
              <w:left w:w="0" w:type="dxa"/>
              <w:right w:w="0" w:type="dxa"/>
            </w:tcMar>
            <w:vAlign w:val="center"/>
            <w:hideMark/>
          </w:tcPr>
          <w:p w14:paraId="7D5169B6"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Item</w:t>
            </w:r>
          </w:p>
        </w:tc>
        <w:tc>
          <w:tcPr>
            <w:tcW w:w="3010" w:type="pct"/>
            <w:tcBorders>
              <w:top w:val="single" w:sz="18" w:space="0" w:color="auto"/>
              <w:bottom w:val="single" w:sz="12" w:space="0" w:color="auto"/>
            </w:tcBorders>
            <w:shd w:val="clear" w:color="auto" w:fill="auto"/>
            <w:tcMar>
              <w:left w:w="0" w:type="dxa"/>
              <w:right w:w="0" w:type="dxa"/>
            </w:tcMar>
            <w:vAlign w:val="center"/>
            <w:hideMark/>
          </w:tcPr>
          <w:p w14:paraId="7D5169B7"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Label</w:t>
            </w:r>
          </w:p>
        </w:tc>
        <w:tc>
          <w:tcPr>
            <w:tcW w:w="365" w:type="pct"/>
            <w:tcBorders>
              <w:top w:val="single" w:sz="18" w:space="0" w:color="auto"/>
              <w:bottom w:val="single" w:sz="12" w:space="0" w:color="auto"/>
            </w:tcBorders>
            <w:shd w:val="clear" w:color="auto" w:fill="auto"/>
            <w:noWrap/>
            <w:tcMar>
              <w:left w:w="0" w:type="dxa"/>
              <w:right w:w="0" w:type="dxa"/>
            </w:tcMar>
            <w:vAlign w:val="center"/>
            <w:hideMark/>
          </w:tcPr>
          <w:p w14:paraId="7D5169B8" w14:textId="77777777" w:rsidR="00FD4D49" w:rsidRPr="00790070" w:rsidRDefault="00FD4D49" w:rsidP="00790070">
            <w:pPr>
              <w:spacing w:line="360" w:lineRule="auto"/>
              <w:contextualSpacing/>
              <w:jc w:val="center"/>
              <w:rPr>
                <w:rFonts w:eastAsia="Times New Roman"/>
                <w:color w:val="000000" w:themeColor="text1"/>
              </w:rPr>
            </w:pPr>
            <w:r w:rsidRPr="00790070">
              <w:rPr>
                <w:rFonts w:eastAsia="Times New Roman"/>
                <w:color w:val="000000" w:themeColor="text1"/>
              </w:rPr>
              <w:t>QM</w:t>
            </w:r>
          </w:p>
        </w:tc>
        <w:tc>
          <w:tcPr>
            <w:tcW w:w="365" w:type="pct"/>
            <w:tcBorders>
              <w:top w:val="single" w:sz="18" w:space="0" w:color="auto"/>
              <w:bottom w:val="single" w:sz="12" w:space="0" w:color="auto"/>
            </w:tcBorders>
            <w:shd w:val="clear" w:color="auto" w:fill="auto"/>
            <w:tcMar>
              <w:left w:w="0" w:type="dxa"/>
              <w:right w:w="0" w:type="dxa"/>
            </w:tcMar>
            <w:vAlign w:val="center"/>
            <w:hideMark/>
          </w:tcPr>
          <w:p w14:paraId="7D5169B9" w14:textId="77777777" w:rsidR="00FD4D49" w:rsidRPr="00790070" w:rsidRDefault="00FD4D49" w:rsidP="00790070">
            <w:pPr>
              <w:spacing w:line="360" w:lineRule="auto"/>
              <w:contextualSpacing/>
              <w:jc w:val="center"/>
              <w:rPr>
                <w:rFonts w:eastAsia="Times New Roman"/>
                <w:color w:val="000000" w:themeColor="text1"/>
              </w:rPr>
            </w:pPr>
            <w:r w:rsidRPr="00790070">
              <w:rPr>
                <w:rFonts w:eastAsia="Times New Roman"/>
                <w:color w:val="000000" w:themeColor="text1"/>
              </w:rPr>
              <w:t>IS</w:t>
            </w:r>
          </w:p>
        </w:tc>
        <w:tc>
          <w:tcPr>
            <w:tcW w:w="365" w:type="pct"/>
            <w:tcBorders>
              <w:top w:val="single" w:sz="18" w:space="0" w:color="auto"/>
              <w:bottom w:val="single" w:sz="12" w:space="0" w:color="auto"/>
            </w:tcBorders>
            <w:shd w:val="clear" w:color="auto" w:fill="auto"/>
            <w:tcMar>
              <w:left w:w="0" w:type="dxa"/>
              <w:right w:w="0" w:type="dxa"/>
            </w:tcMar>
            <w:vAlign w:val="center"/>
            <w:hideMark/>
          </w:tcPr>
          <w:p w14:paraId="7D5169BA" w14:textId="77777777" w:rsidR="00FD4D49" w:rsidRPr="00790070" w:rsidRDefault="00FD4D49" w:rsidP="00790070">
            <w:pPr>
              <w:spacing w:line="360" w:lineRule="auto"/>
              <w:contextualSpacing/>
              <w:jc w:val="center"/>
              <w:rPr>
                <w:rFonts w:eastAsia="Times New Roman"/>
                <w:color w:val="000000" w:themeColor="text1"/>
              </w:rPr>
            </w:pPr>
            <w:r w:rsidRPr="00790070">
              <w:rPr>
                <w:rFonts w:eastAsia="Times New Roman"/>
                <w:color w:val="000000" w:themeColor="text1"/>
              </w:rPr>
              <w:t>SG</w:t>
            </w:r>
          </w:p>
        </w:tc>
        <w:tc>
          <w:tcPr>
            <w:tcW w:w="362" w:type="pct"/>
            <w:tcBorders>
              <w:top w:val="single" w:sz="18" w:space="0" w:color="auto"/>
              <w:bottom w:val="single" w:sz="12" w:space="0" w:color="auto"/>
            </w:tcBorders>
            <w:shd w:val="clear" w:color="auto" w:fill="auto"/>
            <w:tcMar>
              <w:left w:w="0" w:type="dxa"/>
              <w:right w:w="0" w:type="dxa"/>
            </w:tcMar>
            <w:vAlign w:val="center"/>
            <w:hideMark/>
          </w:tcPr>
          <w:p w14:paraId="7D5169BB" w14:textId="77777777" w:rsidR="00FD4D49" w:rsidRPr="00790070" w:rsidRDefault="00FD4D49" w:rsidP="00790070">
            <w:pPr>
              <w:spacing w:line="360" w:lineRule="auto"/>
              <w:contextualSpacing/>
              <w:jc w:val="center"/>
              <w:rPr>
                <w:rFonts w:eastAsia="Times New Roman"/>
                <w:color w:val="000000" w:themeColor="text1"/>
              </w:rPr>
            </w:pPr>
            <w:r w:rsidRPr="00790070">
              <w:rPr>
                <w:rFonts w:eastAsia="Times New Roman"/>
                <w:color w:val="000000" w:themeColor="text1"/>
              </w:rPr>
              <w:t>TI</w:t>
            </w:r>
          </w:p>
        </w:tc>
      </w:tr>
      <w:tr w:rsidR="00053918" w:rsidRPr="00FC6087" w14:paraId="7D5169C3" w14:textId="77777777" w:rsidTr="006D69FF">
        <w:trPr>
          <w:trHeight w:val="504"/>
          <w:jc w:val="center"/>
        </w:trPr>
        <w:tc>
          <w:tcPr>
            <w:tcW w:w="531" w:type="pct"/>
            <w:tcBorders>
              <w:top w:val="single" w:sz="12" w:space="0" w:color="auto"/>
            </w:tcBorders>
            <w:shd w:val="clear" w:color="auto" w:fill="auto"/>
            <w:tcMar>
              <w:left w:w="0" w:type="dxa"/>
              <w:right w:w="0" w:type="dxa"/>
            </w:tcMar>
            <w:vAlign w:val="center"/>
            <w:hideMark/>
          </w:tcPr>
          <w:p w14:paraId="7D5169BD"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Q41</w:t>
            </w:r>
          </w:p>
        </w:tc>
        <w:tc>
          <w:tcPr>
            <w:tcW w:w="3010" w:type="pct"/>
            <w:tcBorders>
              <w:top w:val="single" w:sz="12" w:space="0" w:color="auto"/>
            </w:tcBorders>
            <w:shd w:val="clear" w:color="auto" w:fill="auto"/>
            <w:tcMar>
              <w:left w:w="0" w:type="dxa"/>
              <w:right w:w="0" w:type="dxa"/>
            </w:tcMar>
            <w:vAlign w:val="center"/>
            <w:hideMark/>
          </w:tcPr>
          <w:p w14:paraId="7D5169BE" w14:textId="42544061" w:rsidR="00FD4D49" w:rsidRPr="00FC6087" w:rsidRDefault="003D5876" w:rsidP="00551162">
            <w:pPr>
              <w:spacing w:line="360" w:lineRule="auto"/>
              <w:ind w:left="72"/>
              <w:contextualSpacing/>
              <w:rPr>
                <w:rFonts w:eastAsia="Times New Roman"/>
                <w:color w:val="000000" w:themeColor="text1"/>
              </w:rPr>
            </w:pPr>
            <w:r>
              <w:rPr>
                <w:rFonts w:eastAsia="Times New Roman"/>
                <w:color w:val="000000" w:themeColor="text1"/>
              </w:rPr>
              <w:t>Fewer</w:t>
            </w:r>
            <w:r w:rsidR="00FD4D49" w:rsidRPr="00FC6087">
              <w:rPr>
                <w:rFonts w:eastAsia="Times New Roman"/>
                <w:color w:val="000000" w:themeColor="text1"/>
              </w:rPr>
              <w:t xml:space="preserve"> legal medical cases</w:t>
            </w:r>
          </w:p>
        </w:tc>
        <w:tc>
          <w:tcPr>
            <w:tcW w:w="365" w:type="pct"/>
            <w:tcBorders>
              <w:top w:val="single" w:sz="12" w:space="0" w:color="auto"/>
            </w:tcBorders>
            <w:shd w:val="clear" w:color="auto" w:fill="auto"/>
            <w:noWrap/>
            <w:tcMar>
              <w:left w:w="0" w:type="dxa"/>
              <w:right w:w="0" w:type="dxa"/>
            </w:tcMar>
            <w:vAlign w:val="center"/>
            <w:hideMark/>
          </w:tcPr>
          <w:p w14:paraId="7D5169BF"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0.93</w:t>
            </w:r>
          </w:p>
        </w:tc>
        <w:tc>
          <w:tcPr>
            <w:tcW w:w="365" w:type="pct"/>
            <w:tcBorders>
              <w:top w:val="single" w:sz="12" w:space="0" w:color="auto"/>
            </w:tcBorders>
            <w:shd w:val="clear" w:color="auto" w:fill="auto"/>
            <w:tcMar>
              <w:left w:w="0" w:type="dxa"/>
              <w:right w:w="0" w:type="dxa"/>
            </w:tcMar>
            <w:vAlign w:val="center"/>
            <w:hideMark/>
          </w:tcPr>
          <w:p w14:paraId="7D5169C0"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tcBorders>
              <w:top w:val="single" w:sz="12" w:space="0" w:color="auto"/>
            </w:tcBorders>
            <w:shd w:val="clear" w:color="auto" w:fill="auto"/>
            <w:tcMar>
              <w:left w:w="0" w:type="dxa"/>
              <w:right w:w="0" w:type="dxa"/>
            </w:tcMar>
            <w:vAlign w:val="center"/>
            <w:hideMark/>
          </w:tcPr>
          <w:p w14:paraId="7D5169C1"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tcBorders>
              <w:top w:val="single" w:sz="12" w:space="0" w:color="auto"/>
            </w:tcBorders>
            <w:shd w:val="clear" w:color="auto" w:fill="auto"/>
            <w:tcMar>
              <w:left w:w="0" w:type="dxa"/>
              <w:right w:w="0" w:type="dxa"/>
            </w:tcMar>
            <w:vAlign w:val="center"/>
            <w:hideMark/>
          </w:tcPr>
          <w:p w14:paraId="7D5169C2"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9CA" w14:textId="77777777" w:rsidTr="006D69FF">
        <w:trPr>
          <w:trHeight w:val="504"/>
          <w:jc w:val="center"/>
        </w:trPr>
        <w:tc>
          <w:tcPr>
            <w:tcW w:w="531" w:type="pct"/>
            <w:shd w:val="clear" w:color="auto" w:fill="auto"/>
            <w:tcMar>
              <w:left w:w="0" w:type="dxa"/>
              <w:right w:w="0" w:type="dxa"/>
            </w:tcMar>
            <w:vAlign w:val="center"/>
            <w:hideMark/>
          </w:tcPr>
          <w:p w14:paraId="7D5169C4"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Q40</w:t>
            </w:r>
          </w:p>
        </w:tc>
        <w:tc>
          <w:tcPr>
            <w:tcW w:w="3010" w:type="pct"/>
            <w:shd w:val="clear" w:color="auto" w:fill="auto"/>
            <w:tcMar>
              <w:left w:w="0" w:type="dxa"/>
              <w:right w:w="0" w:type="dxa"/>
            </w:tcMar>
            <w:vAlign w:val="center"/>
            <w:hideMark/>
          </w:tcPr>
          <w:p w14:paraId="7D5169C5" w14:textId="35369A63" w:rsidR="00FD4D49" w:rsidRPr="00FC6087" w:rsidRDefault="003D5876" w:rsidP="00551162">
            <w:pPr>
              <w:spacing w:line="360" w:lineRule="auto"/>
              <w:ind w:left="72"/>
              <w:contextualSpacing/>
              <w:rPr>
                <w:rFonts w:eastAsia="Times New Roman"/>
                <w:color w:val="000000" w:themeColor="text1"/>
              </w:rPr>
            </w:pPr>
            <w:r>
              <w:rPr>
                <w:rFonts w:eastAsia="Times New Roman"/>
                <w:color w:val="000000" w:themeColor="text1"/>
              </w:rPr>
              <w:t>Fewer</w:t>
            </w:r>
            <w:r w:rsidR="00FD4D49" w:rsidRPr="00FC6087">
              <w:rPr>
                <w:rFonts w:eastAsia="Times New Roman"/>
                <w:color w:val="000000" w:themeColor="text1"/>
              </w:rPr>
              <w:t xml:space="preserve"> medical errors</w:t>
            </w:r>
          </w:p>
        </w:tc>
        <w:tc>
          <w:tcPr>
            <w:tcW w:w="365" w:type="pct"/>
            <w:shd w:val="clear" w:color="auto" w:fill="auto"/>
            <w:noWrap/>
            <w:tcMar>
              <w:left w:w="0" w:type="dxa"/>
              <w:right w:w="0" w:type="dxa"/>
            </w:tcMar>
            <w:vAlign w:val="center"/>
            <w:hideMark/>
          </w:tcPr>
          <w:p w14:paraId="7D5169C6"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0.88</w:t>
            </w:r>
          </w:p>
        </w:tc>
        <w:tc>
          <w:tcPr>
            <w:tcW w:w="365" w:type="pct"/>
            <w:shd w:val="clear" w:color="auto" w:fill="auto"/>
            <w:tcMar>
              <w:left w:w="0" w:type="dxa"/>
              <w:right w:w="0" w:type="dxa"/>
            </w:tcMar>
            <w:vAlign w:val="center"/>
            <w:hideMark/>
          </w:tcPr>
          <w:p w14:paraId="7D5169C7"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9C8"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9C9" w14:textId="77777777" w:rsidR="00FD4D49" w:rsidRPr="00FC6087" w:rsidRDefault="00FD4D49" w:rsidP="00790070">
            <w:pPr>
              <w:spacing w:line="360" w:lineRule="auto"/>
              <w:contextualSpacing/>
              <w:jc w:val="center"/>
              <w:rPr>
                <w:rFonts w:eastAsia="Times New Roman"/>
                <w:color w:val="000000" w:themeColor="text1"/>
              </w:rPr>
            </w:pPr>
          </w:p>
        </w:tc>
      </w:tr>
      <w:tr w:rsidR="00053918" w:rsidRPr="00FC6087" w14:paraId="7D5169D1" w14:textId="77777777" w:rsidTr="006D69FF">
        <w:trPr>
          <w:trHeight w:val="504"/>
          <w:jc w:val="center"/>
        </w:trPr>
        <w:tc>
          <w:tcPr>
            <w:tcW w:w="531" w:type="pct"/>
            <w:shd w:val="clear" w:color="auto" w:fill="auto"/>
            <w:tcMar>
              <w:left w:w="0" w:type="dxa"/>
              <w:right w:w="0" w:type="dxa"/>
            </w:tcMar>
            <w:vAlign w:val="center"/>
            <w:hideMark/>
          </w:tcPr>
          <w:p w14:paraId="7D5169CB"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Q42</w:t>
            </w:r>
          </w:p>
        </w:tc>
        <w:tc>
          <w:tcPr>
            <w:tcW w:w="3010" w:type="pct"/>
            <w:shd w:val="clear" w:color="auto" w:fill="auto"/>
            <w:tcMar>
              <w:left w:w="0" w:type="dxa"/>
              <w:right w:w="0" w:type="dxa"/>
            </w:tcMar>
            <w:vAlign w:val="center"/>
            <w:hideMark/>
          </w:tcPr>
          <w:p w14:paraId="7D5169CC"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JCI accreditation</w:t>
            </w:r>
          </w:p>
        </w:tc>
        <w:tc>
          <w:tcPr>
            <w:tcW w:w="365" w:type="pct"/>
            <w:shd w:val="clear" w:color="auto" w:fill="auto"/>
            <w:noWrap/>
            <w:tcMar>
              <w:left w:w="0" w:type="dxa"/>
              <w:right w:w="0" w:type="dxa"/>
            </w:tcMar>
            <w:vAlign w:val="center"/>
            <w:hideMark/>
          </w:tcPr>
          <w:p w14:paraId="7D5169CD"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0.77</w:t>
            </w:r>
          </w:p>
        </w:tc>
        <w:tc>
          <w:tcPr>
            <w:tcW w:w="365" w:type="pct"/>
            <w:shd w:val="clear" w:color="auto" w:fill="auto"/>
            <w:tcMar>
              <w:left w:w="0" w:type="dxa"/>
              <w:right w:w="0" w:type="dxa"/>
            </w:tcMar>
            <w:vAlign w:val="center"/>
            <w:hideMark/>
          </w:tcPr>
          <w:p w14:paraId="7D5169CE"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9CF"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9D0"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9D8" w14:textId="77777777" w:rsidTr="006D69FF">
        <w:trPr>
          <w:trHeight w:val="504"/>
          <w:jc w:val="center"/>
        </w:trPr>
        <w:tc>
          <w:tcPr>
            <w:tcW w:w="531" w:type="pct"/>
            <w:shd w:val="clear" w:color="auto" w:fill="auto"/>
            <w:tcMar>
              <w:left w:w="0" w:type="dxa"/>
              <w:right w:w="0" w:type="dxa"/>
            </w:tcMar>
            <w:vAlign w:val="center"/>
            <w:hideMark/>
          </w:tcPr>
          <w:p w14:paraId="7D5169D2"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Q43</w:t>
            </w:r>
          </w:p>
        </w:tc>
        <w:tc>
          <w:tcPr>
            <w:tcW w:w="3010" w:type="pct"/>
            <w:shd w:val="clear" w:color="auto" w:fill="auto"/>
            <w:tcMar>
              <w:left w:w="0" w:type="dxa"/>
              <w:right w:w="0" w:type="dxa"/>
            </w:tcMar>
            <w:vAlign w:val="center"/>
            <w:hideMark/>
          </w:tcPr>
          <w:p w14:paraId="7D5169D3"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 xml:space="preserve">Cost of services </w:t>
            </w:r>
          </w:p>
        </w:tc>
        <w:tc>
          <w:tcPr>
            <w:tcW w:w="365" w:type="pct"/>
            <w:shd w:val="clear" w:color="auto" w:fill="auto"/>
            <w:noWrap/>
            <w:tcMar>
              <w:left w:w="0" w:type="dxa"/>
              <w:right w:w="0" w:type="dxa"/>
            </w:tcMar>
            <w:vAlign w:val="center"/>
            <w:hideMark/>
          </w:tcPr>
          <w:p w14:paraId="7D5169D4"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0.71</w:t>
            </w:r>
          </w:p>
        </w:tc>
        <w:tc>
          <w:tcPr>
            <w:tcW w:w="365" w:type="pct"/>
            <w:shd w:val="clear" w:color="auto" w:fill="auto"/>
            <w:tcMar>
              <w:left w:w="0" w:type="dxa"/>
              <w:right w:w="0" w:type="dxa"/>
            </w:tcMar>
            <w:vAlign w:val="center"/>
            <w:hideMark/>
          </w:tcPr>
          <w:p w14:paraId="7D5169D5"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9D6"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9D7" w14:textId="77777777" w:rsidR="00FD4D49" w:rsidRPr="00FC6087" w:rsidRDefault="00FD4D49" w:rsidP="00790070">
            <w:pPr>
              <w:spacing w:line="360" w:lineRule="auto"/>
              <w:contextualSpacing/>
              <w:jc w:val="center"/>
              <w:rPr>
                <w:rFonts w:eastAsia="Times New Roman"/>
                <w:color w:val="000000" w:themeColor="text1"/>
              </w:rPr>
            </w:pPr>
          </w:p>
        </w:tc>
      </w:tr>
      <w:tr w:rsidR="00053918" w:rsidRPr="00FC6087" w14:paraId="7D5169DF" w14:textId="77777777" w:rsidTr="006D69FF">
        <w:trPr>
          <w:trHeight w:val="504"/>
          <w:jc w:val="center"/>
        </w:trPr>
        <w:tc>
          <w:tcPr>
            <w:tcW w:w="531" w:type="pct"/>
            <w:shd w:val="clear" w:color="auto" w:fill="auto"/>
            <w:tcMar>
              <w:left w:w="0" w:type="dxa"/>
              <w:right w:w="0" w:type="dxa"/>
            </w:tcMar>
            <w:vAlign w:val="center"/>
            <w:hideMark/>
          </w:tcPr>
          <w:p w14:paraId="7D5169D9"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Q44</w:t>
            </w:r>
          </w:p>
        </w:tc>
        <w:tc>
          <w:tcPr>
            <w:tcW w:w="3010" w:type="pct"/>
            <w:shd w:val="clear" w:color="auto" w:fill="auto"/>
            <w:tcMar>
              <w:left w:w="0" w:type="dxa"/>
              <w:right w:w="0" w:type="dxa"/>
            </w:tcMar>
            <w:vAlign w:val="center"/>
            <w:hideMark/>
          </w:tcPr>
          <w:p w14:paraId="7D5169DA"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Quality awards</w:t>
            </w:r>
          </w:p>
        </w:tc>
        <w:tc>
          <w:tcPr>
            <w:tcW w:w="365" w:type="pct"/>
            <w:shd w:val="clear" w:color="auto" w:fill="auto"/>
            <w:noWrap/>
            <w:tcMar>
              <w:left w:w="0" w:type="dxa"/>
              <w:right w:w="0" w:type="dxa"/>
            </w:tcMar>
            <w:vAlign w:val="center"/>
            <w:hideMark/>
          </w:tcPr>
          <w:p w14:paraId="7D5169DB"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0.71</w:t>
            </w:r>
          </w:p>
        </w:tc>
        <w:tc>
          <w:tcPr>
            <w:tcW w:w="365" w:type="pct"/>
            <w:shd w:val="clear" w:color="auto" w:fill="auto"/>
            <w:tcMar>
              <w:left w:w="0" w:type="dxa"/>
              <w:right w:w="0" w:type="dxa"/>
            </w:tcMar>
            <w:vAlign w:val="center"/>
            <w:hideMark/>
          </w:tcPr>
          <w:p w14:paraId="7D5169DC"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9DD"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9DE"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9E6" w14:textId="77777777" w:rsidTr="006D69FF">
        <w:trPr>
          <w:trHeight w:val="504"/>
          <w:jc w:val="center"/>
        </w:trPr>
        <w:tc>
          <w:tcPr>
            <w:tcW w:w="531" w:type="pct"/>
            <w:shd w:val="clear" w:color="auto" w:fill="auto"/>
            <w:tcMar>
              <w:left w:w="0" w:type="dxa"/>
              <w:right w:w="0" w:type="dxa"/>
            </w:tcMar>
            <w:vAlign w:val="center"/>
            <w:hideMark/>
          </w:tcPr>
          <w:p w14:paraId="7D5169E0"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Q38</w:t>
            </w:r>
          </w:p>
        </w:tc>
        <w:tc>
          <w:tcPr>
            <w:tcW w:w="3010" w:type="pct"/>
            <w:shd w:val="clear" w:color="auto" w:fill="auto"/>
            <w:tcMar>
              <w:left w:w="0" w:type="dxa"/>
              <w:right w:w="0" w:type="dxa"/>
            </w:tcMar>
            <w:vAlign w:val="center"/>
            <w:hideMark/>
          </w:tcPr>
          <w:p w14:paraId="7D5169E1"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Quick recovery</w:t>
            </w:r>
          </w:p>
        </w:tc>
        <w:tc>
          <w:tcPr>
            <w:tcW w:w="365" w:type="pct"/>
            <w:shd w:val="clear" w:color="auto" w:fill="auto"/>
            <w:noWrap/>
            <w:tcMar>
              <w:left w:w="0" w:type="dxa"/>
              <w:right w:w="0" w:type="dxa"/>
            </w:tcMar>
            <w:vAlign w:val="center"/>
            <w:hideMark/>
          </w:tcPr>
          <w:p w14:paraId="7D5169E2"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0.51</w:t>
            </w:r>
          </w:p>
        </w:tc>
        <w:tc>
          <w:tcPr>
            <w:tcW w:w="365" w:type="pct"/>
            <w:shd w:val="clear" w:color="auto" w:fill="auto"/>
            <w:tcMar>
              <w:left w:w="0" w:type="dxa"/>
              <w:right w:w="0" w:type="dxa"/>
            </w:tcMar>
            <w:vAlign w:val="center"/>
            <w:hideMark/>
          </w:tcPr>
          <w:p w14:paraId="7D5169E3"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9E4"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9E5" w14:textId="77777777" w:rsidR="00FD4D49" w:rsidRPr="00FC6087" w:rsidRDefault="00FD4D49" w:rsidP="00790070">
            <w:pPr>
              <w:spacing w:line="360" w:lineRule="auto"/>
              <w:contextualSpacing/>
              <w:jc w:val="center"/>
              <w:rPr>
                <w:rFonts w:eastAsia="Times New Roman"/>
                <w:color w:val="000000" w:themeColor="text1"/>
              </w:rPr>
            </w:pPr>
          </w:p>
        </w:tc>
      </w:tr>
      <w:tr w:rsidR="00053918" w:rsidRPr="00FC6087" w14:paraId="7D5169ED" w14:textId="77777777" w:rsidTr="006D69FF">
        <w:trPr>
          <w:trHeight w:val="504"/>
          <w:jc w:val="center"/>
        </w:trPr>
        <w:tc>
          <w:tcPr>
            <w:tcW w:w="531" w:type="pct"/>
            <w:shd w:val="clear" w:color="auto" w:fill="auto"/>
            <w:tcMar>
              <w:left w:w="0" w:type="dxa"/>
              <w:right w:w="0" w:type="dxa"/>
            </w:tcMar>
            <w:vAlign w:val="center"/>
            <w:hideMark/>
          </w:tcPr>
          <w:p w14:paraId="7D5169E7"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Q39</w:t>
            </w:r>
          </w:p>
        </w:tc>
        <w:tc>
          <w:tcPr>
            <w:tcW w:w="3010" w:type="pct"/>
            <w:shd w:val="clear" w:color="auto" w:fill="auto"/>
            <w:tcMar>
              <w:left w:w="0" w:type="dxa"/>
              <w:right w:w="0" w:type="dxa"/>
            </w:tcMar>
            <w:vAlign w:val="center"/>
            <w:hideMark/>
          </w:tcPr>
          <w:p w14:paraId="7D5169E8"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Quality services</w:t>
            </w:r>
          </w:p>
        </w:tc>
        <w:tc>
          <w:tcPr>
            <w:tcW w:w="365" w:type="pct"/>
            <w:shd w:val="clear" w:color="auto" w:fill="auto"/>
            <w:noWrap/>
            <w:tcMar>
              <w:left w:w="0" w:type="dxa"/>
              <w:right w:w="0" w:type="dxa"/>
            </w:tcMar>
            <w:vAlign w:val="center"/>
            <w:hideMark/>
          </w:tcPr>
          <w:p w14:paraId="7D5169E9"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0.49</w:t>
            </w:r>
          </w:p>
        </w:tc>
        <w:tc>
          <w:tcPr>
            <w:tcW w:w="365" w:type="pct"/>
            <w:shd w:val="clear" w:color="auto" w:fill="auto"/>
            <w:tcMar>
              <w:left w:w="0" w:type="dxa"/>
              <w:right w:w="0" w:type="dxa"/>
            </w:tcMar>
            <w:vAlign w:val="center"/>
            <w:hideMark/>
          </w:tcPr>
          <w:p w14:paraId="7D5169EA"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9EB"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9EC"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9F4" w14:textId="77777777" w:rsidTr="006D69FF">
        <w:trPr>
          <w:trHeight w:val="504"/>
          <w:jc w:val="center"/>
        </w:trPr>
        <w:tc>
          <w:tcPr>
            <w:tcW w:w="531" w:type="pct"/>
            <w:shd w:val="clear" w:color="auto" w:fill="auto"/>
            <w:tcMar>
              <w:left w:w="0" w:type="dxa"/>
              <w:right w:w="0" w:type="dxa"/>
            </w:tcMar>
            <w:vAlign w:val="center"/>
            <w:hideMark/>
          </w:tcPr>
          <w:p w14:paraId="7D5169EE"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Q37</w:t>
            </w:r>
          </w:p>
        </w:tc>
        <w:tc>
          <w:tcPr>
            <w:tcW w:w="3010" w:type="pct"/>
            <w:shd w:val="clear" w:color="auto" w:fill="auto"/>
            <w:tcMar>
              <w:left w:w="0" w:type="dxa"/>
              <w:right w:w="0" w:type="dxa"/>
            </w:tcMar>
            <w:vAlign w:val="center"/>
            <w:hideMark/>
          </w:tcPr>
          <w:p w14:paraId="7D5169EF"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Safety standards</w:t>
            </w:r>
          </w:p>
        </w:tc>
        <w:tc>
          <w:tcPr>
            <w:tcW w:w="365" w:type="pct"/>
            <w:shd w:val="clear" w:color="auto" w:fill="auto"/>
            <w:noWrap/>
            <w:tcMar>
              <w:left w:w="0" w:type="dxa"/>
              <w:right w:w="0" w:type="dxa"/>
            </w:tcMar>
            <w:vAlign w:val="center"/>
            <w:hideMark/>
          </w:tcPr>
          <w:p w14:paraId="7D5169F0"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0.48</w:t>
            </w:r>
          </w:p>
        </w:tc>
        <w:tc>
          <w:tcPr>
            <w:tcW w:w="365" w:type="pct"/>
            <w:shd w:val="clear" w:color="auto" w:fill="auto"/>
            <w:tcMar>
              <w:left w:w="0" w:type="dxa"/>
              <w:right w:w="0" w:type="dxa"/>
            </w:tcMar>
            <w:vAlign w:val="center"/>
            <w:hideMark/>
          </w:tcPr>
          <w:p w14:paraId="7D5169F1"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9F2"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9F3" w14:textId="77777777" w:rsidR="00FD4D49" w:rsidRPr="00FC6087" w:rsidRDefault="00FD4D49" w:rsidP="00790070">
            <w:pPr>
              <w:spacing w:line="360" w:lineRule="auto"/>
              <w:contextualSpacing/>
              <w:jc w:val="center"/>
              <w:rPr>
                <w:rFonts w:eastAsia="Times New Roman"/>
                <w:color w:val="000000" w:themeColor="text1"/>
              </w:rPr>
            </w:pPr>
          </w:p>
        </w:tc>
      </w:tr>
      <w:tr w:rsidR="00053918" w:rsidRPr="00FC6087" w14:paraId="7D5169FB" w14:textId="77777777" w:rsidTr="006D69FF">
        <w:trPr>
          <w:trHeight w:val="504"/>
          <w:jc w:val="center"/>
        </w:trPr>
        <w:tc>
          <w:tcPr>
            <w:tcW w:w="531" w:type="pct"/>
            <w:shd w:val="clear" w:color="auto" w:fill="auto"/>
            <w:tcMar>
              <w:left w:w="0" w:type="dxa"/>
              <w:right w:w="0" w:type="dxa"/>
            </w:tcMar>
            <w:vAlign w:val="center"/>
            <w:hideMark/>
          </w:tcPr>
          <w:p w14:paraId="7D5169F5"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Q17</w:t>
            </w:r>
          </w:p>
        </w:tc>
        <w:tc>
          <w:tcPr>
            <w:tcW w:w="3010" w:type="pct"/>
            <w:shd w:val="clear" w:color="auto" w:fill="auto"/>
            <w:tcMar>
              <w:left w:w="0" w:type="dxa"/>
              <w:right w:w="0" w:type="dxa"/>
            </w:tcMar>
            <w:vAlign w:val="center"/>
            <w:hideMark/>
          </w:tcPr>
          <w:p w14:paraId="7D5169F6"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Support from teaching hospitals</w:t>
            </w:r>
          </w:p>
        </w:tc>
        <w:tc>
          <w:tcPr>
            <w:tcW w:w="365" w:type="pct"/>
            <w:shd w:val="clear" w:color="auto" w:fill="auto"/>
            <w:tcMar>
              <w:left w:w="0" w:type="dxa"/>
              <w:right w:w="0" w:type="dxa"/>
            </w:tcMar>
            <w:vAlign w:val="center"/>
            <w:hideMark/>
          </w:tcPr>
          <w:p w14:paraId="7D5169F7"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noWrap/>
            <w:tcMar>
              <w:left w:w="0" w:type="dxa"/>
              <w:right w:w="0" w:type="dxa"/>
            </w:tcMar>
            <w:vAlign w:val="center"/>
            <w:hideMark/>
          </w:tcPr>
          <w:p w14:paraId="7D5169F8"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0.87</w:t>
            </w:r>
          </w:p>
        </w:tc>
        <w:tc>
          <w:tcPr>
            <w:tcW w:w="365" w:type="pct"/>
            <w:shd w:val="clear" w:color="auto" w:fill="auto"/>
            <w:tcMar>
              <w:left w:w="0" w:type="dxa"/>
              <w:right w:w="0" w:type="dxa"/>
            </w:tcMar>
            <w:vAlign w:val="center"/>
            <w:hideMark/>
          </w:tcPr>
          <w:p w14:paraId="7D5169F9"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9FA"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A02" w14:textId="77777777" w:rsidTr="006D69FF">
        <w:trPr>
          <w:trHeight w:val="504"/>
          <w:jc w:val="center"/>
        </w:trPr>
        <w:tc>
          <w:tcPr>
            <w:tcW w:w="531" w:type="pct"/>
            <w:shd w:val="clear" w:color="auto" w:fill="auto"/>
            <w:tcMar>
              <w:left w:w="0" w:type="dxa"/>
              <w:right w:w="0" w:type="dxa"/>
            </w:tcMar>
            <w:vAlign w:val="center"/>
            <w:hideMark/>
          </w:tcPr>
          <w:p w14:paraId="7D5169FC"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Q19</w:t>
            </w:r>
          </w:p>
        </w:tc>
        <w:tc>
          <w:tcPr>
            <w:tcW w:w="3010" w:type="pct"/>
            <w:shd w:val="clear" w:color="auto" w:fill="auto"/>
            <w:tcMar>
              <w:left w:w="0" w:type="dxa"/>
              <w:right w:w="0" w:type="dxa"/>
            </w:tcMar>
            <w:vAlign w:val="center"/>
            <w:hideMark/>
          </w:tcPr>
          <w:p w14:paraId="7D5169FD"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Organizational culture in hospitals</w:t>
            </w:r>
          </w:p>
        </w:tc>
        <w:tc>
          <w:tcPr>
            <w:tcW w:w="365" w:type="pct"/>
            <w:shd w:val="clear" w:color="auto" w:fill="auto"/>
            <w:tcMar>
              <w:left w:w="0" w:type="dxa"/>
              <w:right w:w="0" w:type="dxa"/>
            </w:tcMar>
            <w:vAlign w:val="center"/>
            <w:hideMark/>
          </w:tcPr>
          <w:p w14:paraId="7D5169FE"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noWrap/>
            <w:tcMar>
              <w:left w:w="0" w:type="dxa"/>
              <w:right w:w="0" w:type="dxa"/>
            </w:tcMar>
            <w:vAlign w:val="center"/>
            <w:hideMark/>
          </w:tcPr>
          <w:p w14:paraId="7D5169FF"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0.86</w:t>
            </w:r>
          </w:p>
        </w:tc>
        <w:tc>
          <w:tcPr>
            <w:tcW w:w="365" w:type="pct"/>
            <w:shd w:val="clear" w:color="auto" w:fill="auto"/>
            <w:tcMar>
              <w:left w:w="0" w:type="dxa"/>
              <w:right w:w="0" w:type="dxa"/>
            </w:tcMar>
            <w:vAlign w:val="center"/>
            <w:hideMark/>
          </w:tcPr>
          <w:p w14:paraId="7D516A00"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A01" w14:textId="77777777" w:rsidR="00FD4D49" w:rsidRPr="00FC6087" w:rsidRDefault="00FD4D49" w:rsidP="00790070">
            <w:pPr>
              <w:spacing w:line="360" w:lineRule="auto"/>
              <w:contextualSpacing/>
              <w:jc w:val="center"/>
              <w:rPr>
                <w:rFonts w:eastAsia="Times New Roman"/>
                <w:color w:val="000000" w:themeColor="text1"/>
              </w:rPr>
            </w:pPr>
          </w:p>
        </w:tc>
      </w:tr>
      <w:tr w:rsidR="00053918" w:rsidRPr="00FC6087" w14:paraId="7D516A09" w14:textId="77777777" w:rsidTr="006D69FF">
        <w:trPr>
          <w:trHeight w:val="504"/>
          <w:jc w:val="center"/>
        </w:trPr>
        <w:tc>
          <w:tcPr>
            <w:tcW w:w="531" w:type="pct"/>
            <w:shd w:val="clear" w:color="auto" w:fill="auto"/>
            <w:tcMar>
              <w:left w:w="0" w:type="dxa"/>
              <w:right w:w="0" w:type="dxa"/>
            </w:tcMar>
            <w:vAlign w:val="center"/>
            <w:hideMark/>
          </w:tcPr>
          <w:p w14:paraId="7D516A03"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Q20</w:t>
            </w:r>
          </w:p>
        </w:tc>
        <w:tc>
          <w:tcPr>
            <w:tcW w:w="3010" w:type="pct"/>
            <w:shd w:val="clear" w:color="auto" w:fill="auto"/>
            <w:tcMar>
              <w:left w:w="0" w:type="dxa"/>
              <w:right w:w="0" w:type="dxa"/>
            </w:tcMar>
            <w:vAlign w:val="center"/>
            <w:hideMark/>
          </w:tcPr>
          <w:p w14:paraId="7D516A04"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Easy transfer of knowledge</w:t>
            </w:r>
          </w:p>
        </w:tc>
        <w:tc>
          <w:tcPr>
            <w:tcW w:w="365" w:type="pct"/>
            <w:shd w:val="clear" w:color="auto" w:fill="auto"/>
            <w:tcMar>
              <w:left w:w="0" w:type="dxa"/>
              <w:right w:w="0" w:type="dxa"/>
            </w:tcMar>
            <w:vAlign w:val="center"/>
            <w:hideMark/>
          </w:tcPr>
          <w:p w14:paraId="7D516A05"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noWrap/>
            <w:tcMar>
              <w:left w:w="0" w:type="dxa"/>
              <w:right w:w="0" w:type="dxa"/>
            </w:tcMar>
            <w:vAlign w:val="center"/>
            <w:hideMark/>
          </w:tcPr>
          <w:p w14:paraId="7D516A06"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0.82</w:t>
            </w:r>
          </w:p>
        </w:tc>
        <w:tc>
          <w:tcPr>
            <w:tcW w:w="365" w:type="pct"/>
            <w:shd w:val="clear" w:color="auto" w:fill="auto"/>
            <w:tcMar>
              <w:left w:w="0" w:type="dxa"/>
              <w:right w:w="0" w:type="dxa"/>
            </w:tcMar>
            <w:vAlign w:val="center"/>
            <w:hideMark/>
          </w:tcPr>
          <w:p w14:paraId="7D516A07"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A08"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A10" w14:textId="77777777" w:rsidTr="006D69FF">
        <w:trPr>
          <w:trHeight w:val="504"/>
          <w:jc w:val="center"/>
        </w:trPr>
        <w:tc>
          <w:tcPr>
            <w:tcW w:w="531" w:type="pct"/>
            <w:shd w:val="clear" w:color="auto" w:fill="auto"/>
            <w:tcMar>
              <w:left w:w="0" w:type="dxa"/>
              <w:right w:w="0" w:type="dxa"/>
            </w:tcMar>
            <w:vAlign w:val="center"/>
            <w:hideMark/>
          </w:tcPr>
          <w:p w14:paraId="7D516A0A"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Q18</w:t>
            </w:r>
          </w:p>
        </w:tc>
        <w:tc>
          <w:tcPr>
            <w:tcW w:w="3010" w:type="pct"/>
            <w:shd w:val="clear" w:color="auto" w:fill="auto"/>
            <w:tcMar>
              <w:left w:w="0" w:type="dxa"/>
              <w:right w:w="0" w:type="dxa"/>
            </w:tcMar>
            <w:vAlign w:val="center"/>
            <w:hideMark/>
          </w:tcPr>
          <w:p w14:paraId="7D516A0B"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Support from career development centers</w:t>
            </w:r>
          </w:p>
        </w:tc>
        <w:tc>
          <w:tcPr>
            <w:tcW w:w="365" w:type="pct"/>
            <w:shd w:val="clear" w:color="auto" w:fill="auto"/>
            <w:tcMar>
              <w:left w:w="0" w:type="dxa"/>
              <w:right w:w="0" w:type="dxa"/>
            </w:tcMar>
            <w:vAlign w:val="center"/>
            <w:hideMark/>
          </w:tcPr>
          <w:p w14:paraId="7D516A0C"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noWrap/>
            <w:tcMar>
              <w:left w:w="0" w:type="dxa"/>
              <w:right w:w="0" w:type="dxa"/>
            </w:tcMar>
            <w:vAlign w:val="center"/>
            <w:hideMark/>
          </w:tcPr>
          <w:p w14:paraId="7D516A0D"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0.80</w:t>
            </w:r>
          </w:p>
        </w:tc>
        <w:tc>
          <w:tcPr>
            <w:tcW w:w="365" w:type="pct"/>
            <w:shd w:val="clear" w:color="auto" w:fill="auto"/>
            <w:tcMar>
              <w:left w:w="0" w:type="dxa"/>
              <w:right w:w="0" w:type="dxa"/>
            </w:tcMar>
            <w:vAlign w:val="center"/>
            <w:hideMark/>
          </w:tcPr>
          <w:p w14:paraId="7D516A0E"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A0F" w14:textId="77777777" w:rsidR="00FD4D49" w:rsidRPr="00FC6087" w:rsidRDefault="00FD4D49" w:rsidP="00790070">
            <w:pPr>
              <w:spacing w:line="360" w:lineRule="auto"/>
              <w:contextualSpacing/>
              <w:jc w:val="center"/>
              <w:rPr>
                <w:rFonts w:eastAsia="Times New Roman"/>
                <w:color w:val="000000" w:themeColor="text1"/>
              </w:rPr>
            </w:pPr>
          </w:p>
        </w:tc>
      </w:tr>
      <w:tr w:rsidR="00053918" w:rsidRPr="00FC6087" w14:paraId="7D516A17" w14:textId="77777777" w:rsidTr="006D69FF">
        <w:trPr>
          <w:trHeight w:val="504"/>
          <w:jc w:val="center"/>
        </w:trPr>
        <w:tc>
          <w:tcPr>
            <w:tcW w:w="531" w:type="pct"/>
            <w:shd w:val="clear" w:color="auto" w:fill="auto"/>
            <w:tcMar>
              <w:left w:w="0" w:type="dxa"/>
              <w:right w:w="0" w:type="dxa"/>
            </w:tcMar>
            <w:vAlign w:val="center"/>
            <w:hideMark/>
          </w:tcPr>
          <w:p w14:paraId="7D516A11"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Q16</w:t>
            </w:r>
          </w:p>
        </w:tc>
        <w:tc>
          <w:tcPr>
            <w:tcW w:w="3010" w:type="pct"/>
            <w:shd w:val="clear" w:color="auto" w:fill="auto"/>
            <w:tcMar>
              <w:left w:w="0" w:type="dxa"/>
              <w:right w:w="0" w:type="dxa"/>
            </w:tcMar>
            <w:vAlign w:val="center"/>
            <w:hideMark/>
          </w:tcPr>
          <w:p w14:paraId="7D516A12"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Online access</w:t>
            </w:r>
          </w:p>
        </w:tc>
        <w:tc>
          <w:tcPr>
            <w:tcW w:w="365" w:type="pct"/>
            <w:shd w:val="clear" w:color="auto" w:fill="auto"/>
            <w:tcMar>
              <w:left w:w="0" w:type="dxa"/>
              <w:right w:w="0" w:type="dxa"/>
            </w:tcMar>
            <w:vAlign w:val="center"/>
            <w:hideMark/>
          </w:tcPr>
          <w:p w14:paraId="7D516A13"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noWrap/>
            <w:tcMar>
              <w:left w:w="0" w:type="dxa"/>
              <w:right w:w="0" w:type="dxa"/>
            </w:tcMar>
            <w:vAlign w:val="center"/>
            <w:hideMark/>
          </w:tcPr>
          <w:p w14:paraId="7D516A14"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0.67</w:t>
            </w:r>
          </w:p>
        </w:tc>
        <w:tc>
          <w:tcPr>
            <w:tcW w:w="365" w:type="pct"/>
            <w:shd w:val="clear" w:color="auto" w:fill="auto"/>
            <w:tcMar>
              <w:left w:w="0" w:type="dxa"/>
              <w:right w:w="0" w:type="dxa"/>
            </w:tcMar>
            <w:vAlign w:val="center"/>
            <w:hideMark/>
          </w:tcPr>
          <w:p w14:paraId="7D516A15"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tcMar>
              <w:left w:w="0" w:type="dxa"/>
              <w:right w:w="0" w:type="dxa"/>
            </w:tcMar>
            <w:vAlign w:val="center"/>
            <w:hideMark/>
          </w:tcPr>
          <w:p w14:paraId="7D516A16"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A1E" w14:textId="77777777" w:rsidTr="006D69FF">
        <w:trPr>
          <w:trHeight w:val="504"/>
          <w:jc w:val="center"/>
        </w:trPr>
        <w:tc>
          <w:tcPr>
            <w:tcW w:w="531" w:type="pct"/>
            <w:shd w:val="clear" w:color="auto" w:fill="auto"/>
            <w:tcMar>
              <w:left w:w="0" w:type="dxa"/>
              <w:right w:w="0" w:type="dxa"/>
            </w:tcMar>
            <w:vAlign w:val="center"/>
            <w:hideMark/>
          </w:tcPr>
          <w:p w14:paraId="7D516A18"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Q10</w:t>
            </w:r>
          </w:p>
        </w:tc>
        <w:tc>
          <w:tcPr>
            <w:tcW w:w="3010" w:type="pct"/>
            <w:shd w:val="clear" w:color="auto" w:fill="auto"/>
            <w:tcMar>
              <w:left w:w="0" w:type="dxa"/>
              <w:right w:w="0" w:type="dxa"/>
            </w:tcMar>
            <w:vAlign w:val="center"/>
            <w:hideMark/>
          </w:tcPr>
          <w:p w14:paraId="7D516A19"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International trade</w:t>
            </w:r>
          </w:p>
        </w:tc>
        <w:tc>
          <w:tcPr>
            <w:tcW w:w="365" w:type="pct"/>
            <w:shd w:val="clear" w:color="auto" w:fill="auto"/>
            <w:tcMar>
              <w:left w:w="0" w:type="dxa"/>
              <w:right w:w="0" w:type="dxa"/>
            </w:tcMar>
            <w:vAlign w:val="center"/>
            <w:hideMark/>
          </w:tcPr>
          <w:p w14:paraId="7D516A1A"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A1B"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noWrap/>
            <w:tcMar>
              <w:left w:w="0" w:type="dxa"/>
              <w:right w:w="0" w:type="dxa"/>
            </w:tcMar>
            <w:vAlign w:val="center"/>
            <w:hideMark/>
          </w:tcPr>
          <w:p w14:paraId="7D516A1C"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0.86</w:t>
            </w:r>
          </w:p>
        </w:tc>
        <w:tc>
          <w:tcPr>
            <w:tcW w:w="362" w:type="pct"/>
            <w:shd w:val="clear" w:color="auto" w:fill="auto"/>
            <w:tcMar>
              <w:left w:w="0" w:type="dxa"/>
              <w:right w:w="0" w:type="dxa"/>
            </w:tcMar>
            <w:vAlign w:val="center"/>
            <w:hideMark/>
          </w:tcPr>
          <w:p w14:paraId="7D516A1D"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A25" w14:textId="77777777" w:rsidTr="006D69FF">
        <w:trPr>
          <w:trHeight w:val="504"/>
          <w:jc w:val="center"/>
        </w:trPr>
        <w:tc>
          <w:tcPr>
            <w:tcW w:w="531" w:type="pct"/>
            <w:tcBorders>
              <w:bottom w:val="nil"/>
            </w:tcBorders>
            <w:shd w:val="clear" w:color="auto" w:fill="auto"/>
            <w:tcMar>
              <w:left w:w="0" w:type="dxa"/>
              <w:right w:w="0" w:type="dxa"/>
            </w:tcMar>
            <w:vAlign w:val="center"/>
            <w:hideMark/>
          </w:tcPr>
          <w:p w14:paraId="7D516A1F"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Q7</w:t>
            </w:r>
          </w:p>
        </w:tc>
        <w:tc>
          <w:tcPr>
            <w:tcW w:w="3010" w:type="pct"/>
            <w:tcBorders>
              <w:bottom w:val="nil"/>
            </w:tcBorders>
            <w:shd w:val="clear" w:color="auto" w:fill="auto"/>
            <w:tcMar>
              <w:left w:w="0" w:type="dxa"/>
              <w:right w:w="0" w:type="dxa"/>
            </w:tcMar>
            <w:vAlign w:val="center"/>
            <w:hideMark/>
          </w:tcPr>
          <w:p w14:paraId="7D516A20"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Strategic support</w:t>
            </w:r>
          </w:p>
        </w:tc>
        <w:tc>
          <w:tcPr>
            <w:tcW w:w="365" w:type="pct"/>
            <w:tcBorders>
              <w:bottom w:val="nil"/>
            </w:tcBorders>
            <w:shd w:val="clear" w:color="auto" w:fill="auto"/>
            <w:tcMar>
              <w:left w:w="0" w:type="dxa"/>
              <w:right w:w="0" w:type="dxa"/>
            </w:tcMar>
            <w:vAlign w:val="center"/>
            <w:hideMark/>
          </w:tcPr>
          <w:p w14:paraId="7D516A21"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tcBorders>
              <w:bottom w:val="nil"/>
            </w:tcBorders>
            <w:shd w:val="clear" w:color="auto" w:fill="auto"/>
            <w:tcMar>
              <w:left w:w="0" w:type="dxa"/>
              <w:right w:w="0" w:type="dxa"/>
            </w:tcMar>
            <w:vAlign w:val="center"/>
            <w:hideMark/>
          </w:tcPr>
          <w:p w14:paraId="7D516A22"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tcBorders>
              <w:bottom w:val="nil"/>
            </w:tcBorders>
            <w:shd w:val="clear" w:color="auto" w:fill="auto"/>
            <w:noWrap/>
            <w:tcMar>
              <w:left w:w="0" w:type="dxa"/>
              <w:right w:w="0" w:type="dxa"/>
            </w:tcMar>
            <w:vAlign w:val="center"/>
            <w:hideMark/>
          </w:tcPr>
          <w:p w14:paraId="7D516A23"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0.72</w:t>
            </w:r>
          </w:p>
        </w:tc>
        <w:tc>
          <w:tcPr>
            <w:tcW w:w="362" w:type="pct"/>
            <w:tcBorders>
              <w:bottom w:val="nil"/>
            </w:tcBorders>
            <w:shd w:val="clear" w:color="auto" w:fill="auto"/>
            <w:tcMar>
              <w:left w:w="0" w:type="dxa"/>
              <w:right w:w="0" w:type="dxa"/>
            </w:tcMar>
            <w:vAlign w:val="center"/>
            <w:hideMark/>
          </w:tcPr>
          <w:p w14:paraId="7D516A24"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A2C" w14:textId="77777777" w:rsidTr="006D69FF">
        <w:trPr>
          <w:trHeight w:val="504"/>
          <w:jc w:val="center"/>
        </w:trPr>
        <w:tc>
          <w:tcPr>
            <w:tcW w:w="531" w:type="pct"/>
            <w:tcBorders>
              <w:top w:val="nil"/>
              <w:bottom w:val="nil"/>
            </w:tcBorders>
            <w:shd w:val="clear" w:color="auto" w:fill="auto"/>
            <w:tcMar>
              <w:left w:w="0" w:type="dxa"/>
              <w:right w:w="0" w:type="dxa"/>
            </w:tcMar>
            <w:vAlign w:val="center"/>
            <w:hideMark/>
          </w:tcPr>
          <w:p w14:paraId="7D516A26"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Q9</w:t>
            </w:r>
          </w:p>
        </w:tc>
        <w:tc>
          <w:tcPr>
            <w:tcW w:w="3010" w:type="pct"/>
            <w:tcBorders>
              <w:top w:val="nil"/>
              <w:bottom w:val="nil"/>
            </w:tcBorders>
            <w:shd w:val="clear" w:color="auto" w:fill="auto"/>
            <w:tcMar>
              <w:left w:w="0" w:type="dxa"/>
              <w:right w:w="0" w:type="dxa"/>
            </w:tcMar>
            <w:vAlign w:val="center"/>
            <w:hideMark/>
          </w:tcPr>
          <w:p w14:paraId="7D516A27"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Future foresight</w:t>
            </w:r>
          </w:p>
        </w:tc>
        <w:tc>
          <w:tcPr>
            <w:tcW w:w="365" w:type="pct"/>
            <w:tcBorders>
              <w:top w:val="nil"/>
              <w:bottom w:val="nil"/>
            </w:tcBorders>
            <w:shd w:val="clear" w:color="auto" w:fill="auto"/>
            <w:tcMar>
              <w:left w:w="0" w:type="dxa"/>
              <w:right w:w="0" w:type="dxa"/>
            </w:tcMar>
            <w:vAlign w:val="center"/>
            <w:hideMark/>
          </w:tcPr>
          <w:p w14:paraId="7D516A28"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tcBorders>
              <w:top w:val="nil"/>
              <w:bottom w:val="nil"/>
            </w:tcBorders>
            <w:shd w:val="clear" w:color="auto" w:fill="auto"/>
            <w:tcMar>
              <w:left w:w="0" w:type="dxa"/>
              <w:right w:w="0" w:type="dxa"/>
            </w:tcMar>
            <w:vAlign w:val="center"/>
            <w:hideMark/>
          </w:tcPr>
          <w:p w14:paraId="7D516A29"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tcBorders>
              <w:top w:val="nil"/>
              <w:bottom w:val="nil"/>
            </w:tcBorders>
            <w:shd w:val="clear" w:color="auto" w:fill="auto"/>
            <w:noWrap/>
            <w:tcMar>
              <w:left w:w="0" w:type="dxa"/>
              <w:right w:w="0" w:type="dxa"/>
            </w:tcMar>
            <w:vAlign w:val="center"/>
            <w:hideMark/>
          </w:tcPr>
          <w:p w14:paraId="7D516A2A"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0.68</w:t>
            </w:r>
          </w:p>
        </w:tc>
        <w:tc>
          <w:tcPr>
            <w:tcW w:w="362" w:type="pct"/>
            <w:tcBorders>
              <w:top w:val="nil"/>
              <w:bottom w:val="nil"/>
            </w:tcBorders>
            <w:shd w:val="clear" w:color="auto" w:fill="auto"/>
            <w:tcMar>
              <w:left w:w="0" w:type="dxa"/>
              <w:right w:w="0" w:type="dxa"/>
            </w:tcMar>
            <w:vAlign w:val="center"/>
            <w:hideMark/>
          </w:tcPr>
          <w:p w14:paraId="7D516A2B"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A33" w14:textId="77777777" w:rsidTr="006D69FF">
        <w:trPr>
          <w:trHeight w:val="504"/>
          <w:jc w:val="center"/>
        </w:trPr>
        <w:tc>
          <w:tcPr>
            <w:tcW w:w="531" w:type="pct"/>
            <w:tcBorders>
              <w:top w:val="nil"/>
              <w:bottom w:val="nil"/>
            </w:tcBorders>
            <w:shd w:val="clear" w:color="auto" w:fill="auto"/>
            <w:tcMar>
              <w:left w:w="0" w:type="dxa"/>
              <w:right w:w="0" w:type="dxa"/>
            </w:tcMar>
            <w:vAlign w:val="center"/>
            <w:hideMark/>
          </w:tcPr>
          <w:p w14:paraId="7D516A2D"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Q11</w:t>
            </w:r>
          </w:p>
        </w:tc>
        <w:tc>
          <w:tcPr>
            <w:tcW w:w="3010" w:type="pct"/>
            <w:tcBorders>
              <w:top w:val="nil"/>
              <w:bottom w:val="nil"/>
            </w:tcBorders>
            <w:shd w:val="clear" w:color="auto" w:fill="auto"/>
            <w:tcMar>
              <w:left w:w="0" w:type="dxa"/>
              <w:right w:w="0" w:type="dxa"/>
            </w:tcMar>
            <w:vAlign w:val="center"/>
            <w:hideMark/>
          </w:tcPr>
          <w:p w14:paraId="7D516A2E"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Medical legislation</w:t>
            </w:r>
          </w:p>
        </w:tc>
        <w:tc>
          <w:tcPr>
            <w:tcW w:w="365" w:type="pct"/>
            <w:tcBorders>
              <w:top w:val="nil"/>
              <w:bottom w:val="nil"/>
            </w:tcBorders>
            <w:shd w:val="clear" w:color="auto" w:fill="auto"/>
            <w:tcMar>
              <w:left w:w="0" w:type="dxa"/>
              <w:right w:w="0" w:type="dxa"/>
            </w:tcMar>
            <w:vAlign w:val="center"/>
            <w:hideMark/>
          </w:tcPr>
          <w:p w14:paraId="7D516A2F"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tcBorders>
              <w:top w:val="nil"/>
              <w:bottom w:val="nil"/>
            </w:tcBorders>
            <w:shd w:val="clear" w:color="auto" w:fill="auto"/>
            <w:tcMar>
              <w:left w:w="0" w:type="dxa"/>
              <w:right w:w="0" w:type="dxa"/>
            </w:tcMar>
            <w:vAlign w:val="center"/>
            <w:hideMark/>
          </w:tcPr>
          <w:p w14:paraId="7D516A30"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tcBorders>
              <w:top w:val="nil"/>
              <w:bottom w:val="nil"/>
            </w:tcBorders>
            <w:shd w:val="clear" w:color="auto" w:fill="auto"/>
            <w:noWrap/>
            <w:tcMar>
              <w:left w:w="0" w:type="dxa"/>
              <w:right w:w="0" w:type="dxa"/>
            </w:tcMar>
            <w:vAlign w:val="center"/>
            <w:hideMark/>
          </w:tcPr>
          <w:p w14:paraId="7D516A31"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0.67</w:t>
            </w:r>
          </w:p>
        </w:tc>
        <w:tc>
          <w:tcPr>
            <w:tcW w:w="362" w:type="pct"/>
            <w:tcBorders>
              <w:top w:val="nil"/>
              <w:bottom w:val="nil"/>
            </w:tcBorders>
            <w:shd w:val="clear" w:color="auto" w:fill="auto"/>
            <w:tcMar>
              <w:left w:w="0" w:type="dxa"/>
              <w:right w:w="0" w:type="dxa"/>
            </w:tcMar>
            <w:vAlign w:val="center"/>
            <w:hideMark/>
          </w:tcPr>
          <w:p w14:paraId="7D516A32"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A3A" w14:textId="77777777" w:rsidTr="006D69FF">
        <w:trPr>
          <w:trHeight w:val="504"/>
          <w:jc w:val="center"/>
        </w:trPr>
        <w:tc>
          <w:tcPr>
            <w:tcW w:w="531" w:type="pct"/>
            <w:tcBorders>
              <w:top w:val="nil"/>
            </w:tcBorders>
            <w:shd w:val="clear" w:color="auto" w:fill="auto"/>
            <w:tcMar>
              <w:left w:w="0" w:type="dxa"/>
              <w:right w:w="0" w:type="dxa"/>
            </w:tcMar>
            <w:vAlign w:val="center"/>
            <w:hideMark/>
          </w:tcPr>
          <w:p w14:paraId="7D516A34"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Q6</w:t>
            </w:r>
          </w:p>
        </w:tc>
        <w:tc>
          <w:tcPr>
            <w:tcW w:w="3010" w:type="pct"/>
            <w:tcBorders>
              <w:top w:val="nil"/>
            </w:tcBorders>
            <w:shd w:val="clear" w:color="auto" w:fill="auto"/>
            <w:tcMar>
              <w:left w:w="0" w:type="dxa"/>
              <w:right w:w="0" w:type="dxa"/>
            </w:tcMar>
            <w:vAlign w:val="center"/>
            <w:hideMark/>
          </w:tcPr>
          <w:p w14:paraId="7D516A35"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2030 vision</w:t>
            </w:r>
          </w:p>
        </w:tc>
        <w:tc>
          <w:tcPr>
            <w:tcW w:w="365" w:type="pct"/>
            <w:tcBorders>
              <w:top w:val="nil"/>
            </w:tcBorders>
            <w:shd w:val="clear" w:color="auto" w:fill="auto"/>
            <w:tcMar>
              <w:left w:w="0" w:type="dxa"/>
              <w:right w:w="0" w:type="dxa"/>
            </w:tcMar>
            <w:vAlign w:val="center"/>
            <w:hideMark/>
          </w:tcPr>
          <w:p w14:paraId="7D516A36"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tcBorders>
              <w:top w:val="nil"/>
            </w:tcBorders>
            <w:shd w:val="clear" w:color="auto" w:fill="auto"/>
            <w:tcMar>
              <w:left w:w="0" w:type="dxa"/>
              <w:right w:w="0" w:type="dxa"/>
            </w:tcMar>
            <w:vAlign w:val="center"/>
            <w:hideMark/>
          </w:tcPr>
          <w:p w14:paraId="7D516A37"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tcBorders>
              <w:top w:val="nil"/>
            </w:tcBorders>
            <w:shd w:val="clear" w:color="auto" w:fill="auto"/>
            <w:noWrap/>
            <w:tcMar>
              <w:left w:w="0" w:type="dxa"/>
              <w:right w:w="0" w:type="dxa"/>
            </w:tcMar>
            <w:vAlign w:val="center"/>
            <w:hideMark/>
          </w:tcPr>
          <w:p w14:paraId="7D516A38"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0.64</w:t>
            </w:r>
          </w:p>
        </w:tc>
        <w:tc>
          <w:tcPr>
            <w:tcW w:w="362" w:type="pct"/>
            <w:tcBorders>
              <w:top w:val="nil"/>
            </w:tcBorders>
            <w:shd w:val="clear" w:color="auto" w:fill="auto"/>
            <w:tcMar>
              <w:left w:w="0" w:type="dxa"/>
              <w:right w:w="0" w:type="dxa"/>
            </w:tcMar>
            <w:vAlign w:val="center"/>
            <w:hideMark/>
          </w:tcPr>
          <w:p w14:paraId="7D516A39"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A41" w14:textId="77777777" w:rsidTr="006D69FF">
        <w:trPr>
          <w:trHeight w:val="504"/>
          <w:jc w:val="center"/>
        </w:trPr>
        <w:tc>
          <w:tcPr>
            <w:tcW w:w="531" w:type="pct"/>
            <w:shd w:val="clear" w:color="auto" w:fill="auto"/>
            <w:tcMar>
              <w:left w:w="0" w:type="dxa"/>
              <w:right w:w="0" w:type="dxa"/>
            </w:tcMar>
            <w:vAlign w:val="center"/>
            <w:hideMark/>
          </w:tcPr>
          <w:p w14:paraId="7D516A3B"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Q8</w:t>
            </w:r>
          </w:p>
        </w:tc>
        <w:tc>
          <w:tcPr>
            <w:tcW w:w="3010" w:type="pct"/>
            <w:shd w:val="clear" w:color="auto" w:fill="auto"/>
            <w:tcMar>
              <w:left w:w="0" w:type="dxa"/>
              <w:right w:w="0" w:type="dxa"/>
            </w:tcMar>
            <w:vAlign w:val="center"/>
            <w:hideMark/>
          </w:tcPr>
          <w:p w14:paraId="7D516A3C"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Financial support</w:t>
            </w:r>
          </w:p>
        </w:tc>
        <w:tc>
          <w:tcPr>
            <w:tcW w:w="365" w:type="pct"/>
            <w:shd w:val="clear" w:color="auto" w:fill="auto"/>
            <w:tcMar>
              <w:left w:w="0" w:type="dxa"/>
              <w:right w:w="0" w:type="dxa"/>
            </w:tcMar>
            <w:vAlign w:val="center"/>
            <w:hideMark/>
          </w:tcPr>
          <w:p w14:paraId="7D516A3D"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A3E"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noWrap/>
            <w:tcMar>
              <w:left w:w="0" w:type="dxa"/>
              <w:right w:w="0" w:type="dxa"/>
            </w:tcMar>
            <w:vAlign w:val="center"/>
            <w:hideMark/>
          </w:tcPr>
          <w:p w14:paraId="7D516A3F"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0.62</w:t>
            </w:r>
          </w:p>
        </w:tc>
        <w:tc>
          <w:tcPr>
            <w:tcW w:w="362" w:type="pct"/>
            <w:shd w:val="clear" w:color="auto" w:fill="auto"/>
            <w:tcMar>
              <w:left w:w="0" w:type="dxa"/>
              <w:right w:w="0" w:type="dxa"/>
            </w:tcMar>
            <w:vAlign w:val="center"/>
            <w:hideMark/>
          </w:tcPr>
          <w:p w14:paraId="7D516A40" w14:textId="77777777" w:rsidR="00FD4D49" w:rsidRPr="00FC6087" w:rsidRDefault="00FD4D49" w:rsidP="00790070">
            <w:pPr>
              <w:spacing w:line="360" w:lineRule="auto"/>
              <w:contextualSpacing/>
              <w:jc w:val="center"/>
              <w:rPr>
                <w:rFonts w:eastAsia="Times New Roman"/>
                <w:color w:val="000000" w:themeColor="text1"/>
              </w:rPr>
            </w:pPr>
          </w:p>
        </w:tc>
      </w:tr>
      <w:tr w:rsidR="00E721D8" w:rsidRPr="00FC6087" w14:paraId="7D516A48" w14:textId="77777777" w:rsidTr="006D69FF">
        <w:trPr>
          <w:trHeight w:val="504"/>
          <w:jc w:val="center"/>
        </w:trPr>
        <w:tc>
          <w:tcPr>
            <w:tcW w:w="531" w:type="pct"/>
            <w:shd w:val="clear" w:color="auto" w:fill="auto"/>
            <w:tcMar>
              <w:left w:w="0" w:type="dxa"/>
              <w:right w:w="0" w:type="dxa"/>
            </w:tcMar>
            <w:vAlign w:val="center"/>
            <w:hideMark/>
          </w:tcPr>
          <w:p w14:paraId="7D516A42"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Q12</w:t>
            </w:r>
          </w:p>
        </w:tc>
        <w:tc>
          <w:tcPr>
            <w:tcW w:w="3010" w:type="pct"/>
            <w:shd w:val="clear" w:color="auto" w:fill="auto"/>
            <w:tcMar>
              <w:left w:w="0" w:type="dxa"/>
              <w:right w:w="0" w:type="dxa"/>
            </w:tcMar>
            <w:vAlign w:val="center"/>
            <w:hideMark/>
          </w:tcPr>
          <w:p w14:paraId="7D516A43"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Infrastructure of buildings</w:t>
            </w:r>
          </w:p>
        </w:tc>
        <w:tc>
          <w:tcPr>
            <w:tcW w:w="365" w:type="pct"/>
            <w:shd w:val="clear" w:color="auto" w:fill="auto"/>
            <w:tcMar>
              <w:left w:w="0" w:type="dxa"/>
              <w:right w:w="0" w:type="dxa"/>
            </w:tcMar>
            <w:vAlign w:val="center"/>
            <w:hideMark/>
          </w:tcPr>
          <w:p w14:paraId="7D516A44"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A45"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A46"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noWrap/>
            <w:tcMar>
              <w:left w:w="0" w:type="dxa"/>
              <w:right w:w="0" w:type="dxa"/>
            </w:tcMar>
            <w:vAlign w:val="center"/>
            <w:hideMark/>
          </w:tcPr>
          <w:p w14:paraId="7D516A47"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0.82</w:t>
            </w:r>
          </w:p>
        </w:tc>
      </w:tr>
      <w:tr w:rsidR="00E721D8" w:rsidRPr="00FC6087" w14:paraId="7D516A4F" w14:textId="77777777" w:rsidTr="006D69FF">
        <w:trPr>
          <w:trHeight w:val="504"/>
          <w:jc w:val="center"/>
        </w:trPr>
        <w:tc>
          <w:tcPr>
            <w:tcW w:w="531" w:type="pct"/>
            <w:shd w:val="clear" w:color="auto" w:fill="auto"/>
            <w:tcMar>
              <w:left w:w="0" w:type="dxa"/>
              <w:right w:w="0" w:type="dxa"/>
            </w:tcMar>
            <w:vAlign w:val="center"/>
            <w:hideMark/>
          </w:tcPr>
          <w:p w14:paraId="7D516A49"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lastRenderedPageBreak/>
              <w:t>Q13</w:t>
            </w:r>
          </w:p>
        </w:tc>
        <w:tc>
          <w:tcPr>
            <w:tcW w:w="3010" w:type="pct"/>
            <w:shd w:val="clear" w:color="auto" w:fill="auto"/>
            <w:tcMar>
              <w:left w:w="0" w:type="dxa"/>
              <w:right w:w="0" w:type="dxa"/>
            </w:tcMar>
            <w:vAlign w:val="center"/>
            <w:hideMark/>
          </w:tcPr>
          <w:p w14:paraId="7D516A4A"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Information infrastructure</w:t>
            </w:r>
          </w:p>
        </w:tc>
        <w:tc>
          <w:tcPr>
            <w:tcW w:w="365" w:type="pct"/>
            <w:shd w:val="clear" w:color="auto" w:fill="auto"/>
            <w:tcMar>
              <w:left w:w="0" w:type="dxa"/>
              <w:right w:w="0" w:type="dxa"/>
            </w:tcMar>
            <w:vAlign w:val="center"/>
            <w:hideMark/>
          </w:tcPr>
          <w:p w14:paraId="7D516A4B"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A4C"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A4D"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noWrap/>
            <w:tcMar>
              <w:left w:w="0" w:type="dxa"/>
              <w:right w:w="0" w:type="dxa"/>
            </w:tcMar>
            <w:vAlign w:val="center"/>
            <w:hideMark/>
          </w:tcPr>
          <w:p w14:paraId="7D516A4E"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0.82</w:t>
            </w:r>
          </w:p>
        </w:tc>
      </w:tr>
      <w:tr w:rsidR="00E721D8" w:rsidRPr="00FC6087" w14:paraId="7D516A56" w14:textId="77777777" w:rsidTr="006D69FF">
        <w:trPr>
          <w:trHeight w:val="504"/>
          <w:jc w:val="center"/>
        </w:trPr>
        <w:tc>
          <w:tcPr>
            <w:tcW w:w="531" w:type="pct"/>
            <w:shd w:val="clear" w:color="auto" w:fill="auto"/>
            <w:tcMar>
              <w:left w:w="0" w:type="dxa"/>
              <w:right w:w="0" w:type="dxa"/>
            </w:tcMar>
            <w:vAlign w:val="center"/>
            <w:hideMark/>
          </w:tcPr>
          <w:p w14:paraId="7D516A50"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Q14</w:t>
            </w:r>
          </w:p>
        </w:tc>
        <w:tc>
          <w:tcPr>
            <w:tcW w:w="3010" w:type="pct"/>
            <w:shd w:val="clear" w:color="auto" w:fill="auto"/>
            <w:tcMar>
              <w:left w:w="0" w:type="dxa"/>
              <w:right w:w="0" w:type="dxa"/>
            </w:tcMar>
            <w:vAlign w:val="center"/>
            <w:hideMark/>
          </w:tcPr>
          <w:p w14:paraId="7D516A51" w14:textId="77777777" w:rsidR="00FD4D49" w:rsidRPr="00FC6087" w:rsidRDefault="00FD4D49" w:rsidP="00551162">
            <w:pPr>
              <w:spacing w:line="360" w:lineRule="auto"/>
              <w:ind w:left="72"/>
              <w:contextualSpacing/>
              <w:rPr>
                <w:rFonts w:eastAsia="Times New Roman"/>
                <w:color w:val="000000" w:themeColor="text1"/>
              </w:rPr>
            </w:pPr>
            <w:r w:rsidRPr="00FC6087">
              <w:rPr>
                <w:rFonts w:eastAsia="Times New Roman"/>
                <w:color w:val="000000" w:themeColor="text1"/>
              </w:rPr>
              <w:t>Centralized access with Emirates ID</w:t>
            </w:r>
          </w:p>
        </w:tc>
        <w:tc>
          <w:tcPr>
            <w:tcW w:w="365" w:type="pct"/>
            <w:shd w:val="clear" w:color="auto" w:fill="auto"/>
            <w:tcMar>
              <w:left w:w="0" w:type="dxa"/>
              <w:right w:w="0" w:type="dxa"/>
            </w:tcMar>
            <w:vAlign w:val="center"/>
            <w:hideMark/>
          </w:tcPr>
          <w:p w14:paraId="7D516A52"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A53" w14:textId="77777777" w:rsidR="00FD4D49" w:rsidRPr="00FC6087" w:rsidRDefault="00FD4D49" w:rsidP="00790070">
            <w:pPr>
              <w:spacing w:line="360" w:lineRule="auto"/>
              <w:contextualSpacing/>
              <w:jc w:val="center"/>
              <w:rPr>
                <w:rFonts w:eastAsia="Times New Roman"/>
                <w:color w:val="000000" w:themeColor="text1"/>
              </w:rPr>
            </w:pPr>
          </w:p>
        </w:tc>
        <w:tc>
          <w:tcPr>
            <w:tcW w:w="365" w:type="pct"/>
            <w:shd w:val="clear" w:color="auto" w:fill="auto"/>
            <w:tcMar>
              <w:left w:w="0" w:type="dxa"/>
              <w:right w:w="0" w:type="dxa"/>
            </w:tcMar>
            <w:vAlign w:val="center"/>
            <w:hideMark/>
          </w:tcPr>
          <w:p w14:paraId="7D516A54" w14:textId="77777777" w:rsidR="00FD4D49" w:rsidRPr="00FC6087" w:rsidRDefault="00FD4D49" w:rsidP="00790070">
            <w:pPr>
              <w:spacing w:line="360" w:lineRule="auto"/>
              <w:contextualSpacing/>
              <w:jc w:val="center"/>
              <w:rPr>
                <w:rFonts w:eastAsia="Times New Roman"/>
                <w:color w:val="000000" w:themeColor="text1"/>
              </w:rPr>
            </w:pPr>
          </w:p>
        </w:tc>
        <w:tc>
          <w:tcPr>
            <w:tcW w:w="362" w:type="pct"/>
            <w:shd w:val="clear" w:color="auto" w:fill="auto"/>
            <w:noWrap/>
            <w:tcMar>
              <w:left w:w="0" w:type="dxa"/>
              <w:right w:w="0" w:type="dxa"/>
            </w:tcMar>
            <w:vAlign w:val="center"/>
            <w:hideMark/>
          </w:tcPr>
          <w:p w14:paraId="7D516A55"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0.67</w:t>
            </w:r>
          </w:p>
        </w:tc>
      </w:tr>
      <w:tr w:rsidR="00053918" w:rsidRPr="00FC6087" w14:paraId="7D516A5D" w14:textId="77777777" w:rsidTr="006D69FF">
        <w:trPr>
          <w:trHeight w:val="504"/>
          <w:jc w:val="center"/>
        </w:trPr>
        <w:tc>
          <w:tcPr>
            <w:tcW w:w="531" w:type="pct"/>
            <w:tcBorders>
              <w:bottom w:val="nil"/>
            </w:tcBorders>
            <w:shd w:val="clear" w:color="auto" w:fill="auto"/>
            <w:tcMar>
              <w:left w:w="0" w:type="dxa"/>
              <w:right w:w="0" w:type="dxa"/>
            </w:tcMar>
            <w:vAlign w:val="center"/>
          </w:tcPr>
          <w:p w14:paraId="7D516A57" w14:textId="77777777" w:rsidR="00FD4D49" w:rsidRPr="00790070" w:rsidRDefault="00FD4D49" w:rsidP="00551162">
            <w:pPr>
              <w:spacing w:line="360" w:lineRule="auto"/>
              <w:ind w:left="72"/>
              <w:contextualSpacing/>
              <w:rPr>
                <w:rFonts w:eastAsia="Times New Roman"/>
                <w:color w:val="000000" w:themeColor="text1"/>
              </w:rPr>
            </w:pPr>
          </w:p>
        </w:tc>
        <w:tc>
          <w:tcPr>
            <w:tcW w:w="3010" w:type="pct"/>
            <w:tcBorders>
              <w:bottom w:val="nil"/>
            </w:tcBorders>
            <w:shd w:val="clear" w:color="auto" w:fill="auto"/>
            <w:tcMar>
              <w:left w:w="0" w:type="dxa"/>
              <w:right w:w="0" w:type="dxa"/>
            </w:tcMar>
            <w:vAlign w:val="center"/>
          </w:tcPr>
          <w:p w14:paraId="7D516A58" w14:textId="77777777" w:rsidR="00FD4D49" w:rsidRPr="00790070" w:rsidRDefault="00FD4D49" w:rsidP="00551162">
            <w:pPr>
              <w:spacing w:line="360" w:lineRule="auto"/>
              <w:ind w:left="72"/>
              <w:contextualSpacing/>
              <w:rPr>
                <w:rFonts w:eastAsia="Times New Roman"/>
                <w:color w:val="000000" w:themeColor="text1"/>
                <w:lang w:bidi="ar-DZ"/>
              </w:rPr>
            </w:pPr>
            <w:r w:rsidRPr="00790070">
              <w:rPr>
                <w:rFonts w:eastAsia="Times New Roman"/>
                <w:color w:val="000000" w:themeColor="text1"/>
              </w:rPr>
              <w:t>Variance explained (%)</w:t>
            </w:r>
          </w:p>
        </w:tc>
        <w:tc>
          <w:tcPr>
            <w:tcW w:w="365" w:type="pct"/>
            <w:tcBorders>
              <w:bottom w:val="nil"/>
            </w:tcBorders>
            <w:shd w:val="clear" w:color="auto" w:fill="auto"/>
            <w:tcMar>
              <w:left w:w="0" w:type="dxa"/>
              <w:right w:w="0" w:type="dxa"/>
            </w:tcMar>
            <w:vAlign w:val="center"/>
          </w:tcPr>
          <w:p w14:paraId="7D516A59"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43.41</w:t>
            </w:r>
          </w:p>
        </w:tc>
        <w:tc>
          <w:tcPr>
            <w:tcW w:w="365" w:type="pct"/>
            <w:tcBorders>
              <w:bottom w:val="nil"/>
            </w:tcBorders>
            <w:shd w:val="clear" w:color="auto" w:fill="auto"/>
            <w:tcMar>
              <w:left w:w="0" w:type="dxa"/>
              <w:right w:w="0" w:type="dxa"/>
            </w:tcMar>
            <w:vAlign w:val="center"/>
          </w:tcPr>
          <w:p w14:paraId="7D516A5A"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7.06</w:t>
            </w:r>
          </w:p>
        </w:tc>
        <w:tc>
          <w:tcPr>
            <w:tcW w:w="365" w:type="pct"/>
            <w:tcBorders>
              <w:bottom w:val="nil"/>
            </w:tcBorders>
            <w:shd w:val="clear" w:color="auto" w:fill="auto"/>
            <w:tcMar>
              <w:left w:w="0" w:type="dxa"/>
              <w:right w:w="0" w:type="dxa"/>
            </w:tcMar>
            <w:vAlign w:val="center"/>
          </w:tcPr>
          <w:p w14:paraId="7D516A5B"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5.43</w:t>
            </w:r>
          </w:p>
        </w:tc>
        <w:tc>
          <w:tcPr>
            <w:tcW w:w="362" w:type="pct"/>
            <w:tcBorders>
              <w:bottom w:val="nil"/>
            </w:tcBorders>
            <w:shd w:val="clear" w:color="auto" w:fill="auto"/>
            <w:tcMar>
              <w:left w:w="0" w:type="dxa"/>
              <w:right w:w="0" w:type="dxa"/>
            </w:tcMar>
            <w:vAlign w:val="center"/>
          </w:tcPr>
          <w:p w14:paraId="7D516A5C"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3.92</w:t>
            </w:r>
          </w:p>
        </w:tc>
      </w:tr>
      <w:tr w:rsidR="00E721D8" w:rsidRPr="00FC6087" w14:paraId="7D516A64" w14:textId="77777777" w:rsidTr="006D69FF">
        <w:trPr>
          <w:trHeight w:val="504"/>
          <w:jc w:val="center"/>
        </w:trPr>
        <w:tc>
          <w:tcPr>
            <w:tcW w:w="531" w:type="pct"/>
            <w:tcBorders>
              <w:top w:val="nil"/>
              <w:bottom w:val="single" w:sz="18" w:space="0" w:color="auto"/>
            </w:tcBorders>
            <w:shd w:val="clear" w:color="auto" w:fill="auto"/>
            <w:tcMar>
              <w:left w:w="0" w:type="dxa"/>
              <w:right w:w="0" w:type="dxa"/>
            </w:tcMar>
            <w:vAlign w:val="center"/>
          </w:tcPr>
          <w:p w14:paraId="7D516A5E" w14:textId="77777777" w:rsidR="00FD4D49" w:rsidRPr="00790070" w:rsidRDefault="00FD4D49" w:rsidP="00551162">
            <w:pPr>
              <w:spacing w:line="360" w:lineRule="auto"/>
              <w:ind w:left="72"/>
              <w:contextualSpacing/>
              <w:rPr>
                <w:rFonts w:eastAsia="Times New Roman"/>
                <w:b/>
                <w:color w:val="000000" w:themeColor="text1"/>
              </w:rPr>
            </w:pPr>
          </w:p>
        </w:tc>
        <w:tc>
          <w:tcPr>
            <w:tcW w:w="3010" w:type="pct"/>
            <w:tcBorders>
              <w:top w:val="nil"/>
              <w:bottom w:val="single" w:sz="18" w:space="0" w:color="auto"/>
            </w:tcBorders>
            <w:shd w:val="clear" w:color="auto" w:fill="auto"/>
            <w:tcMar>
              <w:left w:w="0" w:type="dxa"/>
              <w:right w:w="0" w:type="dxa"/>
            </w:tcMar>
            <w:vAlign w:val="center"/>
          </w:tcPr>
          <w:p w14:paraId="7D516A5F" w14:textId="77777777" w:rsidR="00FD4D49" w:rsidRPr="00790070" w:rsidRDefault="00FD4D49" w:rsidP="00551162">
            <w:pPr>
              <w:spacing w:line="360" w:lineRule="auto"/>
              <w:ind w:left="72"/>
              <w:contextualSpacing/>
              <w:rPr>
                <w:rFonts w:eastAsia="Times New Roman"/>
                <w:color w:val="000000" w:themeColor="text1"/>
              </w:rPr>
            </w:pPr>
            <w:r w:rsidRPr="00790070">
              <w:rPr>
                <w:rFonts w:eastAsia="Times New Roman"/>
                <w:color w:val="000000" w:themeColor="text1"/>
              </w:rPr>
              <w:t xml:space="preserve">Cronbach’s </w:t>
            </w:r>
            <w:r w:rsidR="00331834" w:rsidRPr="00790070">
              <w:rPr>
                <w:rFonts w:eastAsia="Times New Roman"/>
                <w:color w:val="000000" w:themeColor="text1"/>
              </w:rPr>
              <w:t>a</w:t>
            </w:r>
            <w:r w:rsidRPr="00790070">
              <w:rPr>
                <w:rFonts w:eastAsia="Times New Roman"/>
                <w:color w:val="000000" w:themeColor="text1"/>
              </w:rPr>
              <w:t>lpha</w:t>
            </w:r>
          </w:p>
        </w:tc>
        <w:tc>
          <w:tcPr>
            <w:tcW w:w="365" w:type="pct"/>
            <w:tcBorders>
              <w:top w:val="nil"/>
              <w:bottom w:val="single" w:sz="18" w:space="0" w:color="auto"/>
            </w:tcBorders>
            <w:shd w:val="clear" w:color="auto" w:fill="auto"/>
            <w:tcMar>
              <w:left w:w="0" w:type="dxa"/>
              <w:right w:w="0" w:type="dxa"/>
            </w:tcMar>
            <w:vAlign w:val="center"/>
          </w:tcPr>
          <w:p w14:paraId="7D516A60"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0.90</w:t>
            </w:r>
          </w:p>
        </w:tc>
        <w:tc>
          <w:tcPr>
            <w:tcW w:w="365" w:type="pct"/>
            <w:tcBorders>
              <w:top w:val="nil"/>
              <w:bottom w:val="single" w:sz="18" w:space="0" w:color="auto"/>
            </w:tcBorders>
            <w:shd w:val="clear" w:color="auto" w:fill="auto"/>
            <w:tcMar>
              <w:left w:w="0" w:type="dxa"/>
              <w:right w:w="0" w:type="dxa"/>
            </w:tcMar>
            <w:vAlign w:val="center"/>
          </w:tcPr>
          <w:p w14:paraId="7D516A61"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0.91</w:t>
            </w:r>
          </w:p>
        </w:tc>
        <w:tc>
          <w:tcPr>
            <w:tcW w:w="365" w:type="pct"/>
            <w:tcBorders>
              <w:top w:val="nil"/>
              <w:bottom w:val="single" w:sz="18" w:space="0" w:color="auto"/>
            </w:tcBorders>
            <w:shd w:val="clear" w:color="auto" w:fill="auto"/>
            <w:tcMar>
              <w:left w:w="0" w:type="dxa"/>
              <w:right w:w="0" w:type="dxa"/>
            </w:tcMar>
            <w:vAlign w:val="center"/>
          </w:tcPr>
          <w:p w14:paraId="7D516A62" w14:textId="77777777" w:rsidR="00FD4D49" w:rsidRPr="00FC6087" w:rsidRDefault="00FD4D49" w:rsidP="00790070">
            <w:pPr>
              <w:spacing w:line="360" w:lineRule="auto"/>
              <w:contextualSpacing/>
              <w:jc w:val="center"/>
              <w:rPr>
                <w:rFonts w:eastAsia="Times New Roman"/>
                <w:color w:val="000000" w:themeColor="text1"/>
              </w:rPr>
            </w:pPr>
            <w:r w:rsidRPr="00FC6087">
              <w:rPr>
                <w:rFonts w:eastAsia="Times New Roman"/>
                <w:color w:val="000000" w:themeColor="text1"/>
              </w:rPr>
              <w:t>0.90</w:t>
            </w:r>
          </w:p>
        </w:tc>
        <w:tc>
          <w:tcPr>
            <w:tcW w:w="362" w:type="pct"/>
            <w:tcBorders>
              <w:top w:val="nil"/>
              <w:bottom w:val="single" w:sz="18" w:space="0" w:color="auto"/>
            </w:tcBorders>
            <w:shd w:val="clear" w:color="auto" w:fill="auto"/>
            <w:tcMar>
              <w:left w:w="0" w:type="dxa"/>
              <w:right w:w="0" w:type="dxa"/>
            </w:tcMar>
            <w:vAlign w:val="center"/>
          </w:tcPr>
          <w:p w14:paraId="7D516A63" w14:textId="77777777" w:rsidR="00FD4D49" w:rsidRPr="00FC6087" w:rsidRDefault="00FD4D49" w:rsidP="00790070">
            <w:pPr>
              <w:keepNext/>
              <w:spacing w:line="360" w:lineRule="auto"/>
              <w:contextualSpacing/>
              <w:jc w:val="center"/>
              <w:rPr>
                <w:rFonts w:eastAsia="Times New Roman"/>
                <w:color w:val="000000" w:themeColor="text1"/>
              </w:rPr>
            </w:pPr>
            <w:r w:rsidRPr="00FC6087">
              <w:rPr>
                <w:rFonts w:eastAsia="Times New Roman"/>
                <w:color w:val="000000" w:themeColor="text1"/>
              </w:rPr>
              <w:t>0.82</w:t>
            </w:r>
          </w:p>
        </w:tc>
      </w:tr>
    </w:tbl>
    <w:p w14:paraId="7D516A65" w14:textId="77777777" w:rsidR="00FD4D49" w:rsidRPr="00FC6087" w:rsidRDefault="00FD4D49" w:rsidP="00C0447D">
      <w:pPr>
        <w:pStyle w:val="APAParagraph"/>
        <w:spacing w:line="240" w:lineRule="auto"/>
        <w:ind w:firstLine="0"/>
        <w:rPr>
          <w:color w:val="000000" w:themeColor="text1"/>
        </w:rPr>
      </w:pPr>
      <w:r w:rsidRPr="00790070">
        <w:rPr>
          <w:bCs/>
          <w:i/>
          <w:color w:val="000000" w:themeColor="text1"/>
        </w:rPr>
        <w:t>Note</w:t>
      </w:r>
      <w:r w:rsidR="001A6B40" w:rsidRPr="00FC6087">
        <w:rPr>
          <w:bCs/>
          <w:i/>
          <w:color w:val="000000" w:themeColor="text1"/>
        </w:rPr>
        <w:t>.</w:t>
      </w:r>
      <w:r w:rsidRPr="00FC6087">
        <w:rPr>
          <w:color w:val="000000" w:themeColor="text1"/>
        </w:rPr>
        <w:t xml:space="preserve"> QM = quality management</w:t>
      </w:r>
      <w:r w:rsidR="001A6B40" w:rsidRPr="00FC6087">
        <w:rPr>
          <w:color w:val="000000" w:themeColor="text1"/>
        </w:rPr>
        <w:t>;</w:t>
      </w:r>
      <w:r w:rsidRPr="00FC6087">
        <w:rPr>
          <w:color w:val="000000" w:themeColor="text1"/>
        </w:rPr>
        <w:t xml:space="preserve"> IS = information sharing</w:t>
      </w:r>
      <w:r w:rsidR="001A6B40" w:rsidRPr="00FC6087">
        <w:rPr>
          <w:color w:val="000000" w:themeColor="text1"/>
        </w:rPr>
        <w:t>;</w:t>
      </w:r>
      <w:r w:rsidRPr="00FC6087">
        <w:rPr>
          <w:color w:val="000000" w:themeColor="text1"/>
        </w:rPr>
        <w:t xml:space="preserve"> SG = strategic governance</w:t>
      </w:r>
      <w:r w:rsidR="001A6B40" w:rsidRPr="00FC6087">
        <w:rPr>
          <w:color w:val="000000" w:themeColor="text1"/>
        </w:rPr>
        <w:t>;</w:t>
      </w:r>
      <w:r w:rsidRPr="00FC6087">
        <w:rPr>
          <w:color w:val="000000" w:themeColor="text1"/>
        </w:rPr>
        <w:t xml:space="preserve"> TI = technology infrastructure.</w:t>
      </w:r>
    </w:p>
    <w:p w14:paraId="7D516A66" w14:textId="7BD918C9" w:rsidR="00FD4D49" w:rsidRPr="00FC6087" w:rsidRDefault="001A6B40" w:rsidP="00206E2A">
      <w:pPr>
        <w:pStyle w:val="Heading2"/>
      </w:pPr>
      <w:bookmarkStart w:id="138" w:name="_Toc24447801"/>
      <w:r w:rsidRPr="00FC6087">
        <w:t>5.</w:t>
      </w:r>
      <w:r w:rsidR="00206E2A">
        <w:t>3</w:t>
      </w:r>
      <w:r w:rsidRPr="00FC6087">
        <w:t xml:space="preserve">.1. </w:t>
      </w:r>
      <w:r w:rsidR="00FD4D49" w:rsidRPr="00FC6087">
        <w:t xml:space="preserve">Quality </w:t>
      </w:r>
      <w:r w:rsidRPr="00FC6087">
        <w:t>M</w:t>
      </w:r>
      <w:r w:rsidR="00FD4D49" w:rsidRPr="00FC6087">
        <w:t>anagement (QM)</w:t>
      </w:r>
      <w:bookmarkEnd w:id="138"/>
    </w:p>
    <w:p w14:paraId="7D516A67" w14:textId="77777777" w:rsidR="00FD4D49" w:rsidRPr="00FC6087" w:rsidRDefault="00FD4D49" w:rsidP="00FD4D49">
      <w:pPr>
        <w:pStyle w:val="APAParagraph"/>
        <w:rPr>
          <w:color w:val="000000" w:themeColor="text1"/>
        </w:rPr>
      </w:pPr>
      <w:r w:rsidRPr="00FC6087">
        <w:rPr>
          <w:color w:val="000000" w:themeColor="text1"/>
        </w:rPr>
        <w:t>The strong factor loading of items related to medical cases (</w:t>
      </w:r>
      <w:r w:rsidR="00894EC0" w:rsidRPr="00FC6087">
        <w:rPr>
          <w:color w:val="000000" w:themeColor="text1"/>
        </w:rPr>
        <w:t>0</w:t>
      </w:r>
      <w:r w:rsidRPr="00FC6087">
        <w:rPr>
          <w:color w:val="000000" w:themeColor="text1"/>
        </w:rPr>
        <w:t>.98), errors (</w:t>
      </w:r>
      <w:r w:rsidR="00894EC0" w:rsidRPr="00FC6087">
        <w:rPr>
          <w:color w:val="000000" w:themeColor="text1"/>
        </w:rPr>
        <w:t>0</w:t>
      </w:r>
      <w:r w:rsidRPr="00FC6087">
        <w:rPr>
          <w:color w:val="000000" w:themeColor="text1"/>
        </w:rPr>
        <w:t>.88), and quality awards (</w:t>
      </w:r>
      <w:r w:rsidR="00894EC0" w:rsidRPr="00FC6087">
        <w:rPr>
          <w:color w:val="000000" w:themeColor="text1"/>
        </w:rPr>
        <w:t>0</w:t>
      </w:r>
      <w:r w:rsidRPr="00FC6087">
        <w:rPr>
          <w:color w:val="000000" w:themeColor="text1"/>
        </w:rPr>
        <w:t>.71) all point to the quality of care being an important motivator for HIT adoption. These findings are consistent with previous research highlight</w:t>
      </w:r>
      <w:r w:rsidR="00894EC0" w:rsidRPr="00FC6087">
        <w:rPr>
          <w:color w:val="000000" w:themeColor="text1"/>
        </w:rPr>
        <w:t>ing</w:t>
      </w:r>
      <w:r w:rsidRPr="00FC6087">
        <w:rPr>
          <w:color w:val="000000" w:themeColor="text1"/>
        </w:rPr>
        <w:t xml:space="preserve"> the motivating factor of patient safety (Buntin et al., 2010; Wolper, 2013). If patients and healthcare workers can be convinced of the utility of HIT for providing better quality care—which is well established by research in </w:t>
      </w:r>
      <w:r w:rsidR="00894EC0" w:rsidRPr="00FC6087">
        <w:rPr>
          <w:color w:val="000000" w:themeColor="text1"/>
        </w:rPr>
        <w:t xml:space="preserve">the </w:t>
      </w:r>
      <w:r w:rsidRPr="00FC6087">
        <w:rPr>
          <w:color w:val="000000" w:themeColor="text1"/>
        </w:rPr>
        <w:t xml:space="preserve">literature, as shown in Chapter </w:t>
      </w:r>
      <w:r w:rsidR="00894EC0" w:rsidRPr="00FC6087">
        <w:rPr>
          <w:color w:val="000000" w:themeColor="text1"/>
        </w:rPr>
        <w:t>two</w:t>
      </w:r>
      <w:r w:rsidRPr="00FC6087">
        <w:rPr>
          <w:color w:val="000000" w:themeColor="text1"/>
        </w:rPr>
        <w:t xml:space="preserve">—then, perhaps, there will be a greater movement towards acceptance and use of these technologies. The high amount of variance explained by this factor (43.41) also points to it being </w:t>
      </w:r>
      <w:r w:rsidR="00E3490B" w:rsidRPr="00FC6087">
        <w:rPr>
          <w:color w:val="000000" w:themeColor="text1"/>
        </w:rPr>
        <w:t>important.</w:t>
      </w:r>
      <w:r w:rsidRPr="00FC6087">
        <w:rPr>
          <w:color w:val="000000" w:themeColor="text1"/>
        </w:rPr>
        <w:t xml:space="preserve"> This high degree of variance suggests a high degree of variation in responses, meaning that individuals have widely different opinions on some of these issues. Therefore, to better identify how to motivate individuals to use HIT, more research is needed into what particular items and areas are seeing such variability </w:t>
      </w:r>
      <w:r w:rsidRPr="00FC6087">
        <w:rPr>
          <w:color w:val="000000" w:themeColor="text1"/>
        </w:rPr>
        <w:lastRenderedPageBreak/>
        <w:t xml:space="preserve">and which are not. In particular, it would be of great interest and value to ascertain how the different stakeholder groups view these more divisive items. </w:t>
      </w:r>
    </w:p>
    <w:p w14:paraId="7D516A68" w14:textId="0AE965BA" w:rsidR="00FD4D49" w:rsidRPr="00FC6087" w:rsidRDefault="00E859BF" w:rsidP="00206E2A">
      <w:pPr>
        <w:pStyle w:val="Heading2"/>
      </w:pPr>
      <w:bookmarkStart w:id="139" w:name="_Toc24447802"/>
      <w:r w:rsidRPr="00FC6087">
        <w:t>5.</w:t>
      </w:r>
      <w:r w:rsidR="00206E2A">
        <w:t>3</w:t>
      </w:r>
      <w:r w:rsidRPr="00FC6087">
        <w:t xml:space="preserve">.2. </w:t>
      </w:r>
      <w:r w:rsidR="00FD4D49" w:rsidRPr="00FC6087">
        <w:t>Information Sharing (IS)</w:t>
      </w:r>
      <w:bookmarkEnd w:id="139"/>
    </w:p>
    <w:p w14:paraId="7D516A69" w14:textId="17F84FBB" w:rsidR="00FD4D49" w:rsidRPr="00FC6087" w:rsidRDefault="00FD4D49" w:rsidP="00FD4D49">
      <w:pPr>
        <w:pStyle w:val="APAParagraph"/>
        <w:rPr>
          <w:color w:val="000000" w:themeColor="text1"/>
        </w:rPr>
      </w:pPr>
      <w:r w:rsidRPr="00FC6087">
        <w:rPr>
          <w:color w:val="000000" w:themeColor="text1"/>
        </w:rPr>
        <w:t>The strong loadings of items related to support from teaching hospitals (</w:t>
      </w:r>
      <w:r w:rsidR="009B680A" w:rsidRPr="00FC6087">
        <w:rPr>
          <w:color w:val="000000" w:themeColor="text1"/>
        </w:rPr>
        <w:t>0</w:t>
      </w:r>
      <w:r w:rsidRPr="00FC6087">
        <w:rPr>
          <w:color w:val="000000" w:themeColor="text1"/>
        </w:rPr>
        <w:t>.87), organizational culture in hospitals (</w:t>
      </w:r>
      <w:r w:rsidR="009B680A" w:rsidRPr="00FC6087">
        <w:rPr>
          <w:color w:val="000000" w:themeColor="text1"/>
        </w:rPr>
        <w:t>0</w:t>
      </w:r>
      <w:r w:rsidRPr="00FC6087">
        <w:rPr>
          <w:color w:val="000000" w:themeColor="text1"/>
        </w:rPr>
        <w:t>.86), easy transfer of knowledge (</w:t>
      </w:r>
      <w:r w:rsidR="009B680A" w:rsidRPr="00FC6087">
        <w:rPr>
          <w:color w:val="000000" w:themeColor="text1"/>
        </w:rPr>
        <w:t>0</w:t>
      </w:r>
      <w:r w:rsidRPr="00FC6087">
        <w:rPr>
          <w:color w:val="000000" w:themeColor="text1"/>
        </w:rPr>
        <w:t>.82), and support from career developmental centers (</w:t>
      </w:r>
      <w:r w:rsidR="009B680A" w:rsidRPr="00FC6087">
        <w:rPr>
          <w:color w:val="000000" w:themeColor="text1"/>
        </w:rPr>
        <w:t>0</w:t>
      </w:r>
      <w:r w:rsidRPr="00FC6087">
        <w:rPr>
          <w:color w:val="000000" w:themeColor="text1"/>
        </w:rPr>
        <w:t xml:space="preserve">.80) indicate that a factor that would motivate employees to use new technologies is the ability to access </w:t>
      </w:r>
      <w:r w:rsidR="00E53CD6" w:rsidRPr="00FC6087">
        <w:rPr>
          <w:color w:val="000000" w:themeColor="text1"/>
        </w:rPr>
        <w:t>information and</w:t>
      </w:r>
      <w:r w:rsidRPr="00FC6087">
        <w:rPr>
          <w:color w:val="000000" w:themeColor="text1"/>
        </w:rPr>
        <w:t xml:space="preserve"> tools that foster their career development and continued education more easily. Therefore, it is worth investing in aspects of HIT that provide professional </w:t>
      </w:r>
      <w:r w:rsidR="00E53CD6" w:rsidRPr="00FC6087">
        <w:rPr>
          <w:color w:val="000000" w:themeColor="text1"/>
        </w:rPr>
        <w:t>development and</w:t>
      </w:r>
      <w:r w:rsidRPr="00FC6087">
        <w:rPr>
          <w:color w:val="000000" w:themeColor="text1"/>
        </w:rPr>
        <w:t xml:space="preserve"> in making employees aware of these aspects. Organizational and social factors have previously been shown to motivate the adoption of technologies (Cresswell</w:t>
      </w:r>
      <w:r w:rsidR="005E7A62">
        <w:rPr>
          <w:color w:val="000000" w:themeColor="text1"/>
        </w:rPr>
        <w:t xml:space="preserve"> &amp; </w:t>
      </w:r>
      <w:r w:rsidRPr="00FC6087">
        <w:rPr>
          <w:color w:val="000000" w:themeColor="text1"/>
        </w:rPr>
        <w:t>Sheikh, 2013), suggesting that building a technology-friendly culture—complete with organizational support—in hospitals could help with the greater acceptance of these technologies. The smaller amount of variance accounted for by the IS factor (7.06%) suggests that opinions on these matters are rather universal. It seems employees want access to support and education to grow professionally and patients also want this, since they would prefer their doctors to be as skilled and capable as possible.</w:t>
      </w:r>
    </w:p>
    <w:p w14:paraId="7D516A6A" w14:textId="3888532D" w:rsidR="00FD4D49" w:rsidRPr="00FC6087" w:rsidRDefault="00186D0B" w:rsidP="00206E2A">
      <w:pPr>
        <w:pStyle w:val="Heading2"/>
      </w:pPr>
      <w:bookmarkStart w:id="140" w:name="_Toc24447803"/>
      <w:r>
        <w:lastRenderedPageBreak/>
        <w:t>5.</w:t>
      </w:r>
      <w:r w:rsidR="00206E2A">
        <w:t>3</w:t>
      </w:r>
      <w:r w:rsidR="00E859BF" w:rsidRPr="00FC6087">
        <w:t xml:space="preserve">.3. </w:t>
      </w:r>
      <w:r w:rsidR="00FD4D49" w:rsidRPr="00FC6087">
        <w:t xml:space="preserve">Strategic </w:t>
      </w:r>
      <w:r w:rsidR="009B680A" w:rsidRPr="00FC6087">
        <w:t>G</w:t>
      </w:r>
      <w:r w:rsidR="00FD4D49" w:rsidRPr="00FC6087">
        <w:t>overnance (SG)</w:t>
      </w:r>
      <w:bookmarkEnd w:id="140"/>
    </w:p>
    <w:p w14:paraId="7D516A6B" w14:textId="77777777" w:rsidR="00FD4D49" w:rsidRPr="00FC6087" w:rsidRDefault="00FD4D49" w:rsidP="00FD4D49">
      <w:pPr>
        <w:pStyle w:val="APAParagraph"/>
        <w:rPr>
          <w:color w:val="000000" w:themeColor="text1"/>
        </w:rPr>
      </w:pPr>
      <w:r w:rsidRPr="00FC6087">
        <w:rPr>
          <w:color w:val="000000" w:themeColor="text1"/>
        </w:rPr>
        <w:t>The strong loadings of international trade (</w:t>
      </w:r>
      <w:r w:rsidR="009B680A" w:rsidRPr="00FC6087">
        <w:rPr>
          <w:color w:val="000000" w:themeColor="text1"/>
        </w:rPr>
        <w:t>0</w:t>
      </w:r>
      <w:r w:rsidRPr="00FC6087">
        <w:rPr>
          <w:color w:val="000000" w:themeColor="text1"/>
        </w:rPr>
        <w:t>.86) and strategic support (</w:t>
      </w:r>
      <w:r w:rsidR="009B680A" w:rsidRPr="00FC6087">
        <w:rPr>
          <w:color w:val="000000" w:themeColor="text1"/>
        </w:rPr>
        <w:t>0</w:t>
      </w:r>
      <w:r w:rsidRPr="00FC6087">
        <w:rPr>
          <w:color w:val="000000" w:themeColor="text1"/>
        </w:rPr>
        <w:t xml:space="preserve">.72) suggest that the government plays a powerful part in motivating the implementation of healthcare technologies, whether in fostering the procuring of resources through trade and/or providing a strategic vision and the support to carry it out. Therefore, it is likely that the government’s UAE Vision 2021 is </w:t>
      </w:r>
      <w:r w:rsidR="00E53CD6" w:rsidRPr="00FC6087">
        <w:rPr>
          <w:color w:val="000000" w:themeColor="text1"/>
        </w:rPr>
        <w:t>responsible for</w:t>
      </w:r>
      <w:r w:rsidRPr="00FC6087">
        <w:rPr>
          <w:color w:val="000000" w:themeColor="text1"/>
        </w:rPr>
        <w:t xml:space="preserve"> the UAE’s success in developing innovative healthcare technologies and initiatives, leading to its ranking in the lead of the Future Health Index. The smaller amount of variance accounted for by the SG factor (5.43%) suggests that opinions on these matters are more universal. It would seem all individuals want a government that is involved in developing, enacting, and funding initiatives that improve their health.</w:t>
      </w:r>
    </w:p>
    <w:p w14:paraId="7D516A6C" w14:textId="16B4A1E3" w:rsidR="00FD4D49" w:rsidRPr="00FC6087" w:rsidRDefault="00186D0B" w:rsidP="00206E2A">
      <w:pPr>
        <w:pStyle w:val="Heading2"/>
      </w:pPr>
      <w:bookmarkStart w:id="141" w:name="_Toc24447804"/>
      <w:r>
        <w:t>5.</w:t>
      </w:r>
      <w:r w:rsidR="00206E2A">
        <w:t>3</w:t>
      </w:r>
      <w:r w:rsidR="00E859BF" w:rsidRPr="00FC6087">
        <w:t xml:space="preserve">.4. </w:t>
      </w:r>
      <w:r w:rsidR="00FD4D49" w:rsidRPr="00FC6087">
        <w:t xml:space="preserve">Technology </w:t>
      </w:r>
      <w:r w:rsidR="007F75CB" w:rsidRPr="00FC6087">
        <w:t>I</w:t>
      </w:r>
      <w:r w:rsidR="00FD4D49" w:rsidRPr="00FC6087">
        <w:t>nfrastructure (TI)</w:t>
      </w:r>
      <w:bookmarkEnd w:id="141"/>
    </w:p>
    <w:p w14:paraId="7D516A6D" w14:textId="77777777" w:rsidR="00FD4D49" w:rsidRPr="00FC6087" w:rsidRDefault="00FD4D49" w:rsidP="00FD4D49">
      <w:pPr>
        <w:pStyle w:val="APAParagraph"/>
        <w:rPr>
          <w:color w:val="000000" w:themeColor="text1"/>
        </w:rPr>
      </w:pPr>
      <w:r w:rsidRPr="00FC6087">
        <w:rPr>
          <w:color w:val="000000" w:themeColor="text1"/>
        </w:rPr>
        <w:t>Finally, the strong loadings of physical infrastructure (</w:t>
      </w:r>
      <w:r w:rsidR="007F75CB" w:rsidRPr="00FC6087">
        <w:rPr>
          <w:color w:val="000000" w:themeColor="text1"/>
        </w:rPr>
        <w:t>0</w:t>
      </w:r>
      <w:r w:rsidRPr="00FC6087">
        <w:rPr>
          <w:color w:val="000000" w:themeColor="text1"/>
        </w:rPr>
        <w:t>.82) and information infrastructure (</w:t>
      </w:r>
      <w:r w:rsidR="007F75CB" w:rsidRPr="00FC6087">
        <w:rPr>
          <w:color w:val="000000" w:themeColor="text1"/>
        </w:rPr>
        <w:t>0</w:t>
      </w:r>
      <w:r w:rsidRPr="00FC6087">
        <w:rPr>
          <w:color w:val="000000" w:themeColor="text1"/>
        </w:rPr>
        <w:t xml:space="preserve">.82) suggest that individuals are concerned about how effectively and safely these technologies can be implemented and used. That is, if resources are not in place to provide safe and efficient use of these technologies, they will be less likely to want to use them. The smaller amount of variance accounted for by the TI factor (3.92%) suggests that opinions on these matters are rather </w:t>
      </w:r>
      <w:r w:rsidR="006438B9" w:rsidRPr="00FC6087">
        <w:rPr>
          <w:color w:val="000000" w:themeColor="text1"/>
        </w:rPr>
        <w:t>similar</w:t>
      </w:r>
      <w:r w:rsidRPr="00FC6087">
        <w:rPr>
          <w:color w:val="000000" w:themeColor="text1"/>
        </w:rPr>
        <w:t xml:space="preserve"> throughout the world. It seems</w:t>
      </w:r>
      <w:r w:rsidR="00D31194" w:rsidRPr="00FC6087">
        <w:rPr>
          <w:color w:val="000000" w:themeColor="text1"/>
        </w:rPr>
        <w:t xml:space="preserve"> </w:t>
      </w:r>
      <w:r w:rsidRPr="00FC6087">
        <w:rPr>
          <w:color w:val="000000" w:themeColor="text1"/>
        </w:rPr>
        <w:t xml:space="preserve">that everybody who would be using these </w:t>
      </w:r>
      <w:r w:rsidRPr="00FC6087">
        <w:rPr>
          <w:color w:val="000000" w:themeColor="text1"/>
        </w:rPr>
        <w:lastRenderedPageBreak/>
        <w:t>technologies, from physicians to nurses to patients, would want to be assured that the technologies would be easy to use and ensure good privacy and security of sensitive health data.</w:t>
      </w:r>
    </w:p>
    <w:p w14:paraId="7D516A6E" w14:textId="16BC5595" w:rsidR="00FD4D49" w:rsidRPr="00FC6087" w:rsidRDefault="00FD4D49" w:rsidP="00FD4D49">
      <w:pPr>
        <w:pStyle w:val="APAParagraph"/>
        <w:rPr>
          <w:color w:val="000000" w:themeColor="text1"/>
        </w:rPr>
      </w:pPr>
      <w:r w:rsidRPr="00FC6087">
        <w:rPr>
          <w:color w:val="000000" w:themeColor="text1"/>
        </w:rPr>
        <w:t>Interestingly, despite the finding that concerns over funding and cost</w:t>
      </w:r>
      <w:r w:rsidR="006438B9" w:rsidRPr="00FC6087">
        <w:rPr>
          <w:color w:val="000000" w:themeColor="text1"/>
        </w:rPr>
        <w:t>s</w:t>
      </w:r>
      <w:r w:rsidRPr="00FC6087">
        <w:rPr>
          <w:color w:val="000000" w:themeColor="text1"/>
        </w:rPr>
        <w:t xml:space="preserve"> are often reported as the main motivators (cf.</w:t>
      </w:r>
      <w:r w:rsidR="006438B9" w:rsidRPr="00FC6087">
        <w:rPr>
          <w:color w:val="000000" w:themeColor="text1"/>
        </w:rPr>
        <w:t>, among others,</w:t>
      </w:r>
      <w:r w:rsidRPr="00FC6087">
        <w:rPr>
          <w:color w:val="000000" w:themeColor="text1"/>
        </w:rPr>
        <w:t xml:space="preserve"> Buntin et al., 2010; Li</w:t>
      </w:r>
      <w:r w:rsidR="005E7A62">
        <w:rPr>
          <w:color w:val="000000" w:themeColor="text1"/>
        </w:rPr>
        <w:t xml:space="preserve"> &amp; </w:t>
      </w:r>
      <w:r w:rsidRPr="00FC6087">
        <w:rPr>
          <w:color w:val="000000" w:themeColor="text1"/>
        </w:rPr>
        <w:t>Collier, 2000; McLeod et al., 2008; Robertson, 2011; Wolper, 2013), the factor loading of financial support was only moderately strong (</w:t>
      </w:r>
      <w:r w:rsidR="005C3506" w:rsidRPr="00FC6087">
        <w:rPr>
          <w:color w:val="000000" w:themeColor="text1"/>
        </w:rPr>
        <w:t>0</w:t>
      </w:r>
      <w:r w:rsidRPr="00FC6087">
        <w:rPr>
          <w:color w:val="000000" w:themeColor="text1"/>
        </w:rPr>
        <w:t>.62), although the item relating to the cost of services (</w:t>
      </w:r>
      <w:r w:rsidR="005C3506" w:rsidRPr="00FC6087">
        <w:rPr>
          <w:color w:val="000000" w:themeColor="text1"/>
        </w:rPr>
        <w:t>0</w:t>
      </w:r>
      <w:r w:rsidRPr="00FC6087">
        <w:rPr>
          <w:color w:val="000000" w:themeColor="text1"/>
        </w:rPr>
        <w:t xml:space="preserve">.71) was stronger, which means it related less to HIT </w:t>
      </w:r>
      <w:r w:rsidR="00A106F8" w:rsidRPr="00FC6087">
        <w:rPr>
          <w:color w:val="000000" w:themeColor="text1"/>
        </w:rPr>
        <w:t xml:space="preserve">than to </w:t>
      </w:r>
      <w:r w:rsidRPr="00FC6087">
        <w:rPr>
          <w:color w:val="000000" w:themeColor="text1"/>
        </w:rPr>
        <w:t>medical care.</w:t>
      </w:r>
    </w:p>
    <w:p w14:paraId="7D516A6F" w14:textId="516462CD" w:rsidR="00FD4D49" w:rsidRPr="00FC6087" w:rsidRDefault="00186D0B" w:rsidP="00206E2A">
      <w:pPr>
        <w:pStyle w:val="Heading2"/>
      </w:pPr>
      <w:bookmarkStart w:id="142" w:name="_Toc24447805"/>
      <w:r>
        <w:t>5.</w:t>
      </w:r>
      <w:r w:rsidR="00206E2A">
        <w:t>3</w:t>
      </w:r>
      <w:r w:rsidR="00E859BF" w:rsidRPr="00FC6087">
        <w:t xml:space="preserve">.5. </w:t>
      </w:r>
      <w:r w:rsidR="00FD4D49" w:rsidRPr="00FC6087">
        <w:t xml:space="preserve">Measurement </w:t>
      </w:r>
      <w:r w:rsidR="005C3506" w:rsidRPr="00FC6087">
        <w:t>M</w:t>
      </w:r>
      <w:r w:rsidR="00FD4D49" w:rsidRPr="00FC6087">
        <w:t xml:space="preserve">odel for </w:t>
      </w:r>
      <w:r w:rsidR="005C3506" w:rsidRPr="00FC6087">
        <w:t>M</w:t>
      </w:r>
      <w:r w:rsidR="00FD4D49" w:rsidRPr="00FC6087">
        <w:t>otivators (First</w:t>
      </w:r>
      <w:r w:rsidR="005C3506" w:rsidRPr="00FC6087">
        <w:t>-O</w:t>
      </w:r>
      <w:r w:rsidR="00FD4D49" w:rsidRPr="00FC6087">
        <w:t xml:space="preserve">rder CFA </w:t>
      </w:r>
      <w:r w:rsidR="005C3506" w:rsidRPr="00FC6087">
        <w:t>M</w:t>
      </w:r>
      <w:r w:rsidR="00FD4D49" w:rsidRPr="00FC6087">
        <w:t>odel)</w:t>
      </w:r>
      <w:bookmarkEnd w:id="142"/>
    </w:p>
    <w:p w14:paraId="7D516A70" w14:textId="143EAC49" w:rsidR="00FD4D49" w:rsidRPr="00FC6087" w:rsidRDefault="00FD4D49" w:rsidP="00FD4D49">
      <w:pPr>
        <w:pStyle w:val="APAParagraph"/>
        <w:rPr>
          <w:color w:val="000000" w:themeColor="text1"/>
        </w:rPr>
      </w:pPr>
      <w:r w:rsidRPr="00FC6087">
        <w:rPr>
          <w:color w:val="000000" w:themeColor="text1"/>
        </w:rPr>
        <w:t xml:space="preserve">As helpful and insightful as these factor loadings might be for identifying latent constructs and the items that relate to them, EFA cannot describe the relationships among these factors, nor their relationship to the key outcome of interest, so the above discussion of items should not be considered to have predictive power in terms of the effects on HIT adoption, but merely suggestions as to what items are important or, at the very least, their associated factors. To build a measurement model to better visualize, understand, and quantify the relationships among latent factors and between those factors and their associated items, a first-order CFA was developed using the four factors from </w:t>
      </w:r>
      <w:r w:rsidR="00CD5375" w:rsidRPr="00FC6087">
        <w:rPr>
          <w:color w:val="000000" w:themeColor="text1"/>
        </w:rPr>
        <w:t xml:space="preserve">the </w:t>
      </w:r>
      <w:r w:rsidRPr="00FC6087">
        <w:rPr>
          <w:color w:val="000000" w:themeColor="text1"/>
        </w:rPr>
        <w:t>EFA. The eight items for QM showed at least moderately strong (i.e. &gt;</w:t>
      </w:r>
      <w:r w:rsidR="000A45F2">
        <w:rPr>
          <w:color w:val="000000" w:themeColor="text1"/>
        </w:rPr>
        <w:t xml:space="preserve"> </w:t>
      </w:r>
      <w:r w:rsidR="00CD5375" w:rsidRPr="00FC6087">
        <w:rPr>
          <w:color w:val="000000" w:themeColor="text1"/>
        </w:rPr>
        <w:t>0</w:t>
      </w:r>
      <w:r w:rsidRPr="00FC6087">
        <w:rPr>
          <w:color w:val="000000" w:themeColor="text1"/>
        </w:rPr>
        <w:t xml:space="preserve">.60) loadings onto their related factor, as did the five of the IS items (the items relating to market </w:t>
      </w:r>
      <w:r w:rsidRPr="00FC6087">
        <w:rPr>
          <w:color w:val="000000" w:themeColor="text1"/>
        </w:rPr>
        <w:lastRenderedPageBreak/>
        <w:t>trends, competition, and local medical schools did not manifest in the model), six of the SG items</w:t>
      </w:r>
      <w:r w:rsidR="009F3F50" w:rsidRPr="00FC6087">
        <w:rPr>
          <w:color w:val="000000" w:themeColor="text1"/>
        </w:rPr>
        <w:t>,</w:t>
      </w:r>
      <w:r w:rsidRPr="00FC6087">
        <w:rPr>
          <w:color w:val="000000" w:themeColor="text1"/>
        </w:rPr>
        <w:t xml:space="preserve"> and all three of the TI items. This model is illustrated in Figure 5.1. Additionally, each of the four factors was moderately strongly related to each of the others, with path values (covariance) between </w:t>
      </w:r>
      <w:r w:rsidR="009F3F50" w:rsidRPr="00FC6087">
        <w:rPr>
          <w:color w:val="000000" w:themeColor="text1"/>
        </w:rPr>
        <w:t>0</w:t>
      </w:r>
      <w:r w:rsidRPr="00FC6087">
        <w:rPr>
          <w:color w:val="000000" w:themeColor="text1"/>
        </w:rPr>
        <w:t xml:space="preserve">.61 and </w:t>
      </w:r>
      <w:r w:rsidR="009F3F50" w:rsidRPr="00FC6087">
        <w:rPr>
          <w:color w:val="000000" w:themeColor="text1"/>
        </w:rPr>
        <w:t>0</w:t>
      </w:r>
      <w:r w:rsidRPr="00FC6087">
        <w:rPr>
          <w:color w:val="000000" w:themeColor="text1"/>
        </w:rPr>
        <w:t>.74.</w:t>
      </w:r>
    </w:p>
    <w:p w14:paraId="1EDDCD54" w14:textId="77777777" w:rsidR="007A4BE0" w:rsidRPr="00FC6087" w:rsidRDefault="007A4BE0" w:rsidP="007A4BE0">
      <w:pPr>
        <w:pStyle w:val="APAParagraph"/>
        <w:rPr>
          <w:color w:val="000000" w:themeColor="text1"/>
        </w:rPr>
      </w:pPr>
    </w:p>
    <w:p w14:paraId="153D4DAF" w14:textId="77777777" w:rsidR="007A4BE0" w:rsidRDefault="007A4BE0">
      <w:pPr>
        <w:rPr>
          <w:rFonts w:eastAsia="Times New Roman"/>
          <w:bCs/>
          <w:i/>
          <w:color w:val="000000" w:themeColor="text1"/>
        </w:rPr>
      </w:pPr>
      <w:r>
        <w:rPr>
          <w:b/>
          <w:i/>
          <w:color w:val="000000" w:themeColor="text1"/>
        </w:rPr>
        <w:br w:type="page"/>
      </w:r>
    </w:p>
    <w:p w14:paraId="3E1ACCCF" w14:textId="4693F3CB" w:rsidR="007A4BE0" w:rsidRPr="00790070" w:rsidRDefault="007A4BE0" w:rsidP="007A4BE0">
      <w:pPr>
        <w:pStyle w:val="Caption"/>
        <w:jc w:val="left"/>
        <w:rPr>
          <w:b w:val="0"/>
          <w:noProof w:val="0"/>
          <w:color w:val="000000" w:themeColor="text1"/>
          <w:sz w:val="24"/>
          <w:szCs w:val="24"/>
        </w:rPr>
      </w:pPr>
      <w:r w:rsidRPr="00790070">
        <w:rPr>
          <w:b w:val="0"/>
          <w:i/>
          <w:noProof w:val="0"/>
          <w:color w:val="000000" w:themeColor="text1"/>
          <w:sz w:val="24"/>
          <w:szCs w:val="24"/>
        </w:rPr>
        <w:lastRenderedPageBreak/>
        <w:t>Figure 5.</w:t>
      </w:r>
      <w:r w:rsidRPr="00790070">
        <w:rPr>
          <w:b w:val="0"/>
          <w:bCs w:val="0"/>
          <w:i/>
          <w:noProof w:val="0"/>
          <w:color w:val="000000" w:themeColor="text1"/>
          <w:sz w:val="24"/>
          <w:szCs w:val="24"/>
        </w:rPr>
        <w:fldChar w:fldCharType="begin"/>
      </w:r>
      <w:r w:rsidRPr="00790070">
        <w:rPr>
          <w:b w:val="0"/>
          <w:i/>
          <w:noProof w:val="0"/>
          <w:color w:val="000000" w:themeColor="text1"/>
          <w:sz w:val="24"/>
          <w:szCs w:val="24"/>
        </w:rPr>
        <w:instrText xml:space="preserve"> SEQ Figure_5. \* ARABIC </w:instrText>
      </w:r>
      <w:r w:rsidRPr="00790070">
        <w:rPr>
          <w:b w:val="0"/>
          <w:bCs w:val="0"/>
          <w:i/>
          <w:noProof w:val="0"/>
          <w:color w:val="000000" w:themeColor="text1"/>
          <w:sz w:val="24"/>
          <w:szCs w:val="24"/>
        </w:rPr>
        <w:fldChar w:fldCharType="separate"/>
      </w:r>
      <w:r w:rsidR="004C1C5E">
        <w:rPr>
          <w:b w:val="0"/>
          <w:i/>
          <w:color w:val="000000" w:themeColor="text1"/>
          <w:sz w:val="24"/>
          <w:szCs w:val="24"/>
        </w:rPr>
        <w:t>1</w:t>
      </w:r>
      <w:r w:rsidRPr="00790070">
        <w:rPr>
          <w:b w:val="0"/>
          <w:bCs w:val="0"/>
          <w:i/>
          <w:noProof w:val="0"/>
          <w:color w:val="000000" w:themeColor="text1"/>
          <w:sz w:val="24"/>
          <w:szCs w:val="24"/>
        </w:rPr>
        <w:fldChar w:fldCharType="end"/>
      </w:r>
      <w:r w:rsidRPr="00790070">
        <w:rPr>
          <w:b w:val="0"/>
          <w:i/>
          <w:noProof w:val="0"/>
          <w:color w:val="000000" w:themeColor="text1"/>
          <w:sz w:val="24"/>
          <w:szCs w:val="24"/>
        </w:rPr>
        <w:t>.</w:t>
      </w:r>
      <w:r>
        <w:rPr>
          <w:b w:val="0"/>
          <w:i/>
          <w:noProof w:val="0"/>
          <w:color w:val="000000" w:themeColor="text1"/>
          <w:sz w:val="24"/>
          <w:szCs w:val="24"/>
        </w:rPr>
        <w:t xml:space="preserve"> </w:t>
      </w:r>
      <w:r w:rsidRPr="00790070">
        <w:rPr>
          <w:b w:val="0"/>
          <w:noProof w:val="0"/>
          <w:color w:val="000000" w:themeColor="text1"/>
          <w:sz w:val="24"/>
          <w:szCs w:val="24"/>
        </w:rPr>
        <w:t>Measurement model for motivators (</w:t>
      </w:r>
      <w:r w:rsidRPr="00FC6087">
        <w:rPr>
          <w:b w:val="0"/>
          <w:noProof w:val="0"/>
          <w:color w:val="000000" w:themeColor="text1"/>
          <w:sz w:val="24"/>
          <w:szCs w:val="24"/>
        </w:rPr>
        <w:t>f</w:t>
      </w:r>
      <w:r w:rsidRPr="00790070">
        <w:rPr>
          <w:b w:val="0"/>
          <w:noProof w:val="0"/>
          <w:color w:val="000000" w:themeColor="text1"/>
          <w:sz w:val="24"/>
          <w:szCs w:val="24"/>
        </w:rPr>
        <w:t>irst</w:t>
      </w:r>
      <w:r w:rsidRPr="00FC6087">
        <w:rPr>
          <w:b w:val="0"/>
          <w:noProof w:val="0"/>
          <w:color w:val="000000" w:themeColor="text1"/>
          <w:sz w:val="24"/>
          <w:szCs w:val="24"/>
        </w:rPr>
        <w:t>-</w:t>
      </w:r>
      <w:r w:rsidRPr="00790070">
        <w:rPr>
          <w:b w:val="0"/>
          <w:noProof w:val="0"/>
          <w:color w:val="000000" w:themeColor="text1"/>
          <w:sz w:val="24"/>
          <w:szCs w:val="24"/>
        </w:rPr>
        <w:t>order CFA model)</w:t>
      </w:r>
    </w:p>
    <w:p w14:paraId="252FEB01" w14:textId="77777777" w:rsidR="007A4BE0" w:rsidRPr="00FC6087" w:rsidRDefault="007A4BE0" w:rsidP="007A4BE0">
      <w:pPr>
        <w:pStyle w:val="APAParagraph"/>
        <w:keepNext/>
        <w:rPr>
          <w:color w:val="000000" w:themeColor="text1"/>
        </w:rPr>
      </w:pPr>
      <w:r w:rsidRPr="00C0447D">
        <w:rPr>
          <w:noProof/>
          <w:color w:val="000000" w:themeColor="text1"/>
        </w:rPr>
        <w:drawing>
          <wp:inline distT="0" distB="0" distL="0" distR="0" wp14:anchorId="44708520" wp14:editId="2BAFE768">
            <wp:extent cx="4857695" cy="471436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613" t="9303" r="14635" b="29389"/>
                    <a:stretch/>
                  </pic:blipFill>
                  <pic:spPr bwMode="auto">
                    <a:xfrm>
                      <a:off x="0" y="0"/>
                      <a:ext cx="4858984" cy="4715613"/>
                    </a:xfrm>
                    <a:prstGeom prst="rect">
                      <a:avLst/>
                    </a:prstGeom>
                    <a:ln>
                      <a:noFill/>
                    </a:ln>
                    <a:extLst>
                      <a:ext uri="{53640926-AAD7-44D8-BBD7-CCE9431645EC}">
                        <a14:shadowObscured xmlns:a14="http://schemas.microsoft.com/office/drawing/2010/main"/>
                      </a:ext>
                    </a:extLst>
                  </pic:spPr>
                </pic:pic>
              </a:graphicData>
            </a:graphic>
          </wp:inline>
        </w:drawing>
      </w:r>
    </w:p>
    <w:p w14:paraId="3A575BFB" w14:textId="77777777" w:rsidR="007A4BE0" w:rsidRPr="00FC6087" w:rsidRDefault="007A4BE0" w:rsidP="007A4BE0">
      <w:pPr>
        <w:rPr>
          <w:rFonts w:eastAsia="Times New Roman"/>
          <w:b/>
          <w:bCs/>
          <w:color w:val="000000" w:themeColor="text1"/>
          <w:sz w:val="20"/>
          <w:szCs w:val="20"/>
        </w:rPr>
      </w:pPr>
    </w:p>
    <w:p w14:paraId="7D516A71" w14:textId="7BE68697" w:rsidR="00FD4D49" w:rsidRDefault="00FD4D49" w:rsidP="00FD4D49">
      <w:pPr>
        <w:pStyle w:val="APAParagraph"/>
        <w:rPr>
          <w:color w:val="000000" w:themeColor="text1"/>
        </w:rPr>
      </w:pPr>
      <w:r w:rsidRPr="007750EA">
        <w:rPr>
          <w:color w:val="FF0000"/>
        </w:rPr>
        <w:t>The overall goodness of fit (GOF) of this model was evaluated using a chi-square test (</w:t>
      </w:r>
      <w:r w:rsidRPr="007750EA">
        <w:rPr>
          <w:i/>
          <w:color w:val="FF0000"/>
        </w:rPr>
        <w:t>χ</w:t>
      </w:r>
      <w:r w:rsidRPr="007750EA">
        <w:rPr>
          <w:color w:val="FF0000"/>
          <w:vertAlign w:val="superscript"/>
        </w:rPr>
        <w:t>2</w:t>
      </w:r>
      <w:r w:rsidRPr="007750EA">
        <w:rPr>
          <w:color w:val="FF0000"/>
        </w:rPr>
        <w:t>/df). Further, six additional GOF indices were calculated to further assess model fit</w:t>
      </w:r>
      <w:r w:rsidRPr="00FC6087">
        <w:rPr>
          <w:color w:val="000000" w:themeColor="text1"/>
        </w:rPr>
        <w:t>. These indices fall into one of two categories: absolute</w:t>
      </w:r>
      <w:r w:rsidR="00DF18EE" w:rsidRPr="00FC6087">
        <w:rPr>
          <w:color w:val="000000" w:themeColor="text1"/>
        </w:rPr>
        <w:t>;</w:t>
      </w:r>
      <w:r w:rsidRPr="00FC6087">
        <w:rPr>
          <w:color w:val="000000" w:themeColor="text1"/>
        </w:rPr>
        <w:t xml:space="preserve"> or incremental (Hu</w:t>
      </w:r>
      <w:r w:rsidR="005E7A62">
        <w:rPr>
          <w:color w:val="000000" w:themeColor="text1"/>
        </w:rPr>
        <w:t xml:space="preserve"> &amp; </w:t>
      </w:r>
      <w:r w:rsidRPr="00FC6087">
        <w:rPr>
          <w:color w:val="000000" w:themeColor="text1"/>
        </w:rPr>
        <w:t xml:space="preserve">Bentler, 1999). Absolute fit indices, including </w:t>
      </w:r>
      <w:r w:rsidR="00DF18EE" w:rsidRPr="00FC6087">
        <w:rPr>
          <w:color w:val="000000" w:themeColor="text1"/>
        </w:rPr>
        <w:t>root-mean-square residual (</w:t>
      </w:r>
      <w:r w:rsidRPr="00FC6087">
        <w:rPr>
          <w:color w:val="000000" w:themeColor="text1"/>
        </w:rPr>
        <w:t>RMSR</w:t>
      </w:r>
      <w:r w:rsidR="00DF18EE" w:rsidRPr="00FC6087">
        <w:rPr>
          <w:color w:val="000000" w:themeColor="text1"/>
        </w:rPr>
        <w:t>)</w:t>
      </w:r>
      <w:r w:rsidRPr="00FC6087">
        <w:rPr>
          <w:color w:val="000000" w:themeColor="text1"/>
        </w:rPr>
        <w:t xml:space="preserve">, </w:t>
      </w:r>
      <w:r w:rsidR="00055615" w:rsidRPr="00FC6087">
        <w:rPr>
          <w:color w:val="000000" w:themeColor="text1"/>
        </w:rPr>
        <w:t>goodness-of-fit index (</w:t>
      </w:r>
      <w:r w:rsidRPr="00FC6087">
        <w:rPr>
          <w:color w:val="000000" w:themeColor="text1"/>
        </w:rPr>
        <w:t>GFI</w:t>
      </w:r>
      <w:r w:rsidR="00055615" w:rsidRPr="00FC6087">
        <w:rPr>
          <w:color w:val="000000" w:themeColor="text1"/>
        </w:rPr>
        <w:t>)</w:t>
      </w:r>
      <w:r w:rsidRPr="00FC6087">
        <w:rPr>
          <w:color w:val="000000" w:themeColor="text1"/>
        </w:rPr>
        <w:t xml:space="preserve">, and </w:t>
      </w:r>
      <w:r w:rsidR="00055615" w:rsidRPr="00FC6087">
        <w:rPr>
          <w:color w:val="000000" w:themeColor="text1"/>
        </w:rPr>
        <w:t>root mean square error of approximation (</w:t>
      </w:r>
      <w:r w:rsidRPr="00FC6087">
        <w:rPr>
          <w:color w:val="000000" w:themeColor="text1"/>
        </w:rPr>
        <w:t>RMSEA</w:t>
      </w:r>
      <w:r w:rsidR="00055615" w:rsidRPr="00FC6087">
        <w:rPr>
          <w:color w:val="000000" w:themeColor="text1"/>
        </w:rPr>
        <w:t>)</w:t>
      </w:r>
      <w:r w:rsidRPr="00FC6087">
        <w:rPr>
          <w:color w:val="000000" w:themeColor="text1"/>
        </w:rPr>
        <w:t xml:space="preserve">, evaluate how well an a priori model replicates the </w:t>
      </w:r>
      <w:r w:rsidRPr="00FC6087">
        <w:rPr>
          <w:color w:val="000000" w:themeColor="text1"/>
        </w:rPr>
        <w:lastRenderedPageBreak/>
        <w:t>sample data (Hu</w:t>
      </w:r>
      <w:r w:rsidR="005E7A62">
        <w:rPr>
          <w:color w:val="000000" w:themeColor="text1"/>
        </w:rPr>
        <w:t xml:space="preserve"> &amp; </w:t>
      </w:r>
      <w:r w:rsidRPr="00FC6087">
        <w:rPr>
          <w:color w:val="000000" w:themeColor="text1"/>
        </w:rPr>
        <w:t xml:space="preserve">Bentler, 1999). </w:t>
      </w:r>
      <w:r w:rsidR="00BA10C7" w:rsidRPr="00FC6087">
        <w:rPr>
          <w:color w:val="000000" w:themeColor="text1"/>
        </w:rPr>
        <w:t>I</w:t>
      </w:r>
      <w:r w:rsidRPr="00FC6087">
        <w:rPr>
          <w:color w:val="000000" w:themeColor="text1"/>
        </w:rPr>
        <w:t xml:space="preserve">ncremental fit indices, including </w:t>
      </w:r>
      <w:r w:rsidR="00BA10C7" w:rsidRPr="00FC6087">
        <w:rPr>
          <w:color w:val="000000" w:themeColor="text1"/>
        </w:rPr>
        <w:t>c</w:t>
      </w:r>
      <w:r w:rsidR="00660059" w:rsidRPr="00FC6087">
        <w:rPr>
          <w:color w:val="000000" w:themeColor="text1"/>
        </w:rPr>
        <w:t xml:space="preserve">omparative </w:t>
      </w:r>
      <w:r w:rsidR="00BA10C7" w:rsidRPr="00FC6087">
        <w:rPr>
          <w:color w:val="000000" w:themeColor="text1"/>
        </w:rPr>
        <w:t>f</w:t>
      </w:r>
      <w:r w:rsidR="00660059" w:rsidRPr="00FC6087">
        <w:rPr>
          <w:color w:val="000000" w:themeColor="text1"/>
        </w:rPr>
        <w:t xml:space="preserve">it </w:t>
      </w:r>
      <w:r w:rsidR="00BA10C7" w:rsidRPr="00FC6087">
        <w:rPr>
          <w:color w:val="000000" w:themeColor="text1"/>
        </w:rPr>
        <w:t>i</w:t>
      </w:r>
      <w:r w:rsidR="00660059" w:rsidRPr="00FC6087">
        <w:rPr>
          <w:color w:val="000000" w:themeColor="text1"/>
        </w:rPr>
        <w:t>ndex (</w:t>
      </w:r>
      <w:r w:rsidRPr="00FC6087">
        <w:rPr>
          <w:color w:val="000000" w:themeColor="text1"/>
        </w:rPr>
        <w:t>CFI</w:t>
      </w:r>
      <w:r w:rsidR="00660059" w:rsidRPr="00FC6087">
        <w:rPr>
          <w:color w:val="000000" w:themeColor="text1"/>
        </w:rPr>
        <w:t>)</w:t>
      </w:r>
      <w:r w:rsidRPr="00FC6087">
        <w:rPr>
          <w:color w:val="000000" w:themeColor="text1"/>
        </w:rPr>
        <w:t xml:space="preserve">, </w:t>
      </w:r>
      <w:r w:rsidR="00BA10C7" w:rsidRPr="00FC6087">
        <w:rPr>
          <w:color w:val="000000" w:themeColor="text1"/>
        </w:rPr>
        <w:t>normed fit index (</w:t>
      </w:r>
      <w:r w:rsidRPr="00FC6087">
        <w:rPr>
          <w:color w:val="000000" w:themeColor="text1"/>
        </w:rPr>
        <w:t>NFI</w:t>
      </w:r>
      <w:r w:rsidR="00BA10C7" w:rsidRPr="00FC6087">
        <w:rPr>
          <w:color w:val="000000" w:themeColor="text1"/>
        </w:rPr>
        <w:t>)</w:t>
      </w:r>
      <w:r w:rsidRPr="00FC6087">
        <w:rPr>
          <w:color w:val="000000" w:themeColor="text1"/>
        </w:rPr>
        <w:t xml:space="preserve">, and </w:t>
      </w:r>
      <w:r w:rsidR="00813A0A" w:rsidRPr="00FC6087">
        <w:rPr>
          <w:color w:val="000000" w:themeColor="text1"/>
        </w:rPr>
        <w:t>Tucker–Lewis index (</w:t>
      </w:r>
      <w:r w:rsidRPr="00FC6087">
        <w:rPr>
          <w:color w:val="000000" w:themeColor="text1"/>
        </w:rPr>
        <w:t>TLI</w:t>
      </w:r>
      <w:r w:rsidR="00813A0A" w:rsidRPr="00FC6087">
        <w:rPr>
          <w:color w:val="000000" w:themeColor="text1"/>
        </w:rPr>
        <w:t>)</w:t>
      </w:r>
      <w:r w:rsidRPr="00FC6087">
        <w:rPr>
          <w:color w:val="000000" w:themeColor="text1"/>
        </w:rPr>
        <w:t>, compare a specific model to a baseline structural equation one to evaluate potential improvements in the model’s fit (Worthington</w:t>
      </w:r>
      <w:r w:rsidR="005E7A62">
        <w:rPr>
          <w:color w:val="000000" w:themeColor="text1"/>
        </w:rPr>
        <w:t xml:space="preserve"> &amp; </w:t>
      </w:r>
      <w:r w:rsidRPr="00FC6087">
        <w:rPr>
          <w:color w:val="000000" w:themeColor="text1"/>
        </w:rPr>
        <w:t>Whittaker, 2006). These computed GOF indices for the used data are displayed in Table 5.4, along with the reported recommended threshold values. From the obtained values, each of the seven indices indicates that the model achieved a good fit.</w:t>
      </w:r>
    </w:p>
    <w:p w14:paraId="06C6A9DC" w14:textId="77777777" w:rsidR="008A0A0F" w:rsidRPr="00FC6087" w:rsidRDefault="008A0A0F" w:rsidP="00FD4D49">
      <w:pPr>
        <w:pStyle w:val="APAParagraph"/>
        <w:rPr>
          <w:color w:val="000000" w:themeColor="text1"/>
        </w:rPr>
      </w:pPr>
    </w:p>
    <w:p w14:paraId="7D516A76" w14:textId="2ECB41C4" w:rsidR="00DE7347" w:rsidRPr="00790070" w:rsidRDefault="00DE7347" w:rsidP="000270F9">
      <w:pPr>
        <w:pStyle w:val="Caption"/>
        <w:jc w:val="left"/>
        <w:rPr>
          <w:b w:val="0"/>
          <w:i/>
          <w:noProof w:val="0"/>
          <w:color w:val="000000" w:themeColor="text1"/>
          <w:sz w:val="24"/>
          <w:szCs w:val="24"/>
        </w:rPr>
      </w:pPr>
      <w:bookmarkStart w:id="143" w:name="_Toc534121148"/>
      <w:r w:rsidRPr="00790070">
        <w:rPr>
          <w:b w:val="0"/>
          <w:noProof w:val="0"/>
          <w:color w:val="000000" w:themeColor="text1"/>
          <w:sz w:val="24"/>
          <w:szCs w:val="24"/>
        </w:rPr>
        <w:t>Table 5.</w:t>
      </w:r>
      <w:r w:rsidR="000270F9">
        <w:rPr>
          <w:b w:val="0"/>
          <w:noProof w:val="0"/>
          <w:color w:val="000000" w:themeColor="text1"/>
          <w:sz w:val="24"/>
          <w:szCs w:val="24"/>
        </w:rPr>
        <w:t>5</w:t>
      </w:r>
      <w:r w:rsidRPr="00790070">
        <w:rPr>
          <w:b w:val="0"/>
          <w:noProof w:val="0"/>
          <w:color w:val="000000" w:themeColor="text1"/>
          <w:sz w:val="24"/>
          <w:szCs w:val="24"/>
        </w:rPr>
        <w:br/>
      </w:r>
      <w:r w:rsidRPr="00790070">
        <w:rPr>
          <w:b w:val="0"/>
          <w:i/>
          <w:noProof w:val="0"/>
          <w:color w:val="000000" w:themeColor="text1"/>
          <w:sz w:val="24"/>
          <w:szCs w:val="24"/>
        </w:rPr>
        <w:t>Goodness</w:t>
      </w:r>
      <w:r w:rsidR="000B26E7">
        <w:rPr>
          <w:b w:val="0"/>
          <w:i/>
          <w:noProof w:val="0"/>
          <w:color w:val="000000" w:themeColor="text1"/>
          <w:sz w:val="24"/>
          <w:szCs w:val="24"/>
        </w:rPr>
        <w:t>-</w:t>
      </w:r>
      <w:r w:rsidRPr="00790070">
        <w:rPr>
          <w:b w:val="0"/>
          <w:i/>
          <w:noProof w:val="0"/>
          <w:color w:val="000000" w:themeColor="text1"/>
          <w:sz w:val="24"/>
          <w:szCs w:val="24"/>
        </w:rPr>
        <w:t>of</w:t>
      </w:r>
      <w:r w:rsidR="000B26E7">
        <w:rPr>
          <w:b w:val="0"/>
          <w:i/>
          <w:noProof w:val="0"/>
          <w:color w:val="000000" w:themeColor="text1"/>
          <w:sz w:val="24"/>
          <w:szCs w:val="24"/>
        </w:rPr>
        <w:t>-</w:t>
      </w:r>
      <w:r w:rsidRPr="00790070">
        <w:rPr>
          <w:b w:val="0"/>
          <w:i/>
          <w:noProof w:val="0"/>
          <w:color w:val="000000" w:themeColor="text1"/>
          <w:sz w:val="24"/>
          <w:szCs w:val="24"/>
        </w:rPr>
        <w:t>Fit Indices for the First-Order Model on Motivators</w:t>
      </w:r>
      <w:bookmarkEnd w:id="143"/>
    </w:p>
    <w:tbl>
      <w:tblPr>
        <w:tblW w:w="7851" w:type="dxa"/>
        <w:jc w:val="center"/>
        <w:tblBorders>
          <w:top w:val="single" w:sz="4" w:space="0" w:color="auto"/>
          <w:bottom w:val="single" w:sz="4" w:space="0" w:color="auto"/>
        </w:tblBorders>
        <w:tblLook w:val="04A0" w:firstRow="1" w:lastRow="0" w:firstColumn="1" w:lastColumn="0" w:noHBand="0" w:noVBand="1"/>
      </w:tblPr>
      <w:tblGrid>
        <w:gridCol w:w="1083"/>
        <w:gridCol w:w="1440"/>
        <w:gridCol w:w="5328"/>
      </w:tblGrid>
      <w:tr w:rsidR="007E0B98" w:rsidRPr="00FC6087" w14:paraId="7D516A7A" w14:textId="77777777" w:rsidTr="00551162">
        <w:trPr>
          <w:trHeight w:val="252"/>
          <w:jc w:val="center"/>
        </w:trPr>
        <w:tc>
          <w:tcPr>
            <w:tcW w:w="1083" w:type="dxa"/>
            <w:tcBorders>
              <w:top w:val="single" w:sz="18" w:space="0" w:color="auto"/>
              <w:bottom w:val="single" w:sz="12" w:space="0" w:color="auto"/>
            </w:tcBorders>
            <w:shd w:val="clear" w:color="auto" w:fill="auto"/>
            <w:vAlign w:val="center"/>
            <w:hideMark/>
          </w:tcPr>
          <w:p w14:paraId="7D516A77" w14:textId="77777777" w:rsidR="00FD4D49" w:rsidRPr="00790070" w:rsidRDefault="00FD4D49" w:rsidP="00551162">
            <w:pPr>
              <w:spacing w:line="360" w:lineRule="auto"/>
              <w:contextualSpacing/>
              <w:jc w:val="center"/>
              <w:rPr>
                <w:color w:val="000000" w:themeColor="text1"/>
              </w:rPr>
            </w:pPr>
            <w:r w:rsidRPr="00790070">
              <w:rPr>
                <w:color w:val="000000" w:themeColor="text1"/>
              </w:rPr>
              <w:t>Model</w:t>
            </w:r>
          </w:p>
        </w:tc>
        <w:tc>
          <w:tcPr>
            <w:tcW w:w="1440" w:type="dxa"/>
            <w:tcBorders>
              <w:top w:val="single" w:sz="18" w:space="0" w:color="auto"/>
              <w:bottom w:val="single" w:sz="12" w:space="0" w:color="auto"/>
            </w:tcBorders>
            <w:shd w:val="clear" w:color="auto" w:fill="auto"/>
            <w:vAlign w:val="center"/>
            <w:hideMark/>
          </w:tcPr>
          <w:p w14:paraId="7D516A78" w14:textId="77777777" w:rsidR="00FD4D49" w:rsidRPr="00790070" w:rsidRDefault="00FD4D49" w:rsidP="00551162">
            <w:pPr>
              <w:spacing w:line="360" w:lineRule="auto"/>
              <w:contextualSpacing/>
              <w:jc w:val="center"/>
              <w:rPr>
                <w:bCs/>
                <w:color w:val="000000" w:themeColor="text1"/>
              </w:rPr>
            </w:pPr>
            <w:r w:rsidRPr="00790070">
              <w:rPr>
                <w:bCs/>
                <w:color w:val="000000" w:themeColor="text1"/>
              </w:rPr>
              <w:t>Obtained Value</w:t>
            </w:r>
          </w:p>
        </w:tc>
        <w:tc>
          <w:tcPr>
            <w:tcW w:w="5328" w:type="dxa"/>
            <w:tcBorders>
              <w:top w:val="single" w:sz="18" w:space="0" w:color="auto"/>
              <w:bottom w:val="single" w:sz="12" w:space="0" w:color="auto"/>
            </w:tcBorders>
            <w:shd w:val="clear" w:color="auto" w:fill="auto"/>
            <w:vAlign w:val="center"/>
            <w:hideMark/>
          </w:tcPr>
          <w:p w14:paraId="7D516A79" w14:textId="46DBD0E7" w:rsidR="00FD4D49" w:rsidRPr="00790070" w:rsidRDefault="00FD4D49" w:rsidP="00551162">
            <w:pPr>
              <w:spacing w:line="360" w:lineRule="auto"/>
              <w:contextualSpacing/>
              <w:jc w:val="center"/>
              <w:rPr>
                <w:bCs/>
                <w:color w:val="000000" w:themeColor="text1"/>
              </w:rPr>
            </w:pPr>
            <w:r w:rsidRPr="00790070">
              <w:rPr>
                <w:bCs/>
                <w:color w:val="000000" w:themeColor="text1"/>
              </w:rPr>
              <w:t>Recommended</w:t>
            </w:r>
            <w:r w:rsidR="00551162">
              <w:rPr>
                <w:bCs/>
                <w:color w:val="000000" w:themeColor="text1"/>
              </w:rPr>
              <w:br/>
            </w:r>
            <w:r w:rsidRPr="00790070">
              <w:rPr>
                <w:bCs/>
                <w:color w:val="000000" w:themeColor="text1"/>
              </w:rPr>
              <w:t>Values</w:t>
            </w:r>
          </w:p>
        </w:tc>
      </w:tr>
      <w:tr w:rsidR="006B1994" w:rsidRPr="00FC6087" w14:paraId="7D516A7E" w14:textId="77777777" w:rsidTr="00551162">
        <w:trPr>
          <w:trHeight w:val="576"/>
          <w:jc w:val="center"/>
        </w:trPr>
        <w:tc>
          <w:tcPr>
            <w:tcW w:w="1083" w:type="dxa"/>
            <w:tcBorders>
              <w:top w:val="single" w:sz="12" w:space="0" w:color="auto"/>
            </w:tcBorders>
            <w:shd w:val="clear" w:color="auto" w:fill="auto"/>
            <w:vAlign w:val="bottom"/>
            <w:hideMark/>
          </w:tcPr>
          <w:p w14:paraId="7D516A7B" w14:textId="77777777" w:rsidR="00FD4D49" w:rsidRPr="00790070" w:rsidRDefault="00FD4D49" w:rsidP="00790070">
            <w:pPr>
              <w:spacing w:line="360" w:lineRule="auto"/>
              <w:contextualSpacing/>
              <w:jc w:val="both"/>
              <w:rPr>
                <w:bCs/>
                <w:color w:val="000000" w:themeColor="text1"/>
              </w:rPr>
            </w:pPr>
            <w:r w:rsidRPr="00FC6087">
              <w:rPr>
                <w:bCs/>
                <w:color w:val="000000" w:themeColor="text1"/>
              </w:rPr>
              <w:t>χ</w:t>
            </w:r>
            <w:r w:rsidRPr="00790070">
              <w:rPr>
                <w:bCs/>
                <w:color w:val="000000" w:themeColor="text1"/>
                <w:vertAlign w:val="superscript"/>
              </w:rPr>
              <w:t>2</w:t>
            </w:r>
            <w:r w:rsidRPr="00790070">
              <w:rPr>
                <w:bCs/>
                <w:color w:val="000000" w:themeColor="text1"/>
              </w:rPr>
              <w:t>/df</w:t>
            </w:r>
          </w:p>
        </w:tc>
        <w:tc>
          <w:tcPr>
            <w:tcW w:w="1440" w:type="dxa"/>
            <w:tcBorders>
              <w:top w:val="single" w:sz="12" w:space="0" w:color="auto"/>
            </w:tcBorders>
            <w:shd w:val="clear" w:color="auto" w:fill="auto"/>
            <w:vAlign w:val="bottom"/>
            <w:hideMark/>
          </w:tcPr>
          <w:p w14:paraId="7D516A7C" w14:textId="77777777" w:rsidR="00FD4D49" w:rsidRPr="00FC6087" w:rsidRDefault="00FD4D49" w:rsidP="00790070">
            <w:pPr>
              <w:spacing w:line="360" w:lineRule="auto"/>
              <w:contextualSpacing/>
              <w:jc w:val="center"/>
              <w:rPr>
                <w:bCs/>
                <w:color w:val="000000" w:themeColor="text1"/>
              </w:rPr>
            </w:pPr>
            <w:r w:rsidRPr="00FC6087">
              <w:rPr>
                <w:bCs/>
                <w:color w:val="000000" w:themeColor="text1"/>
              </w:rPr>
              <w:t>2.18</w:t>
            </w:r>
          </w:p>
        </w:tc>
        <w:tc>
          <w:tcPr>
            <w:tcW w:w="5328" w:type="dxa"/>
            <w:tcBorders>
              <w:top w:val="single" w:sz="12" w:space="0" w:color="auto"/>
            </w:tcBorders>
            <w:shd w:val="clear" w:color="auto" w:fill="auto"/>
            <w:vAlign w:val="bottom"/>
            <w:hideMark/>
          </w:tcPr>
          <w:p w14:paraId="7D516A7D" w14:textId="77777777" w:rsidR="00FD4D49" w:rsidRPr="00FC6087" w:rsidRDefault="00FD4D49" w:rsidP="00790070">
            <w:pPr>
              <w:spacing w:line="360" w:lineRule="auto"/>
              <w:contextualSpacing/>
              <w:jc w:val="both"/>
              <w:rPr>
                <w:color w:val="000000" w:themeColor="text1"/>
              </w:rPr>
            </w:pPr>
            <w:r w:rsidRPr="00FC6087">
              <w:rPr>
                <w:color w:val="000000" w:themeColor="text1"/>
              </w:rPr>
              <w:t>&lt; 3 (Kline, 2011)</w:t>
            </w:r>
          </w:p>
        </w:tc>
      </w:tr>
      <w:tr w:rsidR="007E0B98" w:rsidRPr="00FC6087" w14:paraId="7D516A82" w14:textId="77777777" w:rsidTr="00551162">
        <w:trPr>
          <w:trHeight w:val="576"/>
          <w:jc w:val="center"/>
        </w:trPr>
        <w:tc>
          <w:tcPr>
            <w:tcW w:w="1083" w:type="dxa"/>
            <w:shd w:val="clear" w:color="auto" w:fill="auto"/>
            <w:vAlign w:val="bottom"/>
            <w:hideMark/>
          </w:tcPr>
          <w:p w14:paraId="7D516A7F" w14:textId="77777777" w:rsidR="00FD4D49" w:rsidRPr="00790070" w:rsidRDefault="00FD4D49" w:rsidP="00790070">
            <w:pPr>
              <w:spacing w:line="360" w:lineRule="auto"/>
              <w:contextualSpacing/>
              <w:jc w:val="both"/>
              <w:rPr>
                <w:bCs/>
                <w:color w:val="000000" w:themeColor="text1"/>
              </w:rPr>
            </w:pPr>
            <w:r w:rsidRPr="00790070">
              <w:rPr>
                <w:bCs/>
                <w:color w:val="000000" w:themeColor="text1"/>
              </w:rPr>
              <w:t>GFI</w:t>
            </w:r>
          </w:p>
        </w:tc>
        <w:tc>
          <w:tcPr>
            <w:tcW w:w="1440" w:type="dxa"/>
            <w:shd w:val="clear" w:color="auto" w:fill="auto"/>
            <w:vAlign w:val="bottom"/>
            <w:hideMark/>
          </w:tcPr>
          <w:p w14:paraId="7D516A80" w14:textId="77777777" w:rsidR="00FD4D49" w:rsidRPr="00FC6087" w:rsidRDefault="00FD4D49" w:rsidP="00790070">
            <w:pPr>
              <w:spacing w:line="360" w:lineRule="auto"/>
              <w:contextualSpacing/>
              <w:jc w:val="center"/>
              <w:rPr>
                <w:bCs/>
                <w:color w:val="000000" w:themeColor="text1"/>
              </w:rPr>
            </w:pPr>
            <w:r w:rsidRPr="00FC6087">
              <w:rPr>
                <w:bCs/>
                <w:color w:val="000000" w:themeColor="text1"/>
              </w:rPr>
              <w:t>0.91</w:t>
            </w:r>
          </w:p>
        </w:tc>
        <w:tc>
          <w:tcPr>
            <w:tcW w:w="5328" w:type="dxa"/>
            <w:shd w:val="clear" w:color="auto" w:fill="auto"/>
            <w:vAlign w:val="bottom"/>
            <w:hideMark/>
          </w:tcPr>
          <w:p w14:paraId="7D516A81" w14:textId="77777777" w:rsidR="00FD4D49" w:rsidRPr="00FC6087" w:rsidRDefault="00DE7347" w:rsidP="00790070">
            <w:pPr>
              <w:spacing w:line="360" w:lineRule="auto"/>
              <w:contextualSpacing/>
              <w:jc w:val="both"/>
              <w:rPr>
                <w:color w:val="000000" w:themeColor="text1"/>
              </w:rPr>
            </w:pPr>
            <w:r w:rsidRPr="00FC6087">
              <w:rPr>
                <w:color w:val="000000" w:themeColor="text1"/>
              </w:rPr>
              <w:t>0</w:t>
            </w:r>
            <w:r w:rsidR="00FD4D49" w:rsidRPr="00FC6087">
              <w:rPr>
                <w:color w:val="000000" w:themeColor="text1"/>
              </w:rPr>
              <w:t>.90–1.0 (Hoyle, 2000; Kline, 2005)</w:t>
            </w:r>
          </w:p>
        </w:tc>
      </w:tr>
      <w:tr w:rsidR="006B1994" w:rsidRPr="00FC6087" w14:paraId="7D516A86" w14:textId="77777777" w:rsidTr="00551162">
        <w:trPr>
          <w:trHeight w:val="576"/>
          <w:jc w:val="center"/>
        </w:trPr>
        <w:tc>
          <w:tcPr>
            <w:tcW w:w="1083" w:type="dxa"/>
            <w:shd w:val="clear" w:color="auto" w:fill="auto"/>
            <w:vAlign w:val="bottom"/>
            <w:hideMark/>
          </w:tcPr>
          <w:p w14:paraId="7D516A83" w14:textId="77777777" w:rsidR="00FD4D49" w:rsidRPr="00790070" w:rsidRDefault="007E0B98" w:rsidP="00790070">
            <w:pPr>
              <w:spacing w:line="360" w:lineRule="auto"/>
              <w:contextualSpacing/>
              <w:jc w:val="both"/>
              <w:rPr>
                <w:bCs/>
                <w:color w:val="000000" w:themeColor="text1"/>
              </w:rPr>
            </w:pPr>
            <w:r w:rsidRPr="00FC6087">
              <w:rPr>
                <w:bCs/>
                <w:color w:val="000000" w:themeColor="text1"/>
              </w:rPr>
              <w:t>RMSR</w:t>
            </w:r>
          </w:p>
        </w:tc>
        <w:tc>
          <w:tcPr>
            <w:tcW w:w="1440" w:type="dxa"/>
            <w:shd w:val="clear" w:color="auto" w:fill="auto"/>
            <w:vAlign w:val="bottom"/>
            <w:hideMark/>
          </w:tcPr>
          <w:p w14:paraId="7D516A84" w14:textId="77777777" w:rsidR="00FD4D49" w:rsidRPr="00FC6087" w:rsidRDefault="00FD4D49" w:rsidP="00790070">
            <w:pPr>
              <w:spacing w:line="360" w:lineRule="auto"/>
              <w:contextualSpacing/>
              <w:jc w:val="center"/>
              <w:rPr>
                <w:bCs/>
                <w:color w:val="000000" w:themeColor="text1"/>
              </w:rPr>
            </w:pPr>
            <w:r w:rsidRPr="00FC6087">
              <w:rPr>
                <w:bCs/>
                <w:color w:val="000000" w:themeColor="text1"/>
              </w:rPr>
              <w:t>0.04</w:t>
            </w:r>
          </w:p>
        </w:tc>
        <w:tc>
          <w:tcPr>
            <w:tcW w:w="5328" w:type="dxa"/>
            <w:shd w:val="clear" w:color="auto" w:fill="auto"/>
            <w:vAlign w:val="bottom"/>
            <w:hideMark/>
          </w:tcPr>
          <w:p w14:paraId="7D516A85" w14:textId="12D4D4AC" w:rsidR="00FD4D49" w:rsidRPr="00FC6087" w:rsidRDefault="00FD4D49" w:rsidP="00790070">
            <w:pPr>
              <w:spacing w:line="360" w:lineRule="auto"/>
              <w:contextualSpacing/>
              <w:jc w:val="both"/>
              <w:rPr>
                <w:color w:val="000000" w:themeColor="text1"/>
              </w:rPr>
            </w:pPr>
            <w:r w:rsidRPr="00FC6087">
              <w:rPr>
                <w:color w:val="000000" w:themeColor="text1"/>
              </w:rPr>
              <w:t>&lt;</w:t>
            </w:r>
            <w:r w:rsidR="008042BA">
              <w:rPr>
                <w:color w:val="000000" w:themeColor="text1"/>
              </w:rPr>
              <w:t xml:space="preserve"> </w:t>
            </w:r>
            <w:r w:rsidR="00DE7347" w:rsidRPr="00FC6087">
              <w:rPr>
                <w:color w:val="000000" w:themeColor="text1"/>
              </w:rPr>
              <w:t>0</w:t>
            </w:r>
            <w:r w:rsidRPr="00FC6087">
              <w:rPr>
                <w:color w:val="000000" w:themeColor="text1"/>
              </w:rPr>
              <w:t>.1, ideally &lt;</w:t>
            </w:r>
            <w:r w:rsidR="008042BA">
              <w:rPr>
                <w:color w:val="000000" w:themeColor="text1"/>
              </w:rPr>
              <w:t xml:space="preserve"> </w:t>
            </w:r>
            <w:r w:rsidR="00DE7347" w:rsidRPr="00FC6087">
              <w:rPr>
                <w:color w:val="000000" w:themeColor="text1"/>
              </w:rPr>
              <w:t>0</w:t>
            </w:r>
            <w:r w:rsidRPr="00FC6087">
              <w:rPr>
                <w:color w:val="000000" w:themeColor="text1"/>
              </w:rPr>
              <w:t>.06 (Kline, 2011)</w:t>
            </w:r>
          </w:p>
        </w:tc>
      </w:tr>
      <w:tr w:rsidR="007E0B98" w:rsidRPr="00FC6087" w14:paraId="7D516A8A" w14:textId="77777777" w:rsidTr="00551162">
        <w:trPr>
          <w:trHeight w:val="576"/>
          <w:jc w:val="center"/>
        </w:trPr>
        <w:tc>
          <w:tcPr>
            <w:tcW w:w="1083" w:type="dxa"/>
            <w:shd w:val="clear" w:color="auto" w:fill="auto"/>
            <w:vAlign w:val="bottom"/>
            <w:hideMark/>
          </w:tcPr>
          <w:p w14:paraId="7D516A87" w14:textId="77777777" w:rsidR="00FD4D49" w:rsidRPr="00790070" w:rsidRDefault="00FD4D49" w:rsidP="00790070">
            <w:pPr>
              <w:spacing w:line="360" w:lineRule="auto"/>
              <w:contextualSpacing/>
              <w:jc w:val="both"/>
              <w:rPr>
                <w:bCs/>
                <w:color w:val="000000" w:themeColor="text1"/>
              </w:rPr>
            </w:pPr>
            <w:r w:rsidRPr="00790070">
              <w:rPr>
                <w:bCs/>
                <w:color w:val="000000" w:themeColor="text1"/>
              </w:rPr>
              <w:t>RMSEA</w:t>
            </w:r>
          </w:p>
        </w:tc>
        <w:tc>
          <w:tcPr>
            <w:tcW w:w="1440" w:type="dxa"/>
            <w:shd w:val="clear" w:color="auto" w:fill="auto"/>
            <w:vAlign w:val="bottom"/>
            <w:hideMark/>
          </w:tcPr>
          <w:p w14:paraId="7D516A88" w14:textId="77777777" w:rsidR="00FD4D49" w:rsidRPr="00FC6087" w:rsidRDefault="00FD4D49" w:rsidP="00790070">
            <w:pPr>
              <w:spacing w:line="360" w:lineRule="auto"/>
              <w:contextualSpacing/>
              <w:jc w:val="center"/>
              <w:rPr>
                <w:bCs/>
                <w:color w:val="000000" w:themeColor="text1"/>
              </w:rPr>
            </w:pPr>
            <w:r w:rsidRPr="00FC6087">
              <w:rPr>
                <w:bCs/>
                <w:color w:val="000000" w:themeColor="text1"/>
              </w:rPr>
              <w:t>0.06</w:t>
            </w:r>
          </w:p>
        </w:tc>
        <w:tc>
          <w:tcPr>
            <w:tcW w:w="5328" w:type="dxa"/>
            <w:shd w:val="clear" w:color="auto" w:fill="auto"/>
            <w:vAlign w:val="bottom"/>
            <w:hideMark/>
          </w:tcPr>
          <w:p w14:paraId="7D516A89" w14:textId="3B631C5A" w:rsidR="00FD4D49" w:rsidRPr="00FC6087" w:rsidRDefault="00FD4D49" w:rsidP="00790070">
            <w:pPr>
              <w:spacing w:line="360" w:lineRule="auto"/>
              <w:contextualSpacing/>
              <w:jc w:val="both"/>
              <w:rPr>
                <w:color w:val="000000" w:themeColor="text1"/>
              </w:rPr>
            </w:pPr>
            <w:r w:rsidRPr="00FC6087">
              <w:rPr>
                <w:color w:val="000000" w:themeColor="text1"/>
              </w:rPr>
              <w:t>&lt;</w:t>
            </w:r>
            <w:r w:rsidR="008042BA">
              <w:rPr>
                <w:color w:val="000000" w:themeColor="text1"/>
              </w:rPr>
              <w:t xml:space="preserve"> </w:t>
            </w:r>
            <w:r w:rsidR="00DE7347" w:rsidRPr="00FC6087">
              <w:rPr>
                <w:color w:val="000000" w:themeColor="text1"/>
              </w:rPr>
              <w:t>0</w:t>
            </w:r>
            <w:r w:rsidRPr="00FC6087">
              <w:rPr>
                <w:color w:val="000000" w:themeColor="text1"/>
              </w:rPr>
              <w:t>.08 (Hu</w:t>
            </w:r>
            <w:r w:rsidR="005E7A62">
              <w:rPr>
                <w:color w:val="000000" w:themeColor="text1"/>
              </w:rPr>
              <w:t xml:space="preserve"> &amp; </w:t>
            </w:r>
            <w:r w:rsidRPr="00FC6087">
              <w:rPr>
                <w:color w:val="000000" w:themeColor="text1"/>
              </w:rPr>
              <w:t>Bentler, 1999)</w:t>
            </w:r>
          </w:p>
        </w:tc>
      </w:tr>
      <w:tr w:rsidR="006B1994" w:rsidRPr="00FC6087" w14:paraId="7D516A8E" w14:textId="77777777" w:rsidTr="00551162">
        <w:trPr>
          <w:trHeight w:val="576"/>
          <w:jc w:val="center"/>
        </w:trPr>
        <w:tc>
          <w:tcPr>
            <w:tcW w:w="1083" w:type="dxa"/>
            <w:shd w:val="clear" w:color="auto" w:fill="auto"/>
            <w:vAlign w:val="bottom"/>
            <w:hideMark/>
          </w:tcPr>
          <w:p w14:paraId="7D516A8B" w14:textId="77777777" w:rsidR="00FD4D49" w:rsidRPr="00790070" w:rsidRDefault="00FD4D49" w:rsidP="00790070">
            <w:pPr>
              <w:spacing w:line="360" w:lineRule="auto"/>
              <w:contextualSpacing/>
              <w:jc w:val="both"/>
              <w:rPr>
                <w:bCs/>
                <w:color w:val="000000" w:themeColor="text1"/>
              </w:rPr>
            </w:pPr>
            <w:r w:rsidRPr="00790070">
              <w:rPr>
                <w:bCs/>
                <w:color w:val="000000" w:themeColor="text1"/>
              </w:rPr>
              <w:t>NFI</w:t>
            </w:r>
          </w:p>
        </w:tc>
        <w:tc>
          <w:tcPr>
            <w:tcW w:w="1440" w:type="dxa"/>
            <w:shd w:val="clear" w:color="auto" w:fill="auto"/>
            <w:vAlign w:val="bottom"/>
            <w:hideMark/>
          </w:tcPr>
          <w:p w14:paraId="7D516A8C" w14:textId="77777777" w:rsidR="00FD4D49" w:rsidRPr="00FC6087" w:rsidRDefault="00FD4D49" w:rsidP="00790070">
            <w:pPr>
              <w:spacing w:line="360" w:lineRule="auto"/>
              <w:contextualSpacing/>
              <w:jc w:val="center"/>
              <w:rPr>
                <w:bCs/>
                <w:color w:val="000000" w:themeColor="text1"/>
              </w:rPr>
            </w:pPr>
            <w:r w:rsidRPr="00FC6087">
              <w:rPr>
                <w:bCs/>
                <w:color w:val="000000" w:themeColor="text1"/>
              </w:rPr>
              <w:t>0.92</w:t>
            </w:r>
          </w:p>
        </w:tc>
        <w:tc>
          <w:tcPr>
            <w:tcW w:w="5328" w:type="dxa"/>
            <w:shd w:val="clear" w:color="auto" w:fill="auto"/>
            <w:vAlign w:val="bottom"/>
            <w:hideMark/>
          </w:tcPr>
          <w:p w14:paraId="7D516A8D" w14:textId="77777777" w:rsidR="00FD4D49" w:rsidRPr="00FC6087" w:rsidRDefault="00DE7347" w:rsidP="00790070">
            <w:pPr>
              <w:spacing w:line="360" w:lineRule="auto"/>
              <w:contextualSpacing/>
              <w:jc w:val="both"/>
              <w:rPr>
                <w:color w:val="000000" w:themeColor="text1"/>
              </w:rPr>
            </w:pPr>
            <w:r w:rsidRPr="00FC6087">
              <w:rPr>
                <w:color w:val="000000" w:themeColor="text1"/>
              </w:rPr>
              <w:t>0</w:t>
            </w:r>
            <w:r w:rsidR="00FD4D49" w:rsidRPr="00FC6087">
              <w:rPr>
                <w:color w:val="000000" w:themeColor="text1"/>
              </w:rPr>
              <w:t>.95–1.0 (Miles, 2007; Thompson, 2004)</w:t>
            </w:r>
          </w:p>
        </w:tc>
      </w:tr>
      <w:tr w:rsidR="007E0B98" w:rsidRPr="00FC6087" w14:paraId="7D516A92" w14:textId="77777777" w:rsidTr="00551162">
        <w:trPr>
          <w:trHeight w:val="576"/>
          <w:jc w:val="center"/>
        </w:trPr>
        <w:tc>
          <w:tcPr>
            <w:tcW w:w="1083" w:type="dxa"/>
            <w:tcBorders>
              <w:bottom w:val="nil"/>
            </w:tcBorders>
            <w:shd w:val="clear" w:color="auto" w:fill="auto"/>
            <w:vAlign w:val="bottom"/>
            <w:hideMark/>
          </w:tcPr>
          <w:p w14:paraId="7D516A8F" w14:textId="77777777" w:rsidR="00FD4D49" w:rsidRPr="00790070" w:rsidRDefault="00FD4D49" w:rsidP="00790070">
            <w:pPr>
              <w:spacing w:line="360" w:lineRule="auto"/>
              <w:contextualSpacing/>
              <w:jc w:val="both"/>
              <w:rPr>
                <w:bCs/>
                <w:color w:val="000000" w:themeColor="text1"/>
              </w:rPr>
            </w:pPr>
            <w:r w:rsidRPr="00790070">
              <w:rPr>
                <w:bCs/>
                <w:color w:val="000000" w:themeColor="text1"/>
              </w:rPr>
              <w:t>TLI</w:t>
            </w:r>
          </w:p>
        </w:tc>
        <w:tc>
          <w:tcPr>
            <w:tcW w:w="1440" w:type="dxa"/>
            <w:tcBorders>
              <w:bottom w:val="nil"/>
            </w:tcBorders>
            <w:shd w:val="clear" w:color="auto" w:fill="auto"/>
            <w:vAlign w:val="bottom"/>
            <w:hideMark/>
          </w:tcPr>
          <w:p w14:paraId="7D516A90" w14:textId="77777777" w:rsidR="00FD4D49" w:rsidRPr="00FC6087" w:rsidRDefault="00FD4D49" w:rsidP="00790070">
            <w:pPr>
              <w:spacing w:line="360" w:lineRule="auto"/>
              <w:contextualSpacing/>
              <w:jc w:val="center"/>
              <w:rPr>
                <w:bCs/>
                <w:color w:val="000000" w:themeColor="text1"/>
              </w:rPr>
            </w:pPr>
            <w:r w:rsidRPr="00FC6087">
              <w:rPr>
                <w:bCs/>
                <w:color w:val="000000" w:themeColor="text1"/>
              </w:rPr>
              <w:t>0.95</w:t>
            </w:r>
          </w:p>
        </w:tc>
        <w:tc>
          <w:tcPr>
            <w:tcW w:w="5328" w:type="dxa"/>
            <w:tcBorders>
              <w:bottom w:val="nil"/>
            </w:tcBorders>
            <w:shd w:val="clear" w:color="auto" w:fill="auto"/>
            <w:vAlign w:val="bottom"/>
            <w:hideMark/>
          </w:tcPr>
          <w:p w14:paraId="7D516A91" w14:textId="77777777" w:rsidR="00FD4D49" w:rsidRPr="00FC6087" w:rsidRDefault="00DE7347" w:rsidP="00790070">
            <w:pPr>
              <w:spacing w:line="360" w:lineRule="auto"/>
              <w:contextualSpacing/>
              <w:jc w:val="both"/>
              <w:rPr>
                <w:color w:val="000000" w:themeColor="text1"/>
              </w:rPr>
            </w:pPr>
            <w:r w:rsidRPr="00FC6087">
              <w:rPr>
                <w:color w:val="000000" w:themeColor="text1"/>
              </w:rPr>
              <w:t>0</w:t>
            </w:r>
            <w:r w:rsidR="00FD4D49" w:rsidRPr="00FC6087">
              <w:rPr>
                <w:color w:val="000000" w:themeColor="text1"/>
              </w:rPr>
              <w:t>.95–1.0 (Miles, 2007; Thompson, 2004)</w:t>
            </w:r>
          </w:p>
        </w:tc>
      </w:tr>
      <w:tr w:rsidR="006B1994" w:rsidRPr="00FC6087" w14:paraId="7D516A96" w14:textId="77777777" w:rsidTr="00551162">
        <w:trPr>
          <w:trHeight w:val="576"/>
          <w:jc w:val="center"/>
        </w:trPr>
        <w:tc>
          <w:tcPr>
            <w:tcW w:w="1083" w:type="dxa"/>
            <w:tcBorders>
              <w:top w:val="nil"/>
              <w:bottom w:val="single" w:sz="18" w:space="0" w:color="auto"/>
            </w:tcBorders>
            <w:shd w:val="clear" w:color="auto" w:fill="auto"/>
            <w:vAlign w:val="bottom"/>
            <w:hideMark/>
          </w:tcPr>
          <w:p w14:paraId="7D516A93" w14:textId="77777777" w:rsidR="00FD4D49" w:rsidRPr="00790070" w:rsidRDefault="00FD4D49" w:rsidP="00790070">
            <w:pPr>
              <w:spacing w:line="360" w:lineRule="auto"/>
              <w:contextualSpacing/>
              <w:jc w:val="both"/>
              <w:rPr>
                <w:bCs/>
                <w:color w:val="000000" w:themeColor="text1"/>
              </w:rPr>
            </w:pPr>
            <w:r w:rsidRPr="00790070">
              <w:rPr>
                <w:bCs/>
                <w:color w:val="000000" w:themeColor="text1"/>
              </w:rPr>
              <w:t>CFI</w:t>
            </w:r>
          </w:p>
        </w:tc>
        <w:tc>
          <w:tcPr>
            <w:tcW w:w="1440" w:type="dxa"/>
            <w:tcBorders>
              <w:top w:val="nil"/>
              <w:bottom w:val="single" w:sz="18" w:space="0" w:color="auto"/>
            </w:tcBorders>
            <w:shd w:val="clear" w:color="auto" w:fill="auto"/>
            <w:vAlign w:val="bottom"/>
            <w:hideMark/>
          </w:tcPr>
          <w:p w14:paraId="7D516A94" w14:textId="77777777" w:rsidR="00FD4D49" w:rsidRPr="00FC6087" w:rsidRDefault="00FD4D49" w:rsidP="00790070">
            <w:pPr>
              <w:spacing w:line="360" w:lineRule="auto"/>
              <w:contextualSpacing/>
              <w:jc w:val="center"/>
              <w:rPr>
                <w:bCs/>
                <w:color w:val="000000" w:themeColor="text1"/>
              </w:rPr>
            </w:pPr>
            <w:r w:rsidRPr="00FC6087">
              <w:rPr>
                <w:bCs/>
                <w:color w:val="000000" w:themeColor="text1"/>
              </w:rPr>
              <w:t>0.96</w:t>
            </w:r>
          </w:p>
        </w:tc>
        <w:tc>
          <w:tcPr>
            <w:tcW w:w="5328" w:type="dxa"/>
            <w:tcBorders>
              <w:top w:val="nil"/>
              <w:bottom w:val="single" w:sz="18" w:space="0" w:color="auto"/>
            </w:tcBorders>
            <w:shd w:val="clear" w:color="auto" w:fill="auto"/>
            <w:vAlign w:val="bottom"/>
            <w:hideMark/>
          </w:tcPr>
          <w:p w14:paraId="7D516A95" w14:textId="09EF854F" w:rsidR="00FD4D49" w:rsidRPr="00FC6087" w:rsidRDefault="00FD4D49" w:rsidP="00790070">
            <w:pPr>
              <w:keepNext/>
              <w:spacing w:line="360" w:lineRule="auto"/>
              <w:contextualSpacing/>
              <w:jc w:val="both"/>
              <w:rPr>
                <w:color w:val="000000" w:themeColor="text1"/>
              </w:rPr>
            </w:pPr>
            <w:r w:rsidRPr="00FC6087">
              <w:rPr>
                <w:color w:val="000000" w:themeColor="text1"/>
              </w:rPr>
              <w:t>&gt;</w:t>
            </w:r>
            <w:r w:rsidR="008042BA">
              <w:rPr>
                <w:color w:val="000000" w:themeColor="text1"/>
              </w:rPr>
              <w:t xml:space="preserve"> </w:t>
            </w:r>
            <w:r w:rsidR="00DE7347" w:rsidRPr="00FC6087">
              <w:rPr>
                <w:color w:val="000000" w:themeColor="text1"/>
              </w:rPr>
              <w:t>0</w:t>
            </w:r>
            <w:r w:rsidRPr="00FC6087">
              <w:rPr>
                <w:color w:val="000000" w:themeColor="text1"/>
              </w:rPr>
              <w:t>.90 (Kline, 2011)</w:t>
            </w:r>
          </w:p>
        </w:tc>
      </w:tr>
    </w:tbl>
    <w:p w14:paraId="7D516A97" w14:textId="6A8DB378" w:rsidR="00FD4D49" w:rsidRDefault="00FD4D49" w:rsidP="00C0447D">
      <w:pPr>
        <w:pStyle w:val="APAParagraph"/>
        <w:spacing w:line="240" w:lineRule="auto"/>
        <w:ind w:firstLine="0"/>
        <w:rPr>
          <w:color w:val="000000" w:themeColor="text1"/>
        </w:rPr>
      </w:pPr>
      <w:r w:rsidRPr="00790070">
        <w:rPr>
          <w:bCs/>
          <w:i/>
          <w:color w:val="000000" w:themeColor="text1"/>
        </w:rPr>
        <w:t>Note</w:t>
      </w:r>
      <w:r w:rsidR="00DE7347" w:rsidRPr="00790070">
        <w:rPr>
          <w:bCs/>
          <w:i/>
          <w:color w:val="000000" w:themeColor="text1"/>
        </w:rPr>
        <w:t>.</w:t>
      </w:r>
      <w:r w:rsidR="00FA59B2">
        <w:rPr>
          <w:bCs/>
          <w:i/>
          <w:color w:val="000000" w:themeColor="text1"/>
        </w:rPr>
        <w:t xml:space="preserve"> </w:t>
      </w:r>
      <w:r w:rsidR="008A0A0F" w:rsidRPr="00FC6087">
        <w:rPr>
          <w:bCs/>
          <w:color w:val="000000" w:themeColor="text1"/>
        </w:rPr>
        <w:t>χ</w:t>
      </w:r>
      <w:r w:rsidRPr="00FC6087">
        <w:rPr>
          <w:color w:val="000000" w:themeColor="text1"/>
          <w:vertAlign w:val="superscript"/>
        </w:rPr>
        <w:t>2</w:t>
      </w:r>
      <w:r w:rsidRPr="00FC6087">
        <w:rPr>
          <w:color w:val="000000" w:themeColor="text1"/>
        </w:rPr>
        <w:t>/df = normed chi-square statistic</w:t>
      </w:r>
      <w:r w:rsidR="00DE7347" w:rsidRPr="00FC6087">
        <w:rPr>
          <w:color w:val="000000" w:themeColor="text1"/>
        </w:rPr>
        <w:t>;</w:t>
      </w:r>
      <w:r w:rsidRPr="00FC6087">
        <w:rPr>
          <w:color w:val="000000" w:themeColor="text1"/>
        </w:rPr>
        <w:t xml:space="preserve"> GFI = goodness</w:t>
      </w:r>
      <w:r w:rsidR="00DE7347" w:rsidRPr="00FC6087">
        <w:rPr>
          <w:color w:val="000000" w:themeColor="text1"/>
        </w:rPr>
        <w:t>-</w:t>
      </w:r>
      <w:r w:rsidRPr="00FC6087">
        <w:rPr>
          <w:color w:val="000000" w:themeColor="text1"/>
        </w:rPr>
        <w:t>of</w:t>
      </w:r>
      <w:r w:rsidR="00DE7347" w:rsidRPr="00FC6087">
        <w:rPr>
          <w:color w:val="000000" w:themeColor="text1"/>
        </w:rPr>
        <w:t>-</w:t>
      </w:r>
      <w:r w:rsidRPr="00FC6087">
        <w:rPr>
          <w:color w:val="000000" w:themeColor="text1"/>
        </w:rPr>
        <w:t>fit index</w:t>
      </w:r>
      <w:r w:rsidR="00DE7347" w:rsidRPr="00FC6087">
        <w:rPr>
          <w:color w:val="000000" w:themeColor="text1"/>
        </w:rPr>
        <w:t>;</w:t>
      </w:r>
      <w:r w:rsidRPr="00FC6087">
        <w:rPr>
          <w:color w:val="000000" w:themeColor="text1"/>
        </w:rPr>
        <w:t xml:space="preserve"> RM</w:t>
      </w:r>
      <w:r w:rsidR="007E0B98" w:rsidRPr="00FC6087">
        <w:rPr>
          <w:color w:val="000000" w:themeColor="text1"/>
        </w:rPr>
        <w:t>S</w:t>
      </w:r>
      <w:r w:rsidRPr="00FC6087">
        <w:rPr>
          <w:color w:val="000000" w:themeColor="text1"/>
        </w:rPr>
        <w:t>R</w:t>
      </w:r>
      <w:r w:rsidR="00206B8A">
        <w:rPr>
          <w:color w:val="000000" w:themeColor="text1"/>
        </w:rPr>
        <w:t xml:space="preserve"> </w:t>
      </w:r>
      <w:r w:rsidRPr="00FC6087">
        <w:rPr>
          <w:color w:val="000000" w:themeColor="text1"/>
        </w:rPr>
        <w:t>= root</w:t>
      </w:r>
      <w:r w:rsidR="005D0C41" w:rsidRPr="00FC6087">
        <w:rPr>
          <w:color w:val="000000" w:themeColor="text1"/>
        </w:rPr>
        <w:t>-</w:t>
      </w:r>
      <w:r w:rsidRPr="00FC6087">
        <w:rPr>
          <w:color w:val="000000" w:themeColor="text1"/>
        </w:rPr>
        <w:t>mean</w:t>
      </w:r>
      <w:r w:rsidR="005D0C41" w:rsidRPr="00FC6087">
        <w:rPr>
          <w:color w:val="000000" w:themeColor="text1"/>
        </w:rPr>
        <w:t>-</w:t>
      </w:r>
      <w:r w:rsidRPr="00FC6087">
        <w:rPr>
          <w:color w:val="000000" w:themeColor="text1"/>
        </w:rPr>
        <w:t>square residual</w:t>
      </w:r>
      <w:r w:rsidR="005D0C41" w:rsidRPr="00FC6087">
        <w:rPr>
          <w:color w:val="000000" w:themeColor="text1"/>
        </w:rPr>
        <w:t>;</w:t>
      </w:r>
      <w:r w:rsidRPr="00FC6087">
        <w:rPr>
          <w:color w:val="000000" w:themeColor="text1"/>
        </w:rPr>
        <w:t xml:space="preserve"> RMSEA = root mean square error of approximation</w:t>
      </w:r>
      <w:r w:rsidR="005D0C41" w:rsidRPr="00FC6087">
        <w:rPr>
          <w:color w:val="000000" w:themeColor="text1"/>
        </w:rPr>
        <w:t>;</w:t>
      </w:r>
      <w:r w:rsidRPr="00FC6087">
        <w:rPr>
          <w:color w:val="000000" w:themeColor="text1"/>
        </w:rPr>
        <w:t xml:space="preserve"> NFI = normed fit index</w:t>
      </w:r>
      <w:r w:rsidR="005D0C41" w:rsidRPr="00FC6087">
        <w:rPr>
          <w:color w:val="000000" w:themeColor="text1"/>
        </w:rPr>
        <w:t>;</w:t>
      </w:r>
      <w:r w:rsidRPr="00FC6087">
        <w:rPr>
          <w:color w:val="000000" w:themeColor="text1"/>
        </w:rPr>
        <w:t xml:space="preserve"> TLI</w:t>
      </w:r>
      <w:r w:rsidR="00206B8A">
        <w:rPr>
          <w:color w:val="000000" w:themeColor="text1"/>
        </w:rPr>
        <w:t xml:space="preserve"> </w:t>
      </w:r>
      <w:r w:rsidRPr="00FC6087">
        <w:rPr>
          <w:color w:val="000000" w:themeColor="text1"/>
        </w:rPr>
        <w:t>= Tucker</w:t>
      </w:r>
      <w:r w:rsidR="005D0C41" w:rsidRPr="00FC6087">
        <w:rPr>
          <w:color w:val="000000" w:themeColor="text1"/>
        </w:rPr>
        <w:t>–</w:t>
      </w:r>
      <w:r w:rsidRPr="00FC6087">
        <w:rPr>
          <w:color w:val="000000" w:themeColor="text1"/>
        </w:rPr>
        <w:t>Lewis index, CFI = comparative fit index</w:t>
      </w:r>
      <w:r w:rsidR="005D0C41" w:rsidRPr="00FC6087">
        <w:rPr>
          <w:color w:val="000000" w:themeColor="text1"/>
        </w:rPr>
        <w:t>.</w:t>
      </w:r>
    </w:p>
    <w:p w14:paraId="6498C12B" w14:textId="77777777" w:rsidR="00FA59B2" w:rsidRPr="00FC6087" w:rsidRDefault="00FA59B2" w:rsidP="00FD4D49">
      <w:pPr>
        <w:pStyle w:val="APAParagraph"/>
        <w:ind w:firstLine="0"/>
        <w:rPr>
          <w:color w:val="000000" w:themeColor="text1"/>
        </w:rPr>
      </w:pPr>
    </w:p>
    <w:p w14:paraId="7D516A98" w14:textId="3461837E" w:rsidR="00FD4D49" w:rsidRPr="00FC6087" w:rsidRDefault="00FD4D49" w:rsidP="00FD4D49">
      <w:pPr>
        <w:pStyle w:val="APAParagraph"/>
        <w:rPr>
          <w:color w:val="000000" w:themeColor="text1"/>
        </w:rPr>
      </w:pPr>
      <w:r w:rsidRPr="00FC6087">
        <w:rPr>
          <w:color w:val="000000" w:themeColor="text1"/>
        </w:rPr>
        <w:lastRenderedPageBreak/>
        <w:t xml:space="preserve">Next, to assess the construct validity of the factors in the measurement model, convergent and discriminant validities were evaluated. The convergent validity among items in the model was evaluated by analyzing their factor loadings and calculating the average variance extracted (AVE) and composite reliability (CR). The recommended value factor loading for AVE is </w:t>
      </w:r>
      <w:r w:rsidR="00B45E5A" w:rsidRPr="00FC6087">
        <w:rPr>
          <w:color w:val="000000" w:themeColor="text1"/>
        </w:rPr>
        <w:t>0</w:t>
      </w:r>
      <w:r w:rsidRPr="00FC6087">
        <w:rPr>
          <w:color w:val="000000" w:themeColor="text1"/>
        </w:rPr>
        <w:t xml:space="preserve">.5 or higher, and for the CR </w:t>
      </w:r>
      <w:r w:rsidR="00B45E5A" w:rsidRPr="00FC6087">
        <w:rPr>
          <w:color w:val="000000" w:themeColor="text1"/>
        </w:rPr>
        <w:t>0</w:t>
      </w:r>
      <w:r w:rsidRPr="00FC6087">
        <w:rPr>
          <w:color w:val="000000" w:themeColor="text1"/>
        </w:rPr>
        <w:t>.7 or higher (Hair</w:t>
      </w:r>
      <w:r w:rsidR="00942E2C" w:rsidRPr="00FC6087">
        <w:rPr>
          <w:color w:val="000000" w:themeColor="text1"/>
        </w:rPr>
        <w:t>, Black, Babin,</w:t>
      </w:r>
      <w:r w:rsidR="005E7A62">
        <w:rPr>
          <w:color w:val="000000" w:themeColor="text1"/>
        </w:rPr>
        <w:t xml:space="preserve"> &amp; </w:t>
      </w:r>
      <w:r w:rsidR="00942E2C" w:rsidRPr="00FC6087">
        <w:rPr>
          <w:color w:val="000000" w:themeColor="text1"/>
        </w:rPr>
        <w:t>Anderson</w:t>
      </w:r>
      <w:r w:rsidRPr="00FC6087">
        <w:rPr>
          <w:color w:val="000000" w:themeColor="text1"/>
        </w:rPr>
        <w:t>, 2010; MacKenzie</w:t>
      </w:r>
      <w:r w:rsidR="008925F4" w:rsidRPr="00FC6087">
        <w:rPr>
          <w:color w:val="000000" w:themeColor="text1"/>
        </w:rPr>
        <w:t>, Podsakoff,</w:t>
      </w:r>
      <w:r w:rsidR="005E7A62">
        <w:rPr>
          <w:color w:val="000000" w:themeColor="text1"/>
        </w:rPr>
        <w:t xml:space="preserve"> &amp; </w:t>
      </w:r>
      <w:r w:rsidR="008925F4" w:rsidRPr="00FC6087">
        <w:rPr>
          <w:color w:val="000000" w:themeColor="text1"/>
        </w:rPr>
        <w:t>Podsakoff</w:t>
      </w:r>
      <w:r w:rsidRPr="00FC6087">
        <w:rPr>
          <w:color w:val="000000" w:themeColor="text1"/>
        </w:rPr>
        <w:t>, 2011). The discriminant validity of the constructs was evaluated using the maximum shared variance (MSV). Good discriminant validity is indicated by an MSV less than the AVE and by inter-item correlations that are greater than the square root of the AVE (Hair et al., 2010). From the obtained values in Table 5.5, the model shows convergent and discriminant validity.</w:t>
      </w:r>
    </w:p>
    <w:p w14:paraId="7D516A99" w14:textId="0E4D3977" w:rsidR="00FD4D49" w:rsidRPr="00FC6087" w:rsidRDefault="00FD4D49" w:rsidP="00FD4D49">
      <w:pPr>
        <w:pStyle w:val="APAParagraph"/>
        <w:rPr>
          <w:color w:val="000000" w:themeColor="text1"/>
        </w:rPr>
      </w:pPr>
      <w:r w:rsidRPr="00FC6087">
        <w:rPr>
          <w:color w:val="000000" w:themeColor="text1"/>
        </w:rPr>
        <w:t>Finally, considering that all the data came from a single instrument, the zero-constrained method was used to test for common method bias</w:t>
      </w:r>
      <w:r w:rsidR="00FB216C" w:rsidRPr="00FC6087">
        <w:rPr>
          <w:color w:val="000000" w:themeColor="text1"/>
        </w:rPr>
        <w:t xml:space="preserve">, which </w:t>
      </w:r>
      <w:r w:rsidRPr="00FC6087">
        <w:rPr>
          <w:color w:val="000000" w:themeColor="text1"/>
        </w:rPr>
        <w:t xml:space="preserve">has </w:t>
      </w:r>
      <w:r w:rsidR="00FB216C" w:rsidRPr="00FC6087">
        <w:rPr>
          <w:color w:val="000000" w:themeColor="text1"/>
        </w:rPr>
        <w:t>its</w:t>
      </w:r>
      <w:r w:rsidRPr="00FC6087">
        <w:rPr>
          <w:color w:val="000000" w:themeColor="text1"/>
        </w:rPr>
        <w:t xml:space="preserve"> roots in the behavioral sciences and dates back well over four decades (Campbell</w:t>
      </w:r>
      <w:r w:rsidR="005E7A62">
        <w:rPr>
          <w:color w:val="000000" w:themeColor="text1"/>
        </w:rPr>
        <w:t xml:space="preserve"> &amp; </w:t>
      </w:r>
      <w:r w:rsidRPr="00FC6087">
        <w:rPr>
          <w:color w:val="000000" w:themeColor="text1"/>
        </w:rPr>
        <w:t>Fiske, 1959). Common method bias arises when “</w:t>
      </w:r>
      <w:r w:rsidRPr="00790070">
        <w:rPr>
          <w:color w:val="000000" w:themeColor="text1"/>
        </w:rPr>
        <w:t>some of the differential covariance among (items or constructs) is due to the measurement approach rather than the substantive latent factor</w:t>
      </w:r>
      <w:r w:rsidRPr="00FC6087">
        <w:rPr>
          <w:color w:val="000000" w:themeColor="text1"/>
        </w:rPr>
        <w:t>” (Brown, 2006, p. 159). Method biases are severe issues as they are major causes of measurement error affecting the validity of the findings about the interplay between variables (Bagozzi</w:t>
      </w:r>
      <w:r w:rsidR="005E7A62">
        <w:rPr>
          <w:color w:val="000000" w:themeColor="text1"/>
        </w:rPr>
        <w:t xml:space="preserve"> &amp; </w:t>
      </w:r>
      <w:r w:rsidRPr="00FC6087">
        <w:rPr>
          <w:color w:val="000000" w:themeColor="text1"/>
        </w:rPr>
        <w:t>Yi, 1991; Podsakoff</w:t>
      </w:r>
      <w:r w:rsidR="00E05E86" w:rsidRPr="00FC6087">
        <w:rPr>
          <w:color w:val="000000" w:themeColor="text1"/>
        </w:rPr>
        <w:t>, MacKenzie, Lee,</w:t>
      </w:r>
      <w:r w:rsidR="005E7A62">
        <w:rPr>
          <w:color w:val="000000" w:themeColor="text1"/>
        </w:rPr>
        <w:t xml:space="preserve"> &amp; </w:t>
      </w:r>
      <w:r w:rsidR="00E05E86" w:rsidRPr="00FC6087">
        <w:rPr>
          <w:color w:val="000000" w:themeColor="text1"/>
        </w:rPr>
        <w:t>Podsakoff</w:t>
      </w:r>
      <w:r w:rsidRPr="00FC6087">
        <w:rPr>
          <w:color w:val="000000" w:themeColor="text1"/>
        </w:rPr>
        <w:t xml:space="preserve">, 2003). The most common problems </w:t>
      </w:r>
      <w:r w:rsidR="00890897" w:rsidRPr="00FC6087">
        <w:rPr>
          <w:color w:val="000000" w:themeColor="text1"/>
        </w:rPr>
        <w:t>caused</w:t>
      </w:r>
      <w:r w:rsidRPr="00FC6087">
        <w:rPr>
          <w:color w:val="000000" w:themeColor="text1"/>
        </w:rPr>
        <w:t xml:space="preserve"> by common method bias include biased estimates of reliability and validity of a latent construct (Baumgartner</w:t>
      </w:r>
      <w:r w:rsidR="005E7A62">
        <w:rPr>
          <w:color w:val="000000" w:themeColor="text1"/>
        </w:rPr>
        <w:t xml:space="preserve"> &amp; </w:t>
      </w:r>
      <w:r w:rsidRPr="00FC6087">
        <w:rPr>
          <w:color w:val="000000" w:themeColor="text1"/>
        </w:rPr>
        <w:t>Steenkamp, 2001; MacKenzie</w:t>
      </w:r>
      <w:r w:rsidR="005E7A62">
        <w:rPr>
          <w:color w:val="000000" w:themeColor="text1"/>
        </w:rPr>
        <w:t xml:space="preserve"> &amp; </w:t>
      </w:r>
      <w:r w:rsidRPr="00FC6087">
        <w:rPr>
          <w:color w:val="000000" w:themeColor="text1"/>
        </w:rPr>
        <w:lastRenderedPageBreak/>
        <w:t>Podsakoff, 2012) and biased estimates for the empirical nexuses between constructs (Cote</w:t>
      </w:r>
      <w:r w:rsidR="005E7A62">
        <w:rPr>
          <w:color w:val="000000" w:themeColor="text1"/>
        </w:rPr>
        <w:t xml:space="preserve"> &amp; </w:t>
      </w:r>
      <w:r w:rsidRPr="00FC6087">
        <w:rPr>
          <w:color w:val="000000" w:themeColor="text1"/>
        </w:rPr>
        <w:t>Buckley, 1988; Siemsen</w:t>
      </w:r>
      <w:r w:rsidR="000962D8" w:rsidRPr="00FC6087">
        <w:rPr>
          <w:color w:val="000000" w:themeColor="text1"/>
        </w:rPr>
        <w:t>, Roth,</w:t>
      </w:r>
      <w:r w:rsidR="005E7A62">
        <w:rPr>
          <w:color w:val="000000" w:themeColor="text1"/>
        </w:rPr>
        <w:t xml:space="preserve"> &amp; </w:t>
      </w:r>
      <w:r w:rsidR="00801F6A" w:rsidRPr="00FC6087">
        <w:rPr>
          <w:color w:val="000000" w:themeColor="text1"/>
        </w:rPr>
        <w:t>Oliveira</w:t>
      </w:r>
      <w:r w:rsidRPr="00FC6087">
        <w:rPr>
          <w:color w:val="000000" w:themeColor="text1"/>
        </w:rPr>
        <w:t>, 2010).</w:t>
      </w:r>
    </w:p>
    <w:p w14:paraId="7D516A9A" w14:textId="77777777" w:rsidR="001870D4" w:rsidRPr="00FC6087" w:rsidRDefault="001870D4" w:rsidP="001870D4">
      <w:pPr>
        <w:pStyle w:val="APAParagraph"/>
        <w:rPr>
          <w:color w:val="000000" w:themeColor="text1"/>
          <w:lang w:bidi="ar-DZ"/>
        </w:rPr>
      </w:pPr>
    </w:p>
    <w:p w14:paraId="7D516A9B" w14:textId="3CD4DC42" w:rsidR="00890897" w:rsidRPr="00790070" w:rsidRDefault="00890897" w:rsidP="003F0A8A">
      <w:pPr>
        <w:pStyle w:val="Caption"/>
        <w:jc w:val="left"/>
        <w:rPr>
          <w:b w:val="0"/>
          <w:i/>
          <w:noProof w:val="0"/>
          <w:color w:val="000000" w:themeColor="text1"/>
          <w:sz w:val="24"/>
          <w:szCs w:val="24"/>
        </w:rPr>
      </w:pPr>
      <w:bookmarkStart w:id="144" w:name="_Toc534121149"/>
      <w:r w:rsidRPr="00790070">
        <w:rPr>
          <w:b w:val="0"/>
          <w:noProof w:val="0"/>
          <w:color w:val="000000" w:themeColor="text1"/>
          <w:sz w:val="24"/>
          <w:szCs w:val="24"/>
        </w:rPr>
        <w:t>Table 5.</w:t>
      </w:r>
      <w:r w:rsidR="000270F9">
        <w:rPr>
          <w:b w:val="0"/>
          <w:noProof w:val="0"/>
          <w:color w:val="000000" w:themeColor="text1"/>
          <w:sz w:val="24"/>
          <w:szCs w:val="24"/>
        </w:rPr>
        <w:t>6</w:t>
      </w:r>
      <w:r w:rsidRPr="00790070">
        <w:rPr>
          <w:b w:val="0"/>
          <w:noProof w:val="0"/>
          <w:color w:val="000000" w:themeColor="text1"/>
          <w:sz w:val="24"/>
          <w:szCs w:val="24"/>
        </w:rPr>
        <w:br/>
      </w:r>
      <w:r w:rsidRPr="00790070">
        <w:rPr>
          <w:b w:val="0"/>
          <w:i/>
          <w:noProof w:val="0"/>
          <w:color w:val="000000" w:themeColor="text1"/>
          <w:sz w:val="24"/>
          <w:szCs w:val="24"/>
        </w:rPr>
        <w:t>Validity and Reliability of the Four Latent Motivational Constructs</w:t>
      </w:r>
      <w:bookmarkEnd w:id="144"/>
    </w:p>
    <w:tbl>
      <w:tblPr>
        <w:tblW w:w="7835" w:type="dxa"/>
        <w:jc w:val="center"/>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2448"/>
        <w:gridCol w:w="769"/>
        <w:gridCol w:w="770"/>
        <w:gridCol w:w="769"/>
        <w:gridCol w:w="770"/>
        <w:gridCol w:w="769"/>
        <w:gridCol w:w="770"/>
        <w:gridCol w:w="770"/>
      </w:tblGrid>
      <w:tr w:rsidR="001870D4" w:rsidRPr="00FC6087" w14:paraId="7D516AA4" w14:textId="77777777" w:rsidTr="006D69FF">
        <w:trPr>
          <w:trHeight w:val="288"/>
          <w:jc w:val="center"/>
        </w:trPr>
        <w:tc>
          <w:tcPr>
            <w:tcW w:w="2448" w:type="dxa"/>
            <w:tcBorders>
              <w:top w:val="single" w:sz="18" w:space="0" w:color="auto"/>
              <w:bottom w:val="single" w:sz="12" w:space="0" w:color="auto"/>
            </w:tcBorders>
            <w:shd w:val="clear" w:color="auto" w:fill="auto"/>
          </w:tcPr>
          <w:p w14:paraId="7D516A9C" w14:textId="77777777" w:rsidR="001870D4" w:rsidRPr="00790070" w:rsidRDefault="001870D4" w:rsidP="006D69FF">
            <w:pPr>
              <w:spacing w:line="480" w:lineRule="auto"/>
              <w:ind w:firstLine="254"/>
              <w:contextualSpacing/>
              <w:rPr>
                <w:bCs/>
                <w:color w:val="000000" w:themeColor="text1"/>
              </w:rPr>
            </w:pPr>
            <w:r w:rsidRPr="00790070">
              <w:rPr>
                <w:bCs/>
                <w:color w:val="000000" w:themeColor="text1"/>
              </w:rPr>
              <w:t>Factor</w:t>
            </w:r>
          </w:p>
        </w:tc>
        <w:tc>
          <w:tcPr>
            <w:tcW w:w="769" w:type="dxa"/>
            <w:tcBorders>
              <w:top w:val="single" w:sz="18" w:space="0" w:color="auto"/>
              <w:bottom w:val="single" w:sz="12" w:space="0" w:color="auto"/>
            </w:tcBorders>
            <w:shd w:val="clear" w:color="auto" w:fill="auto"/>
            <w:vAlign w:val="center"/>
          </w:tcPr>
          <w:p w14:paraId="7D516A9D" w14:textId="77777777" w:rsidR="001870D4" w:rsidRPr="00790070" w:rsidRDefault="001870D4" w:rsidP="006D69FF">
            <w:pPr>
              <w:spacing w:line="480" w:lineRule="auto"/>
              <w:contextualSpacing/>
              <w:jc w:val="center"/>
              <w:rPr>
                <w:bCs/>
                <w:color w:val="000000" w:themeColor="text1"/>
              </w:rPr>
            </w:pPr>
            <w:r w:rsidRPr="00790070">
              <w:rPr>
                <w:bCs/>
                <w:color w:val="000000" w:themeColor="text1"/>
              </w:rPr>
              <w:t>CR</w:t>
            </w:r>
          </w:p>
        </w:tc>
        <w:tc>
          <w:tcPr>
            <w:tcW w:w="770" w:type="dxa"/>
            <w:tcBorders>
              <w:top w:val="single" w:sz="18" w:space="0" w:color="auto"/>
              <w:bottom w:val="single" w:sz="12" w:space="0" w:color="auto"/>
            </w:tcBorders>
            <w:shd w:val="clear" w:color="auto" w:fill="auto"/>
            <w:vAlign w:val="center"/>
          </w:tcPr>
          <w:p w14:paraId="7D516A9E" w14:textId="77777777" w:rsidR="001870D4" w:rsidRPr="00790070" w:rsidRDefault="001870D4" w:rsidP="006D69FF">
            <w:pPr>
              <w:spacing w:line="480" w:lineRule="auto"/>
              <w:contextualSpacing/>
              <w:jc w:val="center"/>
              <w:rPr>
                <w:bCs/>
                <w:color w:val="000000" w:themeColor="text1"/>
              </w:rPr>
            </w:pPr>
            <w:r w:rsidRPr="00790070">
              <w:rPr>
                <w:bCs/>
                <w:color w:val="000000" w:themeColor="text1"/>
              </w:rPr>
              <w:t>AVE</w:t>
            </w:r>
          </w:p>
        </w:tc>
        <w:tc>
          <w:tcPr>
            <w:tcW w:w="769" w:type="dxa"/>
            <w:tcBorders>
              <w:top w:val="single" w:sz="18" w:space="0" w:color="auto"/>
              <w:bottom w:val="single" w:sz="12" w:space="0" w:color="auto"/>
            </w:tcBorders>
            <w:shd w:val="clear" w:color="auto" w:fill="auto"/>
            <w:vAlign w:val="center"/>
          </w:tcPr>
          <w:p w14:paraId="7D516A9F" w14:textId="77777777" w:rsidR="001870D4" w:rsidRPr="00790070" w:rsidRDefault="001870D4" w:rsidP="006D69FF">
            <w:pPr>
              <w:spacing w:line="480" w:lineRule="auto"/>
              <w:contextualSpacing/>
              <w:jc w:val="center"/>
              <w:rPr>
                <w:bCs/>
                <w:color w:val="000000" w:themeColor="text1"/>
              </w:rPr>
            </w:pPr>
            <w:r w:rsidRPr="00790070">
              <w:rPr>
                <w:bCs/>
                <w:color w:val="000000" w:themeColor="text1"/>
              </w:rPr>
              <w:t>MSV</w:t>
            </w:r>
          </w:p>
        </w:tc>
        <w:tc>
          <w:tcPr>
            <w:tcW w:w="770" w:type="dxa"/>
            <w:tcBorders>
              <w:top w:val="single" w:sz="18" w:space="0" w:color="auto"/>
              <w:bottom w:val="single" w:sz="12" w:space="0" w:color="auto"/>
            </w:tcBorders>
            <w:shd w:val="clear" w:color="auto" w:fill="auto"/>
            <w:vAlign w:val="center"/>
          </w:tcPr>
          <w:p w14:paraId="7D516AA0" w14:textId="77777777" w:rsidR="001870D4" w:rsidRPr="00790070" w:rsidRDefault="001870D4" w:rsidP="006D69FF">
            <w:pPr>
              <w:spacing w:line="480" w:lineRule="auto"/>
              <w:contextualSpacing/>
              <w:jc w:val="center"/>
              <w:rPr>
                <w:bCs/>
                <w:color w:val="000000" w:themeColor="text1"/>
              </w:rPr>
            </w:pPr>
            <w:r w:rsidRPr="00790070">
              <w:rPr>
                <w:rFonts w:eastAsia="Times New Roman"/>
                <w:color w:val="000000" w:themeColor="text1"/>
              </w:rPr>
              <w:t>SG</w:t>
            </w:r>
          </w:p>
        </w:tc>
        <w:tc>
          <w:tcPr>
            <w:tcW w:w="769" w:type="dxa"/>
            <w:tcBorders>
              <w:top w:val="single" w:sz="18" w:space="0" w:color="auto"/>
              <w:bottom w:val="single" w:sz="12" w:space="0" w:color="auto"/>
            </w:tcBorders>
            <w:shd w:val="clear" w:color="auto" w:fill="auto"/>
            <w:vAlign w:val="center"/>
          </w:tcPr>
          <w:p w14:paraId="7D516AA1" w14:textId="77777777" w:rsidR="001870D4" w:rsidRPr="00790070" w:rsidRDefault="001870D4" w:rsidP="006D69FF">
            <w:pPr>
              <w:spacing w:line="480" w:lineRule="auto"/>
              <w:contextualSpacing/>
              <w:jc w:val="center"/>
              <w:rPr>
                <w:bCs/>
                <w:color w:val="000000" w:themeColor="text1"/>
              </w:rPr>
            </w:pPr>
            <w:r w:rsidRPr="00790070">
              <w:rPr>
                <w:rFonts w:eastAsia="Times New Roman"/>
                <w:color w:val="000000" w:themeColor="text1"/>
              </w:rPr>
              <w:t>QM</w:t>
            </w:r>
          </w:p>
        </w:tc>
        <w:tc>
          <w:tcPr>
            <w:tcW w:w="770" w:type="dxa"/>
            <w:tcBorders>
              <w:top w:val="single" w:sz="18" w:space="0" w:color="auto"/>
              <w:bottom w:val="single" w:sz="12" w:space="0" w:color="auto"/>
            </w:tcBorders>
            <w:shd w:val="clear" w:color="auto" w:fill="auto"/>
            <w:vAlign w:val="center"/>
          </w:tcPr>
          <w:p w14:paraId="7D516AA2" w14:textId="77777777" w:rsidR="001870D4" w:rsidRPr="00790070" w:rsidRDefault="001870D4" w:rsidP="006D69FF">
            <w:pPr>
              <w:spacing w:line="480" w:lineRule="auto"/>
              <w:contextualSpacing/>
              <w:jc w:val="center"/>
              <w:rPr>
                <w:bCs/>
                <w:color w:val="000000" w:themeColor="text1"/>
              </w:rPr>
            </w:pPr>
            <w:r w:rsidRPr="00790070">
              <w:rPr>
                <w:rFonts w:eastAsia="Times New Roman"/>
                <w:color w:val="000000" w:themeColor="text1"/>
              </w:rPr>
              <w:t>IS</w:t>
            </w:r>
          </w:p>
        </w:tc>
        <w:tc>
          <w:tcPr>
            <w:tcW w:w="770" w:type="dxa"/>
            <w:tcBorders>
              <w:top w:val="single" w:sz="18" w:space="0" w:color="auto"/>
              <w:bottom w:val="single" w:sz="12" w:space="0" w:color="auto"/>
            </w:tcBorders>
            <w:shd w:val="clear" w:color="auto" w:fill="auto"/>
            <w:vAlign w:val="center"/>
          </w:tcPr>
          <w:p w14:paraId="7D516AA3" w14:textId="77777777" w:rsidR="001870D4" w:rsidRPr="00790070" w:rsidRDefault="001870D4" w:rsidP="006D69FF">
            <w:pPr>
              <w:spacing w:line="480" w:lineRule="auto"/>
              <w:contextualSpacing/>
              <w:jc w:val="center"/>
              <w:rPr>
                <w:bCs/>
                <w:color w:val="000000" w:themeColor="text1"/>
              </w:rPr>
            </w:pPr>
            <w:r w:rsidRPr="00790070">
              <w:rPr>
                <w:rFonts w:eastAsia="Times New Roman"/>
                <w:color w:val="000000" w:themeColor="text1"/>
              </w:rPr>
              <w:t>TI</w:t>
            </w:r>
          </w:p>
        </w:tc>
      </w:tr>
      <w:tr w:rsidR="00053918" w:rsidRPr="00FC6087" w14:paraId="7D516AAD" w14:textId="77777777" w:rsidTr="006D69FF">
        <w:trPr>
          <w:trHeight w:val="288"/>
          <w:jc w:val="center"/>
        </w:trPr>
        <w:tc>
          <w:tcPr>
            <w:tcW w:w="2448" w:type="dxa"/>
            <w:tcBorders>
              <w:top w:val="single" w:sz="12" w:space="0" w:color="auto"/>
            </w:tcBorders>
            <w:shd w:val="clear" w:color="auto" w:fill="auto"/>
          </w:tcPr>
          <w:p w14:paraId="7D516AA5" w14:textId="77777777" w:rsidR="001870D4" w:rsidRPr="00790070" w:rsidRDefault="001870D4" w:rsidP="006D69FF">
            <w:pPr>
              <w:spacing w:line="480" w:lineRule="auto"/>
              <w:ind w:firstLine="254"/>
              <w:contextualSpacing/>
              <w:rPr>
                <w:b/>
                <w:bCs/>
                <w:color w:val="000000" w:themeColor="text1"/>
              </w:rPr>
            </w:pPr>
            <w:r w:rsidRPr="00790070">
              <w:rPr>
                <w:rFonts w:eastAsia="Times New Roman"/>
                <w:color w:val="000000" w:themeColor="text1"/>
              </w:rPr>
              <w:t>SG</w:t>
            </w:r>
          </w:p>
        </w:tc>
        <w:tc>
          <w:tcPr>
            <w:tcW w:w="769" w:type="dxa"/>
            <w:tcBorders>
              <w:top w:val="single" w:sz="12" w:space="0" w:color="auto"/>
            </w:tcBorders>
            <w:shd w:val="clear" w:color="auto" w:fill="auto"/>
            <w:vAlign w:val="center"/>
          </w:tcPr>
          <w:p w14:paraId="7D516AA6" w14:textId="77777777" w:rsidR="001870D4" w:rsidRPr="00FC6087" w:rsidRDefault="001870D4" w:rsidP="006D69FF">
            <w:pPr>
              <w:spacing w:line="480" w:lineRule="auto"/>
              <w:contextualSpacing/>
              <w:jc w:val="center"/>
              <w:rPr>
                <w:color w:val="000000" w:themeColor="text1"/>
              </w:rPr>
            </w:pPr>
            <w:r w:rsidRPr="00FC6087">
              <w:rPr>
                <w:color w:val="000000" w:themeColor="text1"/>
              </w:rPr>
              <w:t>0.90</w:t>
            </w:r>
          </w:p>
        </w:tc>
        <w:tc>
          <w:tcPr>
            <w:tcW w:w="770" w:type="dxa"/>
            <w:tcBorders>
              <w:top w:val="single" w:sz="12" w:space="0" w:color="auto"/>
            </w:tcBorders>
            <w:shd w:val="clear" w:color="auto" w:fill="auto"/>
            <w:vAlign w:val="center"/>
          </w:tcPr>
          <w:p w14:paraId="7D516AA7" w14:textId="77777777" w:rsidR="001870D4" w:rsidRPr="00FC6087" w:rsidRDefault="001870D4" w:rsidP="006D69FF">
            <w:pPr>
              <w:spacing w:line="480" w:lineRule="auto"/>
              <w:contextualSpacing/>
              <w:jc w:val="center"/>
              <w:rPr>
                <w:color w:val="000000" w:themeColor="text1"/>
              </w:rPr>
            </w:pPr>
            <w:r w:rsidRPr="00FC6087">
              <w:rPr>
                <w:color w:val="000000" w:themeColor="text1"/>
              </w:rPr>
              <w:t>0.60</w:t>
            </w:r>
          </w:p>
        </w:tc>
        <w:tc>
          <w:tcPr>
            <w:tcW w:w="769" w:type="dxa"/>
            <w:tcBorders>
              <w:top w:val="single" w:sz="12" w:space="0" w:color="auto"/>
            </w:tcBorders>
            <w:shd w:val="clear" w:color="auto" w:fill="auto"/>
            <w:vAlign w:val="center"/>
          </w:tcPr>
          <w:p w14:paraId="7D516AA8" w14:textId="77777777" w:rsidR="001870D4" w:rsidRPr="00FC6087" w:rsidRDefault="001870D4" w:rsidP="006D69FF">
            <w:pPr>
              <w:spacing w:line="480" w:lineRule="auto"/>
              <w:contextualSpacing/>
              <w:jc w:val="center"/>
              <w:rPr>
                <w:color w:val="000000" w:themeColor="text1"/>
              </w:rPr>
            </w:pPr>
            <w:r w:rsidRPr="00FC6087">
              <w:rPr>
                <w:color w:val="000000" w:themeColor="text1"/>
              </w:rPr>
              <w:t>0.55</w:t>
            </w:r>
          </w:p>
        </w:tc>
        <w:tc>
          <w:tcPr>
            <w:tcW w:w="770" w:type="dxa"/>
            <w:tcBorders>
              <w:top w:val="single" w:sz="12" w:space="0" w:color="auto"/>
            </w:tcBorders>
            <w:shd w:val="clear" w:color="auto" w:fill="auto"/>
            <w:vAlign w:val="center"/>
          </w:tcPr>
          <w:p w14:paraId="7D516AA9" w14:textId="77777777" w:rsidR="001870D4" w:rsidRPr="00FC6087" w:rsidRDefault="001870D4" w:rsidP="006D69FF">
            <w:pPr>
              <w:spacing w:line="480" w:lineRule="auto"/>
              <w:contextualSpacing/>
              <w:jc w:val="center"/>
              <w:rPr>
                <w:bCs/>
                <w:i/>
                <w:color w:val="000000" w:themeColor="text1"/>
              </w:rPr>
            </w:pPr>
            <w:r w:rsidRPr="00FC6087">
              <w:rPr>
                <w:bCs/>
                <w:i/>
                <w:color w:val="000000" w:themeColor="text1"/>
              </w:rPr>
              <w:t>0.77</w:t>
            </w:r>
          </w:p>
        </w:tc>
        <w:tc>
          <w:tcPr>
            <w:tcW w:w="769" w:type="dxa"/>
            <w:tcBorders>
              <w:top w:val="single" w:sz="12" w:space="0" w:color="auto"/>
            </w:tcBorders>
            <w:shd w:val="clear" w:color="auto" w:fill="auto"/>
            <w:vAlign w:val="center"/>
          </w:tcPr>
          <w:p w14:paraId="7D516AAA" w14:textId="77777777" w:rsidR="001870D4" w:rsidRPr="00FC6087" w:rsidRDefault="001870D4" w:rsidP="006D69FF">
            <w:pPr>
              <w:spacing w:line="480" w:lineRule="auto"/>
              <w:contextualSpacing/>
              <w:jc w:val="center"/>
              <w:rPr>
                <w:color w:val="000000" w:themeColor="text1"/>
              </w:rPr>
            </w:pPr>
          </w:p>
        </w:tc>
        <w:tc>
          <w:tcPr>
            <w:tcW w:w="770" w:type="dxa"/>
            <w:tcBorders>
              <w:top w:val="single" w:sz="12" w:space="0" w:color="auto"/>
            </w:tcBorders>
            <w:shd w:val="clear" w:color="auto" w:fill="auto"/>
            <w:vAlign w:val="center"/>
          </w:tcPr>
          <w:p w14:paraId="7D516AAB" w14:textId="77777777" w:rsidR="001870D4" w:rsidRPr="00FC6087" w:rsidRDefault="001870D4" w:rsidP="006D69FF">
            <w:pPr>
              <w:spacing w:line="480" w:lineRule="auto"/>
              <w:contextualSpacing/>
              <w:jc w:val="center"/>
              <w:rPr>
                <w:color w:val="000000" w:themeColor="text1"/>
              </w:rPr>
            </w:pPr>
          </w:p>
        </w:tc>
        <w:tc>
          <w:tcPr>
            <w:tcW w:w="770" w:type="dxa"/>
            <w:tcBorders>
              <w:top w:val="single" w:sz="12" w:space="0" w:color="auto"/>
            </w:tcBorders>
            <w:shd w:val="clear" w:color="auto" w:fill="auto"/>
            <w:vAlign w:val="center"/>
          </w:tcPr>
          <w:p w14:paraId="7D516AAC" w14:textId="77777777" w:rsidR="001870D4" w:rsidRPr="00FC6087" w:rsidRDefault="001870D4" w:rsidP="006D69FF">
            <w:pPr>
              <w:spacing w:line="480" w:lineRule="auto"/>
              <w:contextualSpacing/>
              <w:jc w:val="center"/>
              <w:rPr>
                <w:color w:val="000000" w:themeColor="text1"/>
              </w:rPr>
            </w:pPr>
          </w:p>
        </w:tc>
      </w:tr>
      <w:tr w:rsidR="001870D4" w:rsidRPr="00FC6087" w14:paraId="7D516AB6" w14:textId="77777777" w:rsidTr="006D69FF">
        <w:trPr>
          <w:trHeight w:val="288"/>
          <w:jc w:val="center"/>
        </w:trPr>
        <w:tc>
          <w:tcPr>
            <w:tcW w:w="2448" w:type="dxa"/>
            <w:shd w:val="clear" w:color="auto" w:fill="auto"/>
          </w:tcPr>
          <w:p w14:paraId="7D516AAE" w14:textId="77777777" w:rsidR="001870D4" w:rsidRPr="00790070" w:rsidRDefault="001870D4" w:rsidP="006D69FF">
            <w:pPr>
              <w:spacing w:line="480" w:lineRule="auto"/>
              <w:ind w:firstLine="254"/>
              <w:contextualSpacing/>
              <w:rPr>
                <w:b/>
                <w:bCs/>
                <w:color w:val="000000" w:themeColor="text1"/>
              </w:rPr>
            </w:pPr>
            <w:r w:rsidRPr="00790070">
              <w:rPr>
                <w:rFonts w:eastAsia="Times New Roman"/>
                <w:color w:val="000000" w:themeColor="text1"/>
              </w:rPr>
              <w:t>QM</w:t>
            </w:r>
          </w:p>
        </w:tc>
        <w:tc>
          <w:tcPr>
            <w:tcW w:w="769" w:type="dxa"/>
            <w:shd w:val="clear" w:color="auto" w:fill="auto"/>
            <w:vAlign w:val="center"/>
          </w:tcPr>
          <w:p w14:paraId="7D516AAF" w14:textId="77777777" w:rsidR="001870D4" w:rsidRPr="00FC6087" w:rsidRDefault="001870D4" w:rsidP="006D69FF">
            <w:pPr>
              <w:spacing w:line="480" w:lineRule="auto"/>
              <w:contextualSpacing/>
              <w:jc w:val="center"/>
              <w:rPr>
                <w:color w:val="000000" w:themeColor="text1"/>
              </w:rPr>
            </w:pPr>
            <w:r w:rsidRPr="00FC6087">
              <w:rPr>
                <w:color w:val="000000" w:themeColor="text1"/>
              </w:rPr>
              <w:t>0.89</w:t>
            </w:r>
          </w:p>
        </w:tc>
        <w:tc>
          <w:tcPr>
            <w:tcW w:w="770" w:type="dxa"/>
            <w:shd w:val="clear" w:color="auto" w:fill="auto"/>
            <w:vAlign w:val="center"/>
          </w:tcPr>
          <w:p w14:paraId="7D516AB0" w14:textId="77777777" w:rsidR="001870D4" w:rsidRPr="00FC6087" w:rsidRDefault="001870D4" w:rsidP="006D69FF">
            <w:pPr>
              <w:spacing w:line="480" w:lineRule="auto"/>
              <w:contextualSpacing/>
              <w:jc w:val="center"/>
              <w:rPr>
                <w:color w:val="000000" w:themeColor="text1"/>
              </w:rPr>
            </w:pPr>
            <w:r w:rsidRPr="00FC6087">
              <w:rPr>
                <w:color w:val="000000" w:themeColor="text1"/>
              </w:rPr>
              <w:t>0.50</w:t>
            </w:r>
          </w:p>
        </w:tc>
        <w:tc>
          <w:tcPr>
            <w:tcW w:w="769" w:type="dxa"/>
            <w:shd w:val="clear" w:color="auto" w:fill="auto"/>
            <w:vAlign w:val="center"/>
          </w:tcPr>
          <w:p w14:paraId="7D516AB1" w14:textId="77777777" w:rsidR="001870D4" w:rsidRPr="00FC6087" w:rsidRDefault="001870D4" w:rsidP="006D69FF">
            <w:pPr>
              <w:spacing w:line="480" w:lineRule="auto"/>
              <w:contextualSpacing/>
              <w:jc w:val="center"/>
              <w:rPr>
                <w:color w:val="000000" w:themeColor="text1"/>
              </w:rPr>
            </w:pPr>
            <w:r w:rsidRPr="00FC6087">
              <w:rPr>
                <w:color w:val="000000" w:themeColor="text1"/>
              </w:rPr>
              <w:t>0.44</w:t>
            </w:r>
          </w:p>
        </w:tc>
        <w:tc>
          <w:tcPr>
            <w:tcW w:w="770" w:type="dxa"/>
            <w:shd w:val="clear" w:color="auto" w:fill="auto"/>
            <w:vAlign w:val="center"/>
          </w:tcPr>
          <w:p w14:paraId="7D516AB2" w14:textId="77777777" w:rsidR="001870D4" w:rsidRPr="00FC6087" w:rsidRDefault="001870D4" w:rsidP="006D69FF">
            <w:pPr>
              <w:spacing w:line="480" w:lineRule="auto"/>
              <w:contextualSpacing/>
              <w:jc w:val="center"/>
              <w:rPr>
                <w:color w:val="000000" w:themeColor="text1"/>
              </w:rPr>
            </w:pPr>
            <w:r w:rsidRPr="00FC6087">
              <w:rPr>
                <w:color w:val="000000" w:themeColor="text1"/>
              </w:rPr>
              <w:t>0.65</w:t>
            </w:r>
          </w:p>
        </w:tc>
        <w:tc>
          <w:tcPr>
            <w:tcW w:w="769" w:type="dxa"/>
            <w:shd w:val="clear" w:color="auto" w:fill="auto"/>
            <w:vAlign w:val="center"/>
          </w:tcPr>
          <w:p w14:paraId="7D516AB3" w14:textId="77777777" w:rsidR="001870D4" w:rsidRPr="00FC6087" w:rsidRDefault="001870D4" w:rsidP="006D69FF">
            <w:pPr>
              <w:spacing w:line="480" w:lineRule="auto"/>
              <w:contextualSpacing/>
              <w:jc w:val="center"/>
              <w:rPr>
                <w:bCs/>
                <w:i/>
                <w:color w:val="000000" w:themeColor="text1"/>
              </w:rPr>
            </w:pPr>
            <w:r w:rsidRPr="00FC6087">
              <w:rPr>
                <w:bCs/>
                <w:i/>
                <w:color w:val="000000" w:themeColor="text1"/>
              </w:rPr>
              <w:t>0.77</w:t>
            </w:r>
          </w:p>
        </w:tc>
        <w:tc>
          <w:tcPr>
            <w:tcW w:w="770" w:type="dxa"/>
            <w:shd w:val="clear" w:color="auto" w:fill="auto"/>
            <w:vAlign w:val="center"/>
          </w:tcPr>
          <w:p w14:paraId="7D516AB4" w14:textId="77777777" w:rsidR="001870D4" w:rsidRPr="00FC6087" w:rsidRDefault="001870D4" w:rsidP="006D69FF">
            <w:pPr>
              <w:spacing w:line="480" w:lineRule="auto"/>
              <w:contextualSpacing/>
              <w:jc w:val="center"/>
              <w:rPr>
                <w:color w:val="000000" w:themeColor="text1"/>
              </w:rPr>
            </w:pPr>
          </w:p>
        </w:tc>
        <w:tc>
          <w:tcPr>
            <w:tcW w:w="770" w:type="dxa"/>
            <w:shd w:val="clear" w:color="auto" w:fill="auto"/>
            <w:vAlign w:val="center"/>
          </w:tcPr>
          <w:p w14:paraId="7D516AB5" w14:textId="77777777" w:rsidR="001870D4" w:rsidRPr="00FC6087" w:rsidRDefault="001870D4" w:rsidP="006D69FF">
            <w:pPr>
              <w:spacing w:line="480" w:lineRule="auto"/>
              <w:contextualSpacing/>
              <w:jc w:val="center"/>
              <w:rPr>
                <w:color w:val="000000" w:themeColor="text1"/>
              </w:rPr>
            </w:pPr>
          </w:p>
        </w:tc>
      </w:tr>
      <w:tr w:rsidR="00053918" w:rsidRPr="00FC6087" w14:paraId="7D516ABF" w14:textId="77777777" w:rsidTr="006D69FF">
        <w:trPr>
          <w:trHeight w:val="288"/>
          <w:jc w:val="center"/>
        </w:trPr>
        <w:tc>
          <w:tcPr>
            <w:tcW w:w="2448" w:type="dxa"/>
            <w:tcBorders>
              <w:bottom w:val="nil"/>
            </w:tcBorders>
            <w:shd w:val="clear" w:color="auto" w:fill="auto"/>
          </w:tcPr>
          <w:p w14:paraId="7D516AB7" w14:textId="77777777" w:rsidR="001870D4" w:rsidRPr="00790070" w:rsidRDefault="001870D4" w:rsidP="006D69FF">
            <w:pPr>
              <w:spacing w:line="480" w:lineRule="auto"/>
              <w:ind w:firstLine="254"/>
              <w:contextualSpacing/>
              <w:rPr>
                <w:b/>
                <w:bCs/>
                <w:color w:val="000000" w:themeColor="text1"/>
              </w:rPr>
            </w:pPr>
            <w:r w:rsidRPr="00790070">
              <w:rPr>
                <w:rFonts w:eastAsia="Times New Roman"/>
                <w:color w:val="000000" w:themeColor="text1"/>
              </w:rPr>
              <w:t>IS</w:t>
            </w:r>
          </w:p>
        </w:tc>
        <w:tc>
          <w:tcPr>
            <w:tcW w:w="769" w:type="dxa"/>
            <w:tcBorders>
              <w:bottom w:val="nil"/>
            </w:tcBorders>
            <w:shd w:val="clear" w:color="auto" w:fill="auto"/>
            <w:vAlign w:val="center"/>
          </w:tcPr>
          <w:p w14:paraId="7D516AB8" w14:textId="77777777" w:rsidR="001870D4" w:rsidRPr="00FC6087" w:rsidRDefault="001870D4" w:rsidP="006D69FF">
            <w:pPr>
              <w:spacing w:line="480" w:lineRule="auto"/>
              <w:contextualSpacing/>
              <w:jc w:val="center"/>
              <w:rPr>
                <w:color w:val="000000" w:themeColor="text1"/>
              </w:rPr>
            </w:pPr>
            <w:r w:rsidRPr="00FC6087">
              <w:rPr>
                <w:color w:val="000000" w:themeColor="text1"/>
              </w:rPr>
              <w:t>0.90</w:t>
            </w:r>
          </w:p>
        </w:tc>
        <w:tc>
          <w:tcPr>
            <w:tcW w:w="770" w:type="dxa"/>
            <w:tcBorders>
              <w:bottom w:val="nil"/>
            </w:tcBorders>
            <w:shd w:val="clear" w:color="auto" w:fill="auto"/>
            <w:vAlign w:val="center"/>
          </w:tcPr>
          <w:p w14:paraId="7D516AB9" w14:textId="77777777" w:rsidR="001870D4" w:rsidRPr="00FC6087" w:rsidRDefault="001870D4" w:rsidP="006D69FF">
            <w:pPr>
              <w:spacing w:line="480" w:lineRule="auto"/>
              <w:contextualSpacing/>
              <w:jc w:val="center"/>
              <w:rPr>
                <w:color w:val="000000" w:themeColor="text1"/>
              </w:rPr>
            </w:pPr>
            <w:r w:rsidRPr="00FC6087">
              <w:rPr>
                <w:color w:val="000000" w:themeColor="text1"/>
              </w:rPr>
              <w:t>0.64</w:t>
            </w:r>
          </w:p>
        </w:tc>
        <w:tc>
          <w:tcPr>
            <w:tcW w:w="769" w:type="dxa"/>
            <w:tcBorders>
              <w:bottom w:val="nil"/>
            </w:tcBorders>
            <w:shd w:val="clear" w:color="auto" w:fill="auto"/>
            <w:vAlign w:val="center"/>
          </w:tcPr>
          <w:p w14:paraId="7D516ABA" w14:textId="77777777" w:rsidR="001870D4" w:rsidRPr="00FC6087" w:rsidRDefault="001870D4" w:rsidP="006D69FF">
            <w:pPr>
              <w:spacing w:line="480" w:lineRule="auto"/>
              <w:contextualSpacing/>
              <w:jc w:val="center"/>
              <w:rPr>
                <w:color w:val="000000" w:themeColor="text1"/>
              </w:rPr>
            </w:pPr>
            <w:r w:rsidRPr="00FC6087">
              <w:rPr>
                <w:color w:val="000000" w:themeColor="text1"/>
              </w:rPr>
              <w:t>0.44</w:t>
            </w:r>
          </w:p>
        </w:tc>
        <w:tc>
          <w:tcPr>
            <w:tcW w:w="770" w:type="dxa"/>
            <w:tcBorders>
              <w:bottom w:val="nil"/>
            </w:tcBorders>
            <w:shd w:val="clear" w:color="auto" w:fill="auto"/>
            <w:vAlign w:val="center"/>
          </w:tcPr>
          <w:p w14:paraId="7D516ABB" w14:textId="77777777" w:rsidR="001870D4" w:rsidRPr="00FC6087" w:rsidRDefault="001870D4" w:rsidP="006D69FF">
            <w:pPr>
              <w:spacing w:line="480" w:lineRule="auto"/>
              <w:contextualSpacing/>
              <w:jc w:val="center"/>
              <w:rPr>
                <w:color w:val="000000" w:themeColor="text1"/>
              </w:rPr>
            </w:pPr>
            <w:r w:rsidRPr="00FC6087">
              <w:rPr>
                <w:color w:val="000000" w:themeColor="text1"/>
              </w:rPr>
              <w:t>0.64</w:t>
            </w:r>
          </w:p>
        </w:tc>
        <w:tc>
          <w:tcPr>
            <w:tcW w:w="769" w:type="dxa"/>
            <w:tcBorders>
              <w:bottom w:val="nil"/>
            </w:tcBorders>
            <w:shd w:val="clear" w:color="auto" w:fill="auto"/>
            <w:vAlign w:val="center"/>
          </w:tcPr>
          <w:p w14:paraId="7D516ABC" w14:textId="77777777" w:rsidR="001870D4" w:rsidRPr="00FC6087" w:rsidRDefault="001870D4" w:rsidP="006D69FF">
            <w:pPr>
              <w:spacing w:line="480" w:lineRule="auto"/>
              <w:contextualSpacing/>
              <w:jc w:val="center"/>
              <w:rPr>
                <w:color w:val="000000" w:themeColor="text1"/>
              </w:rPr>
            </w:pPr>
            <w:r w:rsidRPr="00FC6087">
              <w:rPr>
                <w:color w:val="000000" w:themeColor="text1"/>
              </w:rPr>
              <w:t>0.66</w:t>
            </w:r>
          </w:p>
        </w:tc>
        <w:tc>
          <w:tcPr>
            <w:tcW w:w="770" w:type="dxa"/>
            <w:tcBorders>
              <w:bottom w:val="nil"/>
            </w:tcBorders>
            <w:shd w:val="clear" w:color="auto" w:fill="auto"/>
            <w:vAlign w:val="center"/>
          </w:tcPr>
          <w:p w14:paraId="7D516ABD" w14:textId="77777777" w:rsidR="001870D4" w:rsidRPr="00FC6087" w:rsidRDefault="001870D4" w:rsidP="006D69FF">
            <w:pPr>
              <w:spacing w:line="480" w:lineRule="auto"/>
              <w:contextualSpacing/>
              <w:jc w:val="center"/>
              <w:rPr>
                <w:bCs/>
                <w:i/>
                <w:color w:val="000000" w:themeColor="text1"/>
              </w:rPr>
            </w:pPr>
            <w:r w:rsidRPr="00FC6087">
              <w:rPr>
                <w:bCs/>
                <w:i/>
                <w:color w:val="000000" w:themeColor="text1"/>
              </w:rPr>
              <w:t>0.80</w:t>
            </w:r>
          </w:p>
        </w:tc>
        <w:tc>
          <w:tcPr>
            <w:tcW w:w="770" w:type="dxa"/>
            <w:tcBorders>
              <w:bottom w:val="nil"/>
            </w:tcBorders>
            <w:shd w:val="clear" w:color="auto" w:fill="auto"/>
            <w:vAlign w:val="center"/>
          </w:tcPr>
          <w:p w14:paraId="7D516ABE" w14:textId="77777777" w:rsidR="001870D4" w:rsidRPr="00FC6087" w:rsidRDefault="001870D4" w:rsidP="006D69FF">
            <w:pPr>
              <w:spacing w:line="480" w:lineRule="auto"/>
              <w:contextualSpacing/>
              <w:jc w:val="center"/>
              <w:rPr>
                <w:color w:val="000000" w:themeColor="text1"/>
              </w:rPr>
            </w:pPr>
          </w:p>
        </w:tc>
      </w:tr>
      <w:tr w:rsidR="001870D4" w:rsidRPr="00FC6087" w14:paraId="7D516AC8" w14:textId="77777777" w:rsidTr="006D69FF">
        <w:trPr>
          <w:trHeight w:val="288"/>
          <w:jc w:val="center"/>
        </w:trPr>
        <w:tc>
          <w:tcPr>
            <w:tcW w:w="2448" w:type="dxa"/>
            <w:tcBorders>
              <w:top w:val="nil"/>
              <w:bottom w:val="single" w:sz="18" w:space="0" w:color="auto"/>
            </w:tcBorders>
            <w:shd w:val="clear" w:color="auto" w:fill="auto"/>
          </w:tcPr>
          <w:p w14:paraId="7D516AC0" w14:textId="77777777" w:rsidR="001870D4" w:rsidRPr="00790070" w:rsidRDefault="001870D4" w:rsidP="006D69FF">
            <w:pPr>
              <w:spacing w:line="480" w:lineRule="auto"/>
              <w:ind w:firstLine="254"/>
              <w:contextualSpacing/>
              <w:rPr>
                <w:b/>
                <w:bCs/>
                <w:color w:val="000000" w:themeColor="text1"/>
              </w:rPr>
            </w:pPr>
            <w:r w:rsidRPr="00790070">
              <w:rPr>
                <w:rFonts w:eastAsia="Times New Roman"/>
                <w:color w:val="000000" w:themeColor="text1"/>
              </w:rPr>
              <w:t>TI</w:t>
            </w:r>
          </w:p>
        </w:tc>
        <w:tc>
          <w:tcPr>
            <w:tcW w:w="769" w:type="dxa"/>
            <w:tcBorders>
              <w:top w:val="nil"/>
              <w:bottom w:val="single" w:sz="18" w:space="0" w:color="auto"/>
            </w:tcBorders>
            <w:shd w:val="clear" w:color="auto" w:fill="auto"/>
            <w:vAlign w:val="center"/>
          </w:tcPr>
          <w:p w14:paraId="7D516AC1" w14:textId="77777777" w:rsidR="001870D4" w:rsidRPr="00FC6087" w:rsidRDefault="001870D4" w:rsidP="006D69FF">
            <w:pPr>
              <w:spacing w:line="480" w:lineRule="auto"/>
              <w:contextualSpacing/>
              <w:jc w:val="center"/>
              <w:rPr>
                <w:color w:val="000000" w:themeColor="text1"/>
              </w:rPr>
            </w:pPr>
            <w:r w:rsidRPr="00FC6087">
              <w:rPr>
                <w:color w:val="000000" w:themeColor="text1"/>
              </w:rPr>
              <w:t>0.82</w:t>
            </w:r>
          </w:p>
        </w:tc>
        <w:tc>
          <w:tcPr>
            <w:tcW w:w="770" w:type="dxa"/>
            <w:tcBorders>
              <w:top w:val="nil"/>
              <w:bottom w:val="single" w:sz="18" w:space="0" w:color="auto"/>
            </w:tcBorders>
            <w:shd w:val="clear" w:color="auto" w:fill="auto"/>
            <w:vAlign w:val="center"/>
          </w:tcPr>
          <w:p w14:paraId="7D516AC2" w14:textId="77777777" w:rsidR="001870D4" w:rsidRPr="00FC6087" w:rsidRDefault="001870D4" w:rsidP="006D69FF">
            <w:pPr>
              <w:spacing w:line="480" w:lineRule="auto"/>
              <w:contextualSpacing/>
              <w:jc w:val="center"/>
              <w:rPr>
                <w:color w:val="000000" w:themeColor="text1"/>
              </w:rPr>
            </w:pPr>
            <w:r w:rsidRPr="00FC6087">
              <w:rPr>
                <w:color w:val="000000" w:themeColor="text1"/>
              </w:rPr>
              <w:t>0.61</w:t>
            </w:r>
          </w:p>
        </w:tc>
        <w:tc>
          <w:tcPr>
            <w:tcW w:w="769" w:type="dxa"/>
            <w:tcBorders>
              <w:top w:val="nil"/>
              <w:bottom w:val="single" w:sz="18" w:space="0" w:color="auto"/>
            </w:tcBorders>
            <w:shd w:val="clear" w:color="auto" w:fill="auto"/>
            <w:vAlign w:val="center"/>
          </w:tcPr>
          <w:p w14:paraId="7D516AC3" w14:textId="77777777" w:rsidR="001870D4" w:rsidRPr="00FC6087" w:rsidRDefault="001870D4" w:rsidP="006D69FF">
            <w:pPr>
              <w:spacing w:line="480" w:lineRule="auto"/>
              <w:contextualSpacing/>
              <w:jc w:val="center"/>
              <w:rPr>
                <w:color w:val="000000" w:themeColor="text1"/>
              </w:rPr>
            </w:pPr>
            <w:r w:rsidRPr="00FC6087">
              <w:rPr>
                <w:color w:val="000000" w:themeColor="text1"/>
              </w:rPr>
              <w:t>0.55</w:t>
            </w:r>
          </w:p>
        </w:tc>
        <w:tc>
          <w:tcPr>
            <w:tcW w:w="770" w:type="dxa"/>
            <w:tcBorders>
              <w:top w:val="nil"/>
              <w:bottom w:val="single" w:sz="18" w:space="0" w:color="auto"/>
            </w:tcBorders>
            <w:shd w:val="clear" w:color="auto" w:fill="auto"/>
            <w:vAlign w:val="center"/>
          </w:tcPr>
          <w:p w14:paraId="7D516AC4" w14:textId="77777777" w:rsidR="001870D4" w:rsidRPr="00FC6087" w:rsidRDefault="001870D4" w:rsidP="006D69FF">
            <w:pPr>
              <w:spacing w:line="480" w:lineRule="auto"/>
              <w:contextualSpacing/>
              <w:jc w:val="center"/>
              <w:rPr>
                <w:color w:val="000000" w:themeColor="text1"/>
              </w:rPr>
            </w:pPr>
            <w:r w:rsidRPr="00FC6087">
              <w:rPr>
                <w:color w:val="000000" w:themeColor="text1"/>
              </w:rPr>
              <w:t>0.74</w:t>
            </w:r>
          </w:p>
        </w:tc>
        <w:tc>
          <w:tcPr>
            <w:tcW w:w="769" w:type="dxa"/>
            <w:tcBorders>
              <w:top w:val="nil"/>
              <w:bottom w:val="single" w:sz="18" w:space="0" w:color="auto"/>
            </w:tcBorders>
            <w:shd w:val="clear" w:color="auto" w:fill="auto"/>
            <w:vAlign w:val="center"/>
          </w:tcPr>
          <w:p w14:paraId="7D516AC5" w14:textId="77777777" w:rsidR="001870D4" w:rsidRPr="00FC6087" w:rsidRDefault="001870D4" w:rsidP="006D69FF">
            <w:pPr>
              <w:spacing w:line="480" w:lineRule="auto"/>
              <w:contextualSpacing/>
              <w:jc w:val="center"/>
              <w:rPr>
                <w:color w:val="000000" w:themeColor="text1"/>
              </w:rPr>
            </w:pPr>
            <w:r w:rsidRPr="00FC6087">
              <w:rPr>
                <w:color w:val="000000" w:themeColor="text1"/>
              </w:rPr>
              <w:t>0.61</w:t>
            </w:r>
          </w:p>
        </w:tc>
        <w:tc>
          <w:tcPr>
            <w:tcW w:w="770" w:type="dxa"/>
            <w:tcBorders>
              <w:top w:val="nil"/>
              <w:bottom w:val="single" w:sz="18" w:space="0" w:color="auto"/>
            </w:tcBorders>
            <w:shd w:val="clear" w:color="auto" w:fill="auto"/>
            <w:vAlign w:val="center"/>
          </w:tcPr>
          <w:p w14:paraId="7D516AC6" w14:textId="77777777" w:rsidR="001870D4" w:rsidRPr="00FC6087" w:rsidRDefault="001870D4" w:rsidP="006D69FF">
            <w:pPr>
              <w:spacing w:line="480" w:lineRule="auto"/>
              <w:contextualSpacing/>
              <w:jc w:val="center"/>
              <w:rPr>
                <w:color w:val="000000" w:themeColor="text1"/>
              </w:rPr>
            </w:pPr>
            <w:r w:rsidRPr="00FC6087">
              <w:rPr>
                <w:color w:val="000000" w:themeColor="text1"/>
              </w:rPr>
              <w:t>0.62</w:t>
            </w:r>
          </w:p>
        </w:tc>
        <w:tc>
          <w:tcPr>
            <w:tcW w:w="770" w:type="dxa"/>
            <w:tcBorders>
              <w:top w:val="nil"/>
              <w:bottom w:val="single" w:sz="18" w:space="0" w:color="auto"/>
            </w:tcBorders>
            <w:shd w:val="clear" w:color="auto" w:fill="auto"/>
            <w:vAlign w:val="center"/>
          </w:tcPr>
          <w:p w14:paraId="7D516AC7" w14:textId="77777777" w:rsidR="001870D4" w:rsidRPr="00FC6087" w:rsidRDefault="001870D4" w:rsidP="006D69FF">
            <w:pPr>
              <w:keepNext/>
              <w:spacing w:line="480" w:lineRule="auto"/>
              <w:contextualSpacing/>
              <w:jc w:val="center"/>
              <w:rPr>
                <w:bCs/>
                <w:i/>
                <w:color w:val="000000" w:themeColor="text1"/>
              </w:rPr>
            </w:pPr>
            <w:r w:rsidRPr="00FC6087">
              <w:rPr>
                <w:bCs/>
                <w:i/>
                <w:color w:val="000000" w:themeColor="text1"/>
              </w:rPr>
              <w:t>0.78</w:t>
            </w:r>
          </w:p>
        </w:tc>
      </w:tr>
    </w:tbl>
    <w:p w14:paraId="7D516AC9" w14:textId="592AE739" w:rsidR="001870D4" w:rsidRPr="00FC6087" w:rsidRDefault="001870D4" w:rsidP="00C0447D">
      <w:pPr>
        <w:pStyle w:val="APAParagraph"/>
        <w:spacing w:line="240" w:lineRule="auto"/>
        <w:ind w:firstLine="0"/>
        <w:rPr>
          <w:color w:val="000000" w:themeColor="text1"/>
        </w:rPr>
      </w:pPr>
      <w:r w:rsidRPr="00790070">
        <w:rPr>
          <w:bCs/>
          <w:i/>
          <w:color w:val="000000" w:themeColor="text1"/>
        </w:rPr>
        <w:t>Note</w:t>
      </w:r>
      <w:r w:rsidR="00DE4A86">
        <w:rPr>
          <w:bCs/>
          <w:i/>
          <w:color w:val="000000" w:themeColor="text1"/>
        </w:rPr>
        <w:t>.</w:t>
      </w:r>
      <w:r w:rsidRPr="00FC6087">
        <w:rPr>
          <w:color w:val="000000" w:themeColor="text1"/>
        </w:rPr>
        <w:t xml:space="preserve"> CR = composite reliability</w:t>
      </w:r>
      <w:r w:rsidR="00890897" w:rsidRPr="00FC6087">
        <w:rPr>
          <w:color w:val="000000" w:themeColor="text1"/>
        </w:rPr>
        <w:t>;</w:t>
      </w:r>
      <w:r w:rsidRPr="00FC6087">
        <w:rPr>
          <w:color w:val="000000" w:themeColor="text1"/>
        </w:rPr>
        <w:t xml:space="preserve"> AVE = average variance extracted</w:t>
      </w:r>
      <w:r w:rsidR="00890897" w:rsidRPr="00FC6087">
        <w:rPr>
          <w:color w:val="000000" w:themeColor="text1"/>
        </w:rPr>
        <w:t>;</w:t>
      </w:r>
      <w:r w:rsidRPr="00FC6087">
        <w:rPr>
          <w:color w:val="000000" w:themeColor="text1"/>
        </w:rPr>
        <w:t xml:space="preserve"> MSV = maximum shared variance</w:t>
      </w:r>
      <w:r w:rsidR="00890897" w:rsidRPr="00FC6087">
        <w:rPr>
          <w:color w:val="000000" w:themeColor="text1"/>
        </w:rPr>
        <w:t>;</w:t>
      </w:r>
      <w:r w:rsidRPr="00FC6087">
        <w:rPr>
          <w:color w:val="000000" w:themeColor="text1"/>
        </w:rPr>
        <w:t xml:space="preserve"> SG = strategic governance</w:t>
      </w:r>
      <w:r w:rsidR="00890897" w:rsidRPr="00FC6087">
        <w:rPr>
          <w:color w:val="000000" w:themeColor="text1"/>
        </w:rPr>
        <w:t>;</w:t>
      </w:r>
      <w:r w:rsidRPr="00FC6087">
        <w:rPr>
          <w:color w:val="000000" w:themeColor="text1"/>
        </w:rPr>
        <w:t xml:space="preserve"> QM = quality management</w:t>
      </w:r>
      <w:r w:rsidR="00A10310" w:rsidRPr="00FC6087">
        <w:rPr>
          <w:color w:val="000000" w:themeColor="text1"/>
        </w:rPr>
        <w:t>;</w:t>
      </w:r>
      <w:r w:rsidRPr="00FC6087">
        <w:rPr>
          <w:color w:val="000000" w:themeColor="text1"/>
        </w:rPr>
        <w:t xml:space="preserve"> IS = information sharing</w:t>
      </w:r>
      <w:r w:rsidR="00A10310" w:rsidRPr="00FC6087">
        <w:rPr>
          <w:color w:val="000000" w:themeColor="text1"/>
        </w:rPr>
        <w:t>;</w:t>
      </w:r>
      <w:r w:rsidRPr="00FC6087">
        <w:rPr>
          <w:color w:val="000000" w:themeColor="text1"/>
        </w:rPr>
        <w:t xml:space="preserve"> TI = technology infrastructure. The italicized values on the diagonal indicate the square roots of the AVE.</w:t>
      </w:r>
    </w:p>
    <w:p w14:paraId="7D516ACA" w14:textId="77777777" w:rsidR="00A10310" w:rsidRPr="00FC6087" w:rsidRDefault="00A10310" w:rsidP="001870D4">
      <w:pPr>
        <w:pStyle w:val="APAParagraph"/>
        <w:ind w:firstLine="0"/>
        <w:rPr>
          <w:color w:val="000000" w:themeColor="text1"/>
        </w:rPr>
      </w:pPr>
    </w:p>
    <w:p w14:paraId="7D516ACB" w14:textId="56C9BECF" w:rsidR="00FD4D49" w:rsidRPr="00FC6087" w:rsidRDefault="00FD4D49" w:rsidP="00790070">
      <w:pPr>
        <w:pStyle w:val="APAParagraph"/>
        <w:ind w:firstLine="720"/>
        <w:rPr>
          <w:color w:val="000000" w:themeColor="text1"/>
        </w:rPr>
      </w:pPr>
      <w:r w:rsidRPr="00FC6087">
        <w:rPr>
          <w:color w:val="000000" w:themeColor="text1"/>
        </w:rPr>
        <w:t>The current version of the model was compared to a constrained version with an added common latent factor (representative of response bias) and specific bias factors, and the paths from the specific bias factors to other indicators were constrained. The result of this comparison was significant (</w:t>
      </w:r>
      <w:r w:rsidRPr="00FC6087">
        <w:rPr>
          <w:i/>
          <w:color w:val="000000" w:themeColor="text1"/>
        </w:rPr>
        <w:t>χ</w:t>
      </w:r>
      <w:r w:rsidRPr="00FC6087">
        <w:rPr>
          <w:color w:val="000000" w:themeColor="text1"/>
          <w:vertAlign w:val="superscript"/>
        </w:rPr>
        <w:t>2</w:t>
      </w:r>
      <w:r w:rsidRPr="00FC6087">
        <w:rPr>
          <w:color w:val="000000" w:themeColor="text1"/>
        </w:rPr>
        <w:t xml:space="preserve"> = 103, df = 22, </w:t>
      </w:r>
      <w:r w:rsidRPr="00FC6087">
        <w:rPr>
          <w:i/>
          <w:color w:val="000000" w:themeColor="text1"/>
        </w:rPr>
        <w:t>p</w:t>
      </w:r>
      <w:r w:rsidR="00460C4E">
        <w:rPr>
          <w:i/>
          <w:color w:val="000000" w:themeColor="text1"/>
        </w:rPr>
        <w:t xml:space="preserve"> </w:t>
      </w:r>
      <w:r w:rsidRPr="00FC6087">
        <w:rPr>
          <w:color w:val="000000" w:themeColor="text1"/>
        </w:rPr>
        <w:t>&lt;</w:t>
      </w:r>
      <w:r w:rsidR="00460C4E">
        <w:rPr>
          <w:color w:val="000000" w:themeColor="text1"/>
        </w:rPr>
        <w:t xml:space="preserve"> </w:t>
      </w:r>
      <w:r w:rsidR="004748C8" w:rsidRPr="00FC6087">
        <w:rPr>
          <w:color w:val="000000" w:themeColor="text1"/>
        </w:rPr>
        <w:t>0</w:t>
      </w:r>
      <w:r w:rsidRPr="00FC6087">
        <w:rPr>
          <w:color w:val="000000" w:themeColor="text1"/>
        </w:rPr>
        <w:t>.001), meaning there is a significant degree of variability between the two models, indicating a non-negotiable effect of the response bias and a need to impute a factor to parcel out the effect of the bias factors.</w:t>
      </w:r>
    </w:p>
    <w:p w14:paraId="7D516ACC" w14:textId="21795E00" w:rsidR="00FD4D49" w:rsidRPr="00FC6087" w:rsidRDefault="00186D0B" w:rsidP="00206E2A">
      <w:pPr>
        <w:pStyle w:val="Heading2"/>
      </w:pPr>
      <w:bookmarkStart w:id="145" w:name="_Toc24447806"/>
      <w:r>
        <w:lastRenderedPageBreak/>
        <w:t>5.</w:t>
      </w:r>
      <w:r w:rsidR="00206E2A">
        <w:t>3</w:t>
      </w:r>
      <w:r w:rsidR="00E859BF" w:rsidRPr="00FC6087">
        <w:t xml:space="preserve">.6. </w:t>
      </w:r>
      <w:r w:rsidR="00FD4D49" w:rsidRPr="00FC6087">
        <w:t xml:space="preserve">Structural </w:t>
      </w:r>
      <w:r w:rsidR="004748C8" w:rsidRPr="00FC6087">
        <w:t>M</w:t>
      </w:r>
      <w:r w:rsidR="00FD4D49" w:rsidRPr="00FC6087">
        <w:t xml:space="preserve">odel for </w:t>
      </w:r>
      <w:r w:rsidR="004748C8" w:rsidRPr="00FC6087">
        <w:t>M</w:t>
      </w:r>
      <w:r w:rsidR="00FD4D49" w:rsidRPr="00FC6087">
        <w:t>otivators (Second</w:t>
      </w:r>
      <w:r w:rsidR="004748C8" w:rsidRPr="00FC6087">
        <w:t>-O</w:t>
      </w:r>
      <w:r w:rsidR="00FD4D49" w:rsidRPr="00FC6087">
        <w:t xml:space="preserve">rder CFA </w:t>
      </w:r>
      <w:r w:rsidR="004748C8" w:rsidRPr="00FC6087">
        <w:t>M</w:t>
      </w:r>
      <w:r w:rsidR="00FD4D49" w:rsidRPr="00FC6087">
        <w:t>odel)</w:t>
      </w:r>
      <w:bookmarkEnd w:id="145"/>
    </w:p>
    <w:p w14:paraId="7D516ACD" w14:textId="77777777" w:rsidR="00FD4D49" w:rsidRPr="00FC6087" w:rsidRDefault="00FD4D49" w:rsidP="00FD4D49">
      <w:pPr>
        <w:pStyle w:val="APAParagraph"/>
        <w:rPr>
          <w:color w:val="000000" w:themeColor="text1"/>
        </w:rPr>
      </w:pPr>
      <w:r w:rsidRPr="00FC6087">
        <w:rPr>
          <w:color w:val="000000" w:themeColor="text1"/>
        </w:rPr>
        <w:t>Next, a second-order CFA was conducted to model how the four latent motivator factors relate to the key outcome variable of technology adoption. This analysis revealed strong path coefficients (i.e. &gt;</w:t>
      </w:r>
      <w:r w:rsidR="004748C8" w:rsidRPr="00FC6087">
        <w:rPr>
          <w:color w:val="000000" w:themeColor="text1"/>
        </w:rPr>
        <w:t xml:space="preserve"> 0</w:t>
      </w:r>
      <w:r w:rsidRPr="00FC6087">
        <w:rPr>
          <w:color w:val="000000" w:themeColor="text1"/>
        </w:rPr>
        <w:t>.75) for the relationships of each of the four factors to technology adoption, with the path for SG being strongest (</w:t>
      </w:r>
      <w:r w:rsidR="004748C8" w:rsidRPr="00FC6087">
        <w:rPr>
          <w:color w:val="000000" w:themeColor="text1"/>
        </w:rPr>
        <w:t>0</w:t>
      </w:r>
      <w:r w:rsidRPr="00FC6087">
        <w:rPr>
          <w:color w:val="000000" w:themeColor="text1"/>
        </w:rPr>
        <w:t>.85), followed by TI (</w:t>
      </w:r>
      <w:r w:rsidR="004748C8" w:rsidRPr="00FC6087">
        <w:rPr>
          <w:color w:val="000000" w:themeColor="text1"/>
        </w:rPr>
        <w:t>0</w:t>
      </w:r>
      <w:r w:rsidRPr="00FC6087">
        <w:rPr>
          <w:color w:val="000000" w:themeColor="text1"/>
        </w:rPr>
        <w:t>.82), and then QM and IS, which were equal in strength (</w:t>
      </w:r>
      <w:r w:rsidR="004748C8" w:rsidRPr="00FC6087">
        <w:rPr>
          <w:color w:val="000000" w:themeColor="text1"/>
        </w:rPr>
        <w:t>0</w:t>
      </w:r>
      <w:r w:rsidRPr="00FC6087">
        <w:rPr>
          <w:color w:val="000000" w:themeColor="text1"/>
        </w:rPr>
        <w:t>.78). Figure 5.2 shows the visualization of this model, including the path strengths between the individual items and their respective factors. The GOF indices, along with their recommended values, can be seen in Table 5.6. As with the first-order CFA, these indices are all within the recommended values/intervals, indicating that the model shows a good fit to the data.</w:t>
      </w:r>
    </w:p>
    <w:p w14:paraId="7514440F" w14:textId="77777777" w:rsidR="00CF6EFF" w:rsidRDefault="00CF6EFF">
      <w:pPr>
        <w:rPr>
          <w:rFonts w:eastAsia="Times New Roman"/>
          <w:bCs/>
          <w:i/>
          <w:color w:val="000000" w:themeColor="text1"/>
        </w:rPr>
      </w:pPr>
      <w:r>
        <w:rPr>
          <w:b/>
          <w:i/>
          <w:color w:val="000000" w:themeColor="text1"/>
        </w:rPr>
        <w:br w:type="page"/>
      </w:r>
    </w:p>
    <w:p w14:paraId="0095B232" w14:textId="403EA475" w:rsidR="00CF6EFF" w:rsidRPr="00FC6087" w:rsidRDefault="00CF6EFF" w:rsidP="00CF6EFF">
      <w:pPr>
        <w:pStyle w:val="Caption"/>
        <w:jc w:val="left"/>
        <w:rPr>
          <w:b w:val="0"/>
          <w:noProof w:val="0"/>
          <w:color w:val="000000" w:themeColor="text1"/>
          <w:sz w:val="24"/>
          <w:szCs w:val="24"/>
          <w:rtl/>
          <w:lang w:bidi="ar-DZ"/>
        </w:rPr>
      </w:pPr>
      <w:r w:rsidRPr="00FC6087">
        <w:rPr>
          <w:b w:val="0"/>
          <w:i/>
          <w:noProof w:val="0"/>
          <w:color w:val="000000" w:themeColor="text1"/>
          <w:sz w:val="24"/>
          <w:szCs w:val="24"/>
        </w:rPr>
        <w:lastRenderedPageBreak/>
        <w:t>Figure 5.</w:t>
      </w:r>
      <w:r w:rsidRPr="00FC6087">
        <w:rPr>
          <w:b w:val="0"/>
          <w:i/>
          <w:noProof w:val="0"/>
          <w:color w:val="000000" w:themeColor="text1"/>
          <w:sz w:val="24"/>
          <w:szCs w:val="24"/>
        </w:rPr>
        <w:fldChar w:fldCharType="begin"/>
      </w:r>
      <w:r w:rsidRPr="00FC6087">
        <w:rPr>
          <w:b w:val="0"/>
          <w:i/>
          <w:noProof w:val="0"/>
          <w:color w:val="000000" w:themeColor="text1"/>
          <w:sz w:val="24"/>
          <w:szCs w:val="24"/>
        </w:rPr>
        <w:instrText xml:space="preserve"> SEQ Figure_5. \* ARABIC </w:instrText>
      </w:r>
      <w:r w:rsidRPr="00FC6087">
        <w:rPr>
          <w:b w:val="0"/>
          <w:i/>
          <w:noProof w:val="0"/>
          <w:color w:val="000000" w:themeColor="text1"/>
          <w:sz w:val="24"/>
          <w:szCs w:val="24"/>
        </w:rPr>
        <w:fldChar w:fldCharType="separate"/>
      </w:r>
      <w:r w:rsidR="004C1C5E">
        <w:rPr>
          <w:b w:val="0"/>
          <w:i/>
          <w:color w:val="000000" w:themeColor="text1"/>
          <w:sz w:val="24"/>
          <w:szCs w:val="24"/>
        </w:rPr>
        <w:t>2</w:t>
      </w:r>
      <w:r w:rsidRPr="00FC6087">
        <w:rPr>
          <w:b w:val="0"/>
          <w:i/>
          <w:noProof w:val="0"/>
          <w:color w:val="000000" w:themeColor="text1"/>
          <w:sz w:val="24"/>
          <w:szCs w:val="24"/>
        </w:rPr>
        <w:fldChar w:fldCharType="end"/>
      </w:r>
      <w:r w:rsidRPr="00FC6087">
        <w:rPr>
          <w:b w:val="0"/>
          <w:i/>
          <w:noProof w:val="0"/>
          <w:color w:val="000000" w:themeColor="text1"/>
          <w:sz w:val="24"/>
          <w:szCs w:val="24"/>
        </w:rPr>
        <w:t>.</w:t>
      </w:r>
      <w:r w:rsidRPr="00FC6087">
        <w:rPr>
          <w:b w:val="0"/>
          <w:noProof w:val="0"/>
          <w:color w:val="000000" w:themeColor="text1"/>
          <w:sz w:val="24"/>
          <w:szCs w:val="24"/>
        </w:rPr>
        <w:t xml:space="preserve"> Structural model for motivators (second-order CFA model)</w:t>
      </w:r>
    </w:p>
    <w:p w14:paraId="36E808F2" w14:textId="77777777" w:rsidR="00CF6EFF" w:rsidRPr="00FC6087" w:rsidRDefault="00CF6EFF" w:rsidP="00CF6EFF">
      <w:pPr>
        <w:keepNext/>
        <w:contextualSpacing/>
        <w:jc w:val="center"/>
        <w:rPr>
          <w:color w:val="000000" w:themeColor="text1"/>
        </w:rPr>
      </w:pPr>
      <w:r w:rsidRPr="00C0447D">
        <w:rPr>
          <w:noProof/>
          <w:color w:val="000000" w:themeColor="text1"/>
        </w:rPr>
        <w:drawing>
          <wp:inline distT="0" distB="0" distL="0" distR="0" wp14:anchorId="2561C18C" wp14:editId="324AEEB4">
            <wp:extent cx="5656927" cy="481990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3544" t="7638" r="1250" b="29680"/>
                    <a:stretch/>
                  </pic:blipFill>
                  <pic:spPr bwMode="auto">
                    <a:xfrm>
                      <a:off x="0" y="0"/>
                      <a:ext cx="5658595" cy="4821326"/>
                    </a:xfrm>
                    <a:prstGeom prst="rect">
                      <a:avLst/>
                    </a:prstGeom>
                    <a:ln>
                      <a:noFill/>
                    </a:ln>
                    <a:extLst>
                      <a:ext uri="{53640926-AAD7-44D8-BBD7-CCE9431645EC}">
                        <a14:shadowObscured xmlns:a14="http://schemas.microsoft.com/office/drawing/2010/main"/>
                      </a:ext>
                    </a:extLst>
                  </pic:spPr>
                </pic:pic>
              </a:graphicData>
            </a:graphic>
          </wp:inline>
        </w:drawing>
      </w:r>
    </w:p>
    <w:p w14:paraId="7EABF1A2" w14:textId="77777777" w:rsidR="00CF6EFF" w:rsidRPr="00FC6087" w:rsidRDefault="00CF6EFF" w:rsidP="00CF6EFF">
      <w:pPr>
        <w:pStyle w:val="APAParagraph"/>
        <w:ind w:firstLine="709"/>
        <w:rPr>
          <w:color w:val="000000" w:themeColor="text1"/>
        </w:rPr>
      </w:pPr>
    </w:p>
    <w:p w14:paraId="7D516ACE" w14:textId="77777777" w:rsidR="004748C8" w:rsidRPr="00FC6087" w:rsidRDefault="004748C8" w:rsidP="00FD4D49">
      <w:pPr>
        <w:pStyle w:val="APAParagraph"/>
        <w:rPr>
          <w:color w:val="000000" w:themeColor="text1"/>
        </w:rPr>
      </w:pPr>
    </w:p>
    <w:p w14:paraId="39346D71" w14:textId="77777777" w:rsidR="00551162" w:rsidRDefault="00551162">
      <w:pPr>
        <w:rPr>
          <w:rFonts w:eastAsia="Times New Roman"/>
          <w:bCs/>
          <w:color w:val="000000" w:themeColor="text1"/>
        </w:rPr>
      </w:pPr>
      <w:bookmarkStart w:id="146" w:name="_Toc534121150"/>
      <w:r>
        <w:rPr>
          <w:b/>
          <w:color w:val="000000" w:themeColor="text1"/>
        </w:rPr>
        <w:br w:type="page"/>
      </w:r>
    </w:p>
    <w:p w14:paraId="7D516ACF" w14:textId="43B87492" w:rsidR="004748C8" w:rsidRPr="00790070" w:rsidRDefault="004748C8" w:rsidP="00B3578B">
      <w:pPr>
        <w:pStyle w:val="Caption"/>
        <w:jc w:val="left"/>
        <w:rPr>
          <w:b w:val="0"/>
          <w:i/>
          <w:noProof w:val="0"/>
          <w:color w:val="000000" w:themeColor="text1"/>
          <w:sz w:val="24"/>
          <w:szCs w:val="24"/>
        </w:rPr>
      </w:pPr>
      <w:r w:rsidRPr="00790070">
        <w:rPr>
          <w:b w:val="0"/>
          <w:noProof w:val="0"/>
          <w:color w:val="000000" w:themeColor="text1"/>
          <w:sz w:val="24"/>
          <w:szCs w:val="24"/>
        </w:rPr>
        <w:lastRenderedPageBreak/>
        <w:t>Table 5.</w:t>
      </w:r>
      <w:r w:rsidR="000270F9">
        <w:rPr>
          <w:b w:val="0"/>
          <w:noProof w:val="0"/>
          <w:color w:val="000000" w:themeColor="text1"/>
          <w:sz w:val="24"/>
          <w:szCs w:val="24"/>
        </w:rPr>
        <w:t>7</w:t>
      </w:r>
      <w:r w:rsidRPr="00790070">
        <w:rPr>
          <w:b w:val="0"/>
          <w:noProof w:val="0"/>
          <w:color w:val="000000" w:themeColor="text1"/>
          <w:sz w:val="24"/>
          <w:szCs w:val="24"/>
        </w:rPr>
        <w:br/>
      </w:r>
      <w:r w:rsidRPr="00790070">
        <w:rPr>
          <w:b w:val="0"/>
          <w:i/>
          <w:noProof w:val="0"/>
          <w:color w:val="000000" w:themeColor="text1"/>
          <w:sz w:val="24"/>
          <w:szCs w:val="24"/>
          <w:lang w:bidi="ar-DZ"/>
        </w:rPr>
        <w:t>Goodness</w:t>
      </w:r>
      <w:r w:rsidR="0093641E">
        <w:rPr>
          <w:b w:val="0"/>
          <w:i/>
          <w:noProof w:val="0"/>
          <w:color w:val="000000" w:themeColor="text1"/>
          <w:sz w:val="24"/>
          <w:szCs w:val="24"/>
          <w:lang w:bidi="ar-DZ"/>
        </w:rPr>
        <w:t>-</w:t>
      </w:r>
      <w:r w:rsidRPr="00790070">
        <w:rPr>
          <w:b w:val="0"/>
          <w:i/>
          <w:noProof w:val="0"/>
          <w:color w:val="000000" w:themeColor="text1"/>
          <w:sz w:val="24"/>
          <w:szCs w:val="24"/>
          <w:lang w:bidi="ar-DZ"/>
        </w:rPr>
        <w:t>of</w:t>
      </w:r>
      <w:r w:rsidR="0093641E">
        <w:rPr>
          <w:b w:val="0"/>
          <w:i/>
          <w:noProof w:val="0"/>
          <w:color w:val="000000" w:themeColor="text1"/>
          <w:sz w:val="24"/>
          <w:szCs w:val="24"/>
          <w:lang w:bidi="ar-DZ"/>
        </w:rPr>
        <w:t>-</w:t>
      </w:r>
      <w:r w:rsidRPr="00790070">
        <w:rPr>
          <w:b w:val="0"/>
          <w:i/>
          <w:noProof w:val="0"/>
          <w:color w:val="000000" w:themeColor="text1"/>
          <w:sz w:val="24"/>
          <w:szCs w:val="24"/>
          <w:lang w:bidi="ar-DZ"/>
        </w:rPr>
        <w:t>Fit Indices for the Second-Order Model on Motivators</w:t>
      </w:r>
      <w:bookmarkEnd w:id="146"/>
    </w:p>
    <w:tbl>
      <w:tblPr>
        <w:tblW w:w="7840" w:type="dxa"/>
        <w:jc w:val="center"/>
        <w:tblBorders>
          <w:top w:val="single" w:sz="4" w:space="0" w:color="auto"/>
          <w:bottom w:val="single" w:sz="4" w:space="0" w:color="auto"/>
        </w:tblBorders>
        <w:tblLook w:val="04A0" w:firstRow="1" w:lastRow="0" w:firstColumn="1" w:lastColumn="0" w:noHBand="0" w:noVBand="1"/>
      </w:tblPr>
      <w:tblGrid>
        <w:gridCol w:w="1792"/>
        <w:gridCol w:w="1872"/>
        <w:gridCol w:w="4176"/>
      </w:tblGrid>
      <w:tr w:rsidR="006B1994" w:rsidRPr="00FC6087" w14:paraId="7D516AD3" w14:textId="77777777" w:rsidTr="006D69FF">
        <w:trPr>
          <w:trHeight w:val="576"/>
          <w:jc w:val="center"/>
        </w:trPr>
        <w:tc>
          <w:tcPr>
            <w:tcW w:w="1792" w:type="dxa"/>
            <w:tcBorders>
              <w:top w:val="single" w:sz="18" w:space="0" w:color="auto"/>
              <w:bottom w:val="single" w:sz="12" w:space="0" w:color="auto"/>
            </w:tcBorders>
            <w:shd w:val="clear" w:color="auto" w:fill="auto"/>
            <w:vAlign w:val="bottom"/>
            <w:hideMark/>
          </w:tcPr>
          <w:p w14:paraId="7D516AD0" w14:textId="77777777" w:rsidR="00FD4D49" w:rsidRPr="00790070" w:rsidRDefault="00FD4D49" w:rsidP="00790070">
            <w:pPr>
              <w:spacing w:line="360" w:lineRule="auto"/>
              <w:ind w:left="176"/>
              <w:contextualSpacing/>
              <w:rPr>
                <w:color w:val="000000" w:themeColor="text1"/>
              </w:rPr>
            </w:pPr>
            <w:r w:rsidRPr="00790070">
              <w:rPr>
                <w:color w:val="000000" w:themeColor="text1"/>
              </w:rPr>
              <w:t>Model</w:t>
            </w:r>
          </w:p>
        </w:tc>
        <w:tc>
          <w:tcPr>
            <w:tcW w:w="1872" w:type="dxa"/>
            <w:tcBorders>
              <w:top w:val="single" w:sz="18" w:space="0" w:color="auto"/>
              <w:bottom w:val="single" w:sz="12" w:space="0" w:color="auto"/>
            </w:tcBorders>
            <w:shd w:val="clear" w:color="auto" w:fill="auto"/>
            <w:vAlign w:val="bottom"/>
            <w:hideMark/>
          </w:tcPr>
          <w:p w14:paraId="7D516AD1" w14:textId="77777777" w:rsidR="00FD4D49" w:rsidRPr="00790070" w:rsidRDefault="00FD4D49" w:rsidP="00790070">
            <w:pPr>
              <w:spacing w:line="360" w:lineRule="auto"/>
              <w:contextualSpacing/>
              <w:rPr>
                <w:bCs/>
                <w:color w:val="000000" w:themeColor="text1"/>
              </w:rPr>
            </w:pPr>
            <w:r w:rsidRPr="00790070">
              <w:rPr>
                <w:bCs/>
                <w:color w:val="000000" w:themeColor="text1"/>
              </w:rPr>
              <w:t xml:space="preserve">Obtained Value </w:t>
            </w:r>
          </w:p>
        </w:tc>
        <w:tc>
          <w:tcPr>
            <w:tcW w:w="4176" w:type="dxa"/>
            <w:tcBorders>
              <w:top w:val="single" w:sz="18" w:space="0" w:color="auto"/>
              <w:bottom w:val="single" w:sz="12" w:space="0" w:color="auto"/>
            </w:tcBorders>
            <w:shd w:val="clear" w:color="auto" w:fill="auto"/>
            <w:vAlign w:val="bottom"/>
            <w:hideMark/>
          </w:tcPr>
          <w:p w14:paraId="7D516AD2" w14:textId="77777777" w:rsidR="00FD4D49" w:rsidRPr="00790070" w:rsidRDefault="00FD4D49" w:rsidP="00790070">
            <w:pPr>
              <w:spacing w:line="360" w:lineRule="auto"/>
              <w:ind w:right="162"/>
              <w:contextualSpacing/>
              <w:rPr>
                <w:bCs/>
                <w:color w:val="000000" w:themeColor="text1"/>
                <w:lang w:bidi="ar-DZ"/>
              </w:rPr>
            </w:pPr>
            <w:r w:rsidRPr="00790070">
              <w:rPr>
                <w:bCs/>
                <w:color w:val="000000" w:themeColor="text1"/>
              </w:rPr>
              <w:t>Recommended Value</w:t>
            </w:r>
          </w:p>
        </w:tc>
      </w:tr>
      <w:tr w:rsidR="00FD4D49" w:rsidRPr="00FC6087" w14:paraId="7D516AD7" w14:textId="77777777" w:rsidTr="006D69FF">
        <w:trPr>
          <w:trHeight w:val="576"/>
          <w:jc w:val="center"/>
        </w:trPr>
        <w:tc>
          <w:tcPr>
            <w:tcW w:w="1792" w:type="dxa"/>
            <w:tcBorders>
              <w:top w:val="single" w:sz="12" w:space="0" w:color="auto"/>
            </w:tcBorders>
            <w:shd w:val="clear" w:color="auto" w:fill="auto"/>
            <w:vAlign w:val="bottom"/>
            <w:hideMark/>
          </w:tcPr>
          <w:p w14:paraId="7D516AD4" w14:textId="77777777" w:rsidR="00FD4D49" w:rsidRPr="00790070" w:rsidRDefault="00FD4D49" w:rsidP="00790070">
            <w:pPr>
              <w:spacing w:line="360" w:lineRule="auto"/>
              <w:ind w:left="176"/>
              <w:contextualSpacing/>
              <w:rPr>
                <w:bCs/>
                <w:color w:val="000000" w:themeColor="text1"/>
              </w:rPr>
            </w:pPr>
            <w:r w:rsidRPr="00790070">
              <w:rPr>
                <w:bCs/>
                <w:color w:val="000000" w:themeColor="text1"/>
              </w:rPr>
              <w:t>χ</w:t>
            </w:r>
            <w:r w:rsidRPr="00790070">
              <w:rPr>
                <w:bCs/>
                <w:color w:val="000000" w:themeColor="text1"/>
                <w:vertAlign w:val="superscript"/>
              </w:rPr>
              <w:t>2</w:t>
            </w:r>
            <w:r w:rsidRPr="00790070">
              <w:rPr>
                <w:bCs/>
                <w:color w:val="000000" w:themeColor="text1"/>
              </w:rPr>
              <w:t>/df</w:t>
            </w:r>
          </w:p>
        </w:tc>
        <w:tc>
          <w:tcPr>
            <w:tcW w:w="1872" w:type="dxa"/>
            <w:tcBorders>
              <w:top w:val="single" w:sz="12" w:space="0" w:color="auto"/>
            </w:tcBorders>
            <w:shd w:val="clear" w:color="auto" w:fill="auto"/>
            <w:vAlign w:val="bottom"/>
            <w:hideMark/>
          </w:tcPr>
          <w:p w14:paraId="7D516AD5" w14:textId="77777777" w:rsidR="00FD4D49" w:rsidRPr="00FC6087" w:rsidRDefault="00FD4D49" w:rsidP="00790070">
            <w:pPr>
              <w:spacing w:line="360" w:lineRule="auto"/>
              <w:contextualSpacing/>
              <w:rPr>
                <w:bCs/>
                <w:color w:val="000000" w:themeColor="text1"/>
              </w:rPr>
            </w:pPr>
            <w:r w:rsidRPr="00FC6087">
              <w:rPr>
                <w:bCs/>
                <w:color w:val="000000" w:themeColor="text1"/>
              </w:rPr>
              <w:t>2.21</w:t>
            </w:r>
          </w:p>
        </w:tc>
        <w:tc>
          <w:tcPr>
            <w:tcW w:w="4176" w:type="dxa"/>
            <w:tcBorders>
              <w:top w:val="single" w:sz="12" w:space="0" w:color="auto"/>
            </w:tcBorders>
            <w:shd w:val="clear" w:color="auto" w:fill="auto"/>
            <w:vAlign w:val="bottom"/>
            <w:hideMark/>
          </w:tcPr>
          <w:p w14:paraId="7D516AD6" w14:textId="77777777" w:rsidR="00FD4D49" w:rsidRPr="00FC6087" w:rsidRDefault="00FD4D49" w:rsidP="00790070">
            <w:pPr>
              <w:spacing w:line="360" w:lineRule="auto"/>
              <w:contextualSpacing/>
              <w:rPr>
                <w:color w:val="000000" w:themeColor="text1"/>
              </w:rPr>
            </w:pPr>
            <w:r w:rsidRPr="00FC6087">
              <w:rPr>
                <w:color w:val="000000" w:themeColor="text1"/>
              </w:rPr>
              <w:t xml:space="preserve">&lt; 3 </w:t>
            </w:r>
          </w:p>
        </w:tc>
      </w:tr>
      <w:tr w:rsidR="006B1994" w:rsidRPr="00FC6087" w14:paraId="7D516ADB" w14:textId="77777777" w:rsidTr="006D69FF">
        <w:trPr>
          <w:trHeight w:val="576"/>
          <w:jc w:val="center"/>
        </w:trPr>
        <w:tc>
          <w:tcPr>
            <w:tcW w:w="1792" w:type="dxa"/>
            <w:shd w:val="clear" w:color="auto" w:fill="auto"/>
            <w:vAlign w:val="bottom"/>
            <w:hideMark/>
          </w:tcPr>
          <w:p w14:paraId="7D516AD8" w14:textId="77777777" w:rsidR="00FD4D49" w:rsidRPr="00790070" w:rsidRDefault="00FD4D49" w:rsidP="00790070">
            <w:pPr>
              <w:spacing w:line="360" w:lineRule="auto"/>
              <w:ind w:left="176"/>
              <w:contextualSpacing/>
              <w:rPr>
                <w:bCs/>
                <w:color w:val="000000" w:themeColor="text1"/>
              </w:rPr>
            </w:pPr>
            <w:r w:rsidRPr="00790070">
              <w:rPr>
                <w:bCs/>
                <w:color w:val="000000" w:themeColor="text1"/>
              </w:rPr>
              <w:t>GFI</w:t>
            </w:r>
          </w:p>
        </w:tc>
        <w:tc>
          <w:tcPr>
            <w:tcW w:w="1872" w:type="dxa"/>
            <w:shd w:val="clear" w:color="auto" w:fill="auto"/>
            <w:vAlign w:val="bottom"/>
            <w:hideMark/>
          </w:tcPr>
          <w:p w14:paraId="7D516AD9" w14:textId="77777777" w:rsidR="00FD4D49" w:rsidRPr="00FC6087" w:rsidRDefault="00FD4D49" w:rsidP="00790070">
            <w:pPr>
              <w:spacing w:line="360" w:lineRule="auto"/>
              <w:contextualSpacing/>
              <w:rPr>
                <w:bCs/>
                <w:color w:val="000000" w:themeColor="text1"/>
              </w:rPr>
            </w:pPr>
            <w:r w:rsidRPr="00FC6087">
              <w:rPr>
                <w:bCs/>
                <w:color w:val="000000" w:themeColor="text1"/>
              </w:rPr>
              <w:t>0.90</w:t>
            </w:r>
          </w:p>
        </w:tc>
        <w:tc>
          <w:tcPr>
            <w:tcW w:w="4176" w:type="dxa"/>
            <w:shd w:val="clear" w:color="auto" w:fill="auto"/>
            <w:vAlign w:val="bottom"/>
            <w:hideMark/>
          </w:tcPr>
          <w:p w14:paraId="7D516ADA" w14:textId="77777777" w:rsidR="00FD4D49" w:rsidRPr="00FC6087" w:rsidRDefault="004748C8" w:rsidP="00790070">
            <w:pPr>
              <w:spacing w:line="360" w:lineRule="auto"/>
              <w:contextualSpacing/>
              <w:rPr>
                <w:color w:val="000000" w:themeColor="text1"/>
              </w:rPr>
            </w:pPr>
            <w:r w:rsidRPr="00FC6087">
              <w:rPr>
                <w:color w:val="000000" w:themeColor="text1"/>
              </w:rPr>
              <w:t>0</w:t>
            </w:r>
            <w:r w:rsidR="00FD4D49" w:rsidRPr="00FC6087">
              <w:rPr>
                <w:color w:val="000000" w:themeColor="text1"/>
              </w:rPr>
              <w:t>.90–1.0 (Hoyle, 2000; Kline, 2005)</w:t>
            </w:r>
          </w:p>
        </w:tc>
      </w:tr>
      <w:tr w:rsidR="00FD4D49" w:rsidRPr="00FC6087" w14:paraId="7D516ADF" w14:textId="77777777" w:rsidTr="006D69FF">
        <w:trPr>
          <w:trHeight w:val="576"/>
          <w:jc w:val="center"/>
        </w:trPr>
        <w:tc>
          <w:tcPr>
            <w:tcW w:w="1792" w:type="dxa"/>
            <w:shd w:val="clear" w:color="auto" w:fill="auto"/>
            <w:vAlign w:val="bottom"/>
            <w:hideMark/>
          </w:tcPr>
          <w:p w14:paraId="7D516ADC" w14:textId="77777777" w:rsidR="00FD4D49" w:rsidRPr="00790070" w:rsidRDefault="00FD4D49" w:rsidP="00790070">
            <w:pPr>
              <w:spacing w:line="360" w:lineRule="auto"/>
              <w:ind w:left="176"/>
              <w:contextualSpacing/>
              <w:rPr>
                <w:bCs/>
                <w:color w:val="000000" w:themeColor="text1"/>
              </w:rPr>
            </w:pPr>
            <w:r w:rsidRPr="00790070">
              <w:rPr>
                <w:bCs/>
                <w:color w:val="000000" w:themeColor="text1"/>
              </w:rPr>
              <w:t>RM</w:t>
            </w:r>
            <w:r w:rsidR="0057632D">
              <w:rPr>
                <w:bCs/>
                <w:color w:val="000000" w:themeColor="text1"/>
              </w:rPr>
              <w:t>S</w:t>
            </w:r>
            <w:r w:rsidRPr="00790070">
              <w:rPr>
                <w:bCs/>
                <w:color w:val="000000" w:themeColor="text1"/>
              </w:rPr>
              <w:t>R</w:t>
            </w:r>
          </w:p>
        </w:tc>
        <w:tc>
          <w:tcPr>
            <w:tcW w:w="1872" w:type="dxa"/>
            <w:shd w:val="clear" w:color="auto" w:fill="auto"/>
            <w:vAlign w:val="bottom"/>
            <w:hideMark/>
          </w:tcPr>
          <w:p w14:paraId="7D516ADD" w14:textId="77777777" w:rsidR="00FD4D49" w:rsidRPr="00FC6087" w:rsidRDefault="00FD4D49" w:rsidP="00790070">
            <w:pPr>
              <w:spacing w:line="360" w:lineRule="auto"/>
              <w:contextualSpacing/>
              <w:rPr>
                <w:bCs/>
                <w:color w:val="000000" w:themeColor="text1"/>
              </w:rPr>
            </w:pPr>
            <w:r w:rsidRPr="00FC6087">
              <w:rPr>
                <w:bCs/>
                <w:color w:val="000000" w:themeColor="text1"/>
              </w:rPr>
              <w:t>0.04</w:t>
            </w:r>
          </w:p>
        </w:tc>
        <w:tc>
          <w:tcPr>
            <w:tcW w:w="4176" w:type="dxa"/>
            <w:shd w:val="clear" w:color="auto" w:fill="auto"/>
            <w:vAlign w:val="bottom"/>
            <w:hideMark/>
          </w:tcPr>
          <w:p w14:paraId="7D516ADE" w14:textId="4E90164F" w:rsidR="00FD4D49" w:rsidRPr="00FC6087" w:rsidRDefault="00FD4D49" w:rsidP="00790070">
            <w:pPr>
              <w:spacing w:line="360" w:lineRule="auto"/>
              <w:contextualSpacing/>
              <w:rPr>
                <w:color w:val="000000" w:themeColor="text1"/>
              </w:rPr>
            </w:pPr>
            <w:r w:rsidRPr="00FC6087">
              <w:rPr>
                <w:color w:val="000000" w:themeColor="text1"/>
              </w:rPr>
              <w:t>&lt;</w:t>
            </w:r>
            <w:r w:rsidR="00460C4E">
              <w:rPr>
                <w:color w:val="000000" w:themeColor="text1"/>
              </w:rPr>
              <w:t xml:space="preserve"> </w:t>
            </w:r>
            <w:r w:rsidR="004748C8" w:rsidRPr="00FC6087">
              <w:rPr>
                <w:color w:val="000000" w:themeColor="text1"/>
              </w:rPr>
              <w:t>0</w:t>
            </w:r>
            <w:r w:rsidRPr="00FC6087">
              <w:rPr>
                <w:color w:val="000000" w:themeColor="text1"/>
              </w:rPr>
              <w:t xml:space="preserve">.1, ideally &lt; </w:t>
            </w:r>
            <w:r w:rsidR="00460C4E">
              <w:rPr>
                <w:color w:val="000000" w:themeColor="text1"/>
              </w:rPr>
              <w:t>0</w:t>
            </w:r>
            <w:r w:rsidRPr="00FC6087">
              <w:rPr>
                <w:color w:val="000000" w:themeColor="text1"/>
              </w:rPr>
              <w:t>.06 (Kline, 2011)</w:t>
            </w:r>
          </w:p>
        </w:tc>
      </w:tr>
      <w:tr w:rsidR="006B1994" w:rsidRPr="00FC6087" w14:paraId="7D516AE3" w14:textId="77777777" w:rsidTr="006D69FF">
        <w:trPr>
          <w:trHeight w:val="576"/>
          <w:jc w:val="center"/>
        </w:trPr>
        <w:tc>
          <w:tcPr>
            <w:tcW w:w="1792" w:type="dxa"/>
            <w:shd w:val="clear" w:color="auto" w:fill="auto"/>
            <w:vAlign w:val="bottom"/>
            <w:hideMark/>
          </w:tcPr>
          <w:p w14:paraId="7D516AE0" w14:textId="77777777" w:rsidR="00FD4D49" w:rsidRPr="00790070" w:rsidRDefault="00FD4D49" w:rsidP="00790070">
            <w:pPr>
              <w:spacing w:line="360" w:lineRule="auto"/>
              <w:ind w:left="176"/>
              <w:contextualSpacing/>
              <w:rPr>
                <w:bCs/>
                <w:color w:val="000000" w:themeColor="text1"/>
              </w:rPr>
            </w:pPr>
            <w:r w:rsidRPr="00790070">
              <w:rPr>
                <w:bCs/>
                <w:color w:val="000000" w:themeColor="text1"/>
              </w:rPr>
              <w:t>RMSEA</w:t>
            </w:r>
          </w:p>
        </w:tc>
        <w:tc>
          <w:tcPr>
            <w:tcW w:w="1872" w:type="dxa"/>
            <w:shd w:val="clear" w:color="auto" w:fill="auto"/>
            <w:vAlign w:val="bottom"/>
            <w:hideMark/>
          </w:tcPr>
          <w:p w14:paraId="7D516AE1" w14:textId="77777777" w:rsidR="00FD4D49" w:rsidRPr="00FC6087" w:rsidRDefault="00FD4D49" w:rsidP="00790070">
            <w:pPr>
              <w:spacing w:line="360" w:lineRule="auto"/>
              <w:contextualSpacing/>
              <w:rPr>
                <w:bCs/>
                <w:color w:val="000000" w:themeColor="text1"/>
              </w:rPr>
            </w:pPr>
            <w:r w:rsidRPr="00FC6087">
              <w:rPr>
                <w:bCs/>
                <w:color w:val="000000" w:themeColor="text1"/>
              </w:rPr>
              <w:t>0.0</w:t>
            </w:r>
            <w:r w:rsidRPr="00FC6087">
              <w:rPr>
                <w:color w:val="000000" w:themeColor="text1"/>
              </w:rPr>
              <w:t>6</w:t>
            </w:r>
          </w:p>
        </w:tc>
        <w:tc>
          <w:tcPr>
            <w:tcW w:w="4176" w:type="dxa"/>
            <w:shd w:val="clear" w:color="auto" w:fill="auto"/>
            <w:vAlign w:val="bottom"/>
            <w:hideMark/>
          </w:tcPr>
          <w:p w14:paraId="7D516AE2" w14:textId="65CFBAEF" w:rsidR="00FD4D49" w:rsidRPr="00FC6087" w:rsidRDefault="00FD4D49" w:rsidP="00790070">
            <w:pPr>
              <w:spacing w:line="360" w:lineRule="auto"/>
              <w:contextualSpacing/>
              <w:rPr>
                <w:color w:val="000000" w:themeColor="text1"/>
              </w:rPr>
            </w:pPr>
            <w:r w:rsidRPr="00FC6087">
              <w:rPr>
                <w:color w:val="000000" w:themeColor="text1"/>
              </w:rPr>
              <w:t>&lt;</w:t>
            </w:r>
            <w:r w:rsidR="00460C4E">
              <w:rPr>
                <w:color w:val="000000" w:themeColor="text1"/>
              </w:rPr>
              <w:t xml:space="preserve"> </w:t>
            </w:r>
            <w:r w:rsidR="004748C8" w:rsidRPr="00FC6087">
              <w:rPr>
                <w:color w:val="000000" w:themeColor="text1"/>
              </w:rPr>
              <w:t>0</w:t>
            </w:r>
            <w:r w:rsidRPr="00FC6087">
              <w:rPr>
                <w:color w:val="000000" w:themeColor="text1"/>
              </w:rPr>
              <w:t>.08 (Hu</w:t>
            </w:r>
            <w:r w:rsidR="005E7A62">
              <w:rPr>
                <w:color w:val="000000" w:themeColor="text1"/>
              </w:rPr>
              <w:t xml:space="preserve"> &amp; </w:t>
            </w:r>
            <w:r w:rsidRPr="00FC6087">
              <w:rPr>
                <w:color w:val="000000" w:themeColor="text1"/>
              </w:rPr>
              <w:t>Bentler, 1999)</w:t>
            </w:r>
          </w:p>
        </w:tc>
      </w:tr>
      <w:tr w:rsidR="00FD4D49" w:rsidRPr="00FC6087" w14:paraId="7D516AE7" w14:textId="77777777" w:rsidTr="006D69FF">
        <w:trPr>
          <w:trHeight w:val="576"/>
          <w:jc w:val="center"/>
        </w:trPr>
        <w:tc>
          <w:tcPr>
            <w:tcW w:w="1792" w:type="dxa"/>
            <w:shd w:val="clear" w:color="auto" w:fill="auto"/>
            <w:vAlign w:val="bottom"/>
            <w:hideMark/>
          </w:tcPr>
          <w:p w14:paraId="7D516AE4" w14:textId="77777777" w:rsidR="00FD4D49" w:rsidRPr="00790070" w:rsidRDefault="00FD4D49" w:rsidP="00790070">
            <w:pPr>
              <w:spacing w:line="360" w:lineRule="auto"/>
              <w:ind w:left="176"/>
              <w:contextualSpacing/>
              <w:rPr>
                <w:bCs/>
                <w:color w:val="000000" w:themeColor="text1"/>
              </w:rPr>
            </w:pPr>
            <w:r w:rsidRPr="00790070">
              <w:rPr>
                <w:bCs/>
                <w:color w:val="000000" w:themeColor="text1"/>
              </w:rPr>
              <w:t>NFI</w:t>
            </w:r>
          </w:p>
        </w:tc>
        <w:tc>
          <w:tcPr>
            <w:tcW w:w="1872" w:type="dxa"/>
            <w:shd w:val="clear" w:color="auto" w:fill="auto"/>
            <w:vAlign w:val="bottom"/>
            <w:hideMark/>
          </w:tcPr>
          <w:p w14:paraId="7D516AE5" w14:textId="77777777" w:rsidR="00FD4D49" w:rsidRPr="00FC6087" w:rsidRDefault="00FD4D49" w:rsidP="00790070">
            <w:pPr>
              <w:spacing w:line="360" w:lineRule="auto"/>
              <w:contextualSpacing/>
              <w:rPr>
                <w:bCs/>
                <w:color w:val="000000" w:themeColor="text1"/>
              </w:rPr>
            </w:pPr>
            <w:r w:rsidRPr="00FC6087">
              <w:rPr>
                <w:bCs/>
                <w:color w:val="000000" w:themeColor="text1"/>
              </w:rPr>
              <w:t>0.92</w:t>
            </w:r>
          </w:p>
        </w:tc>
        <w:tc>
          <w:tcPr>
            <w:tcW w:w="4176" w:type="dxa"/>
            <w:shd w:val="clear" w:color="auto" w:fill="auto"/>
            <w:vAlign w:val="bottom"/>
            <w:hideMark/>
          </w:tcPr>
          <w:p w14:paraId="7D516AE6" w14:textId="77777777" w:rsidR="00FD4D49" w:rsidRPr="00FC6087" w:rsidRDefault="004748C8" w:rsidP="00790070">
            <w:pPr>
              <w:spacing w:line="360" w:lineRule="auto"/>
              <w:contextualSpacing/>
              <w:rPr>
                <w:color w:val="000000" w:themeColor="text1"/>
              </w:rPr>
            </w:pPr>
            <w:r w:rsidRPr="00FC6087">
              <w:rPr>
                <w:color w:val="000000" w:themeColor="text1"/>
              </w:rPr>
              <w:t>0</w:t>
            </w:r>
            <w:r w:rsidR="00FD4D49" w:rsidRPr="00FC6087">
              <w:rPr>
                <w:color w:val="000000" w:themeColor="text1"/>
              </w:rPr>
              <w:t>.95–1.0 (Miles, 2007; Thompson, 2004)</w:t>
            </w:r>
          </w:p>
        </w:tc>
      </w:tr>
      <w:tr w:rsidR="006B1994" w:rsidRPr="00FC6087" w14:paraId="7D516AEB" w14:textId="77777777" w:rsidTr="006D69FF">
        <w:trPr>
          <w:trHeight w:val="576"/>
          <w:jc w:val="center"/>
        </w:trPr>
        <w:tc>
          <w:tcPr>
            <w:tcW w:w="1792" w:type="dxa"/>
            <w:tcBorders>
              <w:bottom w:val="nil"/>
            </w:tcBorders>
            <w:shd w:val="clear" w:color="auto" w:fill="auto"/>
            <w:vAlign w:val="bottom"/>
            <w:hideMark/>
          </w:tcPr>
          <w:p w14:paraId="7D516AE8" w14:textId="77777777" w:rsidR="00FD4D49" w:rsidRPr="00790070" w:rsidRDefault="00FD4D49" w:rsidP="00790070">
            <w:pPr>
              <w:spacing w:line="360" w:lineRule="auto"/>
              <w:ind w:left="176"/>
              <w:contextualSpacing/>
              <w:rPr>
                <w:bCs/>
                <w:color w:val="000000" w:themeColor="text1"/>
              </w:rPr>
            </w:pPr>
            <w:r w:rsidRPr="00790070">
              <w:rPr>
                <w:bCs/>
                <w:color w:val="000000" w:themeColor="text1"/>
              </w:rPr>
              <w:t>TLI</w:t>
            </w:r>
          </w:p>
        </w:tc>
        <w:tc>
          <w:tcPr>
            <w:tcW w:w="1872" w:type="dxa"/>
            <w:tcBorders>
              <w:bottom w:val="nil"/>
            </w:tcBorders>
            <w:shd w:val="clear" w:color="auto" w:fill="auto"/>
            <w:vAlign w:val="bottom"/>
            <w:hideMark/>
          </w:tcPr>
          <w:p w14:paraId="7D516AE9" w14:textId="77777777" w:rsidR="00FD4D49" w:rsidRPr="00FC6087" w:rsidRDefault="00FD4D49" w:rsidP="00790070">
            <w:pPr>
              <w:spacing w:line="360" w:lineRule="auto"/>
              <w:contextualSpacing/>
              <w:rPr>
                <w:bCs/>
                <w:color w:val="000000" w:themeColor="text1"/>
              </w:rPr>
            </w:pPr>
            <w:r w:rsidRPr="00FC6087">
              <w:rPr>
                <w:bCs/>
                <w:color w:val="000000" w:themeColor="text1"/>
              </w:rPr>
              <w:t>0.95</w:t>
            </w:r>
          </w:p>
        </w:tc>
        <w:tc>
          <w:tcPr>
            <w:tcW w:w="4176" w:type="dxa"/>
            <w:tcBorders>
              <w:bottom w:val="nil"/>
            </w:tcBorders>
            <w:shd w:val="clear" w:color="auto" w:fill="auto"/>
            <w:vAlign w:val="bottom"/>
            <w:hideMark/>
          </w:tcPr>
          <w:p w14:paraId="7D516AEA" w14:textId="77777777" w:rsidR="00FD4D49" w:rsidRPr="00FC6087" w:rsidRDefault="004748C8" w:rsidP="00790070">
            <w:pPr>
              <w:spacing w:line="360" w:lineRule="auto"/>
              <w:contextualSpacing/>
              <w:rPr>
                <w:color w:val="000000" w:themeColor="text1"/>
              </w:rPr>
            </w:pPr>
            <w:r w:rsidRPr="00FC6087">
              <w:rPr>
                <w:color w:val="000000" w:themeColor="text1"/>
              </w:rPr>
              <w:t>0</w:t>
            </w:r>
            <w:r w:rsidR="00FD4D49" w:rsidRPr="00FC6087">
              <w:rPr>
                <w:color w:val="000000" w:themeColor="text1"/>
              </w:rPr>
              <w:t>.95–1.0 (Miles, 2007; Thompson, 2004)</w:t>
            </w:r>
          </w:p>
        </w:tc>
      </w:tr>
      <w:tr w:rsidR="00FD4D49" w:rsidRPr="00FC6087" w14:paraId="7D516AEF" w14:textId="77777777" w:rsidTr="006D69FF">
        <w:trPr>
          <w:trHeight w:val="576"/>
          <w:jc w:val="center"/>
        </w:trPr>
        <w:tc>
          <w:tcPr>
            <w:tcW w:w="1792" w:type="dxa"/>
            <w:tcBorders>
              <w:top w:val="nil"/>
              <w:bottom w:val="single" w:sz="18" w:space="0" w:color="auto"/>
            </w:tcBorders>
            <w:shd w:val="clear" w:color="auto" w:fill="auto"/>
            <w:vAlign w:val="bottom"/>
            <w:hideMark/>
          </w:tcPr>
          <w:p w14:paraId="7D516AEC" w14:textId="77777777" w:rsidR="00FD4D49" w:rsidRPr="00790070" w:rsidRDefault="00FD4D49" w:rsidP="00790070">
            <w:pPr>
              <w:spacing w:line="360" w:lineRule="auto"/>
              <w:ind w:left="176"/>
              <w:contextualSpacing/>
              <w:rPr>
                <w:bCs/>
                <w:color w:val="000000" w:themeColor="text1"/>
              </w:rPr>
            </w:pPr>
            <w:r w:rsidRPr="00790070">
              <w:rPr>
                <w:bCs/>
                <w:color w:val="000000" w:themeColor="text1"/>
              </w:rPr>
              <w:t>CFI</w:t>
            </w:r>
          </w:p>
        </w:tc>
        <w:tc>
          <w:tcPr>
            <w:tcW w:w="1872" w:type="dxa"/>
            <w:tcBorders>
              <w:top w:val="nil"/>
              <w:bottom w:val="single" w:sz="18" w:space="0" w:color="auto"/>
            </w:tcBorders>
            <w:shd w:val="clear" w:color="auto" w:fill="auto"/>
            <w:vAlign w:val="bottom"/>
            <w:hideMark/>
          </w:tcPr>
          <w:p w14:paraId="7D516AED" w14:textId="77777777" w:rsidR="00FD4D49" w:rsidRPr="00FC6087" w:rsidRDefault="00FD4D49" w:rsidP="00790070">
            <w:pPr>
              <w:spacing w:line="360" w:lineRule="auto"/>
              <w:contextualSpacing/>
              <w:rPr>
                <w:bCs/>
                <w:color w:val="000000" w:themeColor="text1"/>
              </w:rPr>
            </w:pPr>
            <w:r w:rsidRPr="00FC6087">
              <w:rPr>
                <w:bCs/>
                <w:color w:val="000000" w:themeColor="text1"/>
              </w:rPr>
              <w:t>0.95</w:t>
            </w:r>
          </w:p>
        </w:tc>
        <w:tc>
          <w:tcPr>
            <w:tcW w:w="4176" w:type="dxa"/>
            <w:tcBorders>
              <w:top w:val="nil"/>
              <w:bottom w:val="single" w:sz="18" w:space="0" w:color="auto"/>
            </w:tcBorders>
            <w:shd w:val="clear" w:color="auto" w:fill="auto"/>
            <w:vAlign w:val="bottom"/>
            <w:hideMark/>
          </w:tcPr>
          <w:p w14:paraId="7D516AEE" w14:textId="08B4B164" w:rsidR="00FD4D49" w:rsidRPr="00FC6087" w:rsidRDefault="00FD4D49" w:rsidP="00790070">
            <w:pPr>
              <w:keepNext/>
              <w:spacing w:line="360" w:lineRule="auto"/>
              <w:contextualSpacing/>
              <w:rPr>
                <w:color w:val="000000" w:themeColor="text1"/>
              </w:rPr>
            </w:pPr>
            <w:r w:rsidRPr="00FC6087">
              <w:rPr>
                <w:color w:val="000000" w:themeColor="text1"/>
              </w:rPr>
              <w:t>&gt;</w:t>
            </w:r>
            <w:r w:rsidR="00460C4E">
              <w:rPr>
                <w:color w:val="000000" w:themeColor="text1"/>
              </w:rPr>
              <w:t xml:space="preserve"> </w:t>
            </w:r>
            <w:r w:rsidR="004748C8" w:rsidRPr="00FC6087">
              <w:rPr>
                <w:color w:val="000000" w:themeColor="text1"/>
              </w:rPr>
              <w:t>0</w:t>
            </w:r>
            <w:r w:rsidRPr="00FC6087">
              <w:rPr>
                <w:color w:val="000000" w:themeColor="text1"/>
              </w:rPr>
              <w:t>.90 (Kline, 2011)</w:t>
            </w:r>
          </w:p>
        </w:tc>
      </w:tr>
    </w:tbl>
    <w:p w14:paraId="7D516AF0" w14:textId="4EA45EF7" w:rsidR="00FD4D49" w:rsidRPr="00FC6087" w:rsidRDefault="00FD4D49" w:rsidP="00C0447D">
      <w:pPr>
        <w:pStyle w:val="APAParagraph"/>
        <w:spacing w:line="240" w:lineRule="auto"/>
        <w:ind w:firstLine="0"/>
        <w:rPr>
          <w:color w:val="000000" w:themeColor="text1"/>
        </w:rPr>
      </w:pPr>
      <w:r w:rsidRPr="00790070">
        <w:rPr>
          <w:bCs/>
          <w:i/>
          <w:color w:val="000000" w:themeColor="text1"/>
        </w:rPr>
        <w:t>Note</w:t>
      </w:r>
      <w:r w:rsidR="004748C8" w:rsidRPr="00790070">
        <w:rPr>
          <w:bCs/>
          <w:i/>
          <w:color w:val="000000" w:themeColor="text1"/>
        </w:rPr>
        <w:t>.</w:t>
      </w:r>
      <w:r w:rsidR="00460C4E">
        <w:rPr>
          <w:bCs/>
          <w:i/>
          <w:color w:val="000000" w:themeColor="text1"/>
        </w:rPr>
        <w:t xml:space="preserve"> </w:t>
      </w:r>
      <w:r w:rsidR="00D86124" w:rsidRPr="00FC6087">
        <w:rPr>
          <w:bCs/>
          <w:color w:val="000000" w:themeColor="text1"/>
        </w:rPr>
        <w:t>χ</w:t>
      </w:r>
      <w:r w:rsidRPr="00FC6087">
        <w:rPr>
          <w:color w:val="000000" w:themeColor="text1"/>
          <w:vertAlign w:val="superscript"/>
        </w:rPr>
        <w:t>2</w:t>
      </w:r>
      <w:r w:rsidRPr="00FC6087">
        <w:rPr>
          <w:color w:val="000000" w:themeColor="text1"/>
        </w:rPr>
        <w:t>/df = normed chi-square statistic</w:t>
      </w:r>
      <w:r w:rsidR="004748C8" w:rsidRPr="00FC6087">
        <w:rPr>
          <w:color w:val="000000" w:themeColor="text1"/>
        </w:rPr>
        <w:t>;</w:t>
      </w:r>
      <w:r w:rsidRPr="00FC6087">
        <w:rPr>
          <w:color w:val="000000" w:themeColor="text1"/>
        </w:rPr>
        <w:t xml:space="preserve"> GFI = goodness</w:t>
      </w:r>
      <w:r w:rsidR="004748C8" w:rsidRPr="00FC6087">
        <w:rPr>
          <w:color w:val="000000" w:themeColor="text1"/>
        </w:rPr>
        <w:t>-</w:t>
      </w:r>
      <w:r w:rsidRPr="00FC6087">
        <w:rPr>
          <w:color w:val="000000" w:themeColor="text1"/>
        </w:rPr>
        <w:t>of</w:t>
      </w:r>
      <w:r w:rsidR="004748C8" w:rsidRPr="00FC6087">
        <w:rPr>
          <w:color w:val="000000" w:themeColor="text1"/>
        </w:rPr>
        <w:t>-</w:t>
      </w:r>
      <w:r w:rsidRPr="00FC6087">
        <w:rPr>
          <w:color w:val="000000" w:themeColor="text1"/>
        </w:rPr>
        <w:t>fit index</w:t>
      </w:r>
      <w:r w:rsidR="004748C8" w:rsidRPr="00FC6087">
        <w:rPr>
          <w:color w:val="000000" w:themeColor="text1"/>
        </w:rPr>
        <w:t>;</w:t>
      </w:r>
      <w:r w:rsidRPr="00FC6087">
        <w:rPr>
          <w:color w:val="000000" w:themeColor="text1"/>
        </w:rPr>
        <w:t xml:space="preserve"> RM</w:t>
      </w:r>
      <w:r w:rsidR="008B7DC0">
        <w:rPr>
          <w:color w:val="000000" w:themeColor="text1"/>
        </w:rPr>
        <w:t>S</w:t>
      </w:r>
      <w:r w:rsidRPr="00FC6087">
        <w:rPr>
          <w:color w:val="000000" w:themeColor="text1"/>
        </w:rPr>
        <w:t>R= root</w:t>
      </w:r>
      <w:r w:rsidR="004748C8" w:rsidRPr="00FC6087">
        <w:rPr>
          <w:color w:val="000000" w:themeColor="text1"/>
        </w:rPr>
        <w:t>-</w:t>
      </w:r>
      <w:r w:rsidRPr="00FC6087">
        <w:rPr>
          <w:color w:val="000000" w:themeColor="text1"/>
        </w:rPr>
        <w:t>mean</w:t>
      </w:r>
      <w:r w:rsidR="004748C8" w:rsidRPr="00FC6087">
        <w:rPr>
          <w:color w:val="000000" w:themeColor="text1"/>
        </w:rPr>
        <w:t>-</w:t>
      </w:r>
      <w:r w:rsidRPr="00FC6087">
        <w:rPr>
          <w:color w:val="000000" w:themeColor="text1"/>
        </w:rPr>
        <w:t>square residual</w:t>
      </w:r>
      <w:r w:rsidR="004748C8" w:rsidRPr="00FC6087">
        <w:rPr>
          <w:color w:val="000000" w:themeColor="text1"/>
        </w:rPr>
        <w:t>;</w:t>
      </w:r>
      <w:r w:rsidRPr="00FC6087">
        <w:rPr>
          <w:color w:val="000000" w:themeColor="text1"/>
        </w:rPr>
        <w:t xml:space="preserve"> RMSEA = root mean square error of approximation</w:t>
      </w:r>
      <w:r w:rsidR="004748C8" w:rsidRPr="00FC6087">
        <w:rPr>
          <w:color w:val="000000" w:themeColor="text1"/>
        </w:rPr>
        <w:t>;</w:t>
      </w:r>
      <w:r w:rsidRPr="00FC6087">
        <w:rPr>
          <w:color w:val="000000" w:themeColor="text1"/>
        </w:rPr>
        <w:t xml:space="preserve"> NFI = normed fit index</w:t>
      </w:r>
      <w:r w:rsidR="004748C8" w:rsidRPr="00FC6087">
        <w:rPr>
          <w:color w:val="000000" w:themeColor="text1"/>
        </w:rPr>
        <w:t>;</w:t>
      </w:r>
      <w:r w:rsidRPr="00FC6087">
        <w:rPr>
          <w:color w:val="000000" w:themeColor="text1"/>
        </w:rPr>
        <w:t xml:space="preserve"> TLI= Tucker</w:t>
      </w:r>
      <w:r w:rsidR="004748C8" w:rsidRPr="00FC6087">
        <w:rPr>
          <w:color w:val="000000" w:themeColor="text1"/>
        </w:rPr>
        <w:t>–</w:t>
      </w:r>
      <w:r w:rsidRPr="00FC6087">
        <w:rPr>
          <w:color w:val="000000" w:themeColor="text1"/>
        </w:rPr>
        <w:t>Lewis index</w:t>
      </w:r>
      <w:r w:rsidR="004748C8" w:rsidRPr="00FC6087">
        <w:rPr>
          <w:color w:val="000000" w:themeColor="text1"/>
        </w:rPr>
        <w:t>;</w:t>
      </w:r>
      <w:r w:rsidRPr="00FC6087">
        <w:rPr>
          <w:color w:val="000000" w:themeColor="text1"/>
        </w:rPr>
        <w:t xml:space="preserve"> CFI = comparative fit index</w:t>
      </w:r>
      <w:r w:rsidR="004748C8" w:rsidRPr="00FC6087">
        <w:rPr>
          <w:color w:val="000000" w:themeColor="text1"/>
        </w:rPr>
        <w:t>.</w:t>
      </w:r>
    </w:p>
    <w:p w14:paraId="7D516AF1" w14:textId="77777777" w:rsidR="004748C8" w:rsidRPr="00FC6087" w:rsidRDefault="004748C8" w:rsidP="00FD4D49">
      <w:pPr>
        <w:pStyle w:val="APAParagraph"/>
        <w:ind w:firstLine="709"/>
        <w:rPr>
          <w:color w:val="000000" w:themeColor="text1"/>
        </w:rPr>
      </w:pPr>
    </w:p>
    <w:p w14:paraId="7D516AF6" w14:textId="77777777" w:rsidR="00FD4D49" w:rsidRPr="00FC6087" w:rsidRDefault="00FD4D49" w:rsidP="00FD4D49">
      <w:pPr>
        <w:pStyle w:val="APAParagraph"/>
        <w:ind w:firstLine="709"/>
        <w:rPr>
          <w:color w:val="000000" w:themeColor="text1"/>
        </w:rPr>
      </w:pPr>
      <w:r w:rsidRPr="00FC6087">
        <w:rPr>
          <w:color w:val="000000" w:themeColor="text1"/>
        </w:rPr>
        <w:t>The strong paths coefficients from SG and TI to HIT adoption respectively suggest that the most important motivators for adopting healthcare technologies have to do with the processes of implementing and using these technologies, rather than the effects of using them. While QM and IS were both strongly related to technology adoption (</w:t>
      </w:r>
      <w:r w:rsidR="00885B5F" w:rsidRPr="00FC6087">
        <w:rPr>
          <w:color w:val="000000" w:themeColor="text1"/>
        </w:rPr>
        <w:t>0</w:t>
      </w:r>
      <w:r w:rsidRPr="00FC6087">
        <w:rPr>
          <w:color w:val="000000" w:themeColor="text1"/>
        </w:rPr>
        <w:t xml:space="preserve">.78)—and transitively their associated factors relating to quality, safety, reduced errors, easy access to important information, professional development support, and culture all had loadings of at least moderate strength, ranging between </w:t>
      </w:r>
      <w:r w:rsidR="00885B5F" w:rsidRPr="00FC6087">
        <w:rPr>
          <w:color w:val="000000" w:themeColor="text1"/>
        </w:rPr>
        <w:t>0</w:t>
      </w:r>
      <w:r w:rsidRPr="00FC6087">
        <w:rPr>
          <w:color w:val="000000" w:themeColor="text1"/>
        </w:rPr>
        <w:t xml:space="preserve">.68 and </w:t>
      </w:r>
      <w:r w:rsidR="00885B5F" w:rsidRPr="00FC6087">
        <w:rPr>
          <w:color w:val="000000" w:themeColor="text1"/>
        </w:rPr>
        <w:t>0</w:t>
      </w:r>
      <w:r w:rsidRPr="00FC6087">
        <w:rPr>
          <w:color w:val="000000" w:themeColor="text1"/>
        </w:rPr>
        <w:t>.86 onto their factors—SG and TI were more strongly related to HIT adoption (</w:t>
      </w:r>
      <w:r w:rsidR="00885B5F" w:rsidRPr="00FC6087">
        <w:rPr>
          <w:color w:val="000000" w:themeColor="text1"/>
        </w:rPr>
        <w:t>0</w:t>
      </w:r>
      <w:r w:rsidRPr="00FC6087">
        <w:rPr>
          <w:color w:val="000000" w:themeColor="text1"/>
        </w:rPr>
        <w:t xml:space="preserve">.85 and </w:t>
      </w:r>
      <w:r w:rsidR="00885B5F" w:rsidRPr="00FC6087">
        <w:rPr>
          <w:color w:val="000000" w:themeColor="text1"/>
        </w:rPr>
        <w:t>0</w:t>
      </w:r>
      <w:r w:rsidRPr="00FC6087">
        <w:rPr>
          <w:color w:val="000000" w:themeColor="text1"/>
        </w:rPr>
        <w:t xml:space="preserve">.82, respectively), suggesting that factors that </w:t>
      </w:r>
      <w:r w:rsidRPr="00FC6087">
        <w:rPr>
          <w:color w:val="000000" w:themeColor="text1"/>
        </w:rPr>
        <w:lastRenderedPageBreak/>
        <w:t>enable the development and instantiation of modern technologies (e.g. strategic support, financial support, infrastructure) and those that ensure technologies would be user-friendly (i.e. smart technologies) are more important. In other words, individuals may not be concerned with the ability of the technology to provide better quality of care until they are assured of its ability to be implemented and used effectively and without disruption to current duties and routines—and without imposing a financial burden on them.</w:t>
      </w:r>
    </w:p>
    <w:p w14:paraId="7D516AF7" w14:textId="77777777" w:rsidR="00FD4D49" w:rsidRPr="00FC6087" w:rsidRDefault="00FD4D49" w:rsidP="00FD4D49">
      <w:pPr>
        <w:pStyle w:val="APAParagraph"/>
        <w:rPr>
          <w:color w:val="000000" w:themeColor="text1"/>
        </w:rPr>
      </w:pPr>
      <w:r w:rsidRPr="00FC6087">
        <w:rPr>
          <w:color w:val="000000" w:themeColor="text1"/>
        </w:rPr>
        <w:t xml:space="preserve">These findings suggest a powerful role </w:t>
      </w:r>
      <w:r w:rsidR="00A23879" w:rsidRPr="00FC6087">
        <w:rPr>
          <w:color w:val="000000" w:themeColor="text1"/>
        </w:rPr>
        <w:t>for</w:t>
      </w:r>
      <w:r w:rsidRPr="00FC6087">
        <w:rPr>
          <w:color w:val="000000" w:themeColor="text1"/>
        </w:rPr>
        <w:t xml:space="preserve"> policy</w:t>
      </w:r>
      <w:r w:rsidR="00885B5F" w:rsidRPr="00FC6087">
        <w:rPr>
          <w:color w:val="000000" w:themeColor="text1"/>
        </w:rPr>
        <w:t>-</w:t>
      </w:r>
      <w:r w:rsidRPr="00FC6087">
        <w:rPr>
          <w:color w:val="000000" w:themeColor="text1"/>
        </w:rPr>
        <w:t>makers in advancing healthcare technologies, where pertinent policies and legislation are key for countries looking to improve their healthcare sectors. Given that the SG factor most strongly predicted technology adoption in this second-order CFA</w:t>
      </w:r>
      <w:r w:rsidR="00A23879" w:rsidRPr="00FC6087">
        <w:rPr>
          <w:color w:val="000000" w:themeColor="text1"/>
        </w:rPr>
        <w:t>,</w:t>
      </w:r>
      <w:r w:rsidRPr="00FC6087">
        <w:rPr>
          <w:color w:val="000000" w:themeColor="text1"/>
        </w:rPr>
        <w:t xml:space="preserve"> and that the items that were most strongly related to SG were those related to strategic support (</w:t>
      </w:r>
      <w:r w:rsidR="00A23879" w:rsidRPr="00FC6087">
        <w:rPr>
          <w:color w:val="000000" w:themeColor="text1"/>
        </w:rPr>
        <w:t>0</w:t>
      </w:r>
      <w:r w:rsidRPr="00FC6087">
        <w:rPr>
          <w:color w:val="000000" w:themeColor="text1"/>
        </w:rPr>
        <w:t>.85), future foresight (</w:t>
      </w:r>
      <w:r w:rsidR="00A23879" w:rsidRPr="00FC6087">
        <w:rPr>
          <w:color w:val="000000" w:themeColor="text1"/>
        </w:rPr>
        <w:t>0</w:t>
      </w:r>
      <w:r w:rsidRPr="00FC6087">
        <w:rPr>
          <w:color w:val="000000" w:themeColor="text1"/>
        </w:rPr>
        <w:t>.85), financial support (</w:t>
      </w:r>
      <w:r w:rsidR="00A23879" w:rsidRPr="00FC6087">
        <w:rPr>
          <w:color w:val="000000" w:themeColor="text1"/>
        </w:rPr>
        <w:t>0</w:t>
      </w:r>
      <w:r w:rsidRPr="00FC6087">
        <w:rPr>
          <w:color w:val="000000" w:themeColor="text1"/>
        </w:rPr>
        <w:t>.78), and 2030 Vision (</w:t>
      </w:r>
      <w:r w:rsidR="00A23879" w:rsidRPr="00FC6087">
        <w:rPr>
          <w:color w:val="000000" w:themeColor="text1"/>
        </w:rPr>
        <w:t>0</w:t>
      </w:r>
      <w:r w:rsidRPr="00FC6087">
        <w:rPr>
          <w:color w:val="000000" w:themeColor="text1"/>
        </w:rPr>
        <w:t xml:space="preserve">.76), it is clear that vision and support from </w:t>
      </w:r>
      <w:r w:rsidR="00A23879" w:rsidRPr="00FC6087">
        <w:rPr>
          <w:color w:val="000000" w:themeColor="text1"/>
        </w:rPr>
        <w:t xml:space="preserve">the </w:t>
      </w:r>
      <w:r w:rsidR="00CB065A" w:rsidRPr="00FC6087">
        <w:rPr>
          <w:color w:val="000000" w:themeColor="text1"/>
        </w:rPr>
        <w:t>top down</w:t>
      </w:r>
      <w:r w:rsidRPr="00FC6087">
        <w:rPr>
          <w:color w:val="000000" w:themeColor="text1"/>
        </w:rPr>
        <w:t xml:space="preserve"> (i.e. the government) in terms of developing and supporting new technological initiatives and programs is vital in motivating individuals to adopt these potentially life-saving technologies. It is likely owing to the work of the UAE government to make the nation a top medical destination (cf. Vision 2021, Vision 2030) that the UAE has been such a prominent global leader in healthcare in recent years. Based on </w:t>
      </w:r>
      <w:r w:rsidR="00132CC9" w:rsidRPr="00FC6087">
        <w:rPr>
          <w:color w:val="000000" w:themeColor="text1"/>
        </w:rPr>
        <w:t>this</w:t>
      </w:r>
      <w:r w:rsidRPr="00FC6087">
        <w:rPr>
          <w:color w:val="000000" w:themeColor="text1"/>
        </w:rPr>
        <w:t xml:space="preserve"> example and these data, it is clear that the government’s vital role in implementing HIT cannot be over-emphasized, as healthcare systems around the world continue to break through the numerous and significant health barriers to </w:t>
      </w:r>
      <w:r w:rsidRPr="00FC6087">
        <w:rPr>
          <w:color w:val="000000" w:themeColor="text1"/>
        </w:rPr>
        <w:lastRenderedPageBreak/>
        <w:t>keep pace with the demands and developments of a fit and healthy modern society.</w:t>
      </w:r>
    </w:p>
    <w:p w14:paraId="7D516AF8" w14:textId="2B17FFAB" w:rsidR="00FD4D49" w:rsidRPr="00FC6087" w:rsidRDefault="00186D0B" w:rsidP="00206E2A">
      <w:pPr>
        <w:pStyle w:val="Heading1"/>
        <w:rPr>
          <w:color w:val="000000" w:themeColor="text1"/>
        </w:rPr>
      </w:pPr>
      <w:bookmarkStart w:id="147" w:name="_Toc532800305"/>
      <w:bookmarkStart w:id="148" w:name="_Toc534028549"/>
      <w:bookmarkStart w:id="149" w:name="_Toc534028933"/>
      <w:bookmarkStart w:id="150" w:name="_Toc24447807"/>
      <w:r>
        <w:rPr>
          <w:color w:val="000000" w:themeColor="text1"/>
        </w:rPr>
        <w:t>5.</w:t>
      </w:r>
      <w:r w:rsidR="00206E2A">
        <w:rPr>
          <w:color w:val="000000" w:themeColor="text1"/>
        </w:rPr>
        <w:t>4</w:t>
      </w:r>
      <w:r w:rsidR="00D31194" w:rsidRPr="00FC6087">
        <w:rPr>
          <w:color w:val="000000" w:themeColor="text1"/>
        </w:rPr>
        <w:t xml:space="preserve"> </w:t>
      </w:r>
      <w:bookmarkEnd w:id="147"/>
      <w:bookmarkEnd w:id="148"/>
      <w:bookmarkEnd w:id="149"/>
      <w:bookmarkEnd w:id="150"/>
      <w:r w:rsidR="00353A73" w:rsidRPr="007218D5">
        <w:rPr>
          <w:color w:val="FF0000"/>
        </w:rPr>
        <w:t>Hypotheses Testing</w:t>
      </w:r>
    </w:p>
    <w:p w14:paraId="7D516AF9" w14:textId="06ABA5A4" w:rsidR="00FD4D49" w:rsidRPr="00FC6087" w:rsidRDefault="00FD4D49" w:rsidP="00FD4D49">
      <w:pPr>
        <w:pStyle w:val="APAParagraph"/>
        <w:rPr>
          <w:color w:val="000000" w:themeColor="text1"/>
        </w:rPr>
      </w:pPr>
      <w:r w:rsidRPr="00FC6087">
        <w:rPr>
          <w:color w:val="000000" w:themeColor="text1"/>
        </w:rPr>
        <w:t>To determine how many</w:t>
      </w:r>
      <w:r w:rsidR="00265DAB" w:rsidRPr="00FC6087">
        <w:rPr>
          <w:color w:val="000000" w:themeColor="text1"/>
        </w:rPr>
        <w:t>,</w:t>
      </w:r>
      <w:r w:rsidRPr="00FC6087">
        <w:rPr>
          <w:color w:val="000000" w:themeColor="text1"/>
        </w:rPr>
        <w:t xml:space="preserve"> and wh</w:t>
      </w:r>
      <w:r w:rsidR="00265DAB" w:rsidRPr="00FC6087">
        <w:rPr>
          <w:color w:val="000000" w:themeColor="text1"/>
        </w:rPr>
        <w:t>ich,</w:t>
      </w:r>
      <w:r w:rsidRPr="00FC6087">
        <w:rPr>
          <w:color w:val="000000" w:themeColor="text1"/>
        </w:rPr>
        <w:t xml:space="preserve"> latent barrier factors best describe HIT adoption (i.e. inversely, as these factors are barriers), an EFA was conducted on participants’ responses to 30 of the items in the survey. To ensure the data were of good quality for factor analyses, before conducting the EFA, they were analyzed based on two criteria: KMO</w:t>
      </w:r>
      <w:r w:rsidR="00132390" w:rsidRPr="00FC6087">
        <w:rPr>
          <w:color w:val="000000" w:themeColor="text1"/>
        </w:rPr>
        <w:t xml:space="preserve"> test</w:t>
      </w:r>
      <w:r w:rsidR="005D1B65" w:rsidRPr="00FC6087">
        <w:rPr>
          <w:color w:val="000000" w:themeColor="text1"/>
        </w:rPr>
        <w:t>;</w:t>
      </w:r>
      <w:r w:rsidRPr="00FC6087">
        <w:rPr>
          <w:color w:val="000000" w:themeColor="text1"/>
        </w:rPr>
        <w:t xml:space="preserve"> and Bartlett’s test of sphericity (Treiblmaier</w:t>
      </w:r>
      <w:r w:rsidR="005E7A62">
        <w:rPr>
          <w:color w:val="000000" w:themeColor="text1"/>
        </w:rPr>
        <w:t xml:space="preserve"> &amp; </w:t>
      </w:r>
      <w:r w:rsidRPr="00FC6087">
        <w:rPr>
          <w:color w:val="000000" w:themeColor="text1"/>
        </w:rPr>
        <w:t>Filzmoser, 2010). Importantly, both criteria were met: the obtained KMO</w:t>
      </w:r>
      <w:r w:rsidR="00CB2676" w:rsidRPr="00FC6087">
        <w:rPr>
          <w:color w:val="000000" w:themeColor="text1"/>
        </w:rPr>
        <w:t xml:space="preserve"> value</w:t>
      </w:r>
      <w:r w:rsidRPr="00FC6087">
        <w:rPr>
          <w:color w:val="000000" w:themeColor="text1"/>
        </w:rPr>
        <w:t xml:space="preserve"> of </w:t>
      </w:r>
      <w:r w:rsidR="005D1B65" w:rsidRPr="00FC6087">
        <w:rPr>
          <w:color w:val="000000" w:themeColor="text1"/>
        </w:rPr>
        <w:t>0</w:t>
      </w:r>
      <w:r w:rsidRPr="00FC6087">
        <w:rPr>
          <w:color w:val="000000" w:themeColor="text1"/>
        </w:rPr>
        <w:t xml:space="preserve">.91 was above the recommended threshold of </w:t>
      </w:r>
      <w:r w:rsidR="005D1B65" w:rsidRPr="00FC6087">
        <w:rPr>
          <w:color w:val="000000" w:themeColor="text1"/>
        </w:rPr>
        <w:t>0</w:t>
      </w:r>
      <w:r w:rsidRPr="00FC6087">
        <w:rPr>
          <w:color w:val="000000" w:themeColor="text1"/>
        </w:rPr>
        <w:t>.6 (Worthington</w:t>
      </w:r>
      <w:r w:rsidR="005E7A62">
        <w:rPr>
          <w:color w:val="000000" w:themeColor="text1"/>
        </w:rPr>
        <w:t xml:space="preserve"> &amp; </w:t>
      </w:r>
      <w:r w:rsidRPr="00FC6087">
        <w:rPr>
          <w:color w:val="000000" w:themeColor="text1"/>
        </w:rPr>
        <w:t xml:space="preserve">Whittaker, 2006) and Bartlett’s </w:t>
      </w:r>
      <w:r w:rsidR="005D1B65" w:rsidRPr="00FC6087">
        <w:rPr>
          <w:color w:val="000000" w:themeColor="text1"/>
        </w:rPr>
        <w:t>t</w:t>
      </w:r>
      <w:r w:rsidRPr="00FC6087">
        <w:rPr>
          <w:color w:val="000000" w:themeColor="text1"/>
        </w:rPr>
        <w:t xml:space="preserve">est of </w:t>
      </w:r>
      <w:r w:rsidR="005D1B65" w:rsidRPr="00FC6087">
        <w:rPr>
          <w:color w:val="000000" w:themeColor="text1"/>
        </w:rPr>
        <w:t>s</w:t>
      </w:r>
      <w:r w:rsidRPr="00FC6087">
        <w:rPr>
          <w:color w:val="000000" w:themeColor="text1"/>
        </w:rPr>
        <w:t>phericity was statistically significant (</w:t>
      </w:r>
      <w:r w:rsidRPr="00FC6087">
        <w:rPr>
          <w:i/>
          <w:color w:val="000000" w:themeColor="text1"/>
        </w:rPr>
        <w:t>χ</w:t>
      </w:r>
      <w:r w:rsidRPr="00FC6087">
        <w:rPr>
          <w:color w:val="000000" w:themeColor="text1"/>
          <w:vertAlign w:val="superscript"/>
        </w:rPr>
        <w:t>2</w:t>
      </w:r>
      <w:r w:rsidRPr="00FC6087">
        <w:rPr>
          <w:color w:val="000000" w:themeColor="text1"/>
        </w:rPr>
        <w:t xml:space="preserve"> = 2524.59, df = 210, </w:t>
      </w:r>
      <w:r w:rsidRPr="00FC6087">
        <w:rPr>
          <w:i/>
          <w:color w:val="000000" w:themeColor="text1"/>
        </w:rPr>
        <w:t>p</w:t>
      </w:r>
      <w:r w:rsidR="00460C4E">
        <w:rPr>
          <w:i/>
          <w:color w:val="000000" w:themeColor="text1"/>
        </w:rPr>
        <w:t xml:space="preserve"> </w:t>
      </w:r>
      <w:r w:rsidRPr="00FC6087">
        <w:rPr>
          <w:color w:val="000000" w:themeColor="text1"/>
        </w:rPr>
        <w:t>&lt;</w:t>
      </w:r>
      <w:r w:rsidR="00460C4E">
        <w:rPr>
          <w:color w:val="000000" w:themeColor="text1"/>
        </w:rPr>
        <w:t xml:space="preserve"> </w:t>
      </w:r>
      <w:r w:rsidR="005D1B65" w:rsidRPr="00FC6087">
        <w:rPr>
          <w:color w:val="000000" w:themeColor="text1"/>
        </w:rPr>
        <w:t>0</w:t>
      </w:r>
      <w:r w:rsidRPr="00FC6087">
        <w:rPr>
          <w:color w:val="000000" w:themeColor="text1"/>
        </w:rPr>
        <w:t xml:space="preserve">.001). </w:t>
      </w:r>
    </w:p>
    <w:p w14:paraId="7D516AFA" w14:textId="1D5D2B65" w:rsidR="00FD4D49" w:rsidRPr="00FC6087" w:rsidRDefault="00FD4D49" w:rsidP="00FD4D49">
      <w:pPr>
        <w:pStyle w:val="APAParagraph"/>
        <w:rPr>
          <w:color w:val="000000" w:themeColor="text1"/>
        </w:rPr>
      </w:pPr>
      <w:r w:rsidRPr="00FC6087">
        <w:rPr>
          <w:color w:val="000000" w:themeColor="text1"/>
        </w:rPr>
        <w:t xml:space="preserve">The results of the EFA revealed four components with strong factor loadings (&gt; 1): organizational strategy (ORGS), technical barriers (TEBA), readiness </w:t>
      </w:r>
      <w:r w:rsidR="00FB7561" w:rsidRPr="00FC6087">
        <w:rPr>
          <w:color w:val="000000" w:themeColor="text1"/>
        </w:rPr>
        <w:t>for</w:t>
      </w:r>
      <w:r w:rsidRPr="00FC6087">
        <w:rPr>
          <w:color w:val="000000" w:themeColor="text1"/>
        </w:rPr>
        <w:t xml:space="preserve"> big data and I</w:t>
      </w:r>
      <w:r w:rsidR="00FB7561" w:rsidRPr="00FC6087">
        <w:rPr>
          <w:color w:val="000000" w:themeColor="text1"/>
        </w:rPr>
        <w:t>o</w:t>
      </w:r>
      <w:r w:rsidRPr="00FC6087">
        <w:rPr>
          <w:color w:val="000000" w:themeColor="text1"/>
        </w:rPr>
        <w:t>T (RTGB), and orientation (ORI). Together, these factors account</w:t>
      </w:r>
      <w:r w:rsidR="00C21D69" w:rsidRPr="00FC6087">
        <w:rPr>
          <w:color w:val="000000" w:themeColor="text1"/>
        </w:rPr>
        <w:t>ed</w:t>
      </w:r>
      <w:r w:rsidRPr="00FC6087">
        <w:rPr>
          <w:color w:val="000000" w:themeColor="text1"/>
        </w:rPr>
        <w:t xml:space="preserve"> for 72.64% of the total variance. Table 5.7 shows the individual item loadings for each of th</w:t>
      </w:r>
      <w:r w:rsidR="00C21D69" w:rsidRPr="00FC6087">
        <w:rPr>
          <w:color w:val="000000" w:themeColor="text1"/>
        </w:rPr>
        <w:t>e</w:t>
      </w:r>
      <w:r w:rsidRPr="00FC6087">
        <w:rPr>
          <w:color w:val="000000" w:themeColor="text1"/>
        </w:rPr>
        <w:t xml:space="preserve">se four factors, the variance explained by each factor, and Cronbach’s alpha (a measure of internal consistency) for each factor. All values for Cronbach’s alpha were above the recommended value of </w:t>
      </w:r>
      <w:r w:rsidR="00C21D69" w:rsidRPr="00FC6087">
        <w:rPr>
          <w:color w:val="000000" w:themeColor="text1"/>
        </w:rPr>
        <w:t>0</w:t>
      </w:r>
      <w:r w:rsidRPr="00FC6087">
        <w:rPr>
          <w:color w:val="000000" w:themeColor="text1"/>
        </w:rPr>
        <w:t>.7 (Cortina, 1993). Thus, it can be concluded that these constructs have good internal consistency. Cronbach</w:t>
      </w:r>
      <w:r w:rsidR="00C21D69" w:rsidRPr="00FC6087">
        <w:rPr>
          <w:color w:val="000000" w:themeColor="text1"/>
        </w:rPr>
        <w:t>’</w:t>
      </w:r>
      <w:r w:rsidRPr="00FC6087">
        <w:rPr>
          <w:color w:val="000000" w:themeColor="text1"/>
        </w:rPr>
        <w:t xml:space="preserve">s </w:t>
      </w:r>
      <w:r w:rsidR="00C21D69" w:rsidRPr="00FC6087">
        <w:rPr>
          <w:color w:val="000000" w:themeColor="text1"/>
        </w:rPr>
        <w:t>c</w:t>
      </w:r>
      <w:r w:rsidRPr="00FC6087">
        <w:rPr>
          <w:color w:val="000000" w:themeColor="text1"/>
        </w:rPr>
        <w:t xml:space="preserve">oefficient </w:t>
      </w:r>
      <w:r w:rsidR="00C21D69" w:rsidRPr="00FC6087">
        <w:rPr>
          <w:color w:val="000000" w:themeColor="text1"/>
        </w:rPr>
        <w:t>a</w:t>
      </w:r>
      <w:r w:rsidRPr="00FC6087">
        <w:rPr>
          <w:color w:val="000000" w:themeColor="text1"/>
        </w:rPr>
        <w:t xml:space="preserve">lpha is the most widely used indicator of </w:t>
      </w:r>
      <w:r w:rsidRPr="00FC6087">
        <w:rPr>
          <w:color w:val="000000" w:themeColor="text1"/>
        </w:rPr>
        <w:lastRenderedPageBreak/>
        <w:t>internal consistency by scholars assessing the reliability of measurement scales adopted (Hair et al., 2006). Reliability mirrors the precision and accuracy level of a measurement procedure (Thorndike</w:t>
      </w:r>
      <w:r w:rsidR="00143188" w:rsidRPr="00FC6087">
        <w:rPr>
          <w:color w:val="000000" w:themeColor="text1"/>
        </w:rPr>
        <w:t xml:space="preserve"> et al.</w:t>
      </w:r>
      <w:r w:rsidRPr="00FC6087">
        <w:rPr>
          <w:color w:val="000000" w:themeColor="text1"/>
        </w:rPr>
        <w:t>, 1991) and may be perceived as a construct’</w:t>
      </w:r>
      <w:r w:rsidR="00C21D69" w:rsidRPr="00FC6087">
        <w:rPr>
          <w:color w:val="000000" w:themeColor="text1"/>
        </w:rPr>
        <w:t>s</w:t>
      </w:r>
      <w:r w:rsidRPr="00FC6087">
        <w:rPr>
          <w:color w:val="000000" w:themeColor="text1"/>
        </w:rPr>
        <w:t xml:space="preserve"> relative lack of error. The main motivation for conducting reliability checks is to decrease measurement errors (Churchill</w:t>
      </w:r>
      <w:r w:rsidR="005E7A62">
        <w:rPr>
          <w:color w:val="000000" w:themeColor="text1"/>
        </w:rPr>
        <w:t xml:space="preserve"> &amp; </w:t>
      </w:r>
      <w:r w:rsidRPr="00FC6087">
        <w:rPr>
          <w:color w:val="000000" w:themeColor="text1"/>
        </w:rPr>
        <w:t>Iacobucci, 2002). The reliability index ranges between zero and one and high alpha values indicate higher reliability (Tavakol</w:t>
      </w:r>
      <w:r w:rsidR="005E7A62">
        <w:rPr>
          <w:color w:val="000000" w:themeColor="text1"/>
        </w:rPr>
        <w:t xml:space="preserve"> &amp; </w:t>
      </w:r>
      <w:r w:rsidRPr="00FC6087">
        <w:rPr>
          <w:color w:val="000000" w:themeColor="text1"/>
        </w:rPr>
        <w:t xml:space="preserve">Dennick, 2011). </w:t>
      </w:r>
    </w:p>
    <w:p w14:paraId="7D516AFB" w14:textId="77777777" w:rsidR="00FD4D49" w:rsidRPr="00FC6087" w:rsidRDefault="00FD4D49" w:rsidP="00FD4D49">
      <w:pPr>
        <w:pStyle w:val="APAParagraph"/>
        <w:rPr>
          <w:color w:val="000000" w:themeColor="text1"/>
        </w:rPr>
      </w:pPr>
    </w:p>
    <w:p w14:paraId="7D516AFC" w14:textId="2035347F" w:rsidR="00C21D69" w:rsidRPr="00790070" w:rsidRDefault="00C21D69" w:rsidP="00B3578B">
      <w:pPr>
        <w:pStyle w:val="Caption"/>
        <w:jc w:val="left"/>
        <w:rPr>
          <w:b w:val="0"/>
          <w:i/>
          <w:noProof w:val="0"/>
          <w:color w:val="000000" w:themeColor="text1"/>
          <w:sz w:val="24"/>
          <w:szCs w:val="24"/>
          <w:rtl/>
          <w:lang w:bidi="ar-DZ"/>
        </w:rPr>
      </w:pPr>
      <w:bookmarkStart w:id="151" w:name="_Toc534121151"/>
      <w:r w:rsidRPr="00790070">
        <w:rPr>
          <w:b w:val="0"/>
          <w:noProof w:val="0"/>
          <w:color w:val="000000" w:themeColor="text1"/>
          <w:sz w:val="24"/>
          <w:szCs w:val="24"/>
        </w:rPr>
        <w:t>Table 5.</w:t>
      </w:r>
      <w:r w:rsidR="000270F9">
        <w:rPr>
          <w:b w:val="0"/>
          <w:noProof w:val="0"/>
          <w:color w:val="000000" w:themeColor="text1"/>
          <w:sz w:val="24"/>
          <w:szCs w:val="24"/>
        </w:rPr>
        <w:t>8</w:t>
      </w:r>
      <w:r w:rsidRPr="00790070">
        <w:rPr>
          <w:b w:val="0"/>
          <w:noProof w:val="0"/>
          <w:color w:val="000000" w:themeColor="text1"/>
          <w:sz w:val="24"/>
          <w:szCs w:val="24"/>
        </w:rPr>
        <w:br/>
      </w:r>
      <w:r w:rsidRPr="00790070">
        <w:rPr>
          <w:b w:val="0"/>
          <w:i/>
          <w:noProof w:val="0"/>
          <w:color w:val="000000" w:themeColor="text1"/>
          <w:sz w:val="24"/>
          <w:szCs w:val="24"/>
        </w:rPr>
        <w:t>Rotated Component Matrix of Items on Four Key Latent Barrier Factors</w:t>
      </w:r>
      <w:bookmarkEnd w:id="151"/>
    </w:p>
    <w:tbl>
      <w:tblPr>
        <w:tblW w:w="7879" w:type="dxa"/>
        <w:jc w:val="center"/>
        <w:tblLayout w:type="fixed"/>
        <w:tblCellMar>
          <w:left w:w="0" w:type="dxa"/>
          <w:right w:w="0" w:type="dxa"/>
        </w:tblCellMar>
        <w:tblLook w:val="0000" w:firstRow="0" w:lastRow="0" w:firstColumn="0" w:lastColumn="0" w:noHBand="0" w:noVBand="0"/>
      </w:tblPr>
      <w:tblGrid>
        <w:gridCol w:w="1440"/>
        <w:gridCol w:w="20"/>
        <w:gridCol w:w="20"/>
        <w:gridCol w:w="3168"/>
        <w:gridCol w:w="810"/>
        <w:gridCol w:w="858"/>
        <w:gridCol w:w="810"/>
        <w:gridCol w:w="753"/>
      </w:tblGrid>
      <w:tr w:rsidR="00C21D69" w:rsidRPr="00FC6087" w14:paraId="7D516B05" w14:textId="77777777" w:rsidTr="006D69FF">
        <w:trPr>
          <w:cantSplit/>
          <w:trHeight w:val="576"/>
          <w:jc w:val="center"/>
        </w:trPr>
        <w:tc>
          <w:tcPr>
            <w:tcW w:w="1440" w:type="dxa"/>
            <w:tcBorders>
              <w:top w:val="single" w:sz="18" w:space="0" w:color="auto"/>
              <w:bottom w:val="single" w:sz="12" w:space="0" w:color="auto"/>
            </w:tcBorders>
            <w:shd w:val="clear" w:color="auto" w:fill="auto"/>
            <w:vAlign w:val="center"/>
          </w:tcPr>
          <w:p w14:paraId="7D516AFD" w14:textId="77777777" w:rsidR="00FD4D49" w:rsidRPr="00790070" w:rsidRDefault="00FD4D49" w:rsidP="00790070">
            <w:pPr>
              <w:spacing w:line="360" w:lineRule="auto"/>
              <w:ind w:left="142"/>
              <w:contextualSpacing/>
              <w:mirrorIndents/>
              <w:jc w:val="both"/>
              <w:rPr>
                <w:rFonts w:eastAsia="Times New Roman"/>
                <w:color w:val="000000" w:themeColor="text1"/>
              </w:rPr>
            </w:pPr>
            <w:r w:rsidRPr="00790070">
              <w:rPr>
                <w:rFonts w:eastAsia="Times New Roman"/>
                <w:color w:val="000000" w:themeColor="text1"/>
              </w:rPr>
              <w:t>Item</w:t>
            </w:r>
          </w:p>
        </w:tc>
        <w:tc>
          <w:tcPr>
            <w:tcW w:w="20" w:type="dxa"/>
            <w:tcBorders>
              <w:top w:val="single" w:sz="18" w:space="0" w:color="auto"/>
              <w:bottom w:val="single" w:sz="12" w:space="0" w:color="auto"/>
            </w:tcBorders>
            <w:shd w:val="clear" w:color="auto" w:fill="auto"/>
            <w:vAlign w:val="center"/>
          </w:tcPr>
          <w:p w14:paraId="7D516AFE" w14:textId="77777777" w:rsidR="00FD4D49" w:rsidRPr="00790070" w:rsidRDefault="00FD4D49" w:rsidP="00790070">
            <w:pPr>
              <w:spacing w:line="360" w:lineRule="auto"/>
              <w:contextualSpacing/>
              <w:mirrorIndents/>
              <w:jc w:val="both"/>
              <w:rPr>
                <w:rFonts w:eastAsia="Times New Roman"/>
                <w:color w:val="000000" w:themeColor="text1"/>
              </w:rPr>
            </w:pPr>
          </w:p>
        </w:tc>
        <w:tc>
          <w:tcPr>
            <w:tcW w:w="20" w:type="dxa"/>
            <w:tcBorders>
              <w:top w:val="single" w:sz="18" w:space="0" w:color="auto"/>
              <w:bottom w:val="single" w:sz="12" w:space="0" w:color="auto"/>
            </w:tcBorders>
            <w:shd w:val="clear" w:color="auto" w:fill="auto"/>
            <w:vAlign w:val="center"/>
          </w:tcPr>
          <w:p w14:paraId="7D516AFF" w14:textId="77777777" w:rsidR="00FD4D49" w:rsidRPr="00790070" w:rsidRDefault="00FD4D49" w:rsidP="00790070">
            <w:pPr>
              <w:spacing w:line="360" w:lineRule="auto"/>
              <w:contextualSpacing/>
              <w:mirrorIndents/>
              <w:jc w:val="both"/>
              <w:rPr>
                <w:rFonts w:eastAsia="Times New Roman"/>
                <w:color w:val="000000" w:themeColor="text1"/>
              </w:rPr>
            </w:pPr>
          </w:p>
        </w:tc>
        <w:tc>
          <w:tcPr>
            <w:tcW w:w="3168" w:type="dxa"/>
            <w:tcBorders>
              <w:top w:val="single" w:sz="18" w:space="0" w:color="auto"/>
              <w:bottom w:val="single" w:sz="12" w:space="0" w:color="auto"/>
            </w:tcBorders>
            <w:shd w:val="clear" w:color="auto" w:fill="auto"/>
            <w:vAlign w:val="center"/>
          </w:tcPr>
          <w:p w14:paraId="7D516B00" w14:textId="77777777" w:rsidR="00FD4D49" w:rsidRPr="00790070" w:rsidRDefault="00FD4D49" w:rsidP="00790070">
            <w:pPr>
              <w:spacing w:line="360" w:lineRule="auto"/>
              <w:contextualSpacing/>
              <w:mirrorIndents/>
              <w:jc w:val="both"/>
              <w:rPr>
                <w:rFonts w:eastAsia="Times New Roman"/>
                <w:color w:val="000000" w:themeColor="text1"/>
              </w:rPr>
            </w:pPr>
            <w:r w:rsidRPr="00790070">
              <w:rPr>
                <w:rFonts w:eastAsia="Times New Roman"/>
                <w:color w:val="000000" w:themeColor="text1"/>
              </w:rPr>
              <w:t>Label</w:t>
            </w:r>
          </w:p>
        </w:tc>
        <w:tc>
          <w:tcPr>
            <w:tcW w:w="810" w:type="dxa"/>
            <w:tcBorders>
              <w:top w:val="single" w:sz="18" w:space="0" w:color="auto"/>
              <w:bottom w:val="single" w:sz="12" w:space="0" w:color="auto"/>
            </w:tcBorders>
            <w:shd w:val="clear" w:color="auto" w:fill="auto"/>
            <w:vAlign w:val="center"/>
          </w:tcPr>
          <w:p w14:paraId="7D516B01" w14:textId="77777777" w:rsidR="00FD4D49" w:rsidRPr="00790070" w:rsidRDefault="00FD4D49" w:rsidP="00551162">
            <w:pPr>
              <w:autoSpaceDE w:val="0"/>
              <w:autoSpaceDN w:val="0"/>
              <w:adjustRightInd w:val="0"/>
              <w:spacing w:line="360" w:lineRule="auto"/>
              <w:ind w:left="60" w:right="60"/>
              <w:contextualSpacing/>
              <w:mirrorIndents/>
              <w:jc w:val="center"/>
              <w:rPr>
                <w:color w:val="000000" w:themeColor="text1"/>
              </w:rPr>
            </w:pPr>
            <w:r w:rsidRPr="00790070">
              <w:rPr>
                <w:color w:val="000000" w:themeColor="text1"/>
              </w:rPr>
              <w:t>ORGS</w:t>
            </w:r>
          </w:p>
        </w:tc>
        <w:tc>
          <w:tcPr>
            <w:tcW w:w="858" w:type="dxa"/>
            <w:tcBorders>
              <w:top w:val="single" w:sz="18" w:space="0" w:color="auto"/>
              <w:bottom w:val="single" w:sz="12" w:space="0" w:color="auto"/>
            </w:tcBorders>
            <w:shd w:val="clear" w:color="auto" w:fill="auto"/>
            <w:vAlign w:val="center"/>
          </w:tcPr>
          <w:p w14:paraId="7D516B02" w14:textId="77777777" w:rsidR="00FD4D49" w:rsidRPr="00790070" w:rsidRDefault="00FD4D49" w:rsidP="00551162">
            <w:pPr>
              <w:autoSpaceDE w:val="0"/>
              <w:autoSpaceDN w:val="0"/>
              <w:adjustRightInd w:val="0"/>
              <w:spacing w:line="360" w:lineRule="auto"/>
              <w:ind w:left="60" w:right="60"/>
              <w:contextualSpacing/>
              <w:mirrorIndents/>
              <w:jc w:val="center"/>
              <w:rPr>
                <w:color w:val="000000" w:themeColor="text1"/>
              </w:rPr>
            </w:pPr>
            <w:r w:rsidRPr="00790070">
              <w:rPr>
                <w:color w:val="000000" w:themeColor="text1"/>
              </w:rPr>
              <w:t>TEBA</w:t>
            </w:r>
          </w:p>
        </w:tc>
        <w:tc>
          <w:tcPr>
            <w:tcW w:w="810" w:type="dxa"/>
            <w:tcBorders>
              <w:top w:val="single" w:sz="18" w:space="0" w:color="auto"/>
              <w:bottom w:val="single" w:sz="12" w:space="0" w:color="auto"/>
            </w:tcBorders>
            <w:shd w:val="clear" w:color="auto" w:fill="auto"/>
            <w:vAlign w:val="center"/>
          </w:tcPr>
          <w:p w14:paraId="7D516B03" w14:textId="77777777" w:rsidR="00FD4D49" w:rsidRPr="00790070" w:rsidRDefault="00FD4D49" w:rsidP="00551162">
            <w:pPr>
              <w:autoSpaceDE w:val="0"/>
              <w:autoSpaceDN w:val="0"/>
              <w:adjustRightInd w:val="0"/>
              <w:spacing w:line="360" w:lineRule="auto"/>
              <w:ind w:left="60" w:right="60"/>
              <w:contextualSpacing/>
              <w:mirrorIndents/>
              <w:jc w:val="center"/>
              <w:rPr>
                <w:color w:val="000000" w:themeColor="text1"/>
              </w:rPr>
            </w:pPr>
            <w:r w:rsidRPr="00790070">
              <w:rPr>
                <w:color w:val="000000" w:themeColor="text1"/>
              </w:rPr>
              <w:t>RTGB</w:t>
            </w:r>
          </w:p>
        </w:tc>
        <w:tc>
          <w:tcPr>
            <w:tcW w:w="753" w:type="dxa"/>
            <w:tcBorders>
              <w:top w:val="single" w:sz="18" w:space="0" w:color="auto"/>
              <w:bottom w:val="single" w:sz="12" w:space="0" w:color="auto"/>
            </w:tcBorders>
            <w:shd w:val="clear" w:color="auto" w:fill="auto"/>
            <w:vAlign w:val="center"/>
          </w:tcPr>
          <w:p w14:paraId="7D516B04" w14:textId="77777777" w:rsidR="00FD4D49" w:rsidRPr="00790070" w:rsidRDefault="00FD4D49" w:rsidP="00551162">
            <w:pPr>
              <w:autoSpaceDE w:val="0"/>
              <w:autoSpaceDN w:val="0"/>
              <w:adjustRightInd w:val="0"/>
              <w:spacing w:line="360" w:lineRule="auto"/>
              <w:ind w:left="60" w:right="60"/>
              <w:contextualSpacing/>
              <w:mirrorIndents/>
              <w:jc w:val="center"/>
              <w:rPr>
                <w:color w:val="000000" w:themeColor="text1"/>
              </w:rPr>
            </w:pPr>
            <w:r w:rsidRPr="00790070">
              <w:rPr>
                <w:color w:val="000000" w:themeColor="text1"/>
              </w:rPr>
              <w:t>ORI</w:t>
            </w:r>
          </w:p>
        </w:tc>
      </w:tr>
      <w:tr w:rsidR="00C21D69" w:rsidRPr="00FC6087" w14:paraId="7D516B0E" w14:textId="77777777" w:rsidTr="006D69FF">
        <w:trPr>
          <w:cantSplit/>
          <w:trHeight w:val="576"/>
          <w:jc w:val="center"/>
        </w:trPr>
        <w:tc>
          <w:tcPr>
            <w:tcW w:w="1440" w:type="dxa"/>
            <w:tcBorders>
              <w:top w:val="single" w:sz="12" w:space="0" w:color="auto"/>
            </w:tcBorders>
            <w:shd w:val="clear" w:color="auto" w:fill="auto"/>
          </w:tcPr>
          <w:p w14:paraId="7D516B06"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ORGS11_1</w:t>
            </w:r>
          </w:p>
        </w:tc>
        <w:tc>
          <w:tcPr>
            <w:tcW w:w="20" w:type="dxa"/>
            <w:tcBorders>
              <w:top w:val="single" w:sz="12" w:space="0" w:color="auto"/>
            </w:tcBorders>
            <w:shd w:val="clear" w:color="auto" w:fill="auto"/>
          </w:tcPr>
          <w:p w14:paraId="7D516B07" w14:textId="77777777" w:rsidR="00FD4D49" w:rsidRPr="00FC6087" w:rsidRDefault="00FD4D49" w:rsidP="00790070">
            <w:pPr>
              <w:autoSpaceDE w:val="0"/>
              <w:autoSpaceDN w:val="0"/>
              <w:adjustRightInd w:val="0"/>
              <w:spacing w:line="360" w:lineRule="auto"/>
              <w:ind w:left="60" w:right="60"/>
              <w:contextualSpacing/>
              <w:mirrorIndents/>
              <w:jc w:val="both"/>
              <w:rPr>
                <w:color w:val="000000" w:themeColor="text1"/>
              </w:rPr>
            </w:pPr>
          </w:p>
        </w:tc>
        <w:tc>
          <w:tcPr>
            <w:tcW w:w="20" w:type="dxa"/>
            <w:tcBorders>
              <w:top w:val="single" w:sz="12" w:space="0" w:color="auto"/>
            </w:tcBorders>
            <w:shd w:val="clear" w:color="auto" w:fill="auto"/>
          </w:tcPr>
          <w:p w14:paraId="7D516B08" w14:textId="77777777" w:rsidR="00FD4D49" w:rsidRPr="00FC6087" w:rsidRDefault="00FD4D49" w:rsidP="00790070">
            <w:pPr>
              <w:autoSpaceDE w:val="0"/>
              <w:autoSpaceDN w:val="0"/>
              <w:adjustRightInd w:val="0"/>
              <w:spacing w:line="360" w:lineRule="auto"/>
              <w:ind w:left="60" w:right="60"/>
              <w:contextualSpacing/>
              <w:mirrorIndents/>
              <w:jc w:val="both"/>
              <w:rPr>
                <w:color w:val="000000" w:themeColor="text1"/>
              </w:rPr>
            </w:pPr>
          </w:p>
        </w:tc>
        <w:tc>
          <w:tcPr>
            <w:tcW w:w="3168" w:type="dxa"/>
            <w:tcBorders>
              <w:top w:val="single" w:sz="12" w:space="0" w:color="auto"/>
            </w:tcBorders>
            <w:shd w:val="clear" w:color="auto" w:fill="auto"/>
          </w:tcPr>
          <w:p w14:paraId="7D516B09" w14:textId="77777777" w:rsidR="00FD4D49" w:rsidRPr="00FC6087" w:rsidRDefault="00FD4D49" w:rsidP="00790070">
            <w:pPr>
              <w:autoSpaceDE w:val="0"/>
              <w:autoSpaceDN w:val="0"/>
              <w:adjustRightInd w:val="0"/>
              <w:spacing w:line="360" w:lineRule="auto"/>
              <w:ind w:left="60" w:right="60"/>
              <w:contextualSpacing/>
              <w:mirrorIndents/>
              <w:jc w:val="both"/>
              <w:rPr>
                <w:color w:val="000000" w:themeColor="text1"/>
              </w:rPr>
            </w:pPr>
            <w:r w:rsidRPr="00FC6087">
              <w:rPr>
                <w:color w:val="000000" w:themeColor="text1"/>
              </w:rPr>
              <w:t>Lack of motivation</w:t>
            </w:r>
          </w:p>
        </w:tc>
        <w:tc>
          <w:tcPr>
            <w:tcW w:w="810" w:type="dxa"/>
            <w:tcBorders>
              <w:top w:val="single" w:sz="12" w:space="0" w:color="auto"/>
            </w:tcBorders>
            <w:shd w:val="clear" w:color="auto" w:fill="auto"/>
            <w:vAlign w:val="center"/>
          </w:tcPr>
          <w:p w14:paraId="7D516B0A"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.97</w:t>
            </w:r>
          </w:p>
        </w:tc>
        <w:tc>
          <w:tcPr>
            <w:tcW w:w="858" w:type="dxa"/>
            <w:tcBorders>
              <w:top w:val="single" w:sz="12" w:space="0" w:color="auto"/>
            </w:tcBorders>
            <w:shd w:val="clear" w:color="auto" w:fill="auto"/>
            <w:vAlign w:val="center"/>
          </w:tcPr>
          <w:p w14:paraId="7D516B0B"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10" w:type="dxa"/>
            <w:tcBorders>
              <w:top w:val="single" w:sz="12" w:space="0" w:color="auto"/>
            </w:tcBorders>
            <w:shd w:val="clear" w:color="auto" w:fill="auto"/>
            <w:vAlign w:val="center"/>
          </w:tcPr>
          <w:p w14:paraId="7D516B0C"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753" w:type="dxa"/>
            <w:tcBorders>
              <w:top w:val="single" w:sz="12" w:space="0" w:color="auto"/>
            </w:tcBorders>
            <w:shd w:val="clear" w:color="auto" w:fill="auto"/>
            <w:vAlign w:val="center"/>
          </w:tcPr>
          <w:p w14:paraId="7D516B0D"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r>
      <w:tr w:rsidR="00C21D69" w:rsidRPr="00FC6087" w14:paraId="7D516B17" w14:textId="77777777" w:rsidTr="006D69FF">
        <w:trPr>
          <w:cantSplit/>
          <w:trHeight w:val="576"/>
          <w:jc w:val="center"/>
        </w:trPr>
        <w:tc>
          <w:tcPr>
            <w:tcW w:w="1440" w:type="dxa"/>
            <w:shd w:val="clear" w:color="auto" w:fill="auto"/>
          </w:tcPr>
          <w:p w14:paraId="7D516B0F"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ORGS9_1</w:t>
            </w:r>
          </w:p>
        </w:tc>
        <w:tc>
          <w:tcPr>
            <w:tcW w:w="20" w:type="dxa"/>
            <w:shd w:val="clear" w:color="auto" w:fill="auto"/>
          </w:tcPr>
          <w:p w14:paraId="7D516B10" w14:textId="77777777" w:rsidR="00FD4D49" w:rsidRPr="00FC6087" w:rsidRDefault="00FD4D49" w:rsidP="00790070">
            <w:pPr>
              <w:autoSpaceDE w:val="0"/>
              <w:autoSpaceDN w:val="0"/>
              <w:adjustRightInd w:val="0"/>
              <w:spacing w:line="360" w:lineRule="auto"/>
              <w:ind w:left="60" w:right="60"/>
              <w:contextualSpacing/>
              <w:mirrorIndents/>
              <w:jc w:val="both"/>
              <w:rPr>
                <w:color w:val="000000" w:themeColor="text1"/>
              </w:rPr>
            </w:pPr>
          </w:p>
        </w:tc>
        <w:tc>
          <w:tcPr>
            <w:tcW w:w="20" w:type="dxa"/>
            <w:shd w:val="clear" w:color="auto" w:fill="auto"/>
          </w:tcPr>
          <w:p w14:paraId="7D516B11" w14:textId="77777777" w:rsidR="00FD4D49" w:rsidRPr="00FC6087" w:rsidRDefault="00FD4D49" w:rsidP="00790070">
            <w:pPr>
              <w:autoSpaceDE w:val="0"/>
              <w:autoSpaceDN w:val="0"/>
              <w:adjustRightInd w:val="0"/>
              <w:spacing w:line="360" w:lineRule="auto"/>
              <w:ind w:left="60" w:right="60"/>
              <w:contextualSpacing/>
              <w:mirrorIndents/>
              <w:jc w:val="both"/>
              <w:rPr>
                <w:color w:val="000000" w:themeColor="text1"/>
              </w:rPr>
            </w:pPr>
          </w:p>
        </w:tc>
        <w:tc>
          <w:tcPr>
            <w:tcW w:w="3168" w:type="dxa"/>
            <w:shd w:val="clear" w:color="auto" w:fill="auto"/>
          </w:tcPr>
          <w:p w14:paraId="7D516B12" w14:textId="77777777" w:rsidR="00FD4D49" w:rsidRPr="00FC6087" w:rsidRDefault="00FD4D49" w:rsidP="00790070">
            <w:pPr>
              <w:autoSpaceDE w:val="0"/>
              <w:autoSpaceDN w:val="0"/>
              <w:adjustRightInd w:val="0"/>
              <w:spacing w:line="360" w:lineRule="auto"/>
              <w:ind w:left="60" w:right="60"/>
              <w:contextualSpacing/>
              <w:mirrorIndents/>
              <w:jc w:val="both"/>
              <w:rPr>
                <w:color w:val="000000" w:themeColor="text1"/>
              </w:rPr>
            </w:pPr>
            <w:r w:rsidRPr="00FC6087">
              <w:rPr>
                <w:color w:val="000000" w:themeColor="text1"/>
              </w:rPr>
              <w:t>Lack of unified procedures</w:t>
            </w:r>
          </w:p>
        </w:tc>
        <w:tc>
          <w:tcPr>
            <w:tcW w:w="810" w:type="dxa"/>
            <w:shd w:val="clear" w:color="auto" w:fill="auto"/>
            <w:vAlign w:val="center"/>
          </w:tcPr>
          <w:p w14:paraId="7D516B13"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.80</w:t>
            </w:r>
          </w:p>
        </w:tc>
        <w:tc>
          <w:tcPr>
            <w:tcW w:w="858" w:type="dxa"/>
            <w:shd w:val="clear" w:color="auto" w:fill="auto"/>
            <w:vAlign w:val="center"/>
          </w:tcPr>
          <w:p w14:paraId="7D516B14"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10" w:type="dxa"/>
            <w:shd w:val="clear" w:color="auto" w:fill="auto"/>
            <w:vAlign w:val="center"/>
          </w:tcPr>
          <w:p w14:paraId="7D516B15"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753" w:type="dxa"/>
            <w:shd w:val="clear" w:color="auto" w:fill="auto"/>
            <w:vAlign w:val="center"/>
          </w:tcPr>
          <w:p w14:paraId="7D516B16"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r>
      <w:tr w:rsidR="00C21D69" w:rsidRPr="00FC6087" w14:paraId="7D516B20" w14:textId="77777777" w:rsidTr="006D69FF">
        <w:trPr>
          <w:cantSplit/>
          <w:trHeight w:val="576"/>
          <w:jc w:val="center"/>
        </w:trPr>
        <w:tc>
          <w:tcPr>
            <w:tcW w:w="1440" w:type="dxa"/>
            <w:shd w:val="clear" w:color="auto" w:fill="auto"/>
          </w:tcPr>
          <w:p w14:paraId="7D516B18"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ORGS10_1</w:t>
            </w:r>
          </w:p>
        </w:tc>
        <w:tc>
          <w:tcPr>
            <w:tcW w:w="20" w:type="dxa"/>
            <w:shd w:val="clear" w:color="auto" w:fill="auto"/>
          </w:tcPr>
          <w:p w14:paraId="7D516B19" w14:textId="77777777" w:rsidR="00FD4D49" w:rsidRPr="00FC6087" w:rsidRDefault="00FD4D49" w:rsidP="00790070">
            <w:pPr>
              <w:autoSpaceDE w:val="0"/>
              <w:autoSpaceDN w:val="0"/>
              <w:adjustRightInd w:val="0"/>
              <w:spacing w:line="360" w:lineRule="auto"/>
              <w:ind w:left="60" w:right="60"/>
              <w:contextualSpacing/>
              <w:mirrorIndents/>
              <w:jc w:val="both"/>
              <w:rPr>
                <w:color w:val="000000" w:themeColor="text1"/>
              </w:rPr>
            </w:pPr>
          </w:p>
        </w:tc>
        <w:tc>
          <w:tcPr>
            <w:tcW w:w="20" w:type="dxa"/>
            <w:shd w:val="clear" w:color="auto" w:fill="auto"/>
          </w:tcPr>
          <w:p w14:paraId="7D516B1A" w14:textId="77777777" w:rsidR="00FD4D49" w:rsidRPr="00FC6087" w:rsidRDefault="00FD4D49" w:rsidP="00790070">
            <w:pPr>
              <w:autoSpaceDE w:val="0"/>
              <w:autoSpaceDN w:val="0"/>
              <w:adjustRightInd w:val="0"/>
              <w:spacing w:line="360" w:lineRule="auto"/>
              <w:ind w:left="60" w:right="60"/>
              <w:contextualSpacing/>
              <w:mirrorIndents/>
              <w:jc w:val="both"/>
              <w:rPr>
                <w:color w:val="000000" w:themeColor="text1"/>
              </w:rPr>
            </w:pPr>
          </w:p>
        </w:tc>
        <w:tc>
          <w:tcPr>
            <w:tcW w:w="3168" w:type="dxa"/>
            <w:shd w:val="clear" w:color="auto" w:fill="auto"/>
          </w:tcPr>
          <w:p w14:paraId="7D516B1B" w14:textId="77777777" w:rsidR="00FD4D49" w:rsidRPr="00FC6087" w:rsidRDefault="00FD4D49" w:rsidP="00790070">
            <w:pPr>
              <w:autoSpaceDE w:val="0"/>
              <w:autoSpaceDN w:val="0"/>
              <w:adjustRightInd w:val="0"/>
              <w:spacing w:line="360" w:lineRule="auto"/>
              <w:ind w:left="60" w:right="60"/>
              <w:contextualSpacing/>
              <w:mirrorIndents/>
              <w:jc w:val="both"/>
              <w:rPr>
                <w:color w:val="000000" w:themeColor="text1"/>
              </w:rPr>
            </w:pPr>
            <w:r w:rsidRPr="00FC6087">
              <w:rPr>
                <w:color w:val="000000" w:themeColor="text1"/>
              </w:rPr>
              <w:t>Weak technology strategy</w:t>
            </w:r>
          </w:p>
        </w:tc>
        <w:tc>
          <w:tcPr>
            <w:tcW w:w="810" w:type="dxa"/>
            <w:shd w:val="clear" w:color="auto" w:fill="auto"/>
            <w:vAlign w:val="center"/>
          </w:tcPr>
          <w:p w14:paraId="7D516B1C"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.65</w:t>
            </w:r>
          </w:p>
        </w:tc>
        <w:tc>
          <w:tcPr>
            <w:tcW w:w="858" w:type="dxa"/>
            <w:shd w:val="clear" w:color="auto" w:fill="auto"/>
            <w:vAlign w:val="center"/>
          </w:tcPr>
          <w:p w14:paraId="7D516B1D"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10" w:type="dxa"/>
            <w:shd w:val="clear" w:color="auto" w:fill="auto"/>
            <w:vAlign w:val="center"/>
          </w:tcPr>
          <w:p w14:paraId="7D516B1E"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753" w:type="dxa"/>
            <w:shd w:val="clear" w:color="auto" w:fill="auto"/>
            <w:vAlign w:val="center"/>
          </w:tcPr>
          <w:p w14:paraId="7D516B1F"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r>
      <w:tr w:rsidR="00C21D69" w:rsidRPr="00FC6087" w14:paraId="7D516B29" w14:textId="77777777" w:rsidTr="006D69FF">
        <w:trPr>
          <w:cantSplit/>
          <w:trHeight w:val="576"/>
          <w:jc w:val="center"/>
        </w:trPr>
        <w:tc>
          <w:tcPr>
            <w:tcW w:w="1440" w:type="dxa"/>
            <w:shd w:val="clear" w:color="auto" w:fill="auto"/>
          </w:tcPr>
          <w:p w14:paraId="7D516B21"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TEBA2_1</w:t>
            </w:r>
          </w:p>
        </w:tc>
        <w:tc>
          <w:tcPr>
            <w:tcW w:w="20" w:type="dxa"/>
            <w:shd w:val="clear" w:color="auto" w:fill="auto"/>
          </w:tcPr>
          <w:p w14:paraId="7D516B22"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20" w:type="dxa"/>
            <w:shd w:val="clear" w:color="auto" w:fill="auto"/>
          </w:tcPr>
          <w:p w14:paraId="7D516B23"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3168" w:type="dxa"/>
            <w:shd w:val="clear" w:color="auto" w:fill="auto"/>
          </w:tcPr>
          <w:p w14:paraId="7D516B24"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r w:rsidRPr="00FC6087">
              <w:rPr>
                <w:color w:val="000000" w:themeColor="text1"/>
              </w:rPr>
              <w:t>Availability of technology</w:t>
            </w:r>
          </w:p>
        </w:tc>
        <w:tc>
          <w:tcPr>
            <w:tcW w:w="810" w:type="dxa"/>
            <w:shd w:val="clear" w:color="auto" w:fill="auto"/>
            <w:vAlign w:val="center"/>
          </w:tcPr>
          <w:p w14:paraId="7D516B25"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58" w:type="dxa"/>
            <w:shd w:val="clear" w:color="auto" w:fill="auto"/>
            <w:vAlign w:val="center"/>
          </w:tcPr>
          <w:p w14:paraId="7D516B26"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.93</w:t>
            </w:r>
          </w:p>
        </w:tc>
        <w:tc>
          <w:tcPr>
            <w:tcW w:w="810" w:type="dxa"/>
            <w:shd w:val="clear" w:color="auto" w:fill="auto"/>
            <w:vAlign w:val="center"/>
          </w:tcPr>
          <w:p w14:paraId="7D516B27"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753" w:type="dxa"/>
            <w:shd w:val="clear" w:color="auto" w:fill="auto"/>
            <w:vAlign w:val="center"/>
          </w:tcPr>
          <w:p w14:paraId="7D516B28"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r>
      <w:tr w:rsidR="00C21D69" w:rsidRPr="00FC6087" w14:paraId="7D516B32" w14:textId="77777777" w:rsidTr="006D69FF">
        <w:trPr>
          <w:cantSplit/>
          <w:trHeight w:val="576"/>
          <w:jc w:val="center"/>
        </w:trPr>
        <w:tc>
          <w:tcPr>
            <w:tcW w:w="1440" w:type="dxa"/>
            <w:shd w:val="clear" w:color="auto" w:fill="auto"/>
          </w:tcPr>
          <w:p w14:paraId="7D516B2A"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TEBA1_1</w:t>
            </w:r>
          </w:p>
        </w:tc>
        <w:tc>
          <w:tcPr>
            <w:tcW w:w="20" w:type="dxa"/>
            <w:shd w:val="clear" w:color="auto" w:fill="auto"/>
          </w:tcPr>
          <w:p w14:paraId="7D516B2B"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20" w:type="dxa"/>
            <w:shd w:val="clear" w:color="auto" w:fill="auto"/>
          </w:tcPr>
          <w:p w14:paraId="7D516B2C"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3168" w:type="dxa"/>
            <w:shd w:val="clear" w:color="auto" w:fill="auto"/>
          </w:tcPr>
          <w:p w14:paraId="7D516B2D"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r w:rsidRPr="00FC6087">
              <w:rPr>
                <w:color w:val="000000" w:themeColor="text1"/>
              </w:rPr>
              <w:t>Scope of telecom infrastructure</w:t>
            </w:r>
          </w:p>
        </w:tc>
        <w:tc>
          <w:tcPr>
            <w:tcW w:w="810" w:type="dxa"/>
            <w:shd w:val="clear" w:color="auto" w:fill="auto"/>
            <w:vAlign w:val="center"/>
          </w:tcPr>
          <w:p w14:paraId="7D516B2E"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58" w:type="dxa"/>
            <w:shd w:val="clear" w:color="auto" w:fill="auto"/>
            <w:vAlign w:val="center"/>
          </w:tcPr>
          <w:p w14:paraId="7D516B2F"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.85</w:t>
            </w:r>
          </w:p>
        </w:tc>
        <w:tc>
          <w:tcPr>
            <w:tcW w:w="810" w:type="dxa"/>
            <w:shd w:val="clear" w:color="auto" w:fill="auto"/>
            <w:vAlign w:val="center"/>
          </w:tcPr>
          <w:p w14:paraId="7D516B30"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753" w:type="dxa"/>
            <w:shd w:val="clear" w:color="auto" w:fill="auto"/>
            <w:vAlign w:val="center"/>
          </w:tcPr>
          <w:p w14:paraId="7D516B31"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r>
      <w:tr w:rsidR="00C21D69" w:rsidRPr="00FC6087" w14:paraId="7D516B3B" w14:textId="77777777" w:rsidTr="006D69FF">
        <w:trPr>
          <w:cantSplit/>
          <w:trHeight w:val="576"/>
          <w:jc w:val="center"/>
        </w:trPr>
        <w:tc>
          <w:tcPr>
            <w:tcW w:w="1440" w:type="dxa"/>
            <w:shd w:val="clear" w:color="auto" w:fill="auto"/>
          </w:tcPr>
          <w:p w14:paraId="7D516B33"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TEBA3_1</w:t>
            </w:r>
          </w:p>
        </w:tc>
        <w:tc>
          <w:tcPr>
            <w:tcW w:w="20" w:type="dxa"/>
            <w:shd w:val="clear" w:color="auto" w:fill="auto"/>
          </w:tcPr>
          <w:p w14:paraId="7D516B34"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20" w:type="dxa"/>
            <w:shd w:val="clear" w:color="auto" w:fill="auto"/>
          </w:tcPr>
          <w:p w14:paraId="7D516B35"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3168" w:type="dxa"/>
            <w:shd w:val="clear" w:color="auto" w:fill="auto"/>
          </w:tcPr>
          <w:p w14:paraId="7D516B36" w14:textId="77777777" w:rsidR="00FD4D49" w:rsidRPr="00FC6087" w:rsidRDefault="00FD4D49" w:rsidP="00551162">
            <w:pPr>
              <w:autoSpaceDE w:val="0"/>
              <w:autoSpaceDN w:val="0"/>
              <w:adjustRightInd w:val="0"/>
              <w:spacing w:line="360" w:lineRule="auto"/>
              <w:contextualSpacing/>
              <w:mirrorIndents/>
              <w:rPr>
                <w:color w:val="000000" w:themeColor="text1"/>
              </w:rPr>
            </w:pPr>
            <w:r w:rsidRPr="00FC6087">
              <w:rPr>
                <w:color w:val="000000" w:themeColor="text1"/>
              </w:rPr>
              <w:t>Compatibility between old and new technology</w:t>
            </w:r>
          </w:p>
        </w:tc>
        <w:tc>
          <w:tcPr>
            <w:tcW w:w="810" w:type="dxa"/>
            <w:shd w:val="clear" w:color="auto" w:fill="auto"/>
            <w:vAlign w:val="center"/>
          </w:tcPr>
          <w:p w14:paraId="7D516B37"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58" w:type="dxa"/>
            <w:shd w:val="clear" w:color="auto" w:fill="auto"/>
            <w:vAlign w:val="center"/>
          </w:tcPr>
          <w:p w14:paraId="7D516B38"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.78</w:t>
            </w:r>
          </w:p>
        </w:tc>
        <w:tc>
          <w:tcPr>
            <w:tcW w:w="810" w:type="dxa"/>
            <w:shd w:val="clear" w:color="auto" w:fill="auto"/>
            <w:vAlign w:val="center"/>
          </w:tcPr>
          <w:p w14:paraId="7D516B39"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753" w:type="dxa"/>
            <w:shd w:val="clear" w:color="auto" w:fill="auto"/>
            <w:vAlign w:val="center"/>
          </w:tcPr>
          <w:p w14:paraId="7D516B3A"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r>
      <w:tr w:rsidR="00C21D69" w:rsidRPr="00FC6087" w14:paraId="7D516B44" w14:textId="77777777" w:rsidTr="006D69FF">
        <w:trPr>
          <w:cantSplit/>
          <w:trHeight w:val="576"/>
          <w:jc w:val="center"/>
        </w:trPr>
        <w:tc>
          <w:tcPr>
            <w:tcW w:w="1440" w:type="dxa"/>
            <w:shd w:val="clear" w:color="auto" w:fill="auto"/>
          </w:tcPr>
          <w:p w14:paraId="7D516B3C"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RTGB4_1</w:t>
            </w:r>
          </w:p>
        </w:tc>
        <w:tc>
          <w:tcPr>
            <w:tcW w:w="20" w:type="dxa"/>
            <w:shd w:val="clear" w:color="auto" w:fill="auto"/>
          </w:tcPr>
          <w:p w14:paraId="7D516B3D"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20" w:type="dxa"/>
            <w:shd w:val="clear" w:color="auto" w:fill="auto"/>
          </w:tcPr>
          <w:p w14:paraId="7D516B3E"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3168" w:type="dxa"/>
            <w:shd w:val="clear" w:color="auto" w:fill="auto"/>
          </w:tcPr>
          <w:p w14:paraId="7D516B3F"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r w:rsidRPr="00FC6087">
              <w:rPr>
                <w:color w:val="000000" w:themeColor="text1"/>
              </w:rPr>
              <w:t>Sensitivity of data</w:t>
            </w:r>
          </w:p>
        </w:tc>
        <w:tc>
          <w:tcPr>
            <w:tcW w:w="810" w:type="dxa"/>
            <w:shd w:val="clear" w:color="auto" w:fill="auto"/>
            <w:vAlign w:val="center"/>
          </w:tcPr>
          <w:p w14:paraId="7D516B40"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58" w:type="dxa"/>
            <w:shd w:val="clear" w:color="auto" w:fill="auto"/>
            <w:vAlign w:val="center"/>
          </w:tcPr>
          <w:p w14:paraId="7D516B41"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10" w:type="dxa"/>
            <w:shd w:val="clear" w:color="auto" w:fill="auto"/>
            <w:vAlign w:val="center"/>
          </w:tcPr>
          <w:p w14:paraId="7D516B42"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.92</w:t>
            </w:r>
          </w:p>
        </w:tc>
        <w:tc>
          <w:tcPr>
            <w:tcW w:w="753" w:type="dxa"/>
            <w:shd w:val="clear" w:color="auto" w:fill="auto"/>
            <w:vAlign w:val="center"/>
          </w:tcPr>
          <w:p w14:paraId="7D516B43"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r>
      <w:tr w:rsidR="00C21D69" w:rsidRPr="00FC6087" w14:paraId="7D516B4D" w14:textId="77777777" w:rsidTr="006D69FF">
        <w:trPr>
          <w:cantSplit/>
          <w:trHeight w:val="576"/>
          <w:jc w:val="center"/>
        </w:trPr>
        <w:tc>
          <w:tcPr>
            <w:tcW w:w="1440" w:type="dxa"/>
            <w:shd w:val="clear" w:color="auto" w:fill="auto"/>
          </w:tcPr>
          <w:p w14:paraId="7D516B45"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RTGB3_1</w:t>
            </w:r>
          </w:p>
        </w:tc>
        <w:tc>
          <w:tcPr>
            <w:tcW w:w="20" w:type="dxa"/>
            <w:shd w:val="clear" w:color="auto" w:fill="auto"/>
          </w:tcPr>
          <w:p w14:paraId="7D516B46"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20" w:type="dxa"/>
            <w:shd w:val="clear" w:color="auto" w:fill="auto"/>
          </w:tcPr>
          <w:p w14:paraId="7D516B47"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3168" w:type="dxa"/>
            <w:shd w:val="clear" w:color="auto" w:fill="auto"/>
          </w:tcPr>
          <w:p w14:paraId="7D516B48"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r w:rsidRPr="00FC6087">
              <w:rPr>
                <w:color w:val="000000" w:themeColor="text1"/>
              </w:rPr>
              <w:t>Information security (privacy)</w:t>
            </w:r>
          </w:p>
        </w:tc>
        <w:tc>
          <w:tcPr>
            <w:tcW w:w="810" w:type="dxa"/>
            <w:shd w:val="clear" w:color="auto" w:fill="auto"/>
            <w:vAlign w:val="center"/>
          </w:tcPr>
          <w:p w14:paraId="7D516B49"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58" w:type="dxa"/>
            <w:shd w:val="clear" w:color="auto" w:fill="auto"/>
            <w:vAlign w:val="center"/>
          </w:tcPr>
          <w:p w14:paraId="7D516B4A"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10" w:type="dxa"/>
            <w:shd w:val="clear" w:color="auto" w:fill="auto"/>
            <w:vAlign w:val="center"/>
          </w:tcPr>
          <w:p w14:paraId="7D516B4B"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.87</w:t>
            </w:r>
          </w:p>
        </w:tc>
        <w:tc>
          <w:tcPr>
            <w:tcW w:w="753" w:type="dxa"/>
            <w:shd w:val="clear" w:color="auto" w:fill="auto"/>
            <w:vAlign w:val="center"/>
          </w:tcPr>
          <w:p w14:paraId="7D516B4C"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r>
      <w:tr w:rsidR="00C21D69" w:rsidRPr="00FC6087" w14:paraId="7D516B56" w14:textId="77777777" w:rsidTr="006D69FF">
        <w:trPr>
          <w:cantSplit/>
          <w:trHeight w:val="576"/>
          <w:jc w:val="center"/>
        </w:trPr>
        <w:tc>
          <w:tcPr>
            <w:tcW w:w="1440" w:type="dxa"/>
            <w:shd w:val="clear" w:color="auto" w:fill="auto"/>
          </w:tcPr>
          <w:p w14:paraId="7D516B4E"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RTGB2_1</w:t>
            </w:r>
          </w:p>
        </w:tc>
        <w:tc>
          <w:tcPr>
            <w:tcW w:w="20" w:type="dxa"/>
            <w:shd w:val="clear" w:color="auto" w:fill="auto"/>
          </w:tcPr>
          <w:p w14:paraId="7D516B4F"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20" w:type="dxa"/>
            <w:shd w:val="clear" w:color="auto" w:fill="auto"/>
          </w:tcPr>
          <w:p w14:paraId="7D516B50"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3168" w:type="dxa"/>
            <w:shd w:val="clear" w:color="auto" w:fill="auto"/>
          </w:tcPr>
          <w:p w14:paraId="7D516B51"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r w:rsidRPr="00FC6087">
              <w:rPr>
                <w:color w:val="000000" w:themeColor="text1"/>
              </w:rPr>
              <w:t>Information infrastructure</w:t>
            </w:r>
          </w:p>
        </w:tc>
        <w:tc>
          <w:tcPr>
            <w:tcW w:w="810" w:type="dxa"/>
            <w:shd w:val="clear" w:color="auto" w:fill="auto"/>
            <w:vAlign w:val="center"/>
          </w:tcPr>
          <w:p w14:paraId="7D516B52"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58" w:type="dxa"/>
            <w:shd w:val="clear" w:color="auto" w:fill="auto"/>
            <w:vAlign w:val="center"/>
          </w:tcPr>
          <w:p w14:paraId="7D516B53"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10" w:type="dxa"/>
            <w:shd w:val="clear" w:color="auto" w:fill="auto"/>
            <w:vAlign w:val="center"/>
          </w:tcPr>
          <w:p w14:paraId="7D516B54"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.79</w:t>
            </w:r>
          </w:p>
        </w:tc>
        <w:tc>
          <w:tcPr>
            <w:tcW w:w="753" w:type="dxa"/>
            <w:shd w:val="clear" w:color="auto" w:fill="auto"/>
            <w:vAlign w:val="center"/>
          </w:tcPr>
          <w:p w14:paraId="7D516B55"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r>
      <w:tr w:rsidR="00C21D69" w:rsidRPr="00FC6087" w14:paraId="7D516B5F" w14:textId="77777777" w:rsidTr="006D69FF">
        <w:trPr>
          <w:cantSplit/>
          <w:trHeight w:val="576"/>
          <w:jc w:val="center"/>
        </w:trPr>
        <w:tc>
          <w:tcPr>
            <w:tcW w:w="1440" w:type="dxa"/>
            <w:shd w:val="clear" w:color="auto" w:fill="auto"/>
          </w:tcPr>
          <w:p w14:paraId="7D516B57"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lastRenderedPageBreak/>
              <w:t>ORI1_1</w:t>
            </w:r>
          </w:p>
        </w:tc>
        <w:tc>
          <w:tcPr>
            <w:tcW w:w="20" w:type="dxa"/>
            <w:shd w:val="clear" w:color="auto" w:fill="auto"/>
          </w:tcPr>
          <w:p w14:paraId="7D516B58"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20" w:type="dxa"/>
            <w:shd w:val="clear" w:color="auto" w:fill="auto"/>
          </w:tcPr>
          <w:p w14:paraId="7D516B59"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3168" w:type="dxa"/>
            <w:shd w:val="clear" w:color="auto" w:fill="auto"/>
          </w:tcPr>
          <w:p w14:paraId="7D516B5A"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r w:rsidRPr="00FC6087">
              <w:rPr>
                <w:color w:val="000000" w:themeColor="text1"/>
              </w:rPr>
              <w:t>Educational background</w:t>
            </w:r>
          </w:p>
        </w:tc>
        <w:tc>
          <w:tcPr>
            <w:tcW w:w="810" w:type="dxa"/>
            <w:shd w:val="clear" w:color="auto" w:fill="auto"/>
            <w:vAlign w:val="center"/>
          </w:tcPr>
          <w:p w14:paraId="7D516B5B"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58" w:type="dxa"/>
            <w:shd w:val="clear" w:color="auto" w:fill="auto"/>
            <w:vAlign w:val="center"/>
          </w:tcPr>
          <w:p w14:paraId="7D516B5C"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10" w:type="dxa"/>
            <w:shd w:val="clear" w:color="auto" w:fill="auto"/>
            <w:vAlign w:val="center"/>
          </w:tcPr>
          <w:p w14:paraId="7D516B5D"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753" w:type="dxa"/>
            <w:shd w:val="clear" w:color="auto" w:fill="auto"/>
            <w:vAlign w:val="center"/>
          </w:tcPr>
          <w:p w14:paraId="7D516B5E"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.89</w:t>
            </w:r>
          </w:p>
        </w:tc>
      </w:tr>
      <w:tr w:rsidR="00C21D69" w:rsidRPr="00FC6087" w14:paraId="7D516B68" w14:textId="77777777" w:rsidTr="006D69FF">
        <w:trPr>
          <w:cantSplit/>
          <w:trHeight w:val="576"/>
          <w:jc w:val="center"/>
        </w:trPr>
        <w:tc>
          <w:tcPr>
            <w:tcW w:w="1440" w:type="dxa"/>
            <w:shd w:val="clear" w:color="auto" w:fill="auto"/>
          </w:tcPr>
          <w:p w14:paraId="7D516B60"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ORI4_1</w:t>
            </w:r>
          </w:p>
        </w:tc>
        <w:tc>
          <w:tcPr>
            <w:tcW w:w="20" w:type="dxa"/>
            <w:shd w:val="clear" w:color="auto" w:fill="auto"/>
          </w:tcPr>
          <w:p w14:paraId="7D516B61"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20" w:type="dxa"/>
            <w:shd w:val="clear" w:color="auto" w:fill="auto"/>
          </w:tcPr>
          <w:p w14:paraId="7D516B62"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3168" w:type="dxa"/>
            <w:shd w:val="clear" w:color="auto" w:fill="auto"/>
          </w:tcPr>
          <w:p w14:paraId="7D516B63" w14:textId="77777777" w:rsidR="00FD4D49" w:rsidRPr="00FC6087" w:rsidRDefault="00FD4D49" w:rsidP="00790070">
            <w:pPr>
              <w:autoSpaceDE w:val="0"/>
              <w:autoSpaceDN w:val="0"/>
              <w:adjustRightInd w:val="0"/>
              <w:spacing w:line="360" w:lineRule="auto"/>
              <w:contextualSpacing/>
              <w:mirrorIndents/>
              <w:jc w:val="both"/>
              <w:rPr>
                <w:color w:val="000000" w:themeColor="text1"/>
                <w:lang w:bidi="ar-DZ"/>
              </w:rPr>
            </w:pPr>
            <w:r w:rsidRPr="00FC6087">
              <w:rPr>
                <w:color w:val="000000" w:themeColor="text1"/>
              </w:rPr>
              <w:t>Learning behavior of staff</w:t>
            </w:r>
          </w:p>
        </w:tc>
        <w:tc>
          <w:tcPr>
            <w:tcW w:w="810" w:type="dxa"/>
            <w:shd w:val="clear" w:color="auto" w:fill="auto"/>
            <w:vAlign w:val="center"/>
          </w:tcPr>
          <w:p w14:paraId="7D516B64"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58" w:type="dxa"/>
            <w:shd w:val="clear" w:color="auto" w:fill="auto"/>
            <w:vAlign w:val="center"/>
          </w:tcPr>
          <w:p w14:paraId="7D516B65"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10" w:type="dxa"/>
            <w:shd w:val="clear" w:color="auto" w:fill="auto"/>
            <w:vAlign w:val="center"/>
          </w:tcPr>
          <w:p w14:paraId="7D516B66"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753" w:type="dxa"/>
            <w:shd w:val="clear" w:color="auto" w:fill="auto"/>
            <w:vAlign w:val="center"/>
          </w:tcPr>
          <w:p w14:paraId="7D516B67"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.74</w:t>
            </w:r>
          </w:p>
        </w:tc>
      </w:tr>
      <w:tr w:rsidR="00C21D69" w:rsidRPr="00FC6087" w14:paraId="7D516B71" w14:textId="77777777" w:rsidTr="006D69FF">
        <w:trPr>
          <w:cantSplit/>
          <w:trHeight w:val="576"/>
          <w:jc w:val="center"/>
        </w:trPr>
        <w:tc>
          <w:tcPr>
            <w:tcW w:w="1440" w:type="dxa"/>
            <w:shd w:val="clear" w:color="auto" w:fill="auto"/>
          </w:tcPr>
          <w:p w14:paraId="7D516B69" w14:textId="77777777" w:rsidR="00FD4D49" w:rsidRPr="00790070" w:rsidRDefault="00FD4D49" w:rsidP="00790070">
            <w:pPr>
              <w:autoSpaceDE w:val="0"/>
              <w:autoSpaceDN w:val="0"/>
              <w:adjustRightInd w:val="0"/>
              <w:spacing w:line="360" w:lineRule="auto"/>
              <w:ind w:left="142" w:right="60"/>
              <w:contextualSpacing/>
              <w:mirrorIndents/>
              <w:jc w:val="both"/>
              <w:rPr>
                <w:color w:val="000000" w:themeColor="text1"/>
              </w:rPr>
            </w:pPr>
            <w:r w:rsidRPr="00790070">
              <w:rPr>
                <w:color w:val="000000" w:themeColor="text1"/>
              </w:rPr>
              <w:t>ORI2_1</w:t>
            </w:r>
          </w:p>
        </w:tc>
        <w:tc>
          <w:tcPr>
            <w:tcW w:w="20" w:type="dxa"/>
            <w:shd w:val="clear" w:color="auto" w:fill="auto"/>
          </w:tcPr>
          <w:p w14:paraId="7D516B6A"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20" w:type="dxa"/>
            <w:shd w:val="clear" w:color="auto" w:fill="auto"/>
          </w:tcPr>
          <w:p w14:paraId="7D516B6B"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p>
        </w:tc>
        <w:tc>
          <w:tcPr>
            <w:tcW w:w="3168" w:type="dxa"/>
            <w:shd w:val="clear" w:color="auto" w:fill="auto"/>
          </w:tcPr>
          <w:p w14:paraId="7D516B6C" w14:textId="77777777" w:rsidR="00FD4D49" w:rsidRPr="00FC6087" w:rsidRDefault="00FD4D49" w:rsidP="00790070">
            <w:pPr>
              <w:autoSpaceDE w:val="0"/>
              <w:autoSpaceDN w:val="0"/>
              <w:adjustRightInd w:val="0"/>
              <w:spacing w:line="360" w:lineRule="auto"/>
              <w:contextualSpacing/>
              <w:mirrorIndents/>
              <w:jc w:val="both"/>
              <w:rPr>
                <w:color w:val="000000" w:themeColor="text1"/>
              </w:rPr>
            </w:pPr>
            <w:r w:rsidRPr="00FC6087">
              <w:rPr>
                <w:color w:val="000000" w:themeColor="text1"/>
              </w:rPr>
              <w:t>Lack of global orientation</w:t>
            </w:r>
          </w:p>
        </w:tc>
        <w:tc>
          <w:tcPr>
            <w:tcW w:w="810" w:type="dxa"/>
            <w:shd w:val="clear" w:color="auto" w:fill="auto"/>
            <w:vAlign w:val="center"/>
          </w:tcPr>
          <w:p w14:paraId="7D516B6D"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58" w:type="dxa"/>
            <w:shd w:val="clear" w:color="auto" w:fill="auto"/>
            <w:vAlign w:val="center"/>
          </w:tcPr>
          <w:p w14:paraId="7D516B6E"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810" w:type="dxa"/>
            <w:shd w:val="clear" w:color="auto" w:fill="auto"/>
            <w:vAlign w:val="center"/>
          </w:tcPr>
          <w:p w14:paraId="7D516B6F"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p>
        </w:tc>
        <w:tc>
          <w:tcPr>
            <w:tcW w:w="753" w:type="dxa"/>
            <w:shd w:val="clear" w:color="auto" w:fill="auto"/>
            <w:vAlign w:val="center"/>
          </w:tcPr>
          <w:p w14:paraId="7D516B70" w14:textId="77777777" w:rsidR="00FD4D49" w:rsidRPr="00FC6087" w:rsidRDefault="00C21D6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.66</w:t>
            </w:r>
          </w:p>
        </w:tc>
      </w:tr>
      <w:tr w:rsidR="00C21D69" w:rsidRPr="00FC6087" w14:paraId="7D516B7A" w14:textId="77777777" w:rsidTr="006D69FF">
        <w:trPr>
          <w:cantSplit/>
          <w:trHeight w:val="576"/>
          <w:jc w:val="center"/>
        </w:trPr>
        <w:tc>
          <w:tcPr>
            <w:tcW w:w="1440" w:type="dxa"/>
            <w:shd w:val="clear" w:color="auto" w:fill="auto"/>
          </w:tcPr>
          <w:p w14:paraId="7D516B72" w14:textId="77777777" w:rsidR="00FD4D49" w:rsidRPr="00FC6087" w:rsidRDefault="00FD4D49" w:rsidP="00790070">
            <w:pPr>
              <w:autoSpaceDE w:val="0"/>
              <w:autoSpaceDN w:val="0"/>
              <w:adjustRightInd w:val="0"/>
              <w:spacing w:line="360" w:lineRule="auto"/>
              <w:ind w:left="142" w:right="60"/>
              <w:contextualSpacing/>
              <w:mirrorIndents/>
              <w:jc w:val="both"/>
              <w:rPr>
                <w:color w:val="000000" w:themeColor="text1"/>
              </w:rPr>
            </w:pPr>
          </w:p>
        </w:tc>
        <w:tc>
          <w:tcPr>
            <w:tcW w:w="20" w:type="dxa"/>
            <w:shd w:val="clear" w:color="auto" w:fill="auto"/>
          </w:tcPr>
          <w:p w14:paraId="7D516B73" w14:textId="77777777" w:rsidR="00FD4D49" w:rsidRPr="00FC6087" w:rsidRDefault="00FD4D49" w:rsidP="00790070">
            <w:pPr>
              <w:spacing w:line="360" w:lineRule="auto"/>
              <w:contextualSpacing/>
              <w:mirrorIndents/>
              <w:jc w:val="both"/>
              <w:rPr>
                <w:rFonts w:eastAsia="Times New Roman"/>
                <w:color w:val="000000" w:themeColor="text1"/>
              </w:rPr>
            </w:pPr>
          </w:p>
        </w:tc>
        <w:tc>
          <w:tcPr>
            <w:tcW w:w="20" w:type="dxa"/>
            <w:shd w:val="clear" w:color="auto" w:fill="auto"/>
          </w:tcPr>
          <w:p w14:paraId="7D516B74" w14:textId="77777777" w:rsidR="00FD4D49" w:rsidRPr="00FC6087" w:rsidRDefault="00FD4D49" w:rsidP="00790070">
            <w:pPr>
              <w:spacing w:line="360" w:lineRule="auto"/>
              <w:contextualSpacing/>
              <w:mirrorIndents/>
              <w:jc w:val="both"/>
              <w:rPr>
                <w:rFonts w:eastAsia="Times New Roman"/>
                <w:color w:val="000000" w:themeColor="text1"/>
              </w:rPr>
            </w:pPr>
          </w:p>
        </w:tc>
        <w:tc>
          <w:tcPr>
            <w:tcW w:w="3168" w:type="dxa"/>
            <w:shd w:val="clear" w:color="auto" w:fill="auto"/>
            <w:vAlign w:val="center"/>
          </w:tcPr>
          <w:p w14:paraId="7D516B75" w14:textId="77777777" w:rsidR="00FD4D49" w:rsidRPr="00790070" w:rsidRDefault="00FD4D49" w:rsidP="00790070">
            <w:pPr>
              <w:spacing w:line="360" w:lineRule="auto"/>
              <w:ind w:left="237" w:hanging="237"/>
              <w:contextualSpacing/>
              <w:mirrorIndents/>
              <w:jc w:val="both"/>
              <w:rPr>
                <w:rFonts w:eastAsia="Times New Roman"/>
                <w:color w:val="000000" w:themeColor="text1"/>
              </w:rPr>
            </w:pPr>
            <w:r w:rsidRPr="00790070">
              <w:rPr>
                <w:rFonts w:eastAsia="Times New Roman"/>
                <w:color w:val="000000" w:themeColor="text1"/>
              </w:rPr>
              <w:t>Variance explained</w:t>
            </w:r>
            <w:r w:rsidR="006B1994" w:rsidRPr="00FC6087">
              <w:rPr>
                <w:rFonts w:eastAsia="Times New Roman"/>
                <w:color w:val="000000" w:themeColor="text1"/>
              </w:rPr>
              <w:t xml:space="preserve"> (%)</w:t>
            </w:r>
          </w:p>
        </w:tc>
        <w:tc>
          <w:tcPr>
            <w:tcW w:w="810" w:type="dxa"/>
            <w:shd w:val="clear" w:color="auto" w:fill="auto"/>
            <w:vAlign w:val="center"/>
          </w:tcPr>
          <w:p w14:paraId="7D516B76"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r w:rsidRPr="00FC6087">
              <w:rPr>
                <w:color w:val="000000" w:themeColor="text1"/>
              </w:rPr>
              <w:t>48.52</w:t>
            </w:r>
          </w:p>
        </w:tc>
        <w:tc>
          <w:tcPr>
            <w:tcW w:w="858" w:type="dxa"/>
            <w:shd w:val="clear" w:color="auto" w:fill="auto"/>
            <w:vAlign w:val="center"/>
          </w:tcPr>
          <w:p w14:paraId="7D516B77"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r w:rsidRPr="00FC6087">
              <w:rPr>
                <w:color w:val="000000" w:themeColor="text1"/>
              </w:rPr>
              <w:t>9.92</w:t>
            </w:r>
          </w:p>
        </w:tc>
        <w:tc>
          <w:tcPr>
            <w:tcW w:w="810" w:type="dxa"/>
            <w:shd w:val="clear" w:color="auto" w:fill="auto"/>
            <w:vAlign w:val="center"/>
          </w:tcPr>
          <w:p w14:paraId="7D516B78" w14:textId="77777777" w:rsidR="00FD4D49" w:rsidRPr="00FC6087" w:rsidRDefault="00FD4D49" w:rsidP="00551162">
            <w:pPr>
              <w:autoSpaceDE w:val="0"/>
              <w:autoSpaceDN w:val="0"/>
              <w:adjustRightInd w:val="0"/>
              <w:spacing w:line="360" w:lineRule="auto"/>
              <w:contextualSpacing/>
              <w:mirrorIndents/>
              <w:jc w:val="center"/>
              <w:rPr>
                <w:color w:val="000000" w:themeColor="text1"/>
              </w:rPr>
            </w:pPr>
            <w:r w:rsidRPr="00FC6087">
              <w:rPr>
                <w:color w:val="000000" w:themeColor="text1"/>
              </w:rPr>
              <w:t>8.54</w:t>
            </w:r>
          </w:p>
        </w:tc>
        <w:tc>
          <w:tcPr>
            <w:tcW w:w="753" w:type="dxa"/>
            <w:shd w:val="clear" w:color="auto" w:fill="auto"/>
            <w:vAlign w:val="center"/>
          </w:tcPr>
          <w:p w14:paraId="7D516B79" w14:textId="77777777" w:rsidR="00FD4D49" w:rsidRPr="00FC6087" w:rsidRDefault="00FD4D49" w:rsidP="00551162">
            <w:pPr>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5.64</w:t>
            </w:r>
          </w:p>
        </w:tc>
      </w:tr>
      <w:tr w:rsidR="00C21D69" w:rsidRPr="00FC6087" w14:paraId="7D516B83" w14:textId="77777777" w:rsidTr="006D69FF">
        <w:trPr>
          <w:cantSplit/>
          <w:trHeight w:val="576"/>
          <w:jc w:val="center"/>
        </w:trPr>
        <w:tc>
          <w:tcPr>
            <w:tcW w:w="1440" w:type="dxa"/>
            <w:tcBorders>
              <w:bottom w:val="single" w:sz="18" w:space="0" w:color="auto"/>
            </w:tcBorders>
            <w:shd w:val="clear" w:color="auto" w:fill="auto"/>
          </w:tcPr>
          <w:p w14:paraId="7D516B7B" w14:textId="77777777" w:rsidR="00FD4D49" w:rsidRPr="00FC6087" w:rsidRDefault="00FD4D49" w:rsidP="00790070">
            <w:pPr>
              <w:autoSpaceDE w:val="0"/>
              <w:autoSpaceDN w:val="0"/>
              <w:adjustRightInd w:val="0"/>
              <w:spacing w:line="360" w:lineRule="auto"/>
              <w:ind w:left="142" w:right="60"/>
              <w:contextualSpacing/>
              <w:mirrorIndents/>
              <w:jc w:val="both"/>
              <w:rPr>
                <w:color w:val="000000" w:themeColor="text1"/>
              </w:rPr>
            </w:pPr>
          </w:p>
        </w:tc>
        <w:tc>
          <w:tcPr>
            <w:tcW w:w="20" w:type="dxa"/>
            <w:tcBorders>
              <w:bottom w:val="single" w:sz="18" w:space="0" w:color="auto"/>
            </w:tcBorders>
            <w:shd w:val="clear" w:color="auto" w:fill="auto"/>
          </w:tcPr>
          <w:p w14:paraId="7D516B7C" w14:textId="77777777" w:rsidR="00FD4D49" w:rsidRPr="00FC6087" w:rsidRDefault="00FD4D49" w:rsidP="00790070">
            <w:pPr>
              <w:spacing w:line="360" w:lineRule="auto"/>
              <w:contextualSpacing/>
              <w:mirrorIndents/>
              <w:jc w:val="both"/>
              <w:rPr>
                <w:rFonts w:eastAsia="Times New Roman"/>
                <w:color w:val="000000" w:themeColor="text1"/>
              </w:rPr>
            </w:pPr>
          </w:p>
        </w:tc>
        <w:tc>
          <w:tcPr>
            <w:tcW w:w="20" w:type="dxa"/>
            <w:tcBorders>
              <w:bottom w:val="single" w:sz="18" w:space="0" w:color="auto"/>
            </w:tcBorders>
            <w:shd w:val="clear" w:color="auto" w:fill="auto"/>
          </w:tcPr>
          <w:p w14:paraId="7D516B7D" w14:textId="77777777" w:rsidR="00FD4D49" w:rsidRPr="00FC6087" w:rsidRDefault="00FD4D49" w:rsidP="00790070">
            <w:pPr>
              <w:spacing w:line="360" w:lineRule="auto"/>
              <w:contextualSpacing/>
              <w:mirrorIndents/>
              <w:jc w:val="both"/>
              <w:rPr>
                <w:rFonts w:eastAsia="Times New Roman"/>
                <w:color w:val="000000" w:themeColor="text1"/>
              </w:rPr>
            </w:pPr>
          </w:p>
        </w:tc>
        <w:tc>
          <w:tcPr>
            <w:tcW w:w="3168" w:type="dxa"/>
            <w:tcBorders>
              <w:bottom w:val="single" w:sz="18" w:space="0" w:color="auto"/>
            </w:tcBorders>
            <w:shd w:val="clear" w:color="auto" w:fill="auto"/>
            <w:vAlign w:val="center"/>
          </w:tcPr>
          <w:p w14:paraId="7D516B7E" w14:textId="77777777" w:rsidR="00FD4D49" w:rsidRPr="00790070" w:rsidRDefault="00FD4D49" w:rsidP="00790070">
            <w:pPr>
              <w:spacing w:line="360" w:lineRule="auto"/>
              <w:ind w:left="237" w:hanging="237"/>
              <w:contextualSpacing/>
              <w:mirrorIndents/>
              <w:jc w:val="both"/>
              <w:rPr>
                <w:rFonts w:eastAsia="Times New Roman"/>
                <w:color w:val="000000" w:themeColor="text1"/>
              </w:rPr>
            </w:pPr>
            <w:r w:rsidRPr="00790070">
              <w:rPr>
                <w:rFonts w:eastAsia="Times New Roman"/>
                <w:color w:val="000000" w:themeColor="text1"/>
              </w:rPr>
              <w:t xml:space="preserve">Cronbach’s </w:t>
            </w:r>
            <w:r w:rsidR="00C21D69" w:rsidRPr="00FC6087">
              <w:rPr>
                <w:rFonts w:eastAsia="Times New Roman"/>
                <w:color w:val="000000" w:themeColor="text1"/>
              </w:rPr>
              <w:t>a</w:t>
            </w:r>
            <w:r w:rsidRPr="00790070">
              <w:rPr>
                <w:rFonts w:eastAsia="Times New Roman"/>
                <w:color w:val="000000" w:themeColor="text1"/>
              </w:rPr>
              <w:t xml:space="preserve">lpha </w:t>
            </w:r>
          </w:p>
        </w:tc>
        <w:tc>
          <w:tcPr>
            <w:tcW w:w="810" w:type="dxa"/>
            <w:tcBorders>
              <w:bottom w:val="single" w:sz="18" w:space="0" w:color="auto"/>
            </w:tcBorders>
            <w:shd w:val="clear" w:color="auto" w:fill="auto"/>
            <w:vAlign w:val="center"/>
          </w:tcPr>
          <w:p w14:paraId="7D516B7F" w14:textId="77777777" w:rsidR="00FD4D49" w:rsidRPr="00FC6087" w:rsidRDefault="00C21D69" w:rsidP="00551162">
            <w:pPr>
              <w:autoSpaceDE w:val="0"/>
              <w:autoSpaceDN w:val="0"/>
              <w:adjustRightInd w:val="0"/>
              <w:spacing w:line="360" w:lineRule="auto"/>
              <w:contextualSpacing/>
              <w:mirrorIndents/>
              <w:jc w:val="center"/>
              <w:rPr>
                <w:color w:val="000000" w:themeColor="text1"/>
              </w:rPr>
            </w:pPr>
            <w:r w:rsidRPr="00FC6087">
              <w:rPr>
                <w:color w:val="000000" w:themeColor="text1"/>
              </w:rPr>
              <w:t>0</w:t>
            </w:r>
            <w:r w:rsidR="00FD4D49" w:rsidRPr="00FC6087">
              <w:rPr>
                <w:color w:val="000000" w:themeColor="text1"/>
              </w:rPr>
              <w:t>.93</w:t>
            </w:r>
          </w:p>
        </w:tc>
        <w:tc>
          <w:tcPr>
            <w:tcW w:w="858" w:type="dxa"/>
            <w:tcBorders>
              <w:bottom w:val="single" w:sz="18" w:space="0" w:color="auto"/>
            </w:tcBorders>
            <w:shd w:val="clear" w:color="auto" w:fill="auto"/>
            <w:vAlign w:val="center"/>
          </w:tcPr>
          <w:p w14:paraId="7D516B80" w14:textId="77777777" w:rsidR="00FD4D49" w:rsidRPr="00FC6087" w:rsidRDefault="00C21D69" w:rsidP="00551162">
            <w:pPr>
              <w:autoSpaceDE w:val="0"/>
              <w:autoSpaceDN w:val="0"/>
              <w:adjustRightInd w:val="0"/>
              <w:spacing w:line="360" w:lineRule="auto"/>
              <w:contextualSpacing/>
              <w:mirrorIndents/>
              <w:jc w:val="center"/>
              <w:rPr>
                <w:color w:val="000000" w:themeColor="text1"/>
              </w:rPr>
            </w:pPr>
            <w:r w:rsidRPr="00FC6087">
              <w:rPr>
                <w:color w:val="000000" w:themeColor="text1"/>
              </w:rPr>
              <w:t>0</w:t>
            </w:r>
            <w:r w:rsidR="00FD4D49" w:rsidRPr="00FC6087">
              <w:rPr>
                <w:color w:val="000000" w:themeColor="text1"/>
              </w:rPr>
              <w:t>.92</w:t>
            </w:r>
          </w:p>
        </w:tc>
        <w:tc>
          <w:tcPr>
            <w:tcW w:w="810" w:type="dxa"/>
            <w:tcBorders>
              <w:bottom w:val="single" w:sz="18" w:space="0" w:color="auto"/>
            </w:tcBorders>
            <w:shd w:val="clear" w:color="auto" w:fill="auto"/>
            <w:vAlign w:val="center"/>
          </w:tcPr>
          <w:p w14:paraId="7D516B81" w14:textId="77777777" w:rsidR="00FD4D49" w:rsidRPr="00FC6087" w:rsidRDefault="00C21D69" w:rsidP="00551162">
            <w:pPr>
              <w:autoSpaceDE w:val="0"/>
              <w:autoSpaceDN w:val="0"/>
              <w:adjustRightInd w:val="0"/>
              <w:spacing w:line="360" w:lineRule="auto"/>
              <w:contextualSpacing/>
              <w:mirrorIndents/>
              <w:jc w:val="center"/>
              <w:rPr>
                <w:color w:val="000000" w:themeColor="text1"/>
              </w:rPr>
            </w:pPr>
            <w:r w:rsidRPr="00FC6087">
              <w:rPr>
                <w:color w:val="000000" w:themeColor="text1"/>
              </w:rPr>
              <w:t>0</w:t>
            </w:r>
            <w:r w:rsidR="00FD4D49" w:rsidRPr="00FC6087">
              <w:rPr>
                <w:color w:val="000000" w:themeColor="text1"/>
              </w:rPr>
              <w:t>.89</w:t>
            </w:r>
          </w:p>
        </w:tc>
        <w:tc>
          <w:tcPr>
            <w:tcW w:w="753" w:type="dxa"/>
            <w:tcBorders>
              <w:bottom w:val="single" w:sz="18" w:space="0" w:color="auto"/>
            </w:tcBorders>
            <w:shd w:val="clear" w:color="auto" w:fill="auto"/>
            <w:vAlign w:val="center"/>
          </w:tcPr>
          <w:p w14:paraId="7D516B82" w14:textId="77777777" w:rsidR="00FD4D49" w:rsidRPr="00FC6087" w:rsidRDefault="00C21D69" w:rsidP="00551162">
            <w:pPr>
              <w:keepNext/>
              <w:autoSpaceDE w:val="0"/>
              <w:autoSpaceDN w:val="0"/>
              <w:adjustRightInd w:val="0"/>
              <w:spacing w:line="360" w:lineRule="auto"/>
              <w:ind w:left="60" w:right="60"/>
              <w:contextualSpacing/>
              <w:mirrorIndents/>
              <w:jc w:val="center"/>
              <w:rPr>
                <w:color w:val="000000" w:themeColor="text1"/>
              </w:rPr>
            </w:pPr>
            <w:r w:rsidRPr="00FC6087">
              <w:rPr>
                <w:color w:val="000000" w:themeColor="text1"/>
              </w:rPr>
              <w:t>0</w:t>
            </w:r>
            <w:r w:rsidR="00FD4D49" w:rsidRPr="00FC6087">
              <w:rPr>
                <w:color w:val="000000" w:themeColor="text1"/>
              </w:rPr>
              <w:t>.78</w:t>
            </w:r>
          </w:p>
        </w:tc>
      </w:tr>
    </w:tbl>
    <w:p w14:paraId="7D516B84" w14:textId="77777777" w:rsidR="00FD4D49" w:rsidRPr="00FC6087" w:rsidRDefault="00FD4D49" w:rsidP="00C0447D">
      <w:pPr>
        <w:pStyle w:val="APAParagraph"/>
        <w:spacing w:line="240" w:lineRule="auto"/>
        <w:ind w:firstLine="0"/>
        <w:rPr>
          <w:color w:val="000000" w:themeColor="text1"/>
        </w:rPr>
      </w:pPr>
      <w:r w:rsidRPr="00790070">
        <w:rPr>
          <w:bCs/>
          <w:i/>
          <w:color w:val="000000" w:themeColor="text1"/>
        </w:rPr>
        <w:t>Note</w:t>
      </w:r>
      <w:r w:rsidR="006B1994" w:rsidRPr="00FC6087">
        <w:rPr>
          <w:bCs/>
          <w:i/>
          <w:color w:val="000000" w:themeColor="text1"/>
        </w:rPr>
        <w:t>.</w:t>
      </w:r>
      <w:r w:rsidRPr="00FC6087">
        <w:rPr>
          <w:color w:val="000000" w:themeColor="text1"/>
        </w:rPr>
        <w:t xml:space="preserve"> ORGS = organizational strategy</w:t>
      </w:r>
      <w:r w:rsidR="006B1994" w:rsidRPr="00FC6087">
        <w:rPr>
          <w:color w:val="000000" w:themeColor="text1"/>
        </w:rPr>
        <w:t>;</w:t>
      </w:r>
      <w:r w:rsidRPr="00FC6087">
        <w:rPr>
          <w:color w:val="000000" w:themeColor="text1"/>
        </w:rPr>
        <w:t xml:space="preserve"> TEBA = technical barriers</w:t>
      </w:r>
      <w:r w:rsidR="006B1994" w:rsidRPr="00FC6087">
        <w:rPr>
          <w:color w:val="000000" w:themeColor="text1"/>
        </w:rPr>
        <w:t>;</w:t>
      </w:r>
      <w:r w:rsidRPr="00FC6087">
        <w:rPr>
          <w:color w:val="000000" w:themeColor="text1"/>
        </w:rPr>
        <w:t xml:space="preserve"> RTGB = readiness </w:t>
      </w:r>
      <w:r w:rsidR="006B1994" w:rsidRPr="00FC6087">
        <w:rPr>
          <w:color w:val="000000" w:themeColor="text1"/>
        </w:rPr>
        <w:t>for</w:t>
      </w:r>
      <w:r w:rsidRPr="00FC6087">
        <w:rPr>
          <w:color w:val="000000" w:themeColor="text1"/>
        </w:rPr>
        <w:t xml:space="preserve"> big data and I</w:t>
      </w:r>
      <w:r w:rsidR="006B1994" w:rsidRPr="00FC6087">
        <w:rPr>
          <w:color w:val="000000" w:themeColor="text1"/>
        </w:rPr>
        <w:t>o</w:t>
      </w:r>
      <w:r w:rsidRPr="00FC6087">
        <w:rPr>
          <w:color w:val="000000" w:themeColor="text1"/>
        </w:rPr>
        <w:t>T</w:t>
      </w:r>
      <w:r w:rsidR="006B1994" w:rsidRPr="00FC6087">
        <w:rPr>
          <w:color w:val="000000" w:themeColor="text1"/>
        </w:rPr>
        <w:t>;</w:t>
      </w:r>
      <w:r w:rsidRPr="00FC6087">
        <w:rPr>
          <w:color w:val="000000" w:themeColor="text1"/>
        </w:rPr>
        <w:t xml:space="preserve"> ORI = orientation</w:t>
      </w:r>
      <w:r w:rsidR="006B1994" w:rsidRPr="00FC6087">
        <w:rPr>
          <w:color w:val="000000" w:themeColor="text1"/>
        </w:rPr>
        <w:t>.</w:t>
      </w:r>
    </w:p>
    <w:p w14:paraId="7D516B85" w14:textId="77777777" w:rsidR="00FD4D49" w:rsidRPr="00FC6087" w:rsidRDefault="00FD4D49" w:rsidP="00FD4D49">
      <w:pPr>
        <w:pStyle w:val="APAParagraph"/>
        <w:ind w:firstLine="0"/>
        <w:rPr>
          <w:color w:val="000000" w:themeColor="text1"/>
        </w:rPr>
      </w:pPr>
    </w:p>
    <w:p w14:paraId="7D516B86" w14:textId="0F1B0141" w:rsidR="00FD4D49" w:rsidRPr="00FC6087" w:rsidRDefault="006B1994" w:rsidP="00206E2A">
      <w:pPr>
        <w:pStyle w:val="Heading2"/>
      </w:pPr>
      <w:bookmarkStart w:id="152" w:name="_Toc24447808"/>
      <w:r w:rsidRPr="00FC6087">
        <w:t>5.</w:t>
      </w:r>
      <w:r w:rsidR="00206E2A">
        <w:t>4</w:t>
      </w:r>
      <w:r w:rsidRPr="00FC6087">
        <w:t xml:space="preserve">.1. </w:t>
      </w:r>
      <w:r w:rsidR="00FD4D49" w:rsidRPr="00FC6087">
        <w:t xml:space="preserve">Organizational </w:t>
      </w:r>
      <w:r w:rsidRPr="00FC6087">
        <w:t>S</w:t>
      </w:r>
      <w:r w:rsidR="00FD4D49" w:rsidRPr="00FC6087">
        <w:t>trategy</w:t>
      </w:r>
      <w:r w:rsidR="00710F6F" w:rsidRPr="00FC6087">
        <w:t xml:space="preserve"> </w:t>
      </w:r>
      <w:r w:rsidR="00FD4D49" w:rsidRPr="00FC6087">
        <w:t>(ORGS)</w:t>
      </w:r>
      <w:bookmarkEnd w:id="152"/>
    </w:p>
    <w:p w14:paraId="7D516B87" w14:textId="7EF934FA" w:rsidR="00FD4D49" w:rsidRPr="00FC6087" w:rsidRDefault="00FD4D49" w:rsidP="00FD4D49">
      <w:pPr>
        <w:pStyle w:val="APAParagraph"/>
        <w:rPr>
          <w:color w:val="000000" w:themeColor="text1"/>
        </w:rPr>
      </w:pPr>
      <w:r w:rsidRPr="00FC6087">
        <w:rPr>
          <w:color w:val="000000" w:themeColor="text1"/>
        </w:rPr>
        <w:t>The strong factor loadings of items related to lack of motivation (</w:t>
      </w:r>
      <w:r w:rsidR="00C0230A" w:rsidRPr="00FC6087">
        <w:rPr>
          <w:color w:val="000000" w:themeColor="text1"/>
        </w:rPr>
        <w:t>0</w:t>
      </w:r>
      <w:r w:rsidRPr="00FC6087">
        <w:rPr>
          <w:color w:val="000000" w:themeColor="text1"/>
        </w:rPr>
        <w:t>.97), of unified procedures (</w:t>
      </w:r>
      <w:r w:rsidR="00C0230A" w:rsidRPr="00FC6087">
        <w:rPr>
          <w:color w:val="000000" w:themeColor="text1"/>
        </w:rPr>
        <w:t>0</w:t>
      </w:r>
      <w:r w:rsidRPr="00FC6087">
        <w:rPr>
          <w:color w:val="000000" w:themeColor="text1"/>
        </w:rPr>
        <w:t>.80), all point to concerns over disorganization, disruption, disunity, and unpreparedness as strong barriers to HIT adoption. These findings are consistent with previous research showing the hindering effects of poor communication and training (Ajami</w:t>
      </w:r>
      <w:r w:rsidR="005E7A62">
        <w:rPr>
          <w:color w:val="000000" w:themeColor="text1"/>
        </w:rPr>
        <w:t xml:space="preserve"> &amp; </w:t>
      </w:r>
      <w:r w:rsidRPr="00FC6087">
        <w:rPr>
          <w:color w:val="000000" w:themeColor="text1"/>
        </w:rPr>
        <w:t xml:space="preserve">Bagheri-Tadi, 2013; Heisey-Grove et al., 2014; Goldstein et al., 2014; Jha et al., 2009). This suggests that, if patients and healthcare workers—although, most likely more so for healthcare workers—can be adequately trained and motivated to use modern technologies, as well as be assured of the effective coordination and communication between those regulating these technologies, they will more readily adopt the technologies. This suggests that efforts should be made to simplify and regulate these technologies and the procedures for using them and to educate potential users on how they work. Further, these findings suggest an important area is to motivate users, </w:t>
      </w:r>
      <w:r w:rsidRPr="00FC6087">
        <w:rPr>
          <w:color w:val="000000" w:themeColor="text1"/>
        </w:rPr>
        <w:lastRenderedPageBreak/>
        <w:t xml:space="preserve">whether patients of employees, on the value and benefits of these technologies, which are considerable, such as improving care quality (as reviewed in Chapter </w:t>
      </w:r>
      <w:r w:rsidR="00587338" w:rsidRPr="00FC6087">
        <w:rPr>
          <w:color w:val="000000" w:themeColor="text1"/>
        </w:rPr>
        <w:t>two</w:t>
      </w:r>
      <w:r w:rsidRPr="00FC6087">
        <w:rPr>
          <w:color w:val="000000" w:themeColor="text1"/>
        </w:rPr>
        <w:t xml:space="preserve">). The high amount of variance explained by the ORGS factor (48.52) also points to it being an important factor. This high degree of variance accounted for suggests a high degree of variation in responses, meaning that individuals have widely differing opinions on some of these issues (e.g. tech savvy </w:t>
      </w:r>
      <w:r w:rsidR="00587338" w:rsidRPr="00FC6087">
        <w:rPr>
          <w:color w:val="000000" w:themeColor="text1"/>
        </w:rPr>
        <w:t>individuals</w:t>
      </w:r>
      <w:r w:rsidRPr="00FC6087">
        <w:rPr>
          <w:color w:val="000000" w:themeColor="text1"/>
        </w:rPr>
        <w:t xml:space="preserve"> might care less about training than those who are less tech savvy). Thus, to better overcome individuals’ perceived barriers to using HIT, more research is needed into what particular items and areas are seeing such variability and which are not. Particularly, it would be of great interest and value to ascertain how the different stakeholder groups view these divisive items. </w:t>
      </w:r>
    </w:p>
    <w:p w14:paraId="7D516B88" w14:textId="195AF30C" w:rsidR="00FD4D49" w:rsidRPr="00FC6087" w:rsidRDefault="00C0230A" w:rsidP="00206E2A">
      <w:pPr>
        <w:pStyle w:val="Heading2"/>
      </w:pPr>
      <w:bookmarkStart w:id="153" w:name="_Toc24447809"/>
      <w:r w:rsidRPr="00FC6087">
        <w:t>5.</w:t>
      </w:r>
      <w:r w:rsidR="00206E2A">
        <w:t>4</w:t>
      </w:r>
      <w:r w:rsidRPr="00FC6087">
        <w:t xml:space="preserve">.2. </w:t>
      </w:r>
      <w:r w:rsidR="00FD4D49" w:rsidRPr="00FC6087">
        <w:t xml:space="preserve">Technical </w:t>
      </w:r>
      <w:r w:rsidR="00587338" w:rsidRPr="00FC6087">
        <w:t>B</w:t>
      </w:r>
      <w:r w:rsidR="00FD4D49" w:rsidRPr="00FC6087">
        <w:t>arriers</w:t>
      </w:r>
      <w:r w:rsidR="00D31194" w:rsidRPr="00FC6087">
        <w:t xml:space="preserve"> </w:t>
      </w:r>
      <w:r w:rsidR="00FD4D49" w:rsidRPr="00FC6087">
        <w:t>(TEBA)</w:t>
      </w:r>
      <w:bookmarkEnd w:id="153"/>
    </w:p>
    <w:p w14:paraId="7D516B89" w14:textId="332D9ADF" w:rsidR="00FD4D49" w:rsidRPr="00FC6087" w:rsidRDefault="00FD4D49" w:rsidP="00FD4D49">
      <w:pPr>
        <w:pStyle w:val="APAParagraph"/>
        <w:rPr>
          <w:color w:val="000000" w:themeColor="text1"/>
        </w:rPr>
      </w:pPr>
      <w:r w:rsidRPr="00FC6087">
        <w:rPr>
          <w:color w:val="000000" w:themeColor="text1"/>
        </w:rPr>
        <w:t xml:space="preserve">All three items related to TEBA loaded strongly onto the factor (≥ </w:t>
      </w:r>
      <w:r w:rsidR="00587338" w:rsidRPr="00FC6087">
        <w:rPr>
          <w:color w:val="000000" w:themeColor="text1"/>
        </w:rPr>
        <w:t>0</w:t>
      </w:r>
      <w:r w:rsidRPr="00FC6087">
        <w:rPr>
          <w:color w:val="000000" w:themeColor="text1"/>
        </w:rPr>
        <w:t xml:space="preserve">.78), suggesting that considerations on the availability, usability, and longevity of new technologies are strongly related to HIT adoption. In particular, if new technologies would be incompatible with current technologies or would be implemented </w:t>
      </w:r>
      <w:r w:rsidR="00CB065A" w:rsidRPr="00FC6087">
        <w:rPr>
          <w:color w:val="000000" w:themeColor="text1"/>
        </w:rPr>
        <w:t>when outdated</w:t>
      </w:r>
      <w:r w:rsidRPr="00FC6087">
        <w:rPr>
          <w:color w:val="000000" w:themeColor="text1"/>
        </w:rPr>
        <w:t xml:space="preserve">, individuals would be less likely to adopt them. They would thus want to </w:t>
      </w:r>
      <w:r w:rsidR="007666F4" w:rsidRPr="00FC6087">
        <w:rPr>
          <w:color w:val="000000" w:themeColor="text1"/>
        </w:rPr>
        <w:t xml:space="preserve">be assured </w:t>
      </w:r>
      <w:r w:rsidRPr="00FC6087">
        <w:rPr>
          <w:color w:val="000000" w:themeColor="text1"/>
        </w:rPr>
        <w:t xml:space="preserve">that the time they invest to learn the new technologies would not </w:t>
      </w:r>
      <w:r w:rsidR="009A009C" w:rsidRPr="00FC6087">
        <w:rPr>
          <w:color w:val="000000" w:themeColor="text1"/>
        </w:rPr>
        <w:t xml:space="preserve">be </w:t>
      </w:r>
      <w:r w:rsidRPr="00FC6087">
        <w:rPr>
          <w:color w:val="000000" w:themeColor="text1"/>
        </w:rPr>
        <w:t xml:space="preserve">wasted </w:t>
      </w:r>
      <w:r w:rsidR="009A009C" w:rsidRPr="00FC6087">
        <w:rPr>
          <w:color w:val="000000" w:themeColor="text1"/>
        </w:rPr>
        <w:t xml:space="preserve">due to </w:t>
      </w:r>
      <w:r w:rsidRPr="00FC6087">
        <w:rPr>
          <w:color w:val="000000" w:themeColor="text1"/>
        </w:rPr>
        <w:t>the technology becom</w:t>
      </w:r>
      <w:r w:rsidR="009A009C" w:rsidRPr="00FC6087">
        <w:rPr>
          <w:color w:val="000000" w:themeColor="text1"/>
        </w:rPr>
        <w:t>ing</w:t>
      </w:r>
      <w:r w:rsidRPr="00FC6087">
        <w:rPr>
          <w:color w:val="000000" w:themeColor="text1"/>
        </w:rPr>
        <w:t xml:space="preserve"> obsolete. These findings are consistent with previous findings indicating the importance of usability and compatibility of new technologies as potential barriers (Ajami</w:t>
      </w:r>
      <w:r w:rsidR="005E7A62">
        <w:rPr>
          <w:color w:val="000000" w:themeColor="text1"/>
        </w:rPr>
        <w:t xml:space="preserve"> &amp; </w:t>
      </w:r>
      <w:r w:rsidRPr="00FC6087">
        <w:rPr>
          <w:color w:val="000000" w:themeColor="text1"/>
        </w:rPr>
        <w:lastRenderedPageBreak/>
        <w:t>Bagheri-Tadi, 2013; Gagnon et al., 2016; Ross et al., 2015). Thus, it is worth investing in technologies compatible with current technologies to ensure usability and that</w:t>
      </w:r>
      <w:r w:rsidR="00661100" w:rsidRPr="00FC6087">
        <w:rPr>
          <w:color w:val="000000" w:themeColor="text1"/>
        </w:rPr>
        <w:t xml:space="preserve"> they</w:t>
      </w:r>
      <w:r w:rsidRPr="00FC6087">
        <w:rPr>
          <w:color w:val="000000" w:themeColor="text1"/>
        </w:rPr>
        <w:t xml:space="preserve"> will not soon be rendered obsolete as new innovations surface. The smaller amount of variance accounted for by the TEBA factor (9.92) suggests that opinions on these matters are </w:t>
      </w:r>
      <w:r w:rsidR="00661100" w:rsidRPr="00FC6087">
        <w:rPr>
          <w:color w:val="000000" w:themeColor="text1"/>
        </w:rPr>
        <w:t>fairly</w:t>
      </w:r>
      <w:r w:rsidRPr="00FC6087">
        <w:rPr>
          <w:color w:val="000000" w:themeColor="text1"/>
        </w:rPr>
        <w:t xml:space="preserve"> universal. All types of users seem to want technologies that will be easy to use and prove to be dependable over the long-term.</w:t>
      </w:r>
    </w:p>
    <w:p w14:paraId="7D516B8A" w14:textId="4F315C34" w:rsidR="00FD4D49" w:rsidRPr="00FC6087" w:rsidRDefault="00C0230A" w:rsidP="00206E2A">
      <w:pPr>
        <w:pStyle w:val="Heading2"/>
      </w:pPr>
      <w:bookmarkStart w:id="154" w:name="_Toc24447810"/>
      <w:r w:rsidRPr="00FC6087">
        <w:t>5.</w:t>
      </w:r>
      <w:r w:rsidR="00206E2A">
        <w:t>4</w:t>
      </w:r>
      <w:r w:rsidRPr="00FC6087">
        <w:t xml:space="preserve">.3. </w:t>
      </w:r>
      <w:r w:rsidR="00FD4D49" w:rsidRPr="00FC6087">
        <w:t xml:space="preserve">Readiness </w:t>
      </w:r>
      <w:r w:rsidR="00661100" w:rsidRPr="00FC6087">
        <w:t>for</w:t>
      </w:r>
      <w:r w:rsidR="00D31194" w:rsidRPr="00FC6087">
        <w:t xml:space="preserve"> </w:t>
      </w:r>
      <w:r w:rsidR="00661100" w:rsidRPr="00FC6087">
        <w:t>B</w:t>
      </w:r>
      <w:r w:rsidR="00FD4D49" w:rsidRPr="00FC6087">
        <w:t xml:space="preserve">ig </w:t>
      </w:r>
      <w:r w:rsidR="00661100" w:rsidRPr="00FC6087">
        <w:t>D</w:t>
      </w:r>
      <w:r w:rsidR="00FD4D49" w:rsidRPr="00FC6087">
        <w:t>ata and I</w:t>
      </w:r>
      <w:r w:rsidR="00661100" w:rsidRPr="00FC6087">
        <w:t>o</w:t>
      </w:r>
      <w:r w:rsidR="00FD4D49" w:rsidRPr="00FC6087">
        <w:t>T (RTGB)</w:t>
      </w:r>
      <w:bookmarkEnd w:id="154"/>
    </w:p>
    <w:p w14:paraId="7D516B8B" w14:textId="2B73035A" w:rsidR="00FD4D49" w:rsidRPr="00FC6087" w:rsidRDefault="00FD4D49" w:rsidP="00FD4D49">
      <w:pPr>
        <w:pStyle w:val="APAParagraph"/>
        <w:rPr>
          <w:color w:val="000000" w:themeColor="text1"/>
        </w:rPr>
      </w:pPr>
      <w:r w:rsidRPr="00FC6087">
        <w:rPr>
          <w:color w:val="000000" w:themeColor="text1"/>
        </w:rPr>
        <w:t xml:space="preserve">All three of the items related to RTGB loaded strongly onto the factor (≥ </w:t>
      </w:r>
      <w:r w:rsidR="00661100" w:rsidRPr="00FC6087">
        <w:rPr>
          <w:color w:val="000000" w:themeColor="text1"/>
        </w:rPr>
        <w:t>0</w:t>
      </w:r>
      <w:r w:rsidRPr="00FC6087">
        <w:rPr>
          <w:color w:val="000000" w:themeColor="text1"/>
        </w:rPr>
        <w:t>.75), suggesting that considerations of infrastructural support for and the security of health technologies is highly important to technology users. In particular, the strong loadings of items relating to data sensitivity (</w:t>
      </w:r>
      <w:r w:rsidR="003523B1" w:rsidRPr="00FC6087">
        <w:rPr>
          <w:color w:val="000000" w:themeColor="text1"/>
        </w:rPr>
        <w:t>0</w:t>
      </w:r>
      <w:r w:rsidRPr="00FC6087">
        <w:rPr>
          <w:color w:val="000000" w:themeColor="text1"/>
        </w:rPr>
        <w:t>.92) and privacy (</w:t>
      </w:r>
      <w:r w:rsidR="003523B1" w:rsidRPr="00FC6087">
        <w:rPr>
          <w:color w:val="000000" w:themeColor="text1"/>
        </w:rPr>
        <w:t>0</w:t>
      </w:r>
      <w:r w:rsidRPr="00FC6087">
        <w:rPr>
          <w:color w:val="000000" w:themeColor="text1"/>
        </w:rPr>
        <w:t>.87) suggest that the most pressing concerns for HIT</w:t>
      </w:r>
      <w:r w:rsidR="003523B1" w:rsidRPr="00FC6087">
        <w:rPr>
          <w:color w:val="000000" w:themeColor="text1"/>
        </w:rPr>
        <w:t xml:space="preserve"> center around</w:t>
      </w:r>
      <w:r w:rsidRPr="00FC6087">
        <w:rPr>
          <w:color w:val="000000" w:themeColor="text1"/>
        </w:rPr>
        <w:t xml:space="preserve"> the protection of private healthcare data. Patients certainly do not want their private records accessed by those with no business seeing them and hospitals surely do not want to deal with the ramifications of a security breach. These concerns have been echoed by other researchers (Amaji</w:t>
      </w:r>
      <w:r w:rsidR="005E7A62">
        <w:rPr>
          <w:color w:val="000000" w:themeColor="text1"/>
        </w:rPr>
        <w:t xml:space="preserve"> &amp; </w:t>
      </w:r>
      <w:r w:rsidRPr="00FC6087">
        <w:rPr>
          <w:color w:val="000000" w:themeColor="text1"/>
        </w:rPr>
        <w:t xml:space="preserve">Bagheri-Tadi, 2013; Jha et al., 2009; Rao et al., 2011; Ross et al., 2015). Thus, for the sake of improving HIT adoption, efforts should be focused on ensuring that only the most secure technologies will be developed and used and on ensuring users of the security of these technologies. The smaller amount of variance accounted for by the RTGB factor (8.54) suggests </w:t>
      </w:r>
      <w:r w:rsidRPr="00FC6087">
        <w:rPr>
          <w:color w:val="000000" w:themeColor="text1"/>
        </w:rPr>
        <w:lastRenderedPageBreak/>
        <w:t xml:space="preserve">that opinions on these matters are </w:t>
      </w:r>
      <w:r w:rsidR="003523B1" w:rsidRPr="00FC6087">
        <w:rPr>
          <w:color w:val="000000" w:themeColor="text1"/>
        </w:rPr>
        <w:t>fairly</w:t>
      </w:r>
      <w:r w:rsidRPr="00FC6087">
        <w:rPr>
          <w:color w:val="000000" w:themeColor="text1"/>
        </w:rPr>
        <w:t xml:space="preserve"> universal. It would seem </w:t>
      </w:r>
      <w:r w:rsidR="003523B1" w:rsidRPr="00FC6087">
        <w:rPr>
          <w:color w:val="000000" w:themeColor="text1"/>
        </w:rPr>
        <w:t xml:space="preserve">that </w:t>
      </w:r>
      <w:r w:rsidRPr="00FC6087">
        <w:rPr>
          <w:color w:val="000000" w:themeColor="text1"/>
        </w:rPr>
        <w:t>individuals are concerned with keeping their health records private.</w:t>
      </w:r>
    </w:p>
    <w:p w14:paraId="7D516B8C" w14:textId="6318F4E7" w:rsidR="00FD4D49" w:rsidRPr="00FC6087" w:rsidRDefault="00C0230A" w:rsidP="00206E2A">
      <w:pPr>
        <w:pStyle w:val="Heading2"/>
      </w:pPr>
      <w:bookmarkStart w:id="155" w:name="_Toc24447811"/>
      <w:r w:rsidRPr="00FC6087">
        <w:t>5.</w:t>
      </w:r>
      <w:r w:rsidR="00206E2A">
        <w:t>4</w:t>
      </w:r>
      <w:r w:rsidRPr="00FC6087">
        <w:t xml:space="preserve">.4. </w:t>
      </w:r>
      <w:r w:rsidR="00FD4D49" w:rsidRPr="00FC6087">
        <w:t>Orientation (ORI)</w:t>
      </w:r>
      <w:bookmarkEnd w:id="155"/>
    </w:p>
    <w:p w14:paraId="7D516B8D" w14:textId="77777777" w:rsidR="00FD4D49" w:rsidRPr="00FC6087" w:rsidRDefault="00FD4D49" w:rsidP="00FD4D49">
      <w:pPr>
        <w:pStyle w:val="APAParagraph"/>
        <w:rPr>
          <w:color w:val="000000" w:themeColor="text1"/>
        </w:rPr>
      </w:pPr>
      <w:r w:rsidRPr="00FC6087">
        <w:rPr>
          <w:color w:val="000000" w:themeColor="text1"/>
        </w:rPr>
        <w:t>Finally, the strong loading of educational background (</w:t>
      </w:r>
      <w:r w:rsidR="003523B1" w:rsidRPr="00FC6087">
        <w:rPr>
          <w:color w:val="000000" w:themeColor="text1"/>
        </w:rPr>
        <w:t>0</w:t>
      </w:r>
      <w:r w:rsidRPr="00FC6087">
        <w:rPr>
          <w:color w:val="000000" w:themeColor="text1"/>
        </w:rPr>
        <w:t>.82) and the moderately strong loading of staff learning behavior (</w:t>
      </w:r>
      <w:r w:rsidR="003523B1" w:rsidRPr="00FC6087">
        <w:rPr>
          <w:color w:val="000000" w:themeColor="text1"/>
        </w:rPr>
        <w:t>0</w:t>
      </w:r>
      <w:r w:rsidRPr="00FC6087">
        <w:rPr>
          <w:color w:val="000000" w:themeColor="text1"/>
        </w:rPr>
        <w:t xml:space="preserve">.74) suggest users are concerned with their abilities to use these technologies. In particular, they might feel that their lack of IT experience would make it difficult to use these modern systems, or they might perceive hospital staff as unable or unwilling to use to learn these new technologies and systems, which raises concerns about implementing them in the first place. However, these are concerns that have been previously reported (Khalifa, 2013; Jha et al., 2009; Rao et al., 2011). The smaller amount of variance accounted for by the ORI factor (5.64) suggests that opinions on these matters are </w:t>
      </w:r>
      <w:r w:rsidR="00BE2532" w:rsidRPr="00FC6087">
        <w:rPr>
          <w:color w:val="000000" w:themeColor="text1"/>
        </w:rPr>
        <w:t>fairly</w:t>
      </w:r>
      <w:r w:rsidRPr="00FC6087">
        <w:rPr>
          <w:color w:val="000000" w:themeColor="text1"/>
        </w:rPr>
        <w:t xml:space="preserve"> universal. As such, everyone using these technologies, from physicians to nurses to patients, would want to be assured that the technologies will be easily and effectively used by all who ought to be using them, because if one party fails to use the system properly, the whole system will fail.</w:t>
      </w:r>
    </w:p>
    <w:p w14:paraId="7D516B8E" w14:textId="7180D347" w:rsidR="008F6CE5" w:rsidRPr="00FC6087" w:rsidRDefault="008F6CE5" w:rsidP="00206E2A">
      <w:pPr>
        <w:pStyle w:val="Heading2"/>
      </w:pPr>
      <w:bookmarkStart w:id="156" w:name="_Toc24447812"/>
      <w:r w:rsidRPr="00FC6087">
        <w:t>5.</w:t>
      </w:r>
      <w:r w:rsidR="00206E2A">
        <w:t>4</w:t>
      </w:r>
      <w:r w:rsidRPr="00FC6087">
        <w:t>.5. Measurement Model for Barriers (First-Order CFA Model)</w:t>
      </w:r>
      <w:bookmarkEnd w:id="156"/>
    </w:p>
    <w:p w14:paraId="7D516B8F" w14:textId="77777777" w:rsidR="00FD4D49" w:rsidRPr="00FC6087" w:rsidRDefault="00FD4D49" w:rsidP="00FD4D49">
      <w:pPr>
        <w:pStyle w:val="APAParagraph"/>
        <w:rPr>
          <w:color w:val="000000" w:themeColor="text1"/>
        </w:rPr>
      </w:pPr>
      <w:r w:rsidRPr="00FC6087">
        <w:rPr>
          <w:color w:val="000000" w:themeColor="text1"/>
        </w:rPr>
        <w:t xml:space="preserve">To build a measurement model to better visualize, understand, and quantify the relationships among latent factors and between those factors and their </w:t>
      </w:r>
      <w:r w:rsidRPr="00FC6087">
        <w:rPr>
          <w:color w:val="000000" w:themeColor="text1"/>
        </w:rPr>
        <w:lastRenderedPageBreak/>
        <w:t xml:space="preserve">associated items, a first-order CFA was conducted using the four factors discovered from EFA. Initial iterations of the model achieved </w:t>
      </w:r>
      <w:r w:rsidR="00490C1B" w:rsidRPr="00FC6087">
        <w:rPr>
          <w:color w:val="000000" w:themeColor="text1"/>
        </w:rPr>
        <w:t xml:space="preserve">a </w:t>
      </w:r>
      <w:r w:rsidRPr="00FC6087">
        <w:rPr>
          <w:color w:val="000000" w:themeColor="text1"/>
        </w:rPr>
        <w:t>rather poor fit. Nine items were removed from the model until a good fit was achieved. Only three items associated with each factor remained in this final version of the model</w:t>
      </w:r>
      <w:r w:rsidR="00490C1B" w:rsidRPr="00FC6087">
        <w:rPr>
          <w:color w:val="000000" w:themeColor="text1"/>
        </w:rPr>
        <w:t>:</w:t>
      </w:r>
      <w:r w:rsidR="00D31194" w:rsidRPr="00FC6087">
        <w:rPr>
          <w:color w:val="000000" w:themeColor="text1"/>
        </w:rPr>
        <w:t xml:space="preserve"> </w:t>
      </w:r>
      <w:r w:rsidR="00490C1B" w:rsidRPr="00FC6087">
        <w:rPr>
          <w:color w:val="000000" w:themeColor="text1"/>
        </w:rPr>
        <w:t>i</w:t>
      </w:r>
      <w:r w:rsidRPr="00FC6087">
        <w:rPr>
          <w:color w:val="000000" w:themeColor="text1"/>
        </w:rPr>
        <w:t xml:space="preserve">tems relating to training, motivation, marketing strategy, technology strategy, and low standards were no longer included as factors related to ORGS; items relating to technology lifespan and maintenance were no longer included as factors related to TEBA; items relating to social awareness of IT and maturity of big data and IT were no longer included as factors related to RTGB; all three factors relating to ORI were included. The final model is shown in Figure 5.3. The path coefficients among the four factors were weakly to moderately strong, ranging from </w:t>
      </w:r>
      <w:r w:rsidR="003E71A9" w:rsidRPr="00FC6087">
        <w:rPr>
          <w:color w:val="000000" w:themeColor="text1"/>
        </w:rPr>
        <w:t>0</w:t>
      </w:r>
      <w:r w:rsidRPr="00FC6087">
        <w:rPr>
          <w:color w:val="000000" w:themeColor="text1"/>
        </w:rPr>
        <w:t xml:space="preserve">.44 to </w:t>
      </w:r>
      <w:r w:rsidR="003E71A9" w:rsidRPr="00FC6087">
        <w:rPr>
          <w:color w:val="000000" w:themeColor="text1"/>
        </w:rPr>
        <w:t>0</w:t>
      </w:r>
      <w:r w:rsidRPr="00FC6087">
        <w:rPr>
          <w:color w:val="000000" w:themeColor="text1"/>
        </w:rPr>
        <w:t>.63.</w:t>
      </w:r>
    </w:p>
    <w:p w14:paraId="7D516B96" w14:textId="6738C901" w:rsidR="00FD4D49" w:rsidRPr="00FC6087" w:rsidRDefault="00FD4D49" w:rsidP="00C0447D">
      <w:pPr>
        <w:pStyle w:val="APAParagraph"/>
      </w:pPr>
      <w:r w:rsidRPr="007750EA">
        <w:rPr>
          <w:color w:val="FF0000"/>
        </w:rPr>
        <w:t>As with the CFA on motivational factors affecting HIT adoption, the overall GOF of this model was evaluated using the chi-square test (</w:t>
      </w:r>
      <w:r w:rsidRPr="007750EA">
        <w:rPr>
          <w:i/>
          <w:color w:val="FF0000"/>
        </w:rPr>
        <w:t>χ</w:t>
      </w:r>
      <w:r w:rsidRPr="007750EA">
        <w:rPr>
          <w:color w:val="FF0000"/>
          <w:vertAlign w:val="superscript"/>
        </w:rPr>
        <w:t>2</w:t>
      </w:r>
      <w:r w:rsidRPr="007750EA">
        <w:rPr>
          <w:color w:val="FF0000"/>
        </w:rPr>
        <w:t xml:space="preserve">/df) and the same six additional indices. These computed GOF indices are displayed in Table 5.8, </w:t>
      </w:r>
      <w:r w:rsidRPr="00FC6087">
        <w:t>along with the reported recommended threshold values. As can be seen from the obtained values, each of the seven indices indicates</w:t>
      </w:r>
      <w:r w:rsidR="00726E50" w:rsidRPr="00FC6087">
        <w:t>,</w:t>
      </w:r>
      <w:r w:rsidR="006601DF">
        <w:t xml:space="preserve"> </w:t>
      </w:r>
      <w:r w:rsidR="003E39E2" w:rsidRPr="00FC6087">
        <w:t>within reasonable tolerances</w:t>
      </w:r>
      <w:r w:rsidR="00726E50" w:rsidRPr="00FC6087">
        <w:t>,</w:t>
      </w:r>
      <w:r w:rsidRPr="00FC6087">
        <w:t xml:space="preserve"> that the model achieved good fit. Construct validity was assessed in the same wa</w:t>
      </w:r>
      <w:r w:rsidR="00726E50" w:rsidRPr="00FC6087">
        <w:t>y</w:t>
      </w:r>
      <w:r w:rsidRPr="00FC6087">
        <w:t xml:space="preserve"> as with the CFA on motivators: convergent validity among items in the model was evaluated by calculating the AVE and CR and discriminant validity was evaluated by using MSV. As can be seen from the values in Table 5.9, the model shows convergent and discriminant validity. Finally, the model was assessed for </w:t>
      </w:r>
      <w:r w:rsidRPr="00FC6087">
        <w:lastRenderedPageBreak/>
        <w:t>affects due to the common method bias using the zero-constrained method (Campbell</w:t>
      </w:r>
      <w:r w:rsidR="005E7A62">
        <w:t xml:space="preserve"> &amp; </w:t>
      </w:r>
      <w:r w:rsidRPr="00FC6087">
        <w:t>Fiske, 1959)</w:t>
      </w:r>
      <w:r w:rsidR="007D7254" w:rsidRPr="00FC6087">
        <w:t xml:space="preserve"> in the</w:t>
      </w:r>
      <w:r w:rsidR="001665E4" w:rsidRPr="00FC6087">
        <w:t xml:space="preserve"> same way as the model for the motivators</w:t>
      </w:r>
    </w:p>
    <w:p w14:paraId="7D516B97" w14:textId="77777777" w:rsidR="001665E4" w:rsidRPr="00FC6087" w:rsidRDefault="001665E4" w:rsidP="00FC6087">
      <w:pPr>
        <w:pStyle w:val="APAParagraph"/>
        <w:ind w:firstLine="0"/>
        <w:rPr>
          <w:color w:val="000000" w:themeColor="text1"/>
        </w:rPr>
      </w:pPr>
    </w:p>
    <w:p w14:paraId="7D516B98" w14:textId="528A2FEE" w:rsidR="001665E4" w:rsidRPr="00790070" w:rsidRDefault="001665E4" w:rsidP="00B3578B">
      <w:pPr>
        <w:pStyle w:val="Caption"/>
        <w:jc w:val="left"/>
        <w:rPr>
          <w:b w:val="0"/>
          <w:i/>
          <w:noProof w:val="0"/>
          <w:color w:val="000000" w:themeColor="text1"/>
          <w:sz w:val="24"/>
          <w:szCs w:val="24"/>
        </w:rPr>
      </w:pPr>
      <w:bookmarkStart w:id="157" w:name="_Toc534121152"/>
      <w:r w:rsidRPr="00790070">
        <w:rPr>
          <w:b w:val="0"/>
          <w:noProof w:val="0"/>
          <w:color w:val="000000" w:themeColor="text1"/>
          <w:sz w:val="24"/>
          <w:szCs w:val="24"/>
        </w:rPr>
        <w:t>Table 5.</w:t>
      </w:r>
      <w:r w:rsidR="000270F9">
        <w:rPr>
          <w:b w:val="0"/>
          <w:noProof w:val="0"/>
          <w:color w:val="000000" w:themeColor="text1"/>
          <w:sz w:val="24"/>
          <w:szCs w:val="24"/>
        </w:rPr>
        <w:t>9</w:t>
      </w:r>
      <w:r w:rsidRPr="00790070">
        <w:rPr>
          <w:b w:val="0"/>
          <w:noProof w:val="0"/>
          <w:color w:val="000000" w:themeColor="text1"/>
          <w:sz w:val="24"/>
          <w:szCs w:val="24"/>
        </w:rPr>
        <w:br/>
      </w:r>
      <w:r w:rsidRPr="00790070">
        <w:rPr>
          <w:b w:val="0"/>
          <w:i/>
          <w:noProof w:val="0"/>
          <w:color w:val="000000" w:themeColor="text1"/>
          <w:sz w:val="24"/>
          <w:szCs w:val="24"/>
          <w:lang w:bidi="ar-DZ"/>
        </w:rPr>
        <w:t>Goodness</w:t>
      </w:r>
      <w:r w:rsidR="009553EC">
        <w:rPr>
          <w:b w:val="0"/>
          <w:i/>
          <w:noProof w:val="0"/>
          <w:color w:val="000000" w:themeColor="text1"/>
          <w:sz w:val="24"/>
          <w:szCs w:val="24"/>
          <w:lang w:bidi="ar-DZ"/>
        </w:rPr>
        <w:t>-</w:t>
      </w:r>
      <w:r w:rsidRPr="00790070">
        <w:rPr>
          <w:b w:val="0"/>
          <w:i/>
          <w:noProof w:val="0"/>
          <w:color w:val="000000" w:themeColor="text1"/>
          <w:sz w:val="24"/>
          <w:szCs w:val="24"/>
          <w:lang w:bidi="ar-DZ"/>
        </w:rPr>
        <w:t>of</w:t>
      </w:r>
      <w:r w:rsidR="009553EC">
        <w:rPr>
          <w:b w:val="0"/>
          <w:i/>
          <w:noProof w:val="0"/>
          <w:color w:val="000000" w:themeColor="text1"/>
          <w:sz w:val="24"/>
          <w:szCs w:val="24"/>
          <w:lang w:bidi="ar-DZ"/>
        </w:rPr>
        <w:t>-</w:t>
      </w:r>
      <w:r w:rsidRPr="00790070">
        <w:rPr>
          <w:b w:val="0"/>
          <w:i/>
          <w:noProof w:val="0"/>
          <w:color w:val="000000" w:themeColor="text1"/>
          <w:sz w:val="24"/>
          <w:szCs w:val="24"/>
          <w:lang w:bidi="ar-DZ"/>
        </w:rPr>
        <w:t>Fit Indices for the First-Order Model on Barriers</w:t>
      </w:r>
      <w:bookmarkEnd w:id="157"/>
    </w:p>
    <w:tbl>
      <w:tblPr>
        <w:tblW w:w="7776" w:type="dxa"/>
        <w:jc w:val="center"/>
        <w:tblLook w:val="04A0" w:firstRow="1" w:lastRow="0" w:firstColumn="1" w:lastColumn="0" w:noHBand="0" w:noVBand="1"/>
      </w:tblPr>
      <w:tblGrid>
        <w:gridCol w:w="1296"/>
        <w:gridCol w:w="1728"/>
        <w:gridCol w:w="4752"/>
      </w:tblGrid>
      <w:tr w:rsidR="001665E4" w:rsidRPr="00FC6087" w14:paraId="7D516B9C" w14:textId="77777777" w:rsidTr="002C07D1">
        <w:trPr>
          <w:trHeight w:val="576"/>
          <w:tblHeader/>
          <w:jc w:val="center"/>
        </w:trPr>
        <w:tc>
          <w:tcPr>
            <w:tcW w:w="1296" w:type="dxa"/>
            <w:tcBorders>
              <w:top w:val="single" w:sz="18" w:space="0" w:color="auto"/>
              <w:bottom w:val="single" w:sz="12" w:space="0" w:color="auto"/>
            </w:tcBorders>
            <w:shd w:val="clear" w:color="auto" w:fill="auto"/>
            <w:vAlign w:val="center"/>
            <w:hideMark/>
          </w:tcPr>
          <w:p w14:paraId="7D516B99" w14:textId="77777777" w:rsidR="007C527F" w:rsidRPr="00790070" w:rsidRDefault="007C527F" w:rsidP="002C07D1">
            <w:pPr>
              <w:ind w:left="176"/>
              <w:contextualSpacing/>
              <w:mirrorIndents/>
              <w:rPr>
                <w:color w:val="000000" w:themeColor="text1"/>
              </w:rPr>
            </w:pPr>
            <w:r w:rsidRPr="00790070">
              <w:rPr>
                <w:color w:val="000000" w:themeColor="text1"/>
              </w:rPr>
              <w:t> Index</w:t>
            </w:r>
          </w:p>
        </w:tc>
        <w:tc>
          <w:tcPr>
            <w:tcW w:w="1728" w:type="dxa"/>
            <w:tcBorders>
              <w:top w:val="single" w:sz="18" w:space="0" w:color="auto"/>
              <w:bottom w:val="single" w:sz="12" w:space="0" w:color="auto"/>
            </w:tcBorders>
            <w:shd w:val="clear" w:color="auto" w:fill="auto"/>
            <w:vAlign w:val="center"/>
            <w:hideMark/>
          </w:tcPr>
          <w:p w14:paraId="7D516B9A" w14:textId="77777777" w:rsidR="007C527F" w:rsidRPr="00790070" w:rsidRDefault="007C527F" w:rsidP="002C07D1">
            <w:pPr>
              <w:contextualSpacing/>
              <w:mirrorIndents/>
              <w:rPr>
                <w:bCs/>
                <w:color w:val="000000" w:themeColor="text1"/>
              </w:rPr>
            </w:pPr>
            <w:r w:rsidRPr="00790070">
              <w:rPr>
                <w:bCs/>
                <w:color w:val="000000" w:themeColor="text1"/>
              </w:rPr>
              <w:t>Obtained Value</w:t>
            </w:r>
          </w:p>
        </w:tc>
        <w:tc>
          <w:tcPr>
            <w:tcW w:w="4752" w:type="dxa"/>
            <w:tcBorders>
              <w:top w:val="single" w:sz="18" w:space="0" w:color="auto"/>
              <w:bottom w:val="single" w:sz="12" w:space="0" w:color="auto"/>
            </w:tcBorders>
            <w:shd w:val="clear" w:color="auto" w:fill="auto"/>
            <w:vAlign w:val="center"/>
            <w:hideMark/>
          </w:tcPr>
          <w:p w14:paraId="7D516B9B" w14:textId="77777777" w:rsidR="007C527F" w:rsidRPr="00790070" w:rsidRDefault="007C527F" w:rsidP="002C07D1">
            <w:pPr>
              <w:contextualSpacing/>
              <w:mirrorIndents/>
              <w:rPr>
                <w:bCs/>
                <w:color w:val="000000" w:themeColor="text1"/>
              </w:rPr>
            </w:pPr>
            <w:r w:rsidRPr="00790070">
              <w:rPr>
                <w:bCs/>
                <w:color w:val="000000" w:themeColor="text1"/>
              </w:rPr>
              <w:t>Recommended Value</w:t>
            </w:r>
          </w:p>
        </w:tc>
      </w:tr>
      <w:tr w:rsidR="007C527F" w:rsidRPr="00FC6087" w14:paraId="7D516BA0" w14:textId="77777777" w:rsidTr="002C07D1">
        <w:trPr>
          <w:trHeight w:val="576"/>
          <w:jc w:val="center"/>
        </w:trPr>
        <w:tc>
          <w:tcPr>
            <w:tcW w:w="1296" w:type="dxa"/>
            <w:tcBorders>
              <w:top w:val="single" w:sz="12" w:space="0" w:color="auto"/>
            </w:tcBorders>
            <w:shd w:val="clear" w:color="auto" w:fill="auto"/>
            <w:vAlign w:val="center"/>
            <w:hideMark/>
          </w:tcPr>
          <w:p w14:paraId="7D516B9D" w14:textId="77777777" w:rsidR="007C527F" w:rsidRPr="00790070" w:rsidRDefault="007C527F" w:rsidP="002C07D1">
            <w:pPr>
              <w:ind w:left="176"/>
              <w:contextualSpacing/>
              <w:mirrorIndents/>
              <w:rPr>
                <w:bCs/>
                <w:color w:val="000000" w:themeColor="text1"/>
                <w:lang w:bidi="ar-DZ"/>
              </w:rPr>
            </w:pPr>
            <w:r w:rsidRPr="00FC6087">
              <w:rPr>
                <w:bCs/>
                <w:color w:val="000000" w:themeColor="text1"/>
              </w:rPr>
              <w:t>χ</w:t>
            </w:r>
            <w:r w:rsidRPr="00790070">
              <w:rPr>
                <w:bCs/>
                <w:color w:val="000000" w:themeColor="text1"/>
                <w:vertAlign w:val="superscript"/>
              </w:rPr>
              <w:t>2</w:t>
            </w:r>
            <w:r w:rsidRPr="00790070">
              <w:rPr>
                <w:bCs/>
                <w:color w:val="000000" w:themeColor="text1"/>
              </w:rPr>
              <w:t>/df</w:t>
            </w:r>
          </w:p>
        </w:tc>
        <w:tc>
          <w:tcPr>
            <w:tcW w:w="1728" w:type="dxa"/>
            <w:tcBorders>
              <w:top w:val="single" w:sz="12" w:space="0" w:color="auto"/>
            </w:tcBorders>
            <w:shd w:val="clear" w:color="auto" w:fill="auto"/>
            <w:vAlign w:val="center"/>
            <w:hideMark/>
          </w:tcPr>
          <w:p w14:paraId="7D516B9E" w14:textId="77777777" w:rsidR="007C527F" w:rsidRPr="00FC6087" w:rsidRDefault="007C527F" w:rsidP="002C07D1">
            <w:pPr>
              <w:contextualSpacing/>
              <w:mirrorIndents/>
              <w:rPr>
                <w:bCs/>
                <w:color w:val="000000" w:themeColor="text1"/>
              </w:rPr>
            </w:pPr>
            <w:r w:rsidRPr="00FC6087">
              <w:rPr>
                <w:bCs/>
                <w:color w:val="000000" w:themeColor="text1"/>
              </w:rPr>
              <w:t>2.14</w:t>
            </w:r>
          </w:p>
        </w:tc>
        <w:tc>
          <w:tcPr>
            <w:tcW w:w="4752" w:type="dxa"/>
            <w:tcBorders>
              <w:top w:val="single" w:sz="12" w:space="0" w:color="auto"/>
            </w:tcBorders>
            <w:shd w:val="clear" w:color="auto" w:fill="auto"/>
            <w:vAlign w:val="center"/>
            <w:hideMark/>
          </w:tcPr>
          <w:p w14:paraId="7D516B9F" w14:textId="77777777" w:rsidR="007C527F" w:rsidRPr="00FC6087" w:rsidRDefault="007C527F" w:rsidP="002C07D1">
            <w:pPr>
              <w:contextualSpacing/>
              <w:mirrorIndents/>
              <w:rPr>
                <w:color w:val="000000" w:themeColor="text1"/>
              </w:rPr>
            </w:pPr>
            <w:r w:rsidRPr="00FC6087">
              <w:rPr>
                <w:color w:val="000000" w:themeColor="text1"/>
              </w:rPr>
              <w:t xml:space="preserve">&lt; 3 </w:t>
            </w:r>
          </w:p>
        </w:tc>
      </w:tr>
      <w:tr w:rsidR="001665E4" w:rsidRPr="00FC6087" w14:paraId="7D516BA4" w14:textId="77777777" w:rsidTr="002C07D1">
        <w:trPr>
          <w:trHeight w:val="576"/>
          <w:jc w:val="center"/>
        </w:trPr>
        <w:tc>
          <w:tcPr>
            <w:tcW w:w="1296" w:type="dxa"/>
            <w:shd w:val="clear" w:color="auto" w:fill="auto"/>
            <w:vAlign w:val="center"/>
            <w:hideMark/>
          </w:tcPr>
          <w:p w14:paraId="7D516BA1" w14:textId="77777777" w:rsidR="007C527F" w:rsidRPr="00790070" w:rsidRDefault="007C527F" w:rsidP="002C07D1">
            <w:pPr>
              <w:ind w:left="176"/>
              <w:contextualSpacing/>
              <w:mirrorIndents/>
              <w:rPr>
                <w:bCs/>
                <w:color w:val="000000" w:themeColor="text1"/>
              </w:rPr>
            </w:pPr>
            <w:r w:rsidRPr="00790070">
              <w:rPr>
                <w:bCs/>
                <w:color w:val="000000" w:themeColor="text1"/>
              </w:rPr>
              <w:t>GFI</w:t>
            </w:r>
          </w:p>
        </w:tc>
        <w:tc>
          <w:tcPr>
            <w:tcW w:w="1728" w:type="dxa"/>
            <w:shd w:val="clear" w:color="auto" w:fill="auto"/>
            <w:vAlign w:val="center"/>
            <w:hideMark/>
          </w:tcPr>
          <w:p w14:paraId="7D516BA2" w14:textId="77777777" w:rsidR="007C527F" w:rsidRPr="00FC6087" w:rsidRDefault="007C527F" w:rsidP="002C07D1">
            <w:pPr>
              <w:contextualSpacing/>
              <w:mirrorIndents/>
              <w:rPr>
                <w:bCs/>
                <w:color w:val="000000" w:themeColor="text1"/>
              </w:rPr>
            </w:pPr>
            <w:r w:rsidRPr="00FC6087">
              <w:rPr>
                <w:bCs/>
                <w:color w:val="000000" w:themeColor="text1"/>
              </w:rPr>
              <w:t>0.90</w:t>
            </w:r>
          </w:p>
        </w:tc>
        <w:tc>
          <w:tcPr>
            <w:tcW w:w="4752" w:type="dxa"/>
            <w:shd w:val="clear" w:color="auto" w:fill="auto"/>
            <w:vAlign w:val="center"/>
            <w:hideMark/>
          </w:tcPr>
          <w:p w14:paraId="7D516BA3" w14:textId="77777777" w:rsidR="007C527F" w:rsidRPr="00FC6087" w:rsidRDefault="001665E4" w:rsidP="002C07D1">
            <w:pPr>
              <w:contextualSpacing/>
              <w:mirrorIndents/>
              <w:rPr>
                <w:color w:val="000000" w:themeColor="text1"/>
              </w:rPr>
            </w:pPr>
            <w:r w:rsidRPr="00FC6087">
              <w:rPr>
                <w:color w:val="000000" w:themeColor="text1"/>
              </w:rPr>
              <w:t>0</w:t>
            </w:r>
            <w:r w:rsidR="007C527F" w:rsidRPr="00FC6087">
              <w:rPr>
                <w:color w:val="000000" w:themeColor="text1"/>
              </w:rPr>
              <w:t>.90–1.0 (Hoyle, 2000; Kline, 2005)</w:t>
            </w:r>
          </w:p>
        </w:tc>
      </w:tr>
      <w:tr w:rsidR="007C527F" w:rsidRPr="00FC6087" w14:paraId="7D516BA8" w14:textId="77777777" w:rsidTr="002C07D1">
        <w:trPr>
          <w:trHeight w:val="576"/>
          <w:jc w:val="center"/>
        </w:trPr>
        <w:tc>
          <w:tcPr>
            <w:tcW w:w="1296" w:type="dxa"/>
            <w:shd w:val="clear" w:color="auto" w:fill="auto"/>
            <w:vAlign w:val="center"/>
            <w:hideMark/>
          </w:tcPr>
          <w:p w14:paraId="7D516BA5" w14:textId="77777777" w:rsidR="007C527F" w:rsidRPr="00790070" w:rsidRDefault="007C527F" w:rsidP="002C07D1">
            <w:pPr>
              <w:ind w:left="176"/>
              <w:contextualSpacing/>
              <w:mirrorIndents/>
              <w:rPr>
                <w:bCs/>
                <w:color w:val="000000" w:themeColor="text1"/>
              </w:rPr>
            </w:pPr>
            <w:r w:rsidRPr="00790070">
              <w:rPr>
                <w:bCs/>
                <w:color w:val="000000" w:themeColor="text1"/>
              </w:rPr>
              <w:t>RM</w:t>
            </w:r>
            <w:r w:rsidR="0057632D">
              <w:rPr>
                <w:bCs/>
                <w:color w:val="000000" w:themeColor="text1"/>
              </w:rPr>
              <w:t>S</w:t>
            </w:r>
            <w:r w:rsidRPr="00790070">
              <w:rPr>
                <w:bCs/>
                <w:color w:val="000000" w:themeColor="text1"/>
              </w:rPr>
              <w:t>R</w:t>
            </w:r>
          </w:p>
        </w:tc>
        <w:tc>
          <w:tcPr>
            <w:tcW w:w="1728" w:type="dxa"/>
            <w:shd w:val="clear" w:color="auto" w:fill="auto"/>
            <w:vAlign w:val="center"/>
            <w:hideMark/>
          </w:tcPr>
          <w:p w14:paraId="7D516BA6" w14:textId="77777777" w:rsidR="007C527F" w:rsidRPr="00FC6087" w:rsidRDefault="007C527F" w:rsidP="002C07D1">
            <w:pPr>
              <w:contextualSpacing/>
              <w:mirrorIndents/>
              <w:rPr>
                <w:bCs/>
                <w:color w:val="000000" w:themeColor="text1"/>
                <w:lang w:bidi="ar-DZ"/>
              </w:rPr>
            </w:pPr>
            <w:r w:rsidRPr="00FC6087">
              <w:rPr>
                <w:bCs/>
                <w:color w:val="000000" w:themeColor="text1"/>
              </w:rPr>
              <w:t>0.05</w:t>
            </w:r>
          </w:p>
        </w:tc>
        <w:tc>
          <w:tcPr>
            <w:tcW w:w="4752" w:type="dxa"/>
            <w:shd w:val="clear" w:color="auto" w:fill="auto"/>
            <w:vAlign w:val="center"/>
            <w:hideMark/>
          </w:tcPr>
          <w:p w14:paraId="7D516BA7" w14:textId="0758544D" w:rsidR="007C527F" w:rsidRPr="00FC6087" w:rsidRDefault="007C527F" w:rsidP="002C07D1">
            <w:pPr>
              <w:contextualSpacing/>
              <w:mirrorIndents/>
              <w:rPr>
                <w:color w:val="000000" w:themeColor="text1"/>
              </w:rPr>
            </w:pPr>
            <w:r w:rsidRPr="00FC6087">
              <w:rPr>
                <w:color w:val="000000" w:themeColor="text1"/>
              </w:rPr>
              <w:t>&lt;</w:t>
            </w:r>
            <w:r w:rsidR="006601DF">
              <w:rPr>
                <w:color w:val="000000" w:themeColor="text1"/>
              </w:rPr>
              <w:t xml:space="preserve"> </w:t>
            </w:r>
            <w:r w:rsidR="001665E4" w:rsidRPr="00FC6087">
              <w:rPr>
                <w:color w:val="000000" w:themeColor="text1"/>
              </w:rPr>
              <w:t>0</w:t>
            </w:r>
            <w:r w:rsidRPr="00FC6087">
              <w:rPr>
                <w:color w:val="000000" w:themeColor="text1"/>
              </w:rPr>
              <w:t>.1, ideally &lt;</w:t>
            </w:r>
            <w:r w:rsidR="006601DF">
              <w:rPr>
                <w:color w:val="000000" w:themeColor="text1"/>
              </w:rPr>
              <w:t xml:space="preserve"> </w:t>
            </w:r>
            <w:r w:rsidR="001665E4" w:rsidRPr="00FC6087">
              <w:rPr>
                <w:color w:val="000000" w:themeColor="text1"/>
              </w:rPr>
              <w:t>0</w:t>
            </w:r>
            <w:r w:rsidRPr="00FC6087">
              <w:rPr>
                <w:color w:val="000000" w:themeColor="text1"/>
              </w:rPr>
              <w:t>.06 (Kline, 2011)</w:t>
            </w:r>
          </w:p>
        </w:tc>
      </w:tr>
      <w:tr w:rsidR="001665E4" w:rsidRPr="00FC6087" w14:paraId="7D516BAC" w14:textId="77777777" w:rsidTr="002C07D1">
        <w:trPr>
          <w:trHeight w:val="576"/>
          <w:jc w:val="center"/>
        </w:trPr>
        <w:tc>
          <w:tcPr>
            <w:tcW w:w="1296" w:type="dxa"/>
            <w:shd w:val="clear" w:color="auto" w:fill="auto"/>
            <w:vAlign w:val="center"/>
            <w:hideMark/>
          </w:tcPr>
          <w:p w14:paraId="7D516BA9" w14:textId="77777777" w:rsidR="007C527F" w:rsidRPr="00790070" w:rsidRDefault="007C527F" w:rsidP="002C07D1">
            <w:pPr>
              <w:ind w:left="176"/>
              <w:contextualSpacing/>
              <w:mirrorIndents/>
              <w:rPr>
                <w:bCs/>
                <w:color w:val="000000" w:themeColor="text1"/>
              </w:rPr>
            </w:pPr>
            <w:r w:rsidRPr="00790070">
              <w:rPr>
                <w:bCs/>
                <w:color w:val="000000" w:themeColor="text1"/>
              </w:rPr>
              <w:t>RMSEA</w:t>
            </w:r>
          </w:p>
        </w:tc>
        <w:tc>
          <w:tcPr>
            <w:tcW w:w="1728" w:type="dxa"/>
            <w:shd w:val="clear" w:color="auto" w:fill="auto"/>
            <w:vAlign w:val="center"/>
            <w:hideMark/>
          </w:tcPr>
          <w:p w14:paraId="7D516BAA" w14:textId="77777777" w:rsidR="007C527F" w:rsidRPr="00FC6087" w:rsidRDefault="007C527F" w:rsidP="002C07D1">
            <w:pPr>
              <w:contextualSpacing/>
              <w:mirrorIndents/>
              <w:rPr>
                <w:bCs/>
                <w:color w:val="000000" w:themeColor="text1"/>
              </w:rPr>
            </w:pPr>
            <w:r w:rsidRPr="00FC6087">
              <w:rPr>
                <w:bCs/>
                <w:color w:val="000000" w:themeColor="text1"/>
              </w:rPr>
              <w:t>0.0</w:t>
            </w:r>
            <w:r w:rsidRPr="00FC6087">
              <w:rPr>
                <w:color w:val="000000" w:themeColor="text1"/>
              </w:rPr>
              <w:t>8</w:t>
            </w:r>
          </w:p>
        </w:tc>
        <w:tc>
          <w:tcPr>
            <w:tcW w:w="4752" w:type="dxa"/>
            <w:shd w:val="clear" w:color="auto" w:fill="auto"/>
            <w:vAlign w:val="center"/>
            <w:hideMark/>
          </w:tcPr>
          <w:p w14:paraId="7D516BAB" w14:textId="518DEB17" w:rsidR="007C527F" w:rsidRPr="00FC6087" w:rsidRDefault="007C527F" w:rsidP="002C07D1">
            <w:pPr>
              <w:contextualSpacing/>
              <w:mirrorIndents/>
              <w:rPr>
                <w:color w:val="000000" w:themeColor="text1"/>
              </w:rPr>
            </w:pPr>
            <w:r w:rsidRPr="00FC6087">
              <w:rPr>
                <w:color w:val="000000" w:themeColor="text1"/>
              </w:rPr>
              <w:t>&lt;</w:t>
            </w:r>
            <w:r w:rsidR="006601DF">
              <w:rPr>
                <w:color w:val="000000" w:themeColor="text1"/>
              </w:rPr>
              <w:t xml:space="preserve"> </w:t>
            </w:r>
            <w:r w:rsidR="001665E4" w:rsidRPr="00FC6087">
              <w:rPr>
                <w:color w:val="000000" w:themeColor="text1"/>
              </w:rPr>
              <w:t>0</w:t>
            </w:r>
            <w:r w:rsidRPr="00FC6087">
              <w:rPr>
                <w:color w:val="000000" w:themeColor="text1"/>
              </w:rPr>
              <w:t>.08 (Hu</w:t>
            </w:r>
            <w:r w:rsidR="005E7A62">
              <w:rPr>
                <w:color w:val="000000" w:themeColor="text1"/>
              </w:rPr>
              <w:t xml:space="preserve"> &amp; </w:t>
            </w:r>
            <w:r w:rsidRPr="00FC6087">
              <w:rPr>
                <w:color w:val="000000" w:themeColor="text1"/>
              </w:rPr>
              <w:t>Bentler, 1999)</w:t>
            </w:r>
          </w:p>
        </w:tc>
      </w:tr>
      <w:tr w:rsidR="007C527F" w:rsidRPr="00FC6087" w14:paraId="7D516BB0" w14:textId="77777777" w:rsidTr="002C07D1">
        <w:trPr>
          <w:trHeight w:val="576"/>
          <w:jc w:val="center"/>
        </w:trPr>
        <w:tc>
          <w:tcPr>
            <w:tcW w:w="1296" w:type="dxa"/>
            <w:shd w:val="clear" w:color="auto" w:fill="auto"/>
            <w:vAlign w:val="center"/>
            <w:hideMark/>
          </w:tcPr>
          <w:p w14:paraId="7D516BAD" w14:textId="77777777" w:rsidR="007C527F" w:rsidRPr="00790070" w:rsidRDefault="007C527F" w:rsidP="002C07D1">
            <w:pPr>
              <w:ind w:left="176"/>
              <w:contextualSpacing/>
              <w:mirrorIndents/>
              <w:rPr>
                <w:bCs/>
                <w:color w:val="000000" w:themeColor="text1"/>
              </w:rPr>
            </w:pPr>
            <w:r w:rsidRPr="00790070">
              <w:rPr>
                <w:bCs/>
                <w:color w:val="000000" w:themeColor="text1"/>
              </w:rPr>
              <w:t>NFI</w:t>
            </w:r>
          </w:p>
        </w:tc>
        <w:tc>
          <w:tcPr>
            <w:tcW w:w="1728" w:type="dxa"/>
            <w:shd w:val="clear" w:color="auto" w:fill="auto"/>
            <w:vAlign w:val="center"/>
            <w:hideMark/>
          </w:tcPr>
          <w:p w14:paraId="7D516BAE" w14:textId="77777777" w:rsidR="007C527F" w:rsidRPr="00FC6087" w:rsidRDefault="007C527F" w:rsidP="002C07D1">
            <w:pPr>
              <w:contextualSpacing/>
              <w:mirrorIndents/>
              <w:rPr>
                <w:bCs/>
                <w:color w:val="000000" w:themeColor="text1"/>
              </w:rPr>
            </w:pPr>
            <w:r w:rsidRPr="00FC6087">
              <w:rPr>
                <w:bCs/>
                <w:color w:val="000000" w:themeColor="text1"/>
              </w:rPr>
              <w:t>0.92</w:t>
            </w:r>
          </w:p>
        </w:tc>
        <w:tc>
          <w:tcPr>
            <w:tcW w:w="4752" w:type="dxa"/>
            <w:shd w:val="clear" w:color="auto" w:fill="auto"/>
            <w:vAlign w:val="center"/>
            <w:hideMark/>
          </w:tcPr>
          <w:p w14:paraId="7D516BAF" w14:textId="77777777" w:rsidR="007C527F" w:rsidRPr="00FC6087" w:rsidRDefault="001665E4" w:rsidP="002C07D1">
            <w:pPr>
              <w:contextualSpacing/>
              <w:mirrorIndents/>
              <w:rPr>
                <w:color w:val="000000" w:themeColor="text1"/>
              </w:rPr>
            </w:pPr>
            <w:r w:rsidRPr="00FC6087">
              <w:rPr>
                <w:color w:val="000000" w:themeColor="text1"/>
              </w:rPr>
              <w:t>0</w:t>
            </w:r>
            <w:r w:rsidR="007C527F" w:rsidRPr="00FC6087">
              <w:rPr>
                <w:color w:val="000000" w:themeColor="text1"/>
              </w:rPr>
              <w:t>.90–1.0 (Miles, 2007; Thompson, 2004)</w:t>
            </w:r>
          </w:p>
        </w:tc>
      </w:tr>
      <w:tr w:rsidR="001665E4" w:rsidRPr="00FC6087" w14:paraId="7D516BB4" w14:textId="77777777" w:rsidTr="002C07D1">
        <w:trPr>
          <w:trHeight w:val="576"/>
          <w:jc w:val="center"/>
        </w:trPr>
        <w:tc>
          <w:tcPr>
            <w:tcW w:w="1296" w:type="dxa"/>
            <w:shd w:val="clear" w:color="auto" w:fill="auto"/>
            <w:vAlign w:val="center"/>
            <w:hideMark/>
          </w:tcPr>
          <w:p w14:paraId="7D516BB1" w14:textId="77777777" w:rsidR="007C527F" w:rsidRPr="00790070" w:rsidRDefault="007C527F" w:rsidP="002C07D1">
            <w:pPr>
              <w:ind w:left="176"/>
              <w:contextualSpacing/>
              <w:mirrorIndents/>
              <w:rPr>
                <w:bCs/>
                <w:color w:val="000000" w:themeColor="text1"/>
              </w:rPr>
            </w:pPr>
            <w:r w:rsidRPr="00790070">
              <w:rPr>
                <w:bCs/>
                <w:color w:val="000000" w:themeColor="text1"/>
              </w:rPr>
              <w:t>TLI</w:t>
            </w:r>
          </w:p>
        </w:tc>
        <w:tc>
          <w:tcPr>
            <w:tcW w:w="1728" w:type="dxa"/>
            <w:shd w:val="clear" w:color="auto" w:fill="auto"/>
            <w:vAlign w:val="center"/>
            <w:hideMark/>
          </w:tcPr>
          <w:p w14:paraId="7D516BB2" w14:textId="77777777" w:rsidR="007C527F" w:rsidRPr="00FC6087" w:rsidRDefault="007C527F" w:rsidP="002C07D1">
            <w:pPr>
              <w:contextualSpacing/>
              <w:mirrorIndents/>
              <w:rPr>
                <w:bCs/>
                <w:color w:val="000000" w:themeColor="text1"/>
              </w:rPr>
            </w:pPr>
            <w:r w:rsidRPr="00FC6087">
              <w:rPr>
                <w:bCs/>
                <w:color w:val="000000" w:themeColor="text1"/>
              </w:rPr>
              <w:t>0.94</w:t>
            </w:r>
          </w:p>
        </w:tc>
        <w:tc>
          <w:tcPr>
            <w:tcW w:w="4752" w:type="dxa"/>
            <w:shd w:val="clear" w:color="auto" w:fill="auto"/>
            <w:vAlign w:val="center"/>
            <w:hideMark/>
          </w:tcPr>
          <w:p w14:paraId="7D516BB3" w14:textId="77777777" w:rsidR="007C527F" w:rsidRPr="00FC6087" w:rsidRDefault="001665E4" w:rsidP="002C07D1">
            <w:pPr>
              <w:contextualSpacing/>
              <w:mirrorIndents/>
              <w:rPr>
                <w:color w:val="000000" w:themeColor="text1"/>
              </w:rPr>
            </w:pPr>
            <w:r w:rsidRPr="00FC6087">
              <w:rPr>
                <w:color w:val="000000" w:themeColor="text1"/>
              </w:rPr>
              <w:t>0</w:t>
            </w:r>
            <w:r w:rsidR="007C527F" w:rsidRPr="00FC6087">
              <w:rPr>
                <w:color w:val="000000" w:themeColor="text1"/>
              </w:rPr>
              <w:t>.95–1.0 (Miles, 2007; Thompson, 2004)</w:t>
            </w:r>
          </w:p>
        </w:tc>
      </w:tr>
      <w:tr w:rsidR="007C527F" w:rsidRPr="00FC6087" w14:paraId="7D516BB8" w14:textId="77777777" w:rsidTr="002C07D1">
        <w:trPr>
          <w:trHeight w:val="576"/>
          <w:jc w:val="center"/>
        </w:trPr>
        <w:tc>
          <w:tcPr>
            <w:tcW w:w="1296" w:type="dxa"/>
            <w:tcBorders>
              <w:bottom w:val="single" w:sz="18" w:space="0" w:color="auto"/>
            </w:tcBorders>
            <w:shd w:val="clear" w:color="auto" w:fill="auto"/>
            <w:vAlign w:val="center"/>
            <w:hideMark/>
          </w:tcPr>
          <w:p w14:paraId="7D516BB5" w14:textId="77777777" w:rsidR="007C527F" w:rsidRPr="00790070" w:rsidRDefault="007C527F" w:rsidP="002C07D1">
            <w:pPr>
              <w:ind w:left="176"/>
              <w:contextualSpacing/>
              <w:mirrorIndents/>
              <w:rPr>
                <w:bCs/>
                <w:color w:val="000000" w:themeColor="text1"/>
              </w:rPr>
            </w:pPr>
            <w:r w:rsidRPr="00790070">
              <w:rPr>
                <w:bCs/>
                <w:color w:val="000000" w:themeColor="text1"/>
              </w:rPr>
              <w:t>CFI</w:t>
            </w:r>
          </w:p>
        </w:tc>
        <w:tc>
          <w:tcPr>
            <w:tcW w:w="1728" w:type="dxa"/>
            <w:tcBorders>
              <w:bottom w:val="single" w:sz="18" w:space="0" w:color="auto"/>
            </w:tcBorders>
            <w:shd w:val="clear" w:color="auto" w:fill="auto"/>
            <w:vAlign w:val="center"/>
            <w:hideMark/>
          </w:tcPr>
          <w:p w14:paraId="7D516BB6" w14:textId="77777777" w:rsidR="007C527F" w:rsidRPr="00FC6087" w:rsidRDefault="007C527F" w:rsidP="002C07D1">
            <w:pPr>
              <w:contextualSpacing/>
              <w:mirrorIndents/>
              <w:rPr>
                <w:bCs/>
                <w:color w:val="000000" w:themeColor="text1"/>
              </w:rPr>
            </w:pPr>
            <w:r w:rsidRPr="00FC6087">
              <w:rPr>
                <w:bCs/>
                <w:color w:val="000000" w:themeColor="text1"/>
              </w:rPr>
              <w:t>0.95</w:t>
            </w:r>
          </w:p>
        </w:tc>
        <w:tc>
          <w:tcPr>
            <w:tcW w:w="4752" w:type="dxa"/>
            <w:tcBorders>
              <w:bottom w:val="single" w:sz="18" w:space="0" w:color="auto"/>
            </w:tcBorders>
            <w:shd w:val="clear" w:color="auto" w:fill="auto"/>
            <w:vAlign w:val="center"/>
            <w:hideMark/>
          </w:tcPr>
          <w:p w14:paraId="7D516BB7" w14:textId="62A6D261" w:rsidR="007C527F" w:rsidRPr="00FC6087" w:rsidRDefault="007C527F" w:rsidP="002C07D1">
            <w:pPr>
              <w:keepNext/>
              <w:contextualSpacing/>
              <w:mirrorIndents/>
              <w:rPr>
                <w:color w:val="000000" w:themeColor="text1"/>
              </w:rPr>
            </w:pPr>
            <w:r w:rsidRPr="00FC6087">
              <w:rPr>
                <w:color w:val="000000" w:themeColor="text1"/>
              </w:rPr>
              <w:t>&gt;</w:t>
            </w:r>
            <w:r w:rsidR="006601DF">
              <w:rPr>
                <w:color w:val="000000" w:themeColor="text1"/>
              </w:rPr>
              <w:t xml:space="preserve"> </w:t>
            </w:r>
            <w:r w:rsidR="001665E4" w:rsidRPr="00FC6087">
              <w:rPr>
                <w:color w:val="000000" w:themeColor="text1"/>
              </w:rPr>
              <w:t>0</w:t>
            </w:r>
            <w:r w:rsidRPr="00FC6087">
              <w:rPr>
                <w:color w:val="000000" w:themeColor="text1"/>
              </w:rPr>
              <w:t>.90 (Kline, 2011)</w:t>
            </w:r>
          </w:p>
        </w:tc>
      </w:tr>
    </w:tbl>
    <w:p w14:paraId="7D516BB9" w14:textId="6973D553" w:rsidR="007C527F" w:rsidRPr="00FC6087" w:rsidRDefault="007C527F" w:rsidP="00C0447D">
      <w:pPr>
        <w:pStyle w:val="APAParagraph"/>
        <w:spacing w:line="240" w:lineRule="auto"/>
        <w:ind w:firstLine="0"/>
        <w:rPr>
          <w:color w:val="000000" w:themeColor="text1"/>
        </w:rPr>
      </w:pPr>
      <w:r w:rsidRPr="00790070">
        <w:rPr>
          <w:bCs/>
          <w:i/>
          <w:color w:val="000000" w:themeColor="text1"/>
        </w:rPr>
        <w:t>Note</w:t>
      </w:r>
      <w:r w:rsidR="006601DF">
        <w:rPr>
          <w:bCs/>
          <w:i/>
          <w:color w:val="000000" w:themeColor="text1"/>
        </w:rPr>
        <w:t xml:space="preserve">. </w:t>
      </w:r>
      <w:r w:rsidRPr="00FC6087">
        <w:rPr>
          <w:i/>
          <w:color w:val="000000" w:themeColor="text1"/>
        </w:rPr>
        <w:t>χ</w:t>
      </w:r>
      <w:r w:rsidRPr="00FC6087">
        <w:rPr>
          <w:color w:val="000000" w:themeColor="text1"/>
          <w:vertAlign w:val="superscript"/>
        </w:rPr>
        <w:t>2</w:t>
      </w:r>
      <w:r w:rsidRPr="00FC6087">
        <w:rPr>
          <w:color w:val="000000" w:themeColor="text1"/>
        </w:rPr>
        <w:t>/df = normed chi-square statistic</w:t>
      </w:r>
      <w:r w:rsidR="00EC68E5" w:rsidRPr="00FC6087">
        <w:rPr>
          <w:color w:val="000000" w:themeColor="text1"/>
        </w:rPr>
        <w:t>;</w:t>
      </w:r>
      <w:r w:rsidRPr="00FC6087">
        <w:rPr>
          <w:color w:val="000000" w:themeColor="text1"/>
        </w:rPr>
        <w:t xml:space="preserve"> GFI = goodness</w:t>
      </w:r>
      <w:r w:rsidR="00EC68E5" w:rsidRPr="00FC6087">
        <w:rPr>
          <w:color w:val="000000" w:themeColor="text1"/>
        </w:rPr>
        <w:t>-</w:t>
      </w:r>
      <w:r w:rsidRPr="00FC6087">
        <w:rPr>
          <w:color w:val="000000" w:themeColor="text1"/>
        </w:rPr>
        <w:t>of</w:t>
      </w:r>
      <w:r w:rsidR="00EC68E5" w:rsidRPr="00FC6087">
        <w:rPr>
          <w:color w:val="000000" w:themeColor="text1"/>
        </w:rPr>
        <w:t>-</w:t>
      </w:r>
      <w:r w:rsidRPr="00FC6087">
        <w:rPr>
          <w:color w:val="000000" w:themeColor="text1"/>
        </w:rPr>
        <w:t>fit index</w:t>
      </w:r>
      <w:r w:rsidR="00EC68E5" w:rsidRPr="00FC6087">
        <w:rPr>
          <w:color w:val="000000" w:themeColor="text1"/>
        </w:rPr>
        <w:t>;</w:t>
      </w:r>
      <w:r w:rsidRPr="00FC6087">
        <w:rPr>
          <w:color w:val="000000" w:themeColor="text1"/>
        </w:rPr>
        <w:t xml:space="preserve"> RM</w:t>
      </w:r>
      <w:r w:rsidR="008B7DC0">
        <w:rPr>
          <w:color w:val="000000" w:themeColor="text1"/>
        </w:rPr>
        <w:t>S</w:t>
      </w:r>
      <w:r w:rsidRPr="00FC6087">
        <w:rPr>
          <w:color w:val="000000" w:themeColor="text1"/>
        </w:rPr>
        <w:t>R= root</w:t>
      </w:r>
      <w:r w:rsidR="00EC68E5" w:rsidRPr="00FC6087">
        <w:rPr>
          <w:color w:val="000000" w:themeColor="text1"/>
        </w:rPr>
        <w:t>-</w:t>
      </w:r>
      <w:r w:rsidRPr="00FC6087">
        <w:rPr>
          <w:color w:val="000000" w:themeColor="text1"/>
        </w:rPr>
        <w:t>mean</w:t>
      </w:r>
      <w:r w:rsidR="00EC68E5" w:rsidRPr="00FC6087">
        <w:rPr>
          <w:color w:val="000000" w:themeColor="text1"/>
        </w:rPr>
        <w:t>-</w:t>
      </w:r>
      <w:r w:rsidRPr="00FC6087">
        <w:rPr>
          <w:color w:val="000000" w:themeColor="text1"/>
        </w:rPr>
        <w:t>square residual</w:t>
      </w:r>
      <w:r w:rsidR="00EC68E5" w:rsidRPr="00FC6087">
        <w:rPr>
          <w:color w:val="000000" w:themeColor="text1"/>
        </w:rPr>
        <w:t>;</w:t>
      </w:r>
      <w:r w:rsidRPr="00FC6087">
        <w:rPr>
          <w:color w:val="000000" w:themeColor="text1"/>
        </w:rPr>
        <w:t xml:space="preserve"> RMSEA = root mean square error of approximation</w:t>
      </w:r>
      <w:r w:rsidR="00EC68E5" w:rsidRPr="00FC6087">
        <w:rPr>
          <w:color w:val="000000" w:themeColor="text1"/>
        </w:rPr>
        <w:t>;</w:t>
      </w:r>
      <w:r w:rsidRPr="00FC6087">
        <w:rPr>
          <w:color w:val="000000" w:themeColor="text1"/>
        </w:rPr>
        <w:t xml:space="preserve"> NFI = normed fit index</w:t>
      </w:r>
      <w:r w:rsidR="00EC68E5" w:rsidRPr="00FC6087">
        <w:rPr>
          <w:color w:val="000000" w:themeColor="text1"/>
        </w:rPr>
        <w:t>;</w:t>
      </w:r>
      <w:r w:rsidRPr="00FC6087">
        <w:rPr>
          <w:color w:val="000000" w:themeColor="text1"/>
        </w:rPr>
        <w:t xml:space="preserve"> TLI= Tucker</w:t>
      </w:r>
      <w:r w:rsidR="00EC68E5" w:rsidRPr="00FC6087">
        <w:rPr>
          <w:color w:val="000000" w:themeColor="text1"/>
        </w:rPr>
        <w:t>–</w:t>
      </w:r>
      <w:r w:rsidRPr="00FC6087">
        <w:rPr>
          <w:color w:val="000000" w:themeColor="text1"/>
        </w:rPr>
        <w:t>Lewis index</w:t>
      </w:r>
      <w:r w:rsidR="00EC68E5" w:rsidRPr="00FC6087">
        <w:rPr>
          <w:color w:val="000000" w:themeColor="text1"/>
        </w:rPr>
        <w:t>;</w:t>
      </w:r>
      <w:r w:rsidRPr="00FC6087">
        <w:rPr>
          <w:color w:val="000000" w:themeColor="text1"/>
        </w:rPr>
        <w:t xml:space="preserve"> CFI = comparative fit index </w:t>
      </w:r>
    </w:p>
    <w:p w14:paraId="7D516BBA" w14:textId="77777777" w:rsidR="007C527F" w:rsidRPr="00FC6087" w:rsidRDefault="007C527F" w:rsidP="007C527F">
      <w:pPr>
        <w:pStyle w:val="APAParagraph"/>
        <w:ind w:firstLine="0"/>
        <w:rPr>
          <w:color w:val="000000" w:themeColor="text1"/>
        </w:rPr>
      </w:pPr>
    </w:p>
    <w:p w14:paraId="7D516BBB" w14:textId="250B5751" w:rsidR="00EC68E5" w:rsidRPr="00790070" w:rsidRDefault="00EC68E5" w:rsidP="00B3578B">
      <w:pPr>
        <w:pStyle w:val="Caption"/>
        <w:jc w:val="left"/>
        <w:rPr>
          <w:b w:val="0"/>
          <w:i/>
          <w:noProof w:val="0"/>
          <w:color w:val="000000" w:themeColor="text1"/>
          <w:sz w:val="24"/>
          <w:szCs w:val="24"/>
        </w:rPr>
      </w:pPr>
      <w:bookmarkStart w:id="158" w:name="_Toc534121153"/>
      <w:r w:rsidRPr="00790070">
        <w:rPr>
          <w:b w:val="0"/>
          <w:noProof w:val="0"/>
          <w:color w:val="000000" w:themeColor="text1"/>
          <w:sz w:val="24"/>
          <w:szCs w:val="24"/>
        </w:rPr>
        <w:t>Table 5.</w:t>
      </w:r>
      <w:r w:rsidR="000270F9">
        <w:rPr>
          <w:b w:val="0"/>
          <w:noProof w:val="0"/>
          <w:color w:val="000000" w:themeColor="text1"/>
          <w:sz w:val="24"/>
          <w:szCs w:val="24"/>
        </w:rPr>
        <w:t>10</w:t>
      </w:r>
      <w:r w:rsidRPr="00790070">
        <w:rPr>
          <w:b w:val="0"/>
          <w:noProof w:val="0"/>
          <w:color w:val="000000" w:themeColor="text1"/>
          <w:sz w:val="24"/>
          <w:szCs w:val="24"/>
        </w:rPr>
        <w:br/>
      </w:r>
      <w:r w:rsidRPr="00790070">
        <w:rPr>
          <w:b w:val="0"/>
          <w:i/>
          <w:noProof w:val="0"/>
          <w:color w:val="000000" w:themeColor="text1"/>
          <w:sz w:val="24"/>
          <w:szCs w:val="24"/>
        </w:rPr>
        <w:t>Validity and Reliability of the Four Barrier Constructs</w:t>
      </w:r>
      <w:bookmarkEnd w:id="158"/>
    </w:p>
    <w:tbl>
      <w:tblPr>
        <w:tblW w:w="7920" w:type="dxa"/>
        <w:tblLayout w:type="fixed"/>
        <w:tblLook w:val="04A0" w:firstRow="1" w:lastRow="0" w:firstColumn="1" w:lastColumn="0" w:noHBand="0" w:noVBand="1"/>
      </w:tblPr>
      <w:tblGrid>
        <w:gridCol w:w="864"/>
        <w:gridCol w:w="864"/>
        <w:gridCol w:w="864"/>
        <w:gridCol w:w="864"/>
        <w:gridCol w:w="1008"/>
        <w:gridCol w:w="864"/>
        <w:gridCol w:w="864"/>
        <w:gridCol w:w="864"/>
        <w:gridCol w:w="864"/>
      </w:tblGrid>
      <w:tr w:rsidR="007C527F" w:rsidRPr="00FC6087" w14:paraId="7D516BC5" w14:textId="77777777" w:rsidTr="002C07D1">
        <w:trPr>
          <w:trHeight w:val="576"/>
        </w:trPr>
        <w:tc>
          <w:tcPr>
            <w:tcW w:w="864" w:type="dxa"/>
            <w:tcBorders>
              <w:top w:val="single" w:sz="18" w:space="0" w:color="auto"/>
              <w:bottom w:val="single" w:sz="12" w:space="0" w:color="auto"/>
            </w:tcBorders>
            <w:shd w:val="clear" w:color="auto" w:fill="auto"/>
            <w:noWrap/>
            <w:vAlign w:val="center"/>
            <w:hideMark/>
          </w:tcPr>
          <w:p w14:paraId="7D516BBC" w14:textId="77777777" w:rsidR="007C527F" w:rsidRPr="00FC6087" w:rsidRDefault="007C527F" w:rsidP="002C07D1">
            <w:pPr>
              <w:contextualSpacing/>
              <w:mirrorIndents/>
              <w:rPr>
                <w:rFonts w:eastAsia="Times New Roman"/>
                <w:b/>
                <w:bCs/>
                <w:i/>
                <w:color w:val="000000" w:themeColor="text1"/>
              </w:rPr>
            </w:pPr>
          </w:p>
        </w:tc>
        <w:tc>
          <w:tcPr>
            <w:tcW w:w="864" w:type="dxa"/>
            <w:tcBorders>
              <w:top w:val="single" w:sz="18" w:space="0" w:color="auto"/>
              <w:bottom w:val="single" w:sz="12" w:space="0" w:color="auto"/>
            </w:tcBorders>
            <w:shd w:val="clear" w:color="auto" w:fill="auto"/>
            <w:noWrap/>
            <w:vAlign w:val="center"/>
            <w:hideMark/>
          </w:tcPr>
          <w:p w14:paraId="7D516BBD" w14:textId="77777777" w:rsidR="007C527F" w:rsidRPr="002C07D1" w:rsidRDefault="007C527F" w:rsidP="002C07D1">
            <w:pPr>
              <w:contextualSpacing/>
              <w:mirrorIndents/>
              <w:rPr>
                <w:rFonts w:eastAsia="Times New Roman"/>
                <w:bCs/>
                <w:color w:val="000000" w:themeColor="text1"/>
              </w:rPr>
            </w:pPr>
            <w:r w:rsidRPr="002C07D1">
              <w:rPr>
                <w:rFonts w:eastAsia="Times New Roman"/>
                <w:bCs/>
                <w:color w:val="000000" w:themeColor="text1"/>
              </w:rPr>
              <w:t>CR</w:t>
            </w:r>
          </w:p>
        </w:tc>
        <w:tc>
          <w:tcPr>
            <w:tcW w:w="864" w:type="dxa"/>
            <w:tcBorders>
              <w:top w:val="single" w:sz="18" w:space="0" w:color="auto"/>
              <w:bottom w:val="single" w:sz="12" w:space="0" w:color="auto"/>
            </w:tcBorders>
            <w:shd w:val="clear" w:color="auto" w:fill="auto"/>
            <w:noWrap/>
            <w:vAlign w:val="center"/>
            <w:hideMark/>
          </w:tcPr>
          <w:p w14:paraId="7D516BBE" w14:textId="77777777" w:rsidR="007C527F" w:rsidRPr="002C07D1" w:rsidRDefault="007C527F" w:rsidP="002C07D1">
            <w:pPr>
              <w:contextualSpacing/>
              <w:mirrorIndents/>
              <w:rPr>
                <w:rFonts w:eastAsia="Times New Roman"/>
                <w:bCs/>
                <w:color w:val="000000" w:themeColor="text1"/>
              </w:rPr>
            </w:pPr>
            <w:r w:rsidRPr="002C07D1">
              <w:rPr>
                <w:rFonts w:eastAsia="Times New Roman"/>
                <w:bCs/>
                <w:color w:val="000000" w:themeColor="text1"/>
              </w:rPr>
              <w:t>AVE</w:t>
            </w:r>
          </w:p>
        </w:tc>
        <w:tc>
          <w:tcPr>
            <w:tcW w:w="864" w:type="dxa"/>
            <w:tcBorders>
              <w:top w:val="single" w:sz="18" w:space="0" w:color="auto"/>
              <w:bottom w:val="single" w:sz="12" w:space="0" w:color="auto"/>
            </w:tcBorders>
            <w:shd w:val="clear" w:color="auto" w:fill="auto"/>
            <w:noWrap/>
            <w:vAlign w:val="center"/>
            <w:hideMark/>
          </w:tcPr>
          <w:p w14:paraId="7D516BBF" w14:textId="77777777" w:rsidR="007C527F" w:rsidRPr="002C07D1" w:rsidRDefault="007C527F" w:rsidP="002C07D1">
            <w:pPr>
              <w:contextualSpacing/>
              <w:mirrorIndents/>
              <w:rPr>
                <w:rFonts w:eastAsia="Times New Roman"/>
                <w:bCs/>
                <w:color w:val="000000" w:themeColor="text1"/>
              </w:rPr>
            </w:pPr>
            <w:r w:rsidRPr="002C07D1">
              <w:rPr>
                <w:rFonts w:eastAsia="Times New Roman"/>
                <w:bCs/>
                <w:color w:val="000000" w:themeColor="text1"/>
              </w:rPr>
              <w:t>MSV</w:t>
            </w:r>
          </w:p>
        </w:tc>
        <w:tc>
          <w:tcPr>
            <w:tcW w:w="1008" w:type="dxa"/>
            <w:tcBorders>
              <w:top w:val="single" w:sz="18" w:space="0" w:color="auto"/>
              <w:bottom w:val="single" w:sz="12" w:space="0" w:color="auto"/>
            </w:tcBorders>
            <w:shd w:val="clear" w:color="auto" w:fill="auto"/>
            <w:noWrap/>
            <w:vAlign w:val="center"/>
            <w:hideMark/>
          </w:tcPr>
          <w:p w14:paraId="7D516BC0" w14:textId="77777777" w:rsidR="007C527F" w:rsidRPr="002C07D1" w:rsidRDefault="007C527F" w:rsidP="002C07D1">
            <w:pPr>
              <w:contextualSpacing/>
              <w:mirrorIndents/>
              <w:rPr>
                <w:rFonts w:eastAsia="Times New Roman"/>
                <w:bCs/>
                <w:color w:val="000000" w:themeColor="text1"/>
                <w:spacing w:val="-20"/>
                <w:w w:val="95"/>
              </w:rPr>
            </w:pPr>
            <w:r w:rsidRPr="002C07D1">
              <w:rPr>
                <w:rFonts w:eastAsia="Times New Roman"/>
                <w:bCs/>
                <w:color w:val="000000" w:themeColor="text1"/>
                <w:spacing w:val="-20"/>
                <w:w w:val="95"/>
              </w:rPr>
              <w:t>MaxR(H)</w:t>
            </w:r>
          </w:p>
        </w:tc>
        <w:tc>
          <w:tcPr>
            <w:tcW w:w="864" w:type="dxa"/>
            <w:tcBorders>
              <w:top w:val="single" w:sz="18" w:space="0" w:color="auto"/>
              <w:bottom w:val="single" w:sz="12" w:space="0" w:color="auto"/>
            </w:tcBorders>
            <w:shd w:val="clear" w:color="auto" w:fill="auto"/>
            <w:noWrap/>
            <w:vAlign w:val="center"/>
            <w:hideMark/>
          </w:tcPr>
          <w:p w14:paraId="7D516BC1" w14:textId="77777777" w:rsidR="007C527F" w:rsidRPr="002C07D1" w:rsidRDefault="007C527F" w:rsidP="002C07D1">
            <w:pPr>
              <w:contextualSpacing/>
              <w:mirrorIndents/>
              <w:rPr>
                <w:rFonts w:eastAsia="Times New Roman"/>
                <w:bCs/>
                <w:color w:val="000000" w:themeColor="text1"/>
              </w:rPr>
            </w:pPr>
            <w:r w:rsidRPr="002C07D1">
              <w:rPr>
                <w:rFonts w:eastAsia="Times New Roman"/>
                <w:bCs/>
                <w:color w:val="000000" w:themeColor="text1"/>
              </w:rPr>
              <w:t>RTGB</w:t>
            </w:r>
          </w:p>
        </w:tc>
        <w:tc>
          <w:tcPr>
            <w:tcW w:w="864" w:type="dxa"/>
            <w:tcBorders>
              <w:top w:val="single" w:sz="18" w:space="0" w:color="auto"/>
              <w:bottom w:val="single" w:sz="12" w:space="0" w:color="auto"/>
            </w:tcBorders>
            <w:shd w:val="clear" w:color="auto" w:fill="auto"/>
            <w:noWrap/>
            <w:vAlign w:val="center"/>
            <w:hideMark/>
          </w:tcPr>
          <w:p w14:paraId="7D516BC2" w14:textId="77777777" w:rsidR="007C527F" w:rsidRPr="002C07D1" w:rsidRDefault="007C527F" w:rsidP="002C07D1">
            <w:pPr>
              <w:contextualSpacing/>
              <w:mirrorIndents/>
              <w:rPr>
                <w:rFonts w:eastAsia="Times New Roman"/>
                <w:bCs/>
                <w:color w:val="000000" w:themeColor="text1"/>
              </w:rPr>
            </w:pPr>
            <w:r w:rsidRPr="002C07D1">
              <w:rPr>
                <w:rFonts w:eastAsia="Times New Roman"/>
                <w:bCs/>
                <w:color w:val="000000" w:themeColor="text1"/>
              </w:rPr>
              <w:t>ORGS</w:t>
            </w:r>
          </w:p>
        </w:tc>
        <w:tc>
          <w:tcPr>
            <w:tcW w:w="864" w:type="dxa"/>
            <w:tcBorders>
              <w:top w:val="single" w:sz="18" w:space="0" w:color="auto"/>
              <w:bottom w:val="single" w:sz="12" w:space="0" w:color="auto"/>
            </w:tcBorders>
            <w:shd w:val="clear" w:color="auto" w:fill="auto"/>
            <w:noWrap/>
            <w:vAlign w:val="center"/>
            <w:hideMark/>
          </w:tcPr>
          <w:p w14:paraId="7D516BC3" w14:textId="77777777" w:rsidR="007C527F" w:rsidRPr="002C07D1" w:rsidRDefault="007C527F" w:rsidP="002C07D1">
            <w:pPr>
              <w:contextualSpacing/>
              <w:mirrorIndents/>
              <w:rPr>
                <w:rFonts w:eastAsia="Times New Roman"/>
                <w:bCs/>
                <w:color w:val="000000" w:themeColor="text1"/>
              </w:rPr>
            </w:pPr>
            <w:r w:rsidRPr="002C07D1">
              <w:rPr>
                <w:rFonts w:eastAsia="Times New Roman"/>
                <w:bCs/>
                <w:color w:val="000000" w:themeColor="text1"/>
              </w:rPr>
              <w:t>TEBA</w:t>
            </w:r>
          </w:p>
        </w:tc>
        <w:tc>
          <w:tcPr>
            <w:tcW w:w="864" w:type="dxa"/>
            <w:tcBorders>
              <w:top w:val="single" w:sz="18" w:space="0" w:color="auto"/>
              <w:bottom w:val="single" w:sz="12" w:space="0" w:color="auto"/>
            </w:tcBorders>
            <w:shd w:val="clear" w:color="auto" w:fill="auto"/>
            <w:noWrap/>
            <w:vAlign w:val="center"/>
            <w:hideMark/>
          </w:tcPr>
          <w:p w14:paraId="7D516BC4" w14:textId="77777777" w:rsidR="007C527F" w:rsidRPr="002C07D1" w:rsidRDefault="007C527F" w:rsidP="002C07D1">
            <w:pPr>
              <w:contextualSpacing/>
              <w:mirrorIndents/>
              <w:rPr>
                <w:rFonts w:eastAsia="Times New Roman"/>
                <w:bCs/>
                <w:color w:val="000000" w:themeColor="text1"/>
              </w:rPr>
            </w:pPr>
            <w:r w:rsidRPr="002C07D1">
              <w:rPr>
                <w:rFonts w:eastAsia="Times New Roman"/>
                <w:bCs/>
                <w:color w:val="000000" w:themeColor="text1"/>
              </w:rPr>
              <w:t>ORI</w:t>
            </w:r>
          </w:p>
        </w:tc>
      </w:tr>
      <w:tr w:rsidR="007C527F" w:rsidRPr="00FC6087" w14:paraId="7D516BCF" w14:textId="77777777" w:rsidTr="002C07D1">
        <w:trPr>
          <w:trHeight w:val="576"/>
        </w:trPr>
        <w:tc>
          <w:tcPr>
            <w:tcW w:w="864" w:type="dxa"/>
            <w:tcBorders>
              <w:top w:val="single" w:sz="12" w:space="0" w:color="auto"/>
            </w:tcBorders>
            <w:shd w:val="clear" w:color="auto" w:fill="auto"/>
            <w:noWrap/>
            <w:vAlign w:val="center"/>
            <w:hideMark/>
          </w:tcPr>
          <w:p w14:paraId="7D516BC6" w14:textId="77777777" w:rsidR="007C527F" w:rsidRPr="00790070" w:rsidRDefault="007C527F" w:rsidP="002C07D1">
            <w:pPr>
              <w:contextualSpacing/>
              <w:mirrorIndents/>
              <w:rPr>
                <w:rFonts w:eastAsia="Times New Roman"/>
                <w:bCs/>
                <w:color w:val="000000" w:themeColor="text1"/>
              </w:rPr>
            </w:pPr>
            <w:r w:rsidRPr="00790070">
              <w:rPr>
                <w:rFonts w:eastAsia="Times New Roman"/>
                <w:bCs/>
                <w:color w:val="000000" w:themeColor="text1"/>
              </w:rPr>
              <w:t>RTGB</w:t>
            </w:r>
          </w:p>
        </w:tc>
        <w:tc>
          <w:tcPr>
            <w:tcW w:w="864" w:type="dxa"/>
            <w:tcBorders>
              <w:top w:val="single" w:sz="12" w:space="0" w:color="auto"/>
            </w:tcBorders>
            <w:shd w:val="clear" w:color="auto" w:fill="auto"/>
            <w:noWrap/>
            <w:vAlign w:val="center"/>
            <w:hideMark/>
          </w:tcPr>
          <w:p w14:paraId="7D516BC7"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0.898</w:t>
            </w:r>
          </w:p>
        </w:tc>
        <w:tc>
          <w:tcPr>
            <w:tcW w:w="864" w:type="dxa"/>
            <w:tcBorders>
              <w:top w:val="single" w:sz="12" w:space="0" w:color="auto"/>
            </w:tcBorders>
            <w:shd w:val="clear" w:color="auto" w:fill="auto"/>
            <w:noWrap/>
            <w:vAlign w:val="center"/>
            <w:hideMark/>
          </w:tcPr>
          <w:p w14:paraId="7D516BC8"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0.747</w:t>
            </w:r>
          </w:p>
        </w:tc>
        <w:tc>
          <w:tcPr>
            <w:tcW w:w="864" w:type="dxa"/>
            <w:tcBorders>
              <w:top w:val="single" w:sz="12" w:space="0" w:color="auto"/>
            </w:tcBorders>
            <w:shd w:val="clear" w:color="auto" w:fill="auto"/>
            <w:noWrap/>
            <w:vAlign w:val="center"/>
            <w:hideMark/>
          </w:tcPr>
          <w:p w14:paraId="7D516BC9"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0.340</w:t>
            </w:r>
          </w:p>
        </w:tc>
        <w:tc>
          <w:tcPr>
            <w:tcW w:w="1008" w:type="dxa"/>
            <w:tcBorders>
              <w:top w:val="single" w:sz="12" w:space="0" w:color="auto"/>
            </w:tcBorders>
            <w:shd w:val="clear" w:color="auto" w:fill="auto"/>
            <w:noWrap/>
            <w:vAlign w:val="center"/>
            <w:hideMark/>
          </w:tcPr>
          <w:p w14:paraId="7D516BCA"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0.921</w:t>
            </w:r>
          </w:p>
        </w:tc>
        <w:tc>
          <w:tcPr>
            <w:tcW w:w="864" w:type="dxa"/>
            <w:tcBorders>
              <w:top w:val="single" w:sz="12" w:space="0" w:color="auto"/>
            </w:tcBorders>
            <w:shd w:val="clear" w:color="auto" w:fill="auto"/>
            <w:noWrap/>
            <w:vAlign w:val="center"/>
            <w:hideMark/>
          </w:tcPr>
          <w:p w14:paraId="7D516BCB" w14:textId="77777777" w:rsidR="007C527F" w:rsidRPr="00FC6087" w:rsidRDefault="007C527F" w:rsidP="002C07D1">
            <w:pPr>
              <w:contextualSpacing/>
              <w:mirrorIndents/>
              <w:rPr>
                <w:rFonts w:eastAsia="Times New Roman"/>
                <w:bCs/>
                <w:i/>
                <w:color w:val="000000" w:themeColor="text1"/>
              </w:rPr>
            </w:pPr>
            <w:r w:rsidRPr="00FC6087">
              <w:rPr>
                <w:rFonts w:eastAsia="Times New Roman"/>
                <w:bCs/>
                <w:i/>
                <w:color w:val="000000" w:themeColor="text1"/>
              </w:rPr>
              <w:t>0.864</w:t>
            </w:r>
          </w:p>
        </w:tc>
        <w:tc>
          <w:tcPr>
            <w:tcW w:w="864" w:type="dxa"/>
            <w:tcBorders>
              <w:top w:val="single" w:sz="12" w:space="0" w:color="auto"/>
            </w:tcBorders>
            <w:shd w:val="clear" w:color="auto" w:fill="auto"/>
            <w:noWrap/>
            <w:vAlign w:val="center"/>
            <w:hideMark/>
          </w:tcPr>
          <w:p w14:paraId="7D516BCC"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 </w:t>
            </w:r>
          </w:p>
        </w:tc>
        <w:tc>
          <w:tcPr>
            <w:tcW w:w="864" w:type="dxa"/>
            <w:tcBorders>
              <w:top w:val="single" w:sz="12" w:space="0" w:color="auto"/>
            </w:tcBorders>
            <w:shd w:val="clear" w:color="auto" w:fill="auto"/>
            <w:noWrap/>
            <w:vAlign w:val="center"/>
            <w:hideMark/>
          </w:tcPr>
          <w:p w14:paraId="7D516BCD"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 </w:t>
            </w:r>
          </w:p>
        </w:tc>
        <w:tc>
          <w:tcPr>
            <w:tcW w:w="864" w:type="dxa"/>
            <w:tcBorders>
              <w:top w:val="single" w:sz="12" w:space="0" w:color="auto"/>
            </w:tcBorders>
            <w:shd w:val="clear" w:color="auto" w:fill="auto"/>
            <w:noWrap/>
            <w:vAlign w:val="center"/>
            <w:hideMark/>
          </w:tcPr>
          <w:p w14:paraId="7D516BCE"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 </w:t>
            </w:r>
          </w:p>
        </w:tc>
      </w:tr>
      <w:tr w:rsidR="007C527F" w:rsidRPr="00FC6087" w14:paraId="7D516BD9" w14:textId="77777777" w:rsidTr="002C07D1">
        <w:trPr>
          <w:trHeight w:val="576"/>
        </w:trPr>
        <w:tc>
          <w:tcPr>
            <w:tcW w:w="864" w:type="dxa"/>
            <w:shd w:val="clear" w:color="auto" w:fill="auto"/>
            <w:noWrap/>
            <w:vAlign w:val="center"/>
            <w:hideMark/>
          </w:tcPr>
          <w:p w14:paraId="7D516BD0" w14:textId="77777777" w:rsidR="007C527F" w:rsidRPr="00790070" w:rsidRDefault="007C527F" w:rsidP="002C07D1">
            <w:pPr>
              <w:contextualSpacing/>
              <w:mirrorIndents/>
              <w:rPr>
                <w:rFonts w:eastAsia="Times New Roman"/>
                <w:bCs/>
                <w:color w:val="000000" w:themeColor="text1"/>
              </w:rPr>
            </w:pPr>
            <w:r w:rsidRPr="00790070">
              <w:rPr>
                <w:rFonts w:eastAsia="Times New Roman"/>
                <w:bCs/>
                <w:color w:val="000000" w:themeColor="text1"/>
              </w:rPr>
              <w:lastRenderedPageBreak/>
              <w:t>ORGS</w:t>
            </w:r>
          </w:p>
        </w:tc>
        <w:tc>
          <w:tcPr>
            <w:tcW w:w="864" w:type="dxa"/>
            <w:shd w:val="clear" w:color="auto" w:fill="auto"/>
            <w:noWrap/>
            <w:vAlign w:val="center"/>
            <w:hideMark/>
          </w:tcPr>
          <w:p w14:paraId="7D516BD1"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0.894</w:t>
            </w:r>
          </w:p>
        </w:tc>
        <w:tc>
          <w:tcPr>
            <w:tcW w:w="864" w:type="dxa"/>
            <w:shd w:val="clear" w:color="auto" w:fill="auto"/>
            <w:noWrap/>
            <w:vAlign w:val="center"/>
            <w:hideMark/>
          </w:tcPr>
          <w:p w14:paraId="7D516BD2"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0.739</w:t>
            </w:r>
          </w:p>
        </w:tc>
        <w:tc>
          <w:tcPr>
            <w:tcW w:w="864" w:type="dxa"/>
            <w:shd w:val="clear" w:color="auto" w:fill="auto"/>
            <w:noWrap/>
            <w:vAlign w:val="center"/>
            <w:hideMark/>
          </w:tcPr>
          <w:p w14:paraId="7D516BD3"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0.397</w:t>
            </w:r>
          </w:p>
        </w:tc>
        <w:tc>
          <w:tcPr>
            <w:tcW w:w="1008" w:type="dxa"/>
            <w:shd w:val="clear" w:color="auto" w:fill="auto"/>
            <w:noWrap/>
            <w:vAlign w:val="center"/>
            <w:hideMark/>
          </w:tcPr>
          <w:p w14:paraId="7D516BD4"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0.900</w:t>
            </w:r>
          </w:p>
        </w:tc>
        <w:tc>
          <w:tcPr>
            <w:tcW w:w="864" w:type="dxa"/>
            <w:shd w:val="clear" w:color="auto" w:fill="auto"/>
            <w:noWrap/>
            <w:vAlign w:val="center"/>
            <w:hideMark/>
          </w:tcPr>
          <w:p w14:paraId="7D516BD5"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0.440</w:t>
            </w:r>
          </w:p>
        </w:tc>
        <w:tc>
          <w:tcPr>
            <w:tcW w:w="864" w:type="dxa"/>
            <w:shd w:val="clear" w:color="auto" w:fill="auto"/>
            <w:noWrap/>
            <w:vAlign w:val="center"/>
            <w:hideMark/>
          </w:tcPr>
          <w:p w14:paraId="7D516BD6" w14:textId="77777777" w:rsidR="007C527F" w:rsidRPr="00FC6087" w:rsidRDefault="007C527F" w:rsidP="002C07D1">
            <w:pPr>
              <w:contextualSpacing/>
              <w:mirrorIndents/>
              <w:rPr>
                <w:rFonts w:eastAsia="Times New Roman"/>
                <w:bCs/>
                <w:i/>
                <w:color w:val="000000" w:themeColor="text1"/>
              </w:rPr>
            </w:pPr>
            <w:r w:rsidRPr="00FC6087">
              <w:rPr>
                <w:rFonts w:eastAsia="Times New Roman"/>
                <w:bCs/>
                <w:i/>
                <w:color w:val="000000" w:themeColor="text1"/>
              </w:rPr>
              <w:t>0.859</w:t>
            </w:r>
          </w:p>
        </w:tc>
        <w:tc>
          <w:tcPr>
            <w:tcW w:w="864" w:type="dxa"/>
            <w:shd w:val="clear" w:color="auto" w:fill="auto"/>
            <w:noWrap/>
            <w:vAlign w:val="center"/>
            <w:hideMark/>
          </w:tcPr>
          <w:p w14:paraId="7D516BD7"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 </w:t>
            </w:r>
          </w:p>
        </w:tc>
        <w:tc>
          <w:tcPr>
            <w:tcW w:w="864" w:type="dxa"/>
            <w:shd w:val="clear" w:color="auto" w:fill="auto"/>
            <w:noWrap/>
            <w:vAlign w:val="center"/>
            <w:hideMark/>
          </w:tcPr>
          <w:p w14:paraId="7D516BD8"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 </w:t>
            </w:r>
          </w:p>
        </w:tc>
      </w:tr>
      <w:tr w:rsidR="007C527F" w:rsidRPr="00FC6087" w14:paraId="7D516BE3" w14:textId="77777777" w:rsidTr="002C07D1">
        <w:trPr>
          <w:trHeight w:val="576"/>
        </w:trPr>
        <w:tc>
          <w:tcPr>
            <w:tcW w:w="864" w:type="dxa"/>
            <w:shd w:val="clear" w:color="auto" w:fill="auto"/>
            <w:noWrap/>
            <w:vAlign w:val="center"/>
            <w:hideMark/>
          </w:tcPr>
          <w:p w14:paraId="7D516BDA" w14:textId="77777777" w:rsidR="007C527F" w:rsidRPr="00790070" w:rsidRDefault="007C527F" w:rsidP="002C07D1">
            <w:pPr>
              <w:contextualSpacing/>
              <w:mirrorIndents/>
              <w:rPr>
                <w:rFonts w:eastAsia="Times New Roman"/>
                <w:bCs/>
                <w:color w:val="000000" w:themeColor="text1"/>
              </w:rPr>
            </w:pPr>
            <w:r w:rsidRPr="00790070">
              <w:rPr>
                <w:rFonts w:eastAsia="Times New Roman"/>
                <w:bCs/>
                <w:color w:val="000000" w:themeColor="text1"/>
              </w:rPr>
              <w:t>TEBA</w:t>
            </w:r>
          </w:p>
        </w:tc>
        <w:tc>
          <w:tcPr>
            <w:tcW w:w="864" w:type="dxa"/>
            <w:shd w:val="clear" w:color="auto" w:fill="auto"/>
            <w:noWrap/>
            <w:vAlign w:val="center"/>
            <w:hideMark/>
          </w:tcPr>
          <w:p w14:paraId="7D516BDB"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0.906</w:t>
            </w:r>
          </w:p>
        </w:tc>
        <w:tc>
          <w:tcPr>
            <w:tcW w:w="864" w:type="dxa"/>
            <w:shd w:val="clear" w:color="auto" w:fill="auto"/>
            <w:noWrap/>
            <w:vAlign w:val="center"/>
            <w:hideMark/>
          </w:tcPr>
          <w:p w14:paraId="7D516BDC"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0.762</w:t>
            </w:r>
          </w:p>
        </w:tc>
        <w:tc>
          <w:tcPr>
            <w:tcW w:w="864" w:type="dxa"/>
            <w:shd w:val="clear" w:color="auto" w:fill="auto"/>
            <w:noWrap/>
            <w:vAlign w:val="center"/>
            <w:hideMark/>
          </w:tcPr>
          <w:p w14:paraId="7D516BDD"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0.397</w:t>
            </w:r>
          </w:p>
        </w:tc>
        <w:tc>
          <w:tcPr>
            <w:tcW w:w="1008" w:type="dxa"/>
            <w:shd w:val="clear" w:color="auto" w:fill="auto"/>
            <w:noWrap/>
            <w:vAlign w:val="center"/>
            <w:hideMark/>
          </w:tcPr>
          <w:p w14:paraId="7D516BDE"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0.908</w:t>
            </w:r>
          </w:p>
        </w:tc>
        <w:tc>
          <w:tcPr>
            <w:tcW w:w="864" w:type="dxa"/>
            <w:shd w:val="clear" w:color="auto" w:fill="auto"/>
            <w:noWrap/>
            <w:vAlign w:val="center"/>
            <w:hideMark/>
          </w:tcPr>
          <w:p w14:paraId="7D516BDF"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0.583</w:t>
            </w:r>
          </w:p>
        </w:tc>
        <w:tc>
          <w:tcPr>
            <w:tcW w:w="864" w:type="dxa"/>
            <w:shd w:val="clear" w:color="auto" w:fill="auto"/>
            <w:noWrap/>
            <w:vAlign w:val="center"/>
            <w:hideMark/>
          </w:tcPr>
          <w:p w14:paraId="7D516BE0"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0.630</w:t>
            </w:r>
          </w:p>
        </w:tc>
        <w:tc>
          <w:tcPr>
            <w:tcW w:w="864" w:type="dxa"/>
            <w:shd w:val="clear" w:color="auto" w:fill="auto"/>
            <w:noWrap/>
            <w:vAlign w:val="center"/>
            <w:hideMark/>
          </w:tcPr>
          <w:p w14:paraId="7D516BE1" w14:textId="77777777" w:rsidR="007C527F" w:rsidRPr="00FC6087" w:rsidRDefault="007C527F" w:rsidP="002C07D1">
            <w:pPr>
              <w:contextualSpacing/>
              <w:mirrorIndents/>
              <w:rPr>
                <w:rFonts w:eastAsia="Times New Roman"/>
                <w:bCs/>
                <w:i/>
                <w:color w:val="000000" w:themeColor="text1"/>
              </w:rPr>
            </w:pPr>
            <w:r w:rsidRPr="00FC6087">
              <w:rPr>
                <w:rFonts w:eastAsia="Times New Roman"/>
                <w:bCs/>
                <w:i/>
                <w:color w:val="000000" w:themeColor="text1"/>
              </w:rPr>
              <w:t>0.873</w:t>
            </w:r>
          </w:p>
        </w:tc>
        <w:tc>
          <w:tcPr>
            <w:tcW w:w="864" w:type="dxa"/>
            <w:shd w:val="clear" w:color="auto" w:fill="auto"/>
            <w:noWrap/>
            <w:vAlign w:val="center"/>
            <w:hideMark/>
          </w:tcPr>
          <w:p w14:paraId="7D516BE2"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 </w:t>
            </w:r>
          </w:p>
        </w:tc>
      </w:tr>
      <w:tr w:rsidR="007C527F" w:rsidRPr="00FC6087" w14:paraId="7D516BED" w14:textId="77777777" w:rsidTr="002C07D1">
        <w:trPr>
          <w:trHeight w:val="576"/>
        </w:trPr>
        <w:tc>
          <w:tcPr>
            <w:tcW w:w="864" w:type="dxa"/>
            <w:tcBorders>
              <w:bottom w:val="single" w:sz="18" w:space="0" w:color="auto"/>
            </w:tcBorders>
            <w:shd w:val="clear" w:color="auto" w:fill="auto"/>
            <w:noWrap/>
            <w:vAlign w:val="center"/>
            <w:hideMark/>
          </w:tcPr>
          <w:p w14:paraId="7D516BE4" w14:textId="77777777" w:rsidR="007C527F" w:rsidRPr="00790070" w:rsidRDefault="007C527F" w:rsidP="002C07D1">
            <w:pPr>
              <w:contextualSpacing/>
              <w:mirrorIndents/>
              <w:rPr>
                <w:rFonts w:eastAsia="Times New Roman"/>
                <w:bCs/>
                <w:color w:val="000000" w:themeColor="text1"/>
              </w:rPr>
            </w:pPr>
            <w:r w:rsidRPr="00790070">
              <w:rPr>
                <w:rFonts w:eastAsia="Times New Roman"/>
                <w:bCs/>
                <w:color w:val="000000" w:themeColor="text1"/>
              </w:rPr>
              <w:t>ORI</w:t>
            </w:r>
          </w:p>
        </w:tc>
        <w:tc>
          <w:tcPr>
            <w:tcW w:w="864" w:type="dxa"/>
            <w:tcBorders>
              <w:bottom w:val="single" w:sz="18" w:space="0" w:color="auto"/>
            </w:tcBorders>
            <w:shd w:val="clear" w:color="auto" w:fill="auto"/>
            <w:noWrap/>
            <w:vAlign w:val="center"/>
            <w:hideMark/>
          </w:tcPr>
          <w:p w14:paraId="7D516BE5"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0.803</w:t>
            </w:r>
          </w:p>
        </w:tc>
        <w:tc>
          <w:tcPr>
            <w:tcW w:w="864" w:type="dxa"/>
            <w:tcBorders>
              <w:bottom w:val="single" w:sz="18" w:space="0" w:color="auto"/>
            </w:tcBorders>
            <w:shd w:val="clear" w:color="auto" w:fill="auto"/>
            <w:noWrap/>
            <w:vAlign w:val="center"/>
            <w:hideMark/>
          </w:tcPr>
          <w:p w14:paraId="7D516BE6"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0.580</w:t>
            </w:r>
          </w:p>
        </w:tc>
        <w:tc>
          <w:tcPr>
            <w:tcW w:w="864" w:type="dxa"/>
            <w:tcBorders>
              <w:bottom w:val="single" w:sz="18" w:space="0" w:color="auto"/>
            </w:tcBorders>
            <w:shd w:val="clear" w:color="auto" w:fill="auto"/>
            <w:noWrap/>
            <w:vAlign w:val="center"/>
            <w:hideMark/>
          </w:tcPr>
          <w:p w14:paraId="7D516BE7"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0.392</w:t>
            </w:r>
          </w:p>
        </w:tc>
        <w:tc>
          <w:tcPr>
            <w:tcW w:w="1008" w:type="dxa"/>
            <w:tcBorders>
              <w:bottom w:val="single" w:sz="18" w:space="0" w:color="auto"/>
            </w:tcBorders>
            <w:shd w:val="clear" w:color="auto" w:fill="auto"/>
            <w:noWrap/>
            <w:vAlign w:val="center"/>
            <w:hideMark/>
          </w:tcPr>
          <w:p w14:paraId="7D516BE8"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0.841</w:t>
            </w:r>
          </w:p>
        </w:tc>
        <w:tc>
          <w:tcPr>
            <w:tcW w:w="864" w:type="dxa"/>
            <w:tcBorders>
              <w:bottom w:val="single" w:sz="18" w:space="0" w:color="auto"/>
            </w:tcBorders>
            <w:shd w:val="clear" w:color="auto" w:fill="auto"/>
            <w:noWrap/>
            <w:vAlign w:val="center"/>
            <w:hideMark/>
          </w:tcPr>
          <w:p w14:paraId="7D516BE9"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0.452</w:t>
            </w:r>
          </w:p>
        </w:tc>
        <w:tc>
          <w:tcPr>
            <w:tcW w:w="864" w:type="dxa"/>
            <w:tcBorders>
              <w:bottom w:val="single" w:sz="18" w:space="0" w:color="auto"/>
            </w:tcBorders>
            <w:shd w:val="clear" w:color="auto" w:fill="auto"/>
            <w:noWrap/>
            <w:vAlign w:val="center"/>
            <w:hideMark/>
          </w:tcPr>
          <w:p w14:paraId="7D516BEA"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0.525</w:t>
            </w:r>
          </w:p>
        </w:tc>
        <w:tc>
          <w:tcPr>
            <w:tcW w:w="864" w:type="dxa"/>
            <w:tcBorders>
              <w:bottom w:val="single" w:sz="18" w:space="0" w:color="auto"/>
            </w:tcBorders>
            <w:shd w:val="clear" w:color="auto" w:fill="auto"/>
            <w:noWrap/>
            <w:vAlign w:val="center"/>
            <w:hideMark/>
          </w:tcPr>
          <w:p w14:paraId="7D516BEB" w14:textId="77777777" w:rsidR="007C527F" w:rsidRPr="00FC6087" w:rsidRDefault="007C527F" w:rsidP="002C07D1">
            <w:pPr>
              <w:contextualSpacing/>
              <w:mirrorIndents/>
              <w:rPr>
                <w:rFonts w:eastAsia="Times New Roman"/>
                <w:color w:val="000000" w:themeColor="text1"/>
              </w:rPr>
            </w:pPr>
            <w:r w:rsidRPr="00FC6087">
              <w:rPr>
                <w:rFonts w:eastAsia="Times New Roman"/>
                <w:color w:val="000000" w:themeColor="text1"/>
              </w:rPr>
              <w:t>0.626</w:t>
            </w:r>
          </w:p>
        </w:tc>
        <w:tc>
          <w:tcPr>
            <w:tcW w:w="864" w:type="dxa"/>
            <w:tcBorders>
              <w:bottom w:val="single" w:sz="18" w:space="0" w:color="auto"/>
            </w:tcBorders>
            <w:shd w:val="clear" w:color="auto" w:fill="auto"/>
            <w:noWrap/>
            <w:vAlign w:val="center"/>
            <w:hideMark/>
          </w:tcPr>
          <w:p w14:paraId="7D516BEC" w14:textId="77777777" w:rsidR="007C527F" w:rsidRPr="00FC6087" w:rsidRDefault="007C527F" w:rsidP="002C07D1">
            <w:pPr>
              <w:keepNext/>
              <w:contextualSpacing/>
              <w:mirrorIndents/>
              <w:rPr>
                <w:rFonts w:eastAsia="Times New Roman"/>
                <w:bCs/>
                <w:i/>
                <w:color w:val="000000" w:themeColor="text1"/>
              </w:rPr>
            </w:pPr>
            <w:r w:rsidRPr="00FC6087">
              <w:rPr>
                <w:rFonts w:eastAsia="Times New Roman"/>
                <w:bCs/>
                <w:i/>
                <w:color w:val="000000" w:themeColor="text1"/>
              </w:rPr>
              <w:t>0.762</w:t>
            </w:r>
          </w:p>
        </w:tc>
      </w:tr>
    </w:tbl>
    <w:p w14:paraId="7D516BEE" w14:textId="3722EFF3" w:rsidR="007C527F" w:rsidRPr="00FC6087" w:rsidRDefault="007C527F" w:rsidP="00C0447D">
      <w:pPr>
        <w:pStyle w:val="APAParagraph"/>
        <w:spacing w:line="240" w:lineRule="auto"/>
        <w:ind w:firstLine="0"/>
        <w:rPr>
          <w:color w:val="000000" w:themeColor="text1"/>
        </w:rPr>
      </w:pPr>
      <w:r w:rsidRPr="00790070">
        <w:rPr>
          <w:bCs/>
          <w:i/>
          <w:color w:val="000000" w:themeColor="text1"/>
        </w:rPr>
        <w:t>Note</w:t>
      </w:r>
      <w:r w:rsidR="00EC68E5" w:rsidRPr="00FC6087">
        <w:rPr>
          <w:bCs/>
          <w:i/>
          <w:color w:val="000000" w:themeColor="text1"/>
        </w:rPr>
        <w:t>.</w:t>
      </w:r>
      <w:r w:rsidRPr="00FC6087">
        <w:rPr>
          <w:bCs/>
          <w:color w:val="000000" w:themeColor="text1"/>
        </w:rPr>
        <w:t xml:space="preserve"> CR = </w:t>
      </w:r>
      <w:r w:rsidRPr="00FC6087">
        <w:rPr>
          <w:color w:val="000000" w:themeColor="text1"/>
        </w:rPr>
        <w:t>composite reliability</w:t>
      </w:r>
      <w:r w:rsidR="00D00E05" w:rsidRPr="00FC6087">
        <w:rPr>
          <w:color w:val="000000" w:themeColor="text1"/>
        </w:rPr>
        <w:t>;</w:t>
      </w:r>
      <w:r w:rsidRPr="00FC6087">
        <w:rPr>
          <w:bCs/>
          <w:color w:val="000000" w:themeColor="text1"/>
        </w:rPr>
        <w:t xml:space="preserve"> AVE = </w:t>
      </w:r>
      <w:r w:rsidRPr="00FC6087">
        <w:rPr>
          <w:color w:val="000000" w:themeColor="text1"/>
        </w:rPr>
        <w:t>average variance extracted</w:t>
      </w:r>
      <w:r w:rsidR="00D00E05" w:rsidRPr="00FC6087">
        <w:rPr>
          <w:color w:val="000000" w:themeColor="text1"/>
        </w:rPr>
        <w:t>;</w:t>
      </w:r>
      <w:r w:rsidR="00DE4A86">
        <w:rPr>
          <w:color w:val="000000" w:themeColor="text1"/>
        </w:rPr>
        <w:t xml:space="preserve"> </w:t>
      </w:r>
      <w:r w:rsidRPr="00FC6087">
        <w:rPr>
          <w:bCs/>
          <w:color w:val="000000" w:themeColor="text1"/>
        </w:rPr>
        <w:t xml:space="preserve">MSV = </w:t>
      </w:r>
      <w:r w:rsidRPr="00FC6087">
        <w:rPr>
          <w:color w:val="000000" w:themeColor="text1"/>
        </w:rPr>
        <w:t>maximum shared variance</w:t>
      </w:r>
      <w:r w:rsidR="00D00E05" w:rsidRPr="00FC6087">
        <w:rPr>
          <w:color w:val="000000" w:themeColor="text1"/>
        </w:rPr>
        <w:t>;</w:t>
      </w:r>
      <w:r w:rsidRPr="00FC6087">
        <w:rPr>
          <w:color w:val="000000" w:themeColor="text1"/>
        </w:rPr>
        <w:t xml:space="preserve"> RTGB = readiness </w:t>
      </w:r>
      <w:r w:rsidR="00D00E05" w:rsidRPr="00FC6087">
        <w:rPr>
          <w:color w:val="000000" w:themeColor="text1"/>
        </w:rPr>
        <w:t>for</w:t>
      </w:r>
      <w:r w:rsidRPr="00FC6087">
        <w:rPr>
          <w:color w:val="000000" w:themeColor="text1"/>
        </w:rPr>
        <w:t xml:space="preserve"> big data and I</w:t>
      </w:r>
      <w:r w:rsidR="00D00E05" w:rsidRPr="00FC6087">
        <w:rPr>
          <w:color w:val="000000" w:themeColor="text1"/>
        </w:rPr>
        <w:t>o</w:t>
      </w:r>
      <w:r w:rsidRPr="00FC6087">
        <w:rPr>
          <w:color w:val="000000" w:themeColor="text1"/>
        </w:rPr>
        <w:t>T</w:t>
      </w:r>
      <w:r w:rsidR="00D00E05" w:rsidRPr="00FC6087">
        <w:rPr>
          <w:color w:val="000000" w:themeColor="text1"/>
        </w:rPr>
        <w:t>;</w:t>
      </w:r>
      <w:r w:rsidRPr="00FC6087">
        <w:rPr>
          <w:color w:val="000000" w:themeColor="text1"/>
        </w:rPr>
        <w:t xml:space="preserve"> ORGS = organizational strategy</w:t>
      </w:r>
      <w:r w:rsidR="00D00E05" w:rsidRPr="00FC6087">
        <w:rPr>
          <w:color w:val="000000" w:themeColor="text1"/>
        </w:rPr>
        <w:t>;</w:t>
      </w:r>
      <w:r w:rsidRPr="00FC6087">
        <w:rPr>
          <w:color w:val="000000" w:themeColor="text1"/>
        </w:rPr>
        <w:t xml:space="preserve"> TEBA = technical barriers</w:t>
      </w:r>
      <w:r w:rsidR="00D00E05" w:rsidRPr="00FC6087">
        <w:rPr>
          <w:color w:val="000000" w:themeColor="text1"/>
        </w:rPr>
        <w:t>;</w:t>
      </w:r>
      <w:r w:rsidRPr="00FC6087">
        <w:rPr>
          <w:color w:val="000000" w:themeColor="text1"/>
        </w:rPr>
        <w:t xml:space="preserve"> ORI = orientation. The italicized values on the diagonal indicate the square root of the AVE. </w:t>
      </w:r>
    </w:p>
    <w:p w14:paraId="65F87973" w14:textId="77777777" w:rsidR="00D16778" w:rsidRPr="00FC6087" w:rsidRDefault="00D16778" w:rsidP="00D16778">
      <w:pPr>
        <w:pStyle w:val="APAParagraph"/>
        <w:rPr>
          <w:color w:val="000000" w:themeColor="text1"/>
        </w:rPr>
      </w:pPr>
    </w:p>
    <w:p w14:paraId="08581BB4" w14:textId="7826FD15" w:rsidR="00D16778" w:rsidRPr="00790070" w:rsidRDefault="00D16778" w:rsidP="00D16778">
      <w:pPr>
        <w:pStyle w:val="Caption"/>
        <w:jc w:val="left"/>
        <w:rPr>
          <w:b w:val="0"/>
          <w:noProof w:val="0"/>
          <w:color w:val="000000" w:themeColor="text1"/>
          <w:sz w:val="24"/>
          <w:szCs w:val="24"/>
          <w:lang w:bidi="ar-DZ"/>
        </w:rPr>
      </w:pPr>
      <w:r w:rsidRPr="00790070">
        <w:rPr>
          <w:b w:val="0"/>
          <w:i/>
          <w:noProof w:val="0"/>
          <w:color w:val="000000" w:themeColor="text1"/>
          <w:sz w:val="24"/>
          <w:szCs w:val="24"/>
        </w:rPr>
        <w:t>Figure 5.</w:t>
      </w:r>
      <w:r w:rsidRPr="00790070">
        <w:rPr>
          <w:b w:val="0"/>
          <w:i/>
          <w:noProof w:val="0"/>
          <w:color w:val="000000" w:themeColor="text1"/>
          <w:sz w:val="24"/>
          <w:szCs w:val="24"/>
        </w:rPr>
        <w:fldChar w:fldCharType="begin"/>
      </w:r>
      <w:r w:rsidRPr="00790070">
        <w:rPr>
          <w:b w:val="0"/>
          <w:i/>
          <w:noProof w:val="0"/>
          <w:color w:val="000000" w:themeColor="text1"/>
          <w:sz w:val="24"/>
          <w:szCs w:val="24"/>
        </w:rPr>
        <w:instrText xml:space="preserve"> SEQ Figure_5. \* ARABIC </w:instrText>
      </w:r>
      <w:r w:rsidRPr="00790070">
        <w:rPr>
          <w:b w:val="0"/>
          <w:i/>
          <w:noProof w:val="0"/>
          <w:color w:val="000000" w:themeColor="text1"/>
          <w:sz w:val="24"/>
          <w:szCs w:val="24"/>
        </w:rPr>
        <w:fldChar w:fldCharType="separate"/>
      </w:r>
      <w:r w:rsidR="004C1C5E">
        <w:rPr>
          <w:b w:val="0"/>
          <w:i/>
          <w:color w:val="000000" w:themeColor="text1"/>
          <w:sz w:val="24"/>
          <w:szCs w:val="24"/>
        </w:rPr>
        <w:t>3</w:t>
      </w:r>
      <w:r w:rsidRPr="00790070">
        <w:rPr>
          <w:b w:val="0"/>
          <w:i/>
          <w:noProof w:val="0"/>
          <w:color w:val="000000" w:themeColor="text1"/>
          <w:sz w:val="24"/>
          <w:szCs w:val="24"/>
        </w:rPr>
        <w:fldChar w:fldCharType="end"/>
      </w:r>
      <w:r w:rsidRPr="00790070">
        <w:rPr>
          <w:b w:val="0"/>
          <w:i/>
          <w:noProof w:val="0"/>
          <w:color w:val="000000" w:themeColor="text1"/>
          <w:sz w:val="24"/>
          <w:szCs w:val="24"/>
          <w:rtl/>
          <w:lang w:bidi="ar-DZ"/>
        </w:rPr>
        <w:t>.</w:t>
      </w:r>
      <w:r w:rsidRPr="00790070">
        <w:rPr>
          <w:b w:val="0"/>
          <w:noProof w:val="0"/>
          <w:color w:val="000000" w:themeColor="text1"/>
          <w:sz w:val="24"/>
          <w:szCs w:val="24"/>
          <w:lang w:bidi="ar-DZ"/>
        </w:rPr>
        <w:t xml:space="preserve"> Structural model from the first-order CFA on </w:t>
      </w:r>
      <w:r w:rsidRPr="00174113">
        <w:rPr>
          <w:b w:val="0"/>
          <w:noProof w:val="0"/>
          <w:color w:val="000000" w:themeColor="text1"/>
          <w:sz w:val="24"/>
          <w:szCs w:val="24"/>
          <w:lang w:bidi="ar-DZ"/>
        </w:rPr>
        <w:t>barriers, showing</w:t>
      </w:r>
      <w:r w:rsidRPr="00790070">
        <w:rPr>
          <w:b w:val="0"/>
          <w:noProof w:val="0"/>
          <w:color w:val="000000" w:themeColor="text1"/>
          <w:sz w:val="24"/>
          <w:szCs w:val="24"/>
          <w:lang w:bidi="ar-DZ"/>
        </w:rPr>
        <w:t xml:space="preserve"> how items load onto the barrier factors and how the factors correlate</w:t>
      </w:r>
    </w:p>
    <w:p w14:paraId="372B8396" w14:textId="77777777" w:rsidR="00D16778" w:rsidRPr="00FC6087" w:rsidRDefault="00D16778" w:rsidP="00D16778">
      <w:pPr>
        <w:pStyle w:val="APAParagraph"/>
        <w:keepNext/>
        <w:rPr>
          <w:color w:val="000000" w:themeColor="text1"/>
        </w:rPr>
      </w:pPr>
      <w:r w:rsidRPr="00C0447D">
        <w:rPr>
          <w:noProof/>
          <w:color w:val="000000" w:themeColor="text1"/>
        </w:rPr>
        <w:drawing>
          <wp:inline distT="0" distB="0" distL="0" distR="0" wp14:anchorId="367A5BD2" wp14:editId="0F2167F3">
            <wp:extent cx="4038600" cy="342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38600" cy="3429000"/>
                    </a:xfrm>
                    <a:prstGeom prst="rect">
                      <a:avLst/>
                    </a:prstGeom>
                    <a:noFill/>
                    <a:ln>
                      <a:noFill/>
                    </a:ln>
                  </pic:spPr>
                </pic:pic>
              </a:graphicData>
            </a:graphic>
          </wp:inline>
        </w:drawing>
      </w:r>
    </w:p>
    <w:p w14:paraId="1B63D801" w14:textId="77777777" w:rsidR="00D16778" w:rsidRPr="00FC6087" w:rsidRDefault="00D16778" w:rsidP="00C0447D">
      <w:pPr>
        <w:pStyle w:val="APAParagraph"/>
        <w:spacing w:line="240" w:lineRule="auto"/>
        <w:ind w:firstLine="0"/>
        <w:rPr>
          <w:color w:val="000000" w:themeColor="text1"/>
          <w:lang w:bidi="ar-DZ"/>
        </w:rPr>
      </w:pPr>
      <w:r w:rsidRPr="00790070">
        <w:rPr>
          <w:bCs/>
          <w:i/>
          <w:color w:val="000000" w:themeColor="text1"/>
          <w:lang w:bidi="ar-DZ"/>
        </w:rPr>
        <w:t>Note</w:t>
      </w:r>
      <w:r w:rsidRPr="00FC6087">
        <w:rPr>
          <w:bCs/>
          <w:i/>
          <w:color w:val="000000" w:themeColor="text1"/>
          <w:lang w:bidi="ar-DZ"/>
        </w:rPr>
        <w:t>.</w:t>
      </w:r>
      <w:r w:rsidRPr="00FC6087">
        <w:rPr>
          <w:color w:val="000000" w:themeColor="text1"/>
          <w:lang w:bidi="ar-DZ"/>
        </w:rPr>
        <w:t xml:space="preserve"> ORGS = organizational strategy; TEBA = technical barriers; RTGB = readiness for big data and IoT; ORI = orientation.</w:t>
      </w:r>
    </w:p>
    <w:p w14:paraId="60624EEA" w14:textId="77777777" w:rsidR="00D16778" w:rsidRPr="00FC6087" w:rsidRDefault="00D16778" w:rsidP="00D16778">
      <w:pPr>
        <w:pStyle w:val="APAParagraph"/>
        <w:ind w:firstLine="0"/>
        <w:rPr>
          <w:color w:val="000000" w:themeColor="text1"/>
          <w:lang w:bidi="ar-DZ"/>
        </w:rPr>
      </w:pPr>
    </w:p>
    <w:p w14:paraId="7D516BF0" w14:textId="413E9153" w:rsidR="00FD4D49" w:rsidRPr="00FC6087" w:rsidRDefault="00FD4D49" w:rsidP="007C527F">
      <w:pPr>
        <w:pStyle w:val="APAParagraph"/>
        <w:rPr>
          <w:color w:val="000000" w:themeColor="text1"/>
        </w:rPr>
      </w:pPr>
      <w:r w:rsidRPr="00FC6087">
        <w:rPr>
          <w:color w:val="000000" w:themeColor="text1"/>
        </w:rPr>
        <w:lastRenderedPageBreak/>
        <w:t>The result of this comparison was significant (</w:t>
      </w:r>
      <w:r w:rsidRPr="00FC6087">
        <w:rPr>
          <w:i/>
          <w:color w:val="000000" w:themeColor="text1"/>
        </w:rPr>
        <w:t>χ</w:t>
      </w:r>
      <w:r w:rsidRPr="00FC6087">
        <w:rPr>
          <w:color w:val="000000" w:themeColor="text1"/>
          <w:vertAlign w:val="superscript"/>
        </w:rPr>
        <w:t>2</w:t>
      </w:r>
      <w:r w:rsidRPr="00FC6087">
        <w:rPr>
          <w:color w:val="000000" w:themeColor="text1"/>
        </w:rPr>
        <w:t xml:space="preserve"> = 54.9, df = 12, </w:t>
      </w:r>
      <w:r w:rsidRPr="00FC6087">
        <w:rPr>
          <w:i/>
          <w:color w:val="000000" w:themeColor="text1"/>
        </w:rPr>
        <w:t>p</w:t>
      </w:r>
      <w:r w:rsidR="006601DF">
        <w:rPr>
          <w:i/>
          <w:color w:val="000000" w:themeColor="text1"/>
        </w:rPr>
        <w:t xml:space="preserve"> </w:t>
      </w:r>
      <w:r w:rsidRPr="00FC6087">
        <w:rPr>
          <w:color w:val="000000" w:themeColor="text1"/>
        </w:rPr>
        <w:t>&lt;</w:t>
      </w:r>
      <w:r w:rsidR="006601DF">
        <w:rPr>
          <w:color w:val="000000" w:themeColor="text1"/>
        </w:rPr>
        <w:t xml:space="preserve"> </w:t>
      </w:r>
      <w:r w:rsidR="00D00E05" w:rsidRPr="00FC6087">
        <w:rPr>
          <w:color w:val="000000" w:themeColor="text1"/>
        </w:rPr>
        <w:t>0</w:t>
      </w:r>
      <w:r w:rsidRPr="00FC6087">
        <w:rPr>
          <w:color w:val="000000" w:themeColor="text1"/>
        </w:rPr>
        <w:t>.001), meaning there is a significant degree of variability between the two models, indicating a non-negotiable effect of response bias and the need to impute factor to parcel out the effect of bias factors.</w:t>
      </w:r>
    </w:p>
    <w:p w14:paraId="7D516BF1" w14:textId="669F28D4" w:rsidR="00532052" w:rsidRPr="00FC6087" w:rsidRDefault="00532052" w:rsidP="00206E2A">
      <w:pPr>
        <w:pStyle w:val="Heading2"/>
      </w:pPr>
      <w:bookmarkStart w:id="159" w:name="_Toc24447813"/>
      <w:r w:rsidRPr="00FC6087">
        <w:t>5.</w:t>
      </w:r>
      <w:r w:rsidR="00206E2A">
        <w:t>4</w:t>
      </w:r>
      <w:r w:rsidRPr="00FC6087">
        <w:t>.</w:t>
      </w:r>
      <w:r w:rsidR="00514F5B">
        <w:t>6</w:t>
      </w:r>
      <w:r w:rsidRPr="00FC6087">
        <w:t>. Structural Model for Motivators (Second-Order CFA Model)</w:t>
      </w:r>
      <w:bookmarkEnd w:id="159"/>
    </w:p>
    <w:p w14:paraId="7D516BF2" w14:textId="77777777" w:rsidR="00FD4D49" w:rsidRPr="00FC6087" w:rsidRDefault="00FD4D49" w:rsidP="00FD4D49">
      <w:pPr>
        <w:pStyle w:val="APAParagraph"/>
        <w:rPr>
          <w:color w:val="000000" w:themeColor="text1"/>
        </w:rPr>
      </w:pPr>
      <w:r w:rsidRPr="00FC6087">
        <w:rPr>
          <w:color w:val="000000" w:themeColor="text1"/>
        </w:rPr>
        <w:t xml:space="preserve">Next, a second-order CFA (structural models) was built to model how the four latent barriers factors relate to the key outcome variable of technology adoption, which, in this case, represents an inverse or negative relationship, since the factors represent barriers that hinder HIT adoption. The analysis revealed strong path coefficients (≥ </w:t>
      </w:r>
      <w:r w:rsidR="00D95F80" w:rsidRPr="00FC6087">
        <w:rPr>
          <w:color w:val="000000" w:themeColor="text1"/>
        </w:rPr>
        <w:t>0</w:t>
      </w:r>
      <w:r w:rsidRPr="00FC6087">
        <w:rPr>
          <w:color w:val="000000" w:themeColor="text1"/>
        </w:rPr>
        <w:t>.83) on HIT adoption for ORGS, ORI, and TEBA, but only a moderately strong path coefficient for RTGB on HIT adoption (</w:t>
      </w:r>
      <w:r w:rsidR="00D95F80" w:rsidRPr="00FC6087">
        <w:rPr>
          <w:color w:val="000000" w:themeColor="text1"/>
        </w:rPr>
        <w:t>0</w:t>
      </w:r>
      <w:r w:rsidRPr="00FC6087">
        <w:rPr>
          <w:color w:val="000000" w:themeColor="text1"/>
        </w:rPr>
        <w:t>.66). A visualization of this model, including path strengths between the individual items and their respective factors, is shown in Figure 5.4. GOF indices, along with their recommended values, are presented in Table 5.10. As with the first-order CFA, these indices are all within the recommended values/intervals (or very nearly so), indicating that the model has a good fit to the data.</w:t>
      </w:r>
    </w:p>
    <w:p w14:paraId="7D516BF3" w14:textId="4E114C21" w:rsidR="00FD4D49" w:rsidRPr="00FC6087" w:rsidRDefault="00FD4D49" w:rsidP="00FD4D49">
      <w:pPr>
        <w:pStyle w:val="APAParagraph"/>
        <w:rPr>
          <w:color w:val="000000" w:themeColor="text1"/>
        </w:rPr>
      </w:pPr>
      <w:r w:rsidRPr="00FC6087">
        <w:rPr>
          <w:color w:val="000000" w:themeColor="text1"/>
        </w:rPr>
        <w:t>The strong path from ORGS (</w:t>
      </w:r>
      <w:r w:rsidR="00D95F80" w:rsidRPr="00FC6087">
        <w:rPr>
          <w:color w:val="000000" w:themeColor="text1"/>
        </w:rPr>
        <w:t>0</w:t>
      </w:r>
      <w:r w:rsidRPr="00FC6087">
        <w:rPr>
          <w:color w:val="000000" w:themeColor="text1"/>
        </w:rPr>
        <w:t>.85), TEBA (</w:t>
      </w:r>
      <w:r w:rsidR="00D95F80" w:rsidRPr="00FC6087">
        <w:rPr>
          <w:color w:val="000000" w:themeColor="text1"/>
        </w:rPr>
        <w:t>0</w:t>
      </w:r>
      <w:r w:rsidRPr="00FC6087">
        <w:rPr>
          <w:color w:val="000000" w:themeColor="text1"/>
        </w:rPr>
        <w:t>.89), and ORI (</w:t>
      </w:r>
      <w:r w:rsidR="00D95F80" w:rsidRPr="00FC6087">
        <w:rPr>
          <w:color w:val="000000" w:themeColor="text1"/>
        </w:rPr>
        <w:t>0</w:t>
      </w:r>
      <w:r w:rsidRPr="00FC6087">
        <w:rPr>
          <w:color w:val="000000" w:themeColor="text1"/>
        </w:rPr>
        <w:t>.83) to HIT adoption indicate that the barriers represented by these factors serve as string deterrents to individuals’ adopting useful healthcare technologies. All three items related to ORGS exhibited strong relationships to ORGS and, therefore, to HIT adoption. This suggests that issues concerning unified procedures (</w:t>
      </w:r>
      <w:r w:rsidR="00D95F80" w:rsidRPr="00FC6087">
        <w:rPr>
          <w:color w:val="000000" w:themeColor="text1"/>
        </w:rPr>
        <w:t>0</w:t>
      </w:r>
      <w:r w:rsidRPr="00FC6087">
        <w:rPr>
          <w:color w:val="000000" w:themeColor="text1"/>
        </w:rPr>
        <w:t>.84)</w:t>
      </w:r>
      <w:r w:rsidR="00CC2794" w:rsidRPr="00FC6087">
        <w:rPr>
          <w:color w:val="000000" w:themeColor="text1"/>
        </w:rPr>
        <w:t xml:space="preserve"> and</w:t>
      </w:r>
      <w:r w:rsidRPr="00FC6087">
        <w:rPr>
          <w:color w:val="000000" w:themeColor="text1"/>
        </w:rPr>
        <w:t xml:space="preserve"> </w:t>
      </w:r>
      <w:r w:rsidRPr="00FC6087">
        <w:rPr>
          <w:color w:val="000000" w:themeColor="text1"/>
        </w:rPr>
        <w:lastRenderedPageBreak/>
        <w:t>coordination among health authorities (</w:t>
      </w:r>
      <w:r w:rsidR="00D95F80" w:rsidRPr="00FC6087">
        <w:rPr>
          <w:color w:val="000000" w:themeColor="text1"/>
        </w:rPr>
        <w:t>0</w:t>
      </w:r>
      <w:r w:rsidRPr="00FC6087">
        <w:rPr>
          <w:color w:val="000000" w:themeColor="text1"/>
        </w:rPr>
        <w:t xml:space="preserve">.73) are potentially strong deterrents to technology usage. For individuals to be more likely to implement modern technologies in healthcare, they need to be assured that it will not be a financial burden and </w:t>
      </w:r>
      <w:r w:rsidR="00CC2794" w:rsidRPr="00FC6087">
        <w:rPr>
          <w:color w:val="000000" w:themeColor="text1"/>
        </w:rPr>
        <w:t xml:space="preserve">that </w:t>
      </w:r>
      <w:r w:rsidRPr="00FC6087">
        <w:rPr>
          <w:color w:val="000000" w:themeColor="text1"/>
        </w:rPr>
        <w:t>there is a solid plan in place for financing innovations. Additionally, they will need to be assured that those in control are communicating effectively and coordinating their efforts to ensure that all pieces of the system work well together and that effective procedures are enacted to make the usage of these new technologies as minimally disruptive as possible. This is consistent with previous research showing logistics, communication, and cost as potential barriers (Ajame</w:t>
      </w:r>
      <w:r w:rsidR="005E7A62">
        <w:rPr>
          <w:color w:val="000000" w:themeColor="text1"/>
        </w:rPr>
        <w:t xml:space="preserve"> &amp; </w:t>
      </w:r>
      <w:r w:rsidRPr="00FC6087">
        <w:rPr>
          <w:color w:val="000000" w:themeColor="text1"/>
        </w:rPr>
        <w:t xml:space="preserve">Bagheri-Tadi, 2013; Bramble et al., 2008: Jha et al., 2009; Rao et al., 2011), </w:t>
      </w:r>
      <w:r w:rsidR="00CC2794" w:rsidRPr="00FC6087">
        <w:rPr>
          <w:color w:val="000000" w:themeColor="text1"/>
        </w:rPr>
        <w:t>as well as</w:t>
      </w:r>
      <w:r w:rsidRPr="00FC6087">
        <w:rPr>
          <w:color w:val="000000" w:themeColor="text1"/>
        </w:rPr>
        <w:t xml:space="preserve"> with the findings from </w:t>
      </w:r>
      <w:r w:rsidR="00543E52" w:rsidRPr="00FC6087">
        <w:rPr>
          <w:color w:val="000000" w:themeColor="text1"/>
        </w:rPr>
        <w:t>Step</w:t>
      </w:r>
      <w:r w:rsidRPr="00FC6087">
        <w:rPr>
          <w:color w:val="000000" w:themeColor="text1"/>
        </w:rPr>
        <w:t xml:space="preserve"> 2A showing financial support and strategic support are important in HIT adoption.</w:t>
      </w:r>
    </w:p>
    <w:p w14:paraId="464D7E5C" w14:textId="77777777" w:rsidR="00F00F4C" w:rsidRPr="00FC6087" w:rsidRDefault="00F00F4C" w:rsidP="00F00F4C">
      <w:pPr>
        <w:pStyle w:val="APAParagraph"/>
        <w:rPr>
          <w:color w:val="000000" w:themeColor="text1"/>
        </w:rPr>
      </w:pPr>
    </w:p>
    <w:p w14:paraId="217B0A69" w14:textId="77777777" w:rsidR="00D02301" w:rsidRDefault="00F00F4C" w:rsidP="00F00F4C">
      <w:pPr>
        <w:pStyle w:val="Caption"/>
        <w:jc w:val="left"/>
        <w:rPr>
          <w:b w:val="0"/>
          <w:noProof w:val="0"/>
          <w:color w:val="000000" w:themeColor="text1"/>
          <w:sz w:val="24"/>
          <w:szCs w:val="24"/>
        </w:rPr>
      </w:pPr>
      <w:r w:rsidRPr="00FC6087">
        <w:rPr>
          <w:b w:val="0"/>
          <w:i/>
          <w:noProof w:val="0"/>
          <w:color w:val="000000" w:themeColor="text1"/>
          <w:sz w:val="24"/>
          <w:szCs w:val="24"/>
        </w:rPr>
        <w:t>Figure 5.</w:t>
      </w:r>
      <w:r w:rsidRPr="00FC6087">
        <w:rPr>
          <w:b w:val="0"/>
          <w:i/>
          <w:noProof w:val="0"/>
          <w:color w:val="000000" w:themeColor="text1"/>
          <w:sz w:val="24"/>
          <w:szCs w:val="24"/>
        </w:rPr>
        <w:fldChar w:fldCharType="begin"/>
      </w:r>
      <w:r w:rsidRPr="00FC6087">
        <w:rPr>
          <w:b w:val="0"/>
          <w:i/>
          <w:noProof w:val="0"/>
          <w:color w:val="000000" w:themeColor="text1"/>
          <w:sz w:val="24"/>
          <w:szCs w:val="24"/>
        </w:rPr>
        <w:instrText xml:space="preserve"> SEQ Figure_5. \* ARABIC </w:instrText>
      </w:r>
      <w:r w:rsidRPr="00FC6087">
        <w:rPr>
          <w:b w:val="0"/>
          <w:i/>
          <w:noProof w:val="0"/>
          <w:color w:val="000000" w:themeColor="text1"/>
          <w:sz w:val="24"/>
          <w:szCs w:val="24"/>
        </w:rPr>
        <w:fldChar w:fldCharType="separate"/>
      </w:r>
      <w:r w:rsidR="004C1C5E">
        <w:rPr>
          <w:b w:val="0"/>
          <w:i/>
          <w:color w:val="000000" w:themeColor="text1"/>
          <w:sz w:val="24"/>
          <w:szCs w:val="24"/>
        </w:rPr>
        <w:t>4</w:t>
      </w:r>
      <w:r w:rsidRPr="00FC6087">
        <w:rPr>
          <w:b w:val="0"/>
          <w:i/>
          <w:noProof w:val="0"/>
          <w:color w:val="000000" w:themeColor="text1"/>
          <w:sz w:val="24"/>
          <w:szCs w:val="24"/>
        </w:rPr>
        <w:fldChar w:fldCharType="end"/>
      </w:r>
      <w:r w:rsidRPr="00FC6087">
        <w:rPr>
          <w:b w:val="0"/>
          <w:i/>
          <w:noProof w:val="0"/>
          <w:color w:val="000000" w:themeColor="text1"/>
          <w:sz w:val="24"/>
          <w:szCs w:val="24"/>
        </w:rPr>
        <w:t>.</w:t>
      </w:r>
      <w:r w:rsidRPr="00FC6087">
        <w:rPr>
          <w:b w:val="0"/>
          <w:noProof w:val="0"/>
          <w:color w:val="000000" w:themeColor="text1"/>
          <w:sz w:val="24"/>
          <w:szCs w:val="24"/>
        </w:rPr>
        <w:t xml:space="preserve"> </w:t>
      </w:r>
    </w:p>
    <w:p w14:paraId="25F563CB" w14:textId="084B34B1" w:rsidR="00F00F4C" w:rsidRPr="00FC6087" w:rsidRDefault="00F00F4C" w:rsidP="00F00F4C">
      <w:pPr>
        <w:pStyle w:val="Caption"/>
        <w:jc w:val="left"/>
        <w:rPr>
          <w:b w:val="0"/>
          <w:noProof w:val="0"/>
          <w:color w:val="000000" w:themeColor="text1"/>
          <w:sz w:val="24"/>
          <w:szCs w:val="24"/>
          <w:rtl/>
          <w:lang w:bidi="ar-DZ"/>
        </w:rPr>
      </w:pPr>
      <w:r w:rsidRPr="00FC6087">
        <w:rPr>
          <w:b w:val="0"/>
          <w:noProof w:val="0"/>
          <w:color w:val="000000" w:themeColor="text1"/>
          <w:sz w:val="24"/>
          <w:szCs w:val="24"/>
        </w:rPr>
        <w:t>Structural model from the second-order CFA on barriers, showing how items load onto the factors, how factors correlate, and how factors relate to the key outcome variable of HIT adoption</w:t>
      </w:r>
    </w:p>
    <w:p w14:paraId="52022A74" w14:textId="77777777" w:rsidR="00F00F4C" w:rsidRPr="00FC6087" w:rsidRDefault="00F00F4C" w:rsidP="00F00F4C">
      <w:pPr>
        <w:pStyle w:val="APAParagraph"/>
        <w:keepNext/>
        <w:rPr>
          <w:color w:val="000000" w:themeColor="text1"/>
        </w:rPr>
      </w:pPr>
      <w:r w:rsidRPr="00C0447D">
        <w:rPr>
          <w:noProof/>
          <w:color w:val="000000" w:themeColor="text1"/>
        </w:rPr>
        <w:lastRenderedPageBreak/>
        <w:drawing>
          <wp:inline distT="0" distB="0" distL="0" distR="0" wp14:anchorId="43AAC31B" wp14:editId="090BC977">
            <wp:extent cx="5667375" cy="33528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67375" cy="3352800"/>
                    </a:xfrm>
                    <a:prstGeom prst="rect">
                      <a:avLst/>
                    </a:prstGeom>
                    <a:noFill/>
                    <a:ln>
                      <a:noFill/>
                    </a:ln>
                  </pic:spPr>
                </pic:pic>
              </a:graphicData>
            </a:graphic>
          </wp:inline>
        </w:drawing>
      </w:r>
    </w:p>
    <w:p w14:paraId="38237776" w14:textId="77777777" w:rsidR="00F00F4C" w:rsidRPr="00FC6087" w:rsidRDefault="00F00F4C" w:rsidP="00C0447D">
      <w:pPr>
        <w:pStyle w:val="APAParagraph"/>
        <w:spacing w:line="240" w:lineRule="auto"/>
        <w:ind w:firstLine="0"/>
        <w:rPr>
          <w:color w:val="000000" w:themeColor="text1"/>
          <w:lang w:bidi="ar-DZ"/>
        </w:rPr>
      </w:pPr>
      <w:r w:rsidRPr="00FC6087">
        <w:rPr>
          <w:bCs/>
          <w:i/>
          <w:color w:val="000000" w:themeColor="text1"/>
        </w:rPr>
        <w:t>Note.</w:t>
      </w:r>
      <w:r w:rsidRPr="00FC6087">
        <w:rPr>
          <w:color w:val="000000" w:themeColor="text1"/>
        </w:rPr>
        <w:t xml:space="preserve"> ORGS = organizational strategy; TEBA = technical barriers; </w:t>
      </w:r>
      <w:r w:rsidRPr="00FC6087">
        <w:rPr>
          <w:color w:val="000000" w:themeColor="text1"/>
          <w:lang w:bidi="ar-DZ"/>
        </w:rPr>
        <w:t>RTGB = readiness for big data and IoT; ORI = orientation.</w:t>
      </w:r>
    </w:p>
    <w:p w14:paraId="4134F483" w14:textId="77777777" w:rsidR="00F00F4C" w:rsidRDefault="00F00F4C" w:rsidP="00FD4D49">
      <w:pPr>
        <w:pStyle w:val="APAParagraph"/>
        <w:rPr>
          <w:color w:val="000000" w:themeColor="text1"/>
        </w:rPr>
      </w:pPr>
    </w:p>
    <w:p w14:paraId="7D516BF4" w14:textId="243C87DD" w:rsidR="00FD4D49" w:rsidRPr="00FC6087" w:rsidRDefault="00FD4D49" w:rsidP="00FD4D49">
      <w:pPr>
        <w:pStyle w:val="APAParagraph"/>
        <w:rPr>
          <w:color w:val="000000" w:themeColor="text1"/>
        </w:rPr>
      </w:pPr>
      <w:r w:rsidRPr="00FC6087">
        <w:rPr>
          <w:color w:val="000000" w:themeColor="text1"/>
        </w:rPr>
        <w:t>ORI was as strongly related to HIT adoption (</w:t>
      </w:r>
      <w:r w:rsidR="00265DCF" w:rsidRPr="00FC6087">
        <w:rPr>
          <w:color w:val="000000" w:themeColor="text1"/>
        </w:rPr>
        <w:t>0</w:t>
      </w:r>
      <w:r w:rsidRPr="00FC6087">
        <w:rPr>
          <w:color w:val="000000" w:themeColor="text1"/>
        </w:rPr>
        <w:t>.83) as was ORGS, and the three factors were at least moderately related to ORI, and, therefore, to HIT adoption. Therefore, issues concerning educational background (</w:t>
      </w:r>
      <w:r w:rsidR="000461A7" w:rsidRPr="00FC6087">
        <w:rPr>
          <w:color w:val="000000" w:themeColor="text1"/>
        </w:rPr>
        <w:t>0</w:t>
      </w:r>
      <w:r w:rsidRPr="00FC6087">
        <w:rPr>
          <w:color w:val="000000" w:themeColor="text1"/>
        </w:rPr>
        <w:t>.74), staff learning behavior (</w:t>
      </w:r>
      <w:r w:rsidR="000461A7" w:rsidRPr="00FC6087">
        <w:rPr>
          <w:color w:val="000000" w:themeColor="text1"/>
        </w:rPr>
        <w:t>0</w:t>
      </w:r>
      <w:r w:rsidRPr="00FC6087">
        <w:rPr>
          <w:color w:val="000000" w:themeColor="text1"/>
        </w:rPr>
        <w:t>.72), and global orientation (</w:t>
      </w:r>
      <w:r w:rsidR="000461A7" w:rsidRPr="00FC6087">
        <w:rPr>
          <w:color w:val="000000" w:themeColor="text1"/>
        </w:rPr>
        <w:t>0</w:t>
      </w:r>
      <w:r w:rsidRPr="00FC6087">
        <w:rPr>
          <w:color w:val="000000" w:themeColor="text1"/>
        </w:rPr>
        <w:t xml:space="preserve">.83) can be considered strong potential deterrents to HIT adoption. This is consistent with previous findings reporting staff abilities as barriers to HIT adoption (Khalifa, 2013; Jha et al., 2009; Rao et al., 2011) and also with the results of </w:t>
      </w:r>
      <w:r w:rsidR="00543E52" w:rsidRPr="00FC6087">
        <w:rPr>
          <w:color w:val="000000" w:themeColor="text1"/>
        </w:rPr>
        <w:t>Step</w:t>
      </w:r>
      <w:r w:rsidRPr="00FC6087">
        <w:rPr>
          <w:color w:val="000000" w:themeColor="text1"/>
        </w:rPr>
        <w:t xml:space="preserve"> 2A, which showed that access to professional development resources is an important motivator </w:t>
      </w:r>
      <w:r w:rsidR="004B424C" w:rsidRPr="00FC6087">
        <w:rPr>
          <w:color w:val="000000" w:themeColor="text1"/>
        </w:rPr>
        <w:t>for</w:t>
      </w:r>
      <w:r w:rsidRPr="00FC6087">
        <w:rPr>
          <w:color w:val="000000" w:themeColor="text1"/>
        </w:rPr>
        <w:t xml:space="preserve"> HIT adoption. Together, these results suggest that staff ability is an important target, </w:t>
      </w:r>
      <w:r w:rsidRPr="00FC6087">
        <w:rPr>
          <w:color w:val="000000" w:themeColor="text1"/>
        </w:rPr>
        <w:lastRenderedPageBreak/>
        <w:t xml:space="preserve">both in terms of equipping them to be able to learn new technologies, </w:t>
      </w:r>
      <w:r w:rsidR="000461A7" w:rsidRPr="00FC6087">
        <w:rPr>
          <w:color w:val="000000" w:themeColor="text1"/>
        </w:rPr>
        <w:t xml:space="preserve">and </w:t>
      </w:r>
      <w:r w:rsidRPr="00FC6087">
        <w:rPr>
          <w:color w:val="000000" w:themeColor="text1"/>
        </w:rPr>
        <w:t>also in providing them with technologies that ensure their continued professional growth.</w:t>
      </w:r>
    </w:p>
    <w:p w14:paraId="7D516BF9" w14:textId="77777777" w:rsidR="00714773" w:rsidRPr="00FC6087" w:rsidRDefault="00714773" w:rsidP="00714773">
      <w:pPr>
        <w:pStyle w:val="APAParagraph"/>
        <w:ind w:firstLine="0"/>
        <w:rPr>
          <w:color w:val="000000" w:themeColor="text1"/>
          <w:rtl/>
        </w:rPr>
      </w:pPr>
    </w:p>
    <w:p w14:paraId="7D516BFA" w14:textId="3521618F" w:rsidR="00714773" w:rsidRPr="00790070" w:rsidRDefault="00714773" w:rsidP="000270F9">
      <w:pPr>
        <w:pStyle w:val="Caption"/>
        <w:jc w:val="left"/>
        <w:rPr>
          <w:b w:val="0"/>
          <w:i/>
          <w:noProof w:val="0"/>
          <w:color w:val="000000" w:themeColor="text1"/>
          <w:sz w:val="24"/>
          <w:szCs w:val="24"/>
        </w:rPr>
      </w:pPr>
      <w:bookmarkStart w:id="160" w:name="_Toc534121154"/>
      <w:r w:rsidRPr="00790070">
        <w:rPr>
          <w:b w:val="0"/>
          <w:noProof w:val="0"/>
          <w:color w:val="000000" w:themeColor="text1"/>
          <w:sz w:val="24"/>
          <w:szCs w:val="24"/>
        </w:rPr>
        <w:t>Table 5.</w:t>
      </w:r>
      <w:r w:rsidR="000270F9">
        <w:rPr>
          <w:b w:val="0"/>
          <w:noProof w:val="0"/>
          <w:color w:val="000000" w:themeColor="text1"/>
          <w:sz w:val="24"/>
          <w:szCs w:val="24"/>
        </w:rPr>
        <w:t>11</w:t>
      </w:r>
      <w:r w:rsidRPr="00790070">
        <w:rPr>
          <w:b w:val="0"/>
          <w:noProof w:val="0"/>
          <w:color w:val="000000" w:themeColor="text1"/>
          <w:sz w:val="24"/>
          <w:szCs w:val="24"/>
        </w:rPr>
        <w:br/>
      </w:r>
      <w:r w:rsidRPr="00790070">
        <w:rPr>
          <w:b w:val="0"/>
          <w:i/>
          <w:noProof w:val="0"/>
          <w:color w:val="000000" w:themeColor="text1"/>
          <w:sz w:val="24"/>
          <w:szCs w:val="24"/>
        </w:rPr>
        <w:t>Goodness</w:t>
      </w:r>
      <w:r w:rsidR="00DC40FA">
        <w:rPr>
          <w:b w:val="0"/>
          <w:i/>
          <w:noProof w:val="0"/>
          <w:color w:val="000000" w:themeColor="text1"/>
          <w:sz w:val="24"/>
          <w:szCs w:val="24"/>
        </w:rPr>
        <w:t>-</w:t>
      </w:r>
      <w:r w:rsidRPr="00790070">
        <w:rPr>
          <w:b w:val="0"/>
          <w:i/>
          <w:noProof w:val="0"/>
          <w:color w:val="000000" w:themeColor="text1"/>
          <w:sz w:val="24"/>
          <w:szCs w:val="24"/>
        </w:rPr>
        <w:t>of</w:t>
      </w:r>
      <w:r w:rsidR="00DC40FA">
        <w:rPr>
          <w:b w:val="0"/>
          <w:i/>
          <w:noProof w:val="0"/>
          <w:color w:val="000000" w:themeColor="text1"/>
          <w:sz w:val="24"/>
          <w:szCs w:val="24"/>
        </w:rPr>
        <w:t>-</w:t>
      </w:r>
      <w:r w:rsidRPr="00790070">
        <w:rPr>
          <w:b w:val="0"/>
          <w:i/>
          <w:noProof w:val="0"/>
          <w:color w:val="000000" w:themeColor="text1"/>
          <w:sz w:val="24"/>
          <w:szCs w:val="24"/>
        </w:rPr>
        <w:t>Fit Indices for the Second-Order Model</w:t>
      </w:r>
      <w:bookmarkEnd w:id="160"/>
    </w:p>
    <w:tbl>
      <w:tblPr>
        <w:tblW w:w="7938" w:type="dxa"/>
        <w:jc w:val="center"/>
        <w:tblBorders>
          <w:top w:val="single" w:sz="4" w:space="0" w:color="auto"/>
          <w:bottom w:val="single" w:sz="4" w:space="0" w:color="auto"/>
        </w:tblBorders>
        <w:tblLook w:val="04A0" w:firstRow="1" w:lastRow="0" w:firstColumn="1" w:lastColumn="0" w:noHBand="0" w:noVBand="1"/>
      </w:tblPr>
      <w:tblGrid>
        <w:gridCol w:w="1152"/>
        <w:gridCol w:w="2016"/>
        <w:gridCol w:w="4770"/>
      </w:tblGrid>
      <w:tr w:rsidR="00714773" w:rsidRPr="00FC6087" w14:paraId="7D516BFE" w14:textId="77777777" w:rsidTr="002C07D1">
        <w:trPr>
          <w:trHeight w:val="270"/>
          <w:tblHeader/>
          <w:jc w:val="center"/>
        </w:trPr>
        <w:tc>
          <w:tcPr>
            <w:tcW w:w="1152" w:type="dxa"/>
            <w:tcBorders>
              <w:top w:val="single" w:sz="18" w:space="0" w:color="auto"/>
              <w:bottom w:val="single" w:sz="12" w:space="0" w:color="auto"/>
            </w:tcBorders>
            <w:shd w:val="clear" w:color="auto" w:fill="auto"/>
            <w:vAlign w:val="bottom"/>
            <w:hideMark/>
          </w:tcPr>
          <w:p w14:paraId="7D516BFB" w14:textId="77777777" w:rsidR="00FD4D49" w:rsidRPr="00790070" w:rsidRDefault="00FD4D49" w:rsidP="00790070">
            <w:pPr>
              <w:spacing w:line="360" w:lineRule="auto"/>
              <w:contextualSpacing/>
              <w:mirrorIndents/>
              <w:jc w:val="both"/>
              <w:rPr>
                <w:color w:val="000000" w:themeColor="text1"/>
              </w:rPr>
            </w:pPr>
            <w:r w:rsidRPr="00790070">
              <w:rPr>
                <w:color w:val="000000" w:themeColor="text1"/>
              </w:rPr>
              <w:t>Index</w:t>
            </w:r>
          </w:p>
        </w:tc>
        <w:tc>
          <w:tcPr>
            <w:tcW w:w="2016" w:type="dxa"/>
            <w:tcBorders>
              <w:top w:val="single" w:sz="18" w:space="0" w:color="auto"/>
              <w:bottom w:val="single" w:sz="12" w:space="0" w:color="auto"/>
            </w:tcBorders>
            <w:shd w:val="clear" w:color="auto" w:fill="auto"/>
            <w:vAlign w:val="bottom"/>
            <w:hideMark/>
          </w:tcPr>
          <w:p w14:paraId="7D516BFC" w14:textId="77777777" w:rsidR="00FD4D49" w:rsidRPr="00790070" w:rsidRDefault="00FD4D49" w:rsidP="00790070">
            <w:pPr>
              <w:spacing w:line="360" w:lineRule="auto"/>
              <w:contextualSpacing/>
              <w:mirrorIndents/>
              <w:jc w:val="both"/>
              <w:rPr>
                <w:bCs/>
                <w:color w:val="000000" w:themeColor="text1"/>
              </w:rPr>
            </w:pPr>
            <w:r w:rsidRPr="00790070">
              <w:rPr>
                <w:bCs/>
                <w:color w:val="000000" w:themeColor="text1"/>
              </w:rPr>
              <w:t>Obtained Value</w:t>
            </w:r>
          </w:p>
        </w:tc>
        <w:tc>
          <w:tcPr>
            <w:tcW w:w="4770" w:type="dxa"/>
            <w:tcBorders>
              <w:top w:val="single" w:sz="18" w:space="0" w:color="auto"/>
              <w:bottom w:val="single" w:sz="12" w:space="0" w:color="auto"/>
            </w:tcBorders>
            <w:shd w:val="clear" w:color="auto" w:fill="auto"/>
            <w:vAlign w:val="bottom"/>
            <w:hideMark/>
          </w:tcPr>
          <w:p w14:paraId="7D516BFD" w14:textId="77777777" w:rsidR="00FD4D49" w:rsidRPr="00790070" w:rsidRDefault="00FD4D49" w:rsidP="00790070">
            <w:pPr>
              <w:spacing w:line="360" w:lineRule="auto"/>
              <w:contextualSpacing/>
              <w:mirrorIndents/>
              <w:jc w:val="both"/>
              <w:rPr>
                <w:bCs/>
                <w:color w:val="000000" w:themeColor="text1"/>
              </w:rPr>
            </w:pPr>
            <w:r w:rsidRPr="00790070">
              <w:rPr>
                <w:bCs/>
                <w:color w:val="000000" w:themeColor="text1"/>
              </w:rPr>
              <w:t>Recommended Value</w:t>
            </w:r>
          </w:p>
        </w:tc>
      </w:tr>
      <w:tr w:rsidR="00FD4D49" w:rsidRPr="00FC6087" w14:paraId="7D516C02" w14:textId="77777777" w:rsidTr="002C07D1">
        <w:trPr>
          <w:trHeight w:val="576"/>
          <w:jc w:val="center"/>
        </w:trPr>
        <w:tc>
          <w:tcPr>
            <w:tcW w:w="1152" w:type="dxa"/>
            <w:tcBorders>
              <w:top w:val="single" w:sz="12" w:space="0" w:color="auto"/>
            </w:tcBorders>
            <w:shd w:val="clear" w:color="auto" w:fill="auto"/>
            <w:vAlign w:val="bottom"/>
            <w:hideMark/>
          </w:tcPr>
          <w:p w14:paraId="7D516BFF" w14:textId="77777777" w:rsidR="00FD4D49" w:rsidRPr="00790070" w:rsidRDefault="00FD4D49" w:rsidP="00790070">
            <w:pPr>
              <w:spacing w:line="360" w:lineRule="auto"/>
              <w:contextualSpacing/>
              <w:mirrorIndents/>
              <w:jc w:val="both"/>
              <w:rPr>
                <w:b/>
                <w:bCs/>
                <w:color w:val="000000" w:themeColor="text1"/>
              </w:rPr>
            </w:pPr>
            <w:r w:rsidRPr="00FC6087">
              <w:rPr>
                <w:bCs/>
                <w:color w:val="000000" w:themeColor="text1"/>
              </w:rPr>
              <w:t>χ</w:t>
            </w:r>
            <w:r w:rsidRPr="00790070">
              <w:rPr>
                <w:bCs/>
                <w:color w:val="000000" w:themeColor="text1"/>
                <w:vertAlign w:val="superscript"/>
              </w:rPr>
              <w:t>2</w:t>
            </w:r>
            <w:r w:rsidRPr="00790070">
              <w:rPr>
                <w:bCs/>
                <w:color w:val="000000" w:themeColor="text1"/>
              </w:rPr>
              <w:t>/df</w:t>
            </w:r>
          </w:p>
        </w:tc>
        <w:tc>
          <w:tcPr>
            <w:tcW w:w="2016" w:type="dxa"/>
            <w:tcBorders>
              <w:top w:val="single" w:sz="12" w:space="0" w:color="auto"/>
            </w:tcBorders>
            <w:shd w:val="clear" w:color="auto" w:fill="auto"/>
            <w:vAlign w:val="bottom"/>
            <w:hideMark/>
          </w:tcPr>
          <w:p w14:paraId="7D516C00" w14:textId="77777777" w:rsidR="00FD4D49" w:rsidRPr="00FC6087" w:rsidRDefault="00FD4D49" w:rsidP="00790070">
            <w:pPr>
              <w:spacing w:line="360" w:lineRule="auto"/>
              <w:contextualSpacing/>
              <w:mirrorIndents/>
              <w:jc w:val="both"/>
              <w:rPr>
                <w:bCs/>
                <w:color w:val="000000" w:themeColor="text1"/>
                <w:rtl/>
                <w:lang w:bidi="ar-DZ"/>
              </w:rPr>
            </w:pPr>
            <w:r w:rsidRPr="00FC6087">
              <w:rPr>
                <w:bCs/>
                <w:color w:val="000000" w:themeColor="text1"/>
              </w:rPr>
              <w:t>1.78</w:t>
            </w:r>
          </w:p>
        </w:tc>
        <w:tc>
          <w:tcPr>
            <w:tcW w:w="4770" w:type="dxa"/>
            <w:tcBorders>
              <w:top w:val="single" w:sz="12" w:space="0" w:color="auto"/>
            </w:tcBorders>
            <w:shd w:val="clear" w:color="auto" w:fill="auto"/>
            <w:vAlign w:val="bottom"/>
            <w:hideMark/>
          </w:tcPr>
          <w:p w14:paraId="7D516C01" w14:textId="77777777" w:rsidR="00FD4D49" w:rsidRPr="00FC6087" w:rsidRDefault="00FD4D49" w:rsidP="00790070">
            <w:pPr>
              <w:spacing w:line="360" w:lineRule="auto"/>
              <w:contextualSpacing/>
              <w:mirrorIndents/>
              <w:jc w:val="both"/>
              <w:rPr>
                <w:color w:val="000000" w:themeColor="text1"/>
              </w:rPr>
            </w:pPr>
            <w:r w:rsidRPr="00FC6087">
              <w:rPr>
                <w:color w:val="000000" w:themeColor="text1"/>
              </w:rPr>
              <w:t xml:space="preserve">&lt; 3 </w:t>
            </w:r>
          </w:p>
        </w:tc>
      </w:tr>
      <w:tr w:rsidR="00714773" w:rsidRPr="00FC6087" w14:paraId="7D516C06" w14:textId="77777777" w:rsidTr="002C07D1">
        <w:trPr>
          <w:trHeight w:val="576"/>
          <w:jc w:val="center"/>
        </w:trPr>
        <w:tc>
          <w:tcPr>
            <w:tcW w:w="1152" w:type="dxa"/>
            <w:shd w:val="clear" w:color="auto" w:fill="auto"/>
            <w:vAlign w:val="bottom"/>
            <w:hideMark/>
          </w:tcPr>
          <w:p w14:paraId="7D516C03" w14:textId="77777777" w:rsidR="00FD4D49" w:rsidRPr="00790070" w:rsidRDefault="00FD4D49" w:rsidP="00790070">
            <w:pPr>
              <w:spacing w:line="360" w:lineRule="auto"/>
              <w:contextualSpacing/>
              <w:mirrorIndents/>
              <w:jc w:val="both"/>
              <w:rPr>
                <w:b/>
                <w:bCs/>
                <w:color w:val="000000" w:themeColor="text1"/>
              </w:rPr>
            </w:pPr>
            <w:r w:rsidRPr="00790070">
              <w:rPr>
                <w:bCs/>
                <w:color w:val="000000" w:themeColor="text1"/>
              </w:rPr>
              <w:t>GFI</w:t>
            </w:r>
          </w:p>
        </w:tc>
        <w:tc>
          <w:tcPr>
            <w:tcW w:w="2016" w:type="dxa"/>
            <w:shd w:val="clear" w:color="auto" w:fill="auto"/>
            <w:vAlign w:val="bottom"/>
            <w:hideMark/>
          </w:tcPr>
          <w:p w14:paraId="7D516C04" w14:textId="77777777" w:rsidR="00FD4D49" w:rsidRPr="00FC6087" w:rsidRDefault="00FD4D49" w:rsidP="00790070">
            <w:pPr>
              <w:spacing w:line="360" w:lineRule="auto"/>
              <w:contextualSpacing/>
              <w:mirrorIndents/>
              <w:jc w:val="both"/>
              <w:rPr>
                <w:bCs/>
                <w:color w:val="000000" w:themeColor="text1"/>
              </w:rPr>
            </w:pPr>
            <w:r w:rsidRPr="00FC6087">
              <w:rPr>
                <w:bCs/>
                <w:color w:val="000000" w:themeColor="text1"/>
              </w:rPr>
              <w:t>0.90</w:t>
            </w:r>
          </w:p>
        </w:tc>
        <w:tc>
          <w:tcPr>
            <w:tcW w:w="4770" w:type="dxa"/>
            <w:shd w:val="clear" w:color="auto" w:fill="auto"/>
            <w:vAlign w:val="bottom"/>
            <w:hideMark/>
          </w:tcPr>
          <w:p w14:paraId="7D516C05" w14:textId="77777777" w:rsidR="00FD4D49" w:rsidRPr="00FC6087" w:rsidRDefault="00714773" w:rsidP="00790070">
            <w:pPr>
              <w:spacing w:line="360" w:lineRule="auto"/>
              <w:contextualSpacing/>
              <w:mirrorIndents/>
              <w:jc w:val="both"/>
              <w:rPr>
                <w:color w:val="000000" w:themeColor="text1"/>
              </w:rPr>
            </w:pPr>
            <w:r w:rsidRPr="00FC6087">
              <w:rPr>
                <w:color w:val="000000" w:themeColor="text1"/>
              </w:rPr>
              <w:t>0</w:t>
            </w:r>
            <w:r w:rsidR="00FD4D49" w:rsidRPr="00FC6087">
              <w:rPr>
                <w:color w:val="000000" w:themeColor="text1"/>
              </w:rPr>
              <w:t>.90–1.0 (Hoyle, 2000; Kline, 2005)</w:t>
            </w:r>
          </w:p>
        </w:tc>
      </w:tr>
      <w:tr w:rsidR="00FD4D49" w:rsidRPr="00FC6087" w14:paraId="7D516C0A" w14:textId="77777777" w:rsidTr="002C07D1">
        <w:trPr>
          <w:trHeight w:val="576"/>
          <w:jc w:val="center"/>
        </w:trPr>
        <w:tc>
          <w:tcPr>
            <w:tcW w:w="1152" w:type="dxa"/>
            <w:shd w:val="clear" w:color="auto" w:fill="auto"/>
            <w:vAlign w:val="bottom"/>
            <w:hideMark/>
          </w:tcPr>
          <w:p w14:paraId="7D516C07" w14:textId="0FAB99C0" w:rsidR="00FD4D49" w:rsidRPr="00790070" w:rsidRDefault="00FD4D49" w:rsidP="00790070">
            <w:pPr>
              <w:spacing w:line="360" w:lineRule="auto"/>
              <w:contextualSpacing/>
              <w:mirrorIndents/>
              <w:jc w:val="both"/>
              <w:rPr>
                <w:b/>
                <w:bCs/>
                <w:color w:val="000000" w:themeColor="text1"/>
              </w:rPr>
            </w:pPr>
            <w:r w:rsidRPr="00790070">
              <w:rPr>
                <w:bCs/>
                <w:color w:val="000000" w:themeColor="text1"/>
              </w:rPr>
              <w:t>RM</w:t>
            </w:r>
            <w:r w:rsidR="008B7DC0">
              <w:rPr>
                <w:bCs/>
                <w:color w:val="000000" w:themeColor="text1"/>
              </w:rPr>
              <w:t>S</w:t>
            </w:r>
            <w:r w:rsidRPr="00790070">
              <w:rPr>
                <w:bCs/>
                <w:color w:val="000000" w:themeColor="text1"/>
              </w:rPr>
              <w:t>R</w:t>
            </w:r>
          </w:p>
        </w:tc>
        <w:tc>
          <w:tcPr>
            <w:tcW w:w="2016" w:type="dxa"/>
            <w:shd w:val="clear" w:color="auto" w:fill="auto"/>
            <w:vAlign w:val="bottom"/>
            <w:hideMark/>
          </w:tcPr>
          <w:p w14:paraId="7D516C08" w14:textId="77777777" w:rsidR="00FD4D49" w:rsidRPr="00FC6087" w:rsidRDefault="00FD4D49" w:rsidP="00790070">
            <w:pPr>
              <w:spacing w:line="360" w:lineRule="auto"/>
              <w:contextualSpacing/>
              <w:mirrorIndents/>
              <w:jc w:val="both"/>
              <w:rPr>
                <w:bCs/>
                <w:color w:val="000000" w:themeColor="text1"/>
              </w:rPr>
            </w:pPr>
            <w:r w:rsidRPr="00FC6087">
              <w:rPr>
                <w:bCs/>
                <w:color w:val="000000" w:themeColor="text1"/>
              </w:rPr>
              <w:t>0.05</w:t>
            </w:r>
          </w:p>
        </w:tc>
        <w:tc>
          <w:tcPr>
            <w:tcW w:w="4770" w:type="dxa"/>
            <w:shd w:val="clear" w:color="auto" w:fill="auto"/>
            <w:vAlign w:val="bottom"/>
            <w:hideMark/>
          </w:tcPr>
          <w:p w14:paraId="7D516C09" w14:textId="49455F64" w:rsidR="00FD4D49" w:rsidRPr="00FC6087" w:rsidRDefault="00FD4D49" w:rsidP="00790070">
            <w:pPr>
              <w:spacing w:line="360" w:lineRule="auto"/>
              <w:contextualSpacing/>
              <w:mirrorIndents/>
              <w:jc w:val="both"/>
              <w:rPr>
                <w:color w:val="000000" w:themeColor="text1"/>
              </w:rPr>
            </w:pPr>
            <w:r w:rsidRPr="00FC6087">
              <w:rPr>
                <w:color w:val="000000" w:themeColor="text1"/>
              </w:rPr>
              <w:t>&lt;</w:t>
            </w:r>
            <w:r w:rsidR="006601DF">
              <w:rPr>
                <w:color w:val="000000" w:themeColor="text1"/>
              </w:rPr>
              <w:t xml:space="preserve"> </w:t>
            </w:r>
            <w:r w:rsidR="00714773" w:rsidRPr="00FC6087">
              <w:rPr>
                <w:color w:val="000000" w:themeColor="text1"/>
              </w:rPr>
              <w:t>0</w:t>
            </w:r>
            <w:r w:rsidRPr="00FC6087">
              <w:rPr>
                <w:color w:val="000000" w:themeColor="text1"/>
              </w:rPr>
              <w:t>.1, ideally &lt;</w:t>
            </w:r>
            <w:r w:rsidR="006601DF">
              <w:rPr>
                <w:color w:val="000000" w:themeColor="text1"/>
              </w:rPr>
              <w:t xml:space="preserve"> </w:t>
            </w:r>
            <w:r w:rsidR="00714773" w:rsidRPr="00FC6087">
              <w:rPr>
                <w:color w:val="000000" w:themeColor="text1"/>
              </w:rPr>
              <w:t>0</w:t>
            </w:r>
            <w:r w:rsidRPr="00FC6087">
              <w:rPr>
                <w:color w:val="000000" w:themeColor="text1"/>
              </w:rPr>
              <w:t>.06 (Kline, 2011)</w:t>
            </w:r>
          </w:p>
        </w:tc>
      </w:tr>
      <w:tr w:rsidR="00714773" w:rsidRPr="00FC6087" w14:paraId="7D516C0E" w14:textId="77777777" w:rsidTr="002C07D1">
        <w:trPr>
          <w:trHeight w:val="576"/>
          <w:jc w:val="center"/>
        </w:trPr>
        <w:tc>
          <w:tcPr>
            <w:tcW w:w="1152" w:type="dxa"/>
            <w:shd w:val="clear" w:color="auto" w:fill="auto"/>
            <w:vAlign w:val="bottom"/>
            <w:hideMark/>
          </w:tcPr>
          <w:p w14:paraId="7D516C0B" w14:textId="77777777" w:rsidR="00FD4D49" w:rsidRPr="00790070" w:rsidRDefault="00FD4D49" w:rsidP="00790070">
            <w:pPr>
              <w:spacing w:line="360" w:lineRule="auto"/>
              <w:contextualSpacing/>
              <w:mirrorIndents/>
              <w:jc w:val="both"/>
              <w:rPr>
                <w:b/>
                <w:bCs/>
                <w:color w:val="000000" w:themeColor="text1"/>
              </w:rPr>
            </w:pPr>
            <w:r w:rsidRPr="00790070">
              <w:rPr>
                <w:bCs/>
                <w:color w:val="000000" w:themeColor="text1"/>
              </w:rPr>
              <w:t>RMSEA</w:t>
            </w:r>
          </w:p>
        </w:tc>
        <w:tc>
          <w:tcPr>
            <w:tcW w:w="2016" w:type="dxa"/>
            <w:shd w:val="clear" w:color="auto" w:fill="auto"/>
            <w:vAlign w:val="bottom"/>
            <w:hideMark/>
          </w:tcPr>
          <w:p w14:paraId="7D516C0C" w14:textId="77777777" w:rsidR="00FD4D49" w:rsidRPr="00FC6087" w:rsidRDefault="00FD4D49" w:rsidP="00790070">
            <w:pPr>
              <w:spacing w:line="360" w:lineRule="auto"/>
              <w:contextualSpacing/>
              <w:mirrorIndents/>
              <w:jc w:val="both"/>
              <w:rPr>
                <w:bCs/>
                <w:color w:val="000000" w:themeColor="text1"/>
              </w:rPr>
            </w:pPr>
            <w:r w:rsidRPr="00FC6087">
              <w:rPr>
                <w:bCs/>
                <w:color w:val="000000" w:themeColor="text1"/>
              </w:rPr>
              <w:t>0.0</w:t>
            </w:r>
            <w:r w:rsidRPr="00FC6087">
              <w:rPr>
                <w:color w:val="000000" w:themeColor="text1"/>
              </w:rPr>
              <w:t>7</w:t>
            </w:r>
          </w:p>
        </w:tc>
        <w:tc>
          <w:tcPr>
            <w:tcW w:w="4770" w:type="dxa"/>
            <w:shd w:val="clear" w:color="auto" w:fill="auto"/>
            <w:vAlign w:val="bottom"/>
            <w:hideMark/>
          </w:tcPr>
          <w:p w14:paraId="7D516C0D" w14:textId="73D922CB" w:rsidR="00FD4D49" w:rsidRPr="00FC6087" w:rsidRDefault="00FD4D49" w:rsidP="00790070">
            <w:pPr>
              <w:spacing w:line="360" w:lineRule="auto"/>
              <w:contextualSpacing/>
              <w:mirrorIndents/>
              <w:jc w:val="both"/>
              <w:rPr>
                <w:color w:val="000000" w:themeColor="text1"/>
              </w:rPr>
            </w:pPr>
            <w:r w:rsidRPr="00FC6087">
              <w:rPr>
                <w:color w:val="000000" w:themeColor="text1"/>
              </w:rPr>
              <w:t>&lt;</w:t>
            </w:r>
            <w:r w:rsidR="006601DF">
              <w:rPr>
                <w:color w:val="000000" w:themeColor="text1"/>
              </w:rPr>
              <w:t xml:space="preserve"> </w:t>
            </w:r>
            <w:r w:rsidR="00714773" w:rsidRPr="00FC6087">
              <w:rPr>
                <w:color w:val="000000" w:themeColor="text1"/>
              </w:rPr>
              <w:t>0</w:t>
            </w:r>
            <w:r w:rsidRPr="00FC6087">
              <w:rPr>
                <w:color w:val="000000" w:themeColor="text1"/>
              </w:rPr>
              <w:t>.08 (Hu</w:t>
            </w:r>
            <w:r w:rsidR="005E7A62">
              <w:rPr>
                <w:color w:val="000000" w:themeColor="text1"/>
              </w:rPr>
              <w:t xml:space="preserve"> &amp; </w:t>
            </w:r>
            <w:r w:rsidRPr="00FC6087">
              <w:rPr>
                <w:color w:val="000000" w:themeColor="text1"/>
              </w:rPr>
              <w:t>Bentler, 1999)</w:t>
            </w:r>
          </w:p>
        </w:tc>
      </w:tr>
      <w:tr w:rsidR="00FD4D49" w:rsidRPr="00FC6087" w14:paraId="7D516C12" w14:textId="77777777" w:rsidTr="002C07D1">
        <w:trPr>
          <w:trHeight w:val="576"/>
          <w:jc w:val="center"/>
        </w:trPr>
        <w:tc>
          <w:tcPr>
            <w:tcW w:w="1152" w:type="dxa"/>
            <w:shd w:val="clear" w:color="auto" w:fill="auto"/>
            <w:vAlign w:val="bottom"/>
            <w:hideMark/>
          </w:tcPr>
          <w:p w14:paraId="7D516C0F" w14:textId="77777777" w:rsidR="00FD4D49" w:rsidRPr="00790070" w:rsidRDefault="00FD4D49" w:rsidP="00790070">
            <w:pPr>
              <w:spacing w:line="360" w:lineRule="auto"/>
              <w:contextualSpacing/>
              <w:mirrorIndents/>
              <w:jc w:val="both"/>
              <w:rPr>
                <w:b/>
                <w:bCs/>
                <w:color w:val="000000" w:themeColor="text1"/>
              </w:rPr>
            </w:pPr>
            <w:r w:rsidRPr="00790070">
              <w:rPr>
                <w:bCs/>
                <w:color w:val="000000" w:themeColor="text1"/>
              </w:rPr>
              <w:t>NFI</w:t>
            </w:r>
          </w:p>
        </w:tc>
        <w:tc>
          <w:tcPr>
            <w:tcW w:w="2016" w:type="dxa"/>
            <w:shd w:val="clear" w:color="auto" w:fill="auto"/>
            <w:vAlign w:val="bottom"/>
            <w:hideMark/>
          </w:tcPr>
          <w:p w14:paraId="7D516C10" w14:textId="77777777" w:rsidR="00FD4D49" w:rsidRPr="00FC6087" w:rsidRDefault="00FD4D49" w:rsidP="00790070">
            <w:pPr>
              <w:spacing w:line="360" w:lineRule="auto"/>
              <w:contextualSpacing/>
              <w:mirrorIndents/>
              <w:jc w:val="both"/>
              <w:rPr>
                <w:bCs/>
                <w:color w:val="000000" w:themeColor="text1"/>
              </w:rPr>
            </w:pPr>
            <w:r w:rsidRPr="00FC6087">
              <w:rPr>
                <w:bCs/>
                <w:color w:val="000000" w:themeColor="text1"/>
              </w:rPr>
              <w:t>0.92</w:t>
            </w:r>
          </w:p>
        </w:tc>
        <w:tc>
          <w:tcPr>
            <w:tcW w:w="4770" w:type="dxa"/>
            <w:shd w:val="clear" w:color="auto" w:fill="auto"/>
            <w:vAlign w:val="bottom"/>
            <w:hideMark/>
          </w:tcPr>
          <w:p w14:paraId="7D516C11" w14:textId="77777777" w:rsidR="00FD4D49" w:rsidRPr="00FC6087" w:rsidRDefault="00714773" w:rsidP="00790070">
            <w:pPr>
              <w:spacing w:line="360" w:lineRule="auto"/>
              <w:contextualSpacing/>
              <w:mirrorIndents/>
              <w:jc w:val="both"/>
              <w:rPr>
                <w:color w:val="000000" w:themeColor="text1"/>
              </w:rPr>
            </w:pPr>
            <w:r w:rsidRPr="00FC6087">
              <w:rPr>
                <w:color w:val="000000" w:themeColor="text1"/>
              </w:rPr>
              <w:t>0</w:t>
            </w:r>
            <w:r w:rsidR="00FD4D49" w:rsidRPr="00FC6087">
              <w:rPr>
                <w:color w:val="000000" w:themeColor="text1"/>
              </w:rPr>
              <w:t>.95–1.0 (Miles, 2007; Thompson, 2004)</w:t>
            </w:r>
          </w:p>
        </w:tc>
      </w:tr>
      <w:tr w:rsidR="00714773" w:rsidRPr="00FC6087" w14:paraId="7D516C16" w14:textId="77777777" w:rsidTr="002C07D1">
        <w:trPr>
          <w:trHeight w:val="576"/>
          <w:jc w:val="center"/>
        </w:trPr>
        <w:tc>
          <w:tcPr>
            <w:tcW w:w="1152" w:type="dxa"/>
            <w:tcBorders>
              <w:bottom w:val="nil"/>
            </w:tcBorders>
            <w:shd w:val="clear" w:color="auto" w:fill="auto"/>
            <w:vAlign w:val="bottom"/>
            <w:hideMark/>
          </w:tcPr>
          <w:p w14:paraId="7D516C13" w14:textId="77777777" w:rsidR="00FD4D49" w:rsidRPr="00790070" w:rsidRDefault="00FD4D49" w:rsidP="00790070">
            <w:pPr>
              <w:spacing w:line="360" w:lineRule="auto"/>
              <w:contextualSpacing/>
              <w:mirrorIndents/>
              <w:jc w:val="both"/>
              <w:rPr>
                <w:b/>
                <w:bCs/>
                <w:color w:val="000000" w:themeColor="text1"/>
              </w:rPr>
            </w:pPr>
            <w:r w:rsidRPr="00790070">
              <w:rPr>
                <w:bCs/>
                <w:color w:val="000000" w:themeColor="text1"/>
              </w:rPr>
              <w:t>TLI</w:t>
            </w:r>
          </w:p>
        </w:tc>
        <w:tc>
          <w:tcPr>
            <w:tcW w:w="2016" w:type="dxa"/>
            <w:tcBorders>
              <w:bottom w:val="nil"/>
            </w:tcBorders>
            <w:shd w:val="clear" w:color="auto" w:fill="auto"/>
            <w:vAlign w:val="bottom"/>
            <w:hideMark/>
          </w:tcPr>
          <w:p w14:paraId="7D516C14" w14:textId="77777777" w:rsidR="00FD4D49" w:rsidRPr="00FC6087" w:rsidRDefault="00FD4D49" w:rsidP="00790070">
            <w:pPr>
              <w:spacing w:line="360" w:lineRule="auto"/>
              <w:contextualSpacing/>
              <w:mirrorIndents/>
              <w:jc w:val="both"/>
              <w:rPr>
                <w:bCs/>
                <w:color w:val="000000" w:themeColor="text1"/>
              </w:rPr>
            </w:pPr>
            <w:r w:rsidRPr="00FC6087">
              <w:rPr>
                <w:bCs/>
                <w:color w:val="000000" w:themeColor="text1"/>
              </w:rPr>
              <w:t>0.95</w:t>
            </w:r>
          </w:p>
        </w:tc>
        <w:tc>
          <w:tcPr>
            <w:tcW w:w="4770" w:type="dxa"/>
            <w:tcBorders>
              <w:bottom w:val="nil"/>
            </w:tcBorders>
            <w:shd w:val="clear" w:color="auto" w:fill="auto"/>
            <w:vAlign w:val="bottom"/>
            <w:hideMark/>
          </w:tcPr>
          <w:p w14:paraId="7D516C15" w14:textId="77777777" w:rsidR="00FD4D49" w:rsidRPr="00FC6087" w:rsidRDefault="00714773" w:rsidP="00790070">
            <w:pPr>
              <w:spacing w:line="360" w:lineRule="auto"/>
              <w:contextualSpacing/>
              <w:mirrorIndents/>
              <w:jc w:val="both"/>
              <w:rPr>
                <w:color w:val="000000" w:themeColor="text1"/>
              </w:rPr>
            </w:pPr>
            <w:r w:rsidRPr="00FC6087">
              <w:rPr>
                <w:color w:val="000000" w:themeColor="text1"/>
              </w:rPr>
              <w:t>0</w:t>
            </w:r>
            <w:r w:rsidR="00FD4D49" w:rsidRPr="00FC6087">
              <w:rPr>
                <w:color w:val="000000" w:themeColor="text1"/>
              </w:rPr>
              <w:t>.95–1.0 (Miles, 2007; Thompson, 2004)</w:t>
            </w:r>
          </w:p>
        </w:tc>
      </w:tr>
      <w:tr w:rsidR="00FD4D49" w:rsidRPr="00FC6087" w14:paraId="7D516C1A" w14:textId="77777777" w:rsidTr="002C07D1">
        <w:trPr>
          <w:trHeight w:val="576"/>
          <w:jc w:val="center"/>
        </w:trPr>
        <w:tc>
          <w:tcPr>
            <w:tcW w:w="1152" w:type="dxa"/>
            <w:tcBorders>
              <w:top w:val="nil"/>
              <w:bottom w:val="single" w:sz="18" w:space="0" w:color="auto"/>
            </w:tcBorders>
            <w:shd w:val="clear" w:color="auto" w:fill="auto"/>
            <w:vAlign w:val="bottom"/>
            <w:hideMark/>
          </w:tcPr>
          <w:p w14:paraId="7D516C17" w14:textId="77777777" w:rsidR="00FD4D49" w:rsidRPr="00790070" w:rsidRDefault="00FD4D49" w:rsidP="00790070">
            <w:pPr>
              <w:spacing w:line="360" w:lineRule="auto"/>
              <w:contextualSpacing/>
              <w:mirrorIndents/>
              <w:jc w:val="both"/>
              <w:rPr>
                <w:b/>
                <w:bCs/>
                <w:color w:val="000000" w:themeColor="text1"/>
              </w:rPr>
            </w:pPr>
            <w:r w:rsidRPr="00790070">
              <w:rPr>
                <w:bCs/>
                <w:color w:val="000000" w:themeColor="text1"/>
              </w:rPr>
              <w:t>CFI</w:t>
            </w:r>
          </w:p>
        </w:tc>
        <w:tc>
          <w:tcPr>
            <w:tcW w:w="2016" w:type="dxa"/>
            <w:tcBorders>
              <w:top w:val="nil"/>
              <w:bottom w:val="single" w:sz="18" w:space="0" w:color="auto"/>
            </w:tcBorders>
            <w:shd w:val="clear" w:color="auto" w:fill="auto"/>
            <w:vAlign w:val="bottom"/>
            <w:hideMark/>
          </w:tcPr>
          <w:p w14:paraId="7D516C18" w14:textId="77777777" w:rsidR="00FD4D49" w:rsidRPr="00FC6087" w:rsidRDefault="00FD4D49" w:rsidP="00790070">
            <w:pPr>
              <w:spacing w:line="360" w:lineRule="auto"/>
              <w:contextualSpacing/>
              <w:mirrorIndents/>
              <w:jc w:val="both"/>
              <w:rPr>
                <w:bCs/>
                <w:color w:val="000000" w:themeColor="text1"/>
              </w:rPr>
            </w:pPr>
            <w:r w:rsidRPr="00FC6087">
              <w:rPr>
                <w:bCs/>
                <w:color w:val="000000" w:themeColor="text1"/>
              </w:rPr>
              <w:t>0.96</w:t>
            </w:r>
          </w:p>
        </w:tc>
        <w:tc>
          <w:tcPr>
            <w:tcW w:w="4770" w:type="dxa"/>
            <w:tcBorders>
              <w:top w:val="nil"/>
              <w:bottom w:val="single" w:sz="18" w:space="0" w:color="auto"/>
            </w:tcBorders>
            <w:shd w:val="clear" w:color="auto" w:fill="auto"/>
            <w:vAlign w:val="bottom"/>
            <w:hideMark/>
          </w:tcPr>
          <w:p w14:paraId="7D516C19" w14:textId="3854985A" w:rsidR="00FD4D49" w:rsidRPr="00FC6087" w:rsidRDefault="00FD4D49" w:rsidP="00790070">
            <w:pPr>
              <w:keepNext/>
              <w:spacing w:line="360" w:lineRule="auto"/>
              <w:contextualSpacing/>
              <w:mirrorIndents/>
              <w:jc w:val="both"/>
              <w:rPr>
                <w:color w:val="000000" w:themeColor="text1"/>
              </w:rPr>
            </w:pPr>
            <w:r w:rsidRPr="00FC6087">
              <w:rPr>
                <w:color w:val="000000" w:themeColor="text1"/>
              </w:rPr>
              <w:t>&gt;</w:t>
            </w:r>
            <w:r w:rsidR="006601DF">
              <w:rPr>
                <w:color w:val="000000" w:themeColor="text1"/>
              </w:rPr>
              <w:t xml:space="preserve"> </w:t>
            </w:r>
            <w:r w:rsidR="00714773" w:rsidRPr="00FC6087">
              <w:rPr>
                <w:color w:val="000000" w:themeColor="text1"/>
              </w:rPr>
              <w:t>0</w:t>
            </w:r>
            <w:r w:rsidRPr="00FC6087">
              <w:rPr>
                <w:color w:val="000000" w:themeColor="text1"/>
              </w:rPr>
              <w:t>.90 (Kline, 2011)</w:t>
            </w:r>
          </w:p>
        </w:tc>
      </w:tr>
    </w:tbl>
    <w:p w14:paraId="7D516C1B" w14:textId="453621C8" w:rsidR="00FD4D49" w:rsidRPr="00FC6087" w:rsidRDefault="00FD4D49" w:rsidP="00C0447D">
      <w:pPr>
        <w:pStyle w:val="APAParagraph"/>
        <w:spacing w:line="240" w:lineRule="auto"/>
        <w:ind w:firstLine="0"/>
        <w:rPr>
          <w:color w:val="000000" w:themeColor="text1"/>
        </w:rPr>
      </w:pPr>
      <w:r w:rsidRPr="00790070">
        <w:rPr>
          <w:bCs/>
          <w:i/>
          <w:color w:val="000000" w:themeColor="text1"/>
        </w:rPr>
        <w:t>Note</w:t>
      </w:r>
      <w:r w:rsidR="00714773" w:rsidRPr="00790070">
        <w:rPr>
          <w:bCs/>
          <w:i/>
          <w:color w:val="000000" w:themeColor="text1"/>
        </w:rPr>
        <w:t>.</w:t>
      </w:r>
      <w:r w:rsidR="006601DF">
        <w:rPr>
          <w:bCs/>
          <w:i/>
          <w:color w:val="000000" w:themeColor="text1"/>
        </w:rPr>
        <w:t xml:space="preserve"> </w:t>
      </w:r>
      <w:r w:rsidR="00D86124" w:rsidRPr="00FC6087">
        <w:rPr>
          <w:bCs/>
          <w:color w:val="000000" w:themeColor="text1"/>
        </w:rPr>
        <w:t>χ</w:t>
      </w:r>
      <w:r w:rsidRPr="00FC6087">
        <w:rPr>
          <w:color w:val="000000" w:themeColor="text1"/>
          <w:vertAlign w:val="superscript"/>
        </w:rPr>
        <w:t>2</w:t>
      </w:r>
      <w:r w:rsidRPr="00FC6087">
        <w:rPr>
          <w:color w:val="000000" w:themeColor="text1"/>
        </w:rPr>
        <w:t>/df = normed chi-square statistic</w:t>
      </w:r>
      <w:r w:rsidR="00714773" w:rsidRPr="00FC6087">
        <w:rPr>
          <w:color w:val="000000" w:themeColor="text1"/>
        </w:rPr>
        <w:t>;</w:t>
      </w:r>
      <w:r w:rsidRPr="00FC6087">
        <w:rPr>
          <w:color w:val="000000" w:themeColor="text1"/>
        </w:rPr>
        <w:t xml:space="preserve"> GFI = goodness</w:t>
      </w:r>
      <w:r w:rsidR="00714773" w:rsidRPr="00FC6087">
        <w:rPr>
          <w:color w:val="000000" w:themeColor="text1"/>
        </w:rPr>
        <w:t>-</w:t>
      </w:r>
      <w:r w:rsidRPr="00FC6087">
        <w:rPr>
          <w:color w:val="000000" w:themeColor="text1"/>
        </w:rPr>
        <w:t>of</w:t>
      </w:r>
      <w:r w:rsidR="00714773" w:rsidRPr="00FC6087">
        <w:rPr>
          <w:color w:val="000000" w:themeColor="text1"/>
        </w:rPr>
        <w:t>-</w:t>
      </w:r>
      <w:r w:rsidRPr="00FC6087">
        <w:rPr>
          <w:color w:val="000000" w:themeColor="text1"/>
        </w:rPr>
        <w:t>fit index</w:t>
      </w:r>
      <w:r w:rsidR="00714773" w:rsidRPr="00FC6087">
        <w:rPr>
          <w:color w:val="000000" w:themeColor="text1"/>
        </w:rPr>
        <w:t>;</w:t>
      </w:r>
      <w:r w:rsidRPr="00FC6087">
        <w:rPr>
          <w:color w:val="000000" w:themeColor="text1"/>
        </w:rPr>
        <w:t xml:space="preserve"> RM</w:t>
      </w:r>
      <w:r w:rsidR="008B7DC0">
        <w:rPr>
          <w:color w:val="000000" w:themeColor="text1"/>
        </w:rPr>
        <w:t>S</w:t>
      </w:r>
      <w:r w:rsidRPr="00FC6087">
        <w:rPr>
          <w:color w:val="000000" w:themeColor="text1"/>
        </w:rPr>
        <w:t>R= root</w:t>
      </w:r>
      <w:r w:rsidR="00714773" w:rsidRPr="00FC6087">
        <w:rPr>
          <w:color w:val="000000" w:themeColor="text1"/>
        </w:rPr>
        <w:t>-</w:t>
      </w:r>
      <w:r w:rsidRPr="00FC6087">
        <w:rPr>
          <w:color w:val="000000" w:themeColor="text1"/>
        </w:rPr>
        <w:t>mean</w:t>
      </w:r>
      <w:r w:rsidR="00714773" w:rsidRPr="00FC6087">
        <w:rPr>
          <w:color w:val="000000" w:themeColor="text1"/>
        </w:rPr>
        <w:t>-</w:t>
      </w:r>
      <w:r w:rsidRPr="00FC6087">
        <w:rPr>
          <w:color w:val="000000" w:themeColor="text1"/>
        </w:rPr>
        <w:t>square residual</w:t>
      </w:r>
      <w:r w:rsidR="00714773" w:rsidRPr="00FC6087">
        <w:rPr>
          <w:color w:val="000000" w:themeColor="text1"/>
        </w:rPr>
        <w:t>;</w:t>
      </w:r>
      <w:r w:rsidRPr="00FC6087">
        <w:rPr>
          <w:color w:val="000000" w:themeColor="text1"/>
        </w:rPr>
        <w:t xml:space="preserve"> RMSEA = </w:t>
      </w:r>
      <w:r w:rsidR="00714773" w:rsidRPr="00FC6087">
        <w:rPr>
          <w:color w:val="000000" w:themeColor="text1"/>
        </w:rPr>
        <w:t>root mean square error of approximation;</w:t>
      </w:r>
      <w:r w:rsidRPr="00FC6087">
        <w:rPr>
          <w:color w:val="000000" w:themeColor="text1"/>
        </w:rPr>
        <w:t xml:space="preserve"> NFI = </w:t>
      </w:r>
      <w:r w:rsidR="00714773" w:rsidRPr="00FC6087">
        <w:rPr>
          <w:color w:val="000000" w:themeColor="text1"/>
        </w:rPr>
        <w:t>n</w:t>
      </w:r>
      <w:r w:rsidRPr="00FC6087">
        <w:rPr>
          <w:color w:val="000000" w:themeColor="text1"/>
        </w:rPr>
        <w:t xml:space="preserve">ormed </w:t>
      </w:r>
      <w:r w:rsidR="00714773" w:rsidRPr="00FC6087">
        <w:rPr>
          <w:color w:val="000000" w:themeColor="text1"/>
        </w:rPr>
        <w:t>f</w:t>
      </w:r>
      <w:r w:rsidRPr="00FC6087">
        <w:rPr>
          <w:color w:val="000000" w:themeColor="text1"/>
        </w:rPr>
        <w:t xml:space="preserve">it </w:t>
      </w:r>
      <w:r w:rsidR="00714773" w:rsidRPr="00FC6087">
        <w:rPr>
          <w:color w:val="000000" w:themeColor="text1"/>
        </w:rPr>
        <w:t>i</w:t>
      </w:r>
      <w:r w:rsidRPr="00FC6087">
        <w:rPr>
          <w:color w:val="000000" w:themeColor="text1"/>
        </w:rPr>
        <w:t>ndex</w:t>
      </w:r>
      <w:r w:rsidR="00714773" w:rsidRPr="00FC6087">
        <w:rPr>
          <w:color w:val="000000" w:themeColor="text1"/>
        </w:rPr>
        <w:t>;</w:t>
      </w:r>
      <w:r w:rsidRPr="00FC6087">
        <w:rPr>
          <w:color w:val="000000" w:themeColor="text1"/>
        </w:rPr>
        <w:t xml:space="preserve"> TLI= Tucker</w:t>
      </w:r>
      <w:r w:rsidR="00714773" w:rsidRPr="00FC6087">
        <w:rPr>
          <w:color w:val="000000" w:themeColor="text1"/>
        </w:rPr>
        <w:t>–</w:t>
      </w:r>
      <w:r w:rsidRPr="00FC6087">
        <w:rPr>
          <w:color w:val="000000" w:themeColor="text1"/>
        </w:rPr>
        <w:t xml:space="preserve">Lewis </w:t>
      </w:r>
      <w:r w:rsidR="00714773" w:rsidRPr="00FC6087">
        <w:rPr>
          <w:color w:val="000000" w:themeColor="text1"/>
        </w:rPr>
        <w:t>i</w:t>
      </w:r>
      <w:r w:rsidRPr="00FC6087">
        <w:rPr>
          <w:color w:val="000000" w:themeColor="text1"/>
        </w:rPr>
        <w:t>ndex</w:t>
      </w:r>
      <w:r w:rsidR="00714773" w:rsidRPr="00FC6087">
        <w:rPr>
          <w:color w:val="000000" w:themeColor="text1"/>
        </w:rPr>
        <w:t>;</w:t>
      </w:r>
      <w:r w:rsidRPr="00FC6087">
        <w:rPr>
          <w:color w:val="000000" w:themeColor="text1"/>
        </w:rPr>
        <w:t xml:space="preserve"> CFI = </w:t>
      </w:r>
      <w:r w:rsidR="00714773" w:rsidRPr="00FC6087">
        <w:rPr>
          <w:color w:val="000000" w:themeColor="text1"/>
        </w:rPr>
        <w:t>c</w:t>
      </w:r>
      <w:r w:rsidRPr="00FC6087">
        <w:rPr>
          <w:color w:val="000000" w:themeColor="text1"/>
        </w:rPr>
        <w:t xml:space="preserve">omparative </w:t>
      </w:r>
      <w:r w:rsidR="00714773" w:rsidRPr="00FC6087">
        <w:rPr>
          <w:color w:val="000000" w:themeColor="text1"/>
        </w:rPr>
        <w:t>f</w:t>
      </w:r>
      <w:r w:rsidRPr="00FC6087">
        <w:rPr>
          <w:color w:val="000000" w:themeColor="text1"/>
        </w:rPr>
        <w:t xml:space="preserve">it </w:t>
      </w:r>
      <w:r w:rsidR="00714773" w:rsidRPr="00FC6087">
        <w:rPr>
          <w:color w:val="000000" w:themeColor="text1"/>
        </w:rPr>
        <w:t>i</w:t>
      </w:r>
      <w:r w:rsidRPr="00FC6087">
        <w:rPr>
          <w:color w:val="000000" w:themeColor="text1"/>
        </w:rPr>
        <w:t>ndex</w:t>
      </w:r>
      <w:r w:rsidR="00714773" w:rsidRPr="00FC6087">
        <w:rPr>
          <w:color w:val="000000" w:themeColor="text1"/>
        </w:rPr>
        <w:t>.</w:t>
      </w:r>
    </w:p>
    <w:p w14:paraId="7D516C1C" w14:textId="77777777" w:rsidR="00FD4D49" w:rsidRPr="00FC6087" w:rsidRDefault="00FD4D49" w:rsidP="00FD4D49">
      <w:pPr>
        <w:pStyle w:val="APAParagraph"/>
        <w:ind w:firstLine="0"/>
        <w:rPr>
          <w:color w:val="000000" w:themeColor="text1"/>
        </w:rPr>
      </w:pPr>
    </w:p>
    <w:p w14:paraId="7D516C1D" w14:textId="77777777" w:rsidR="00FD4D49" w:rsidRPr="00FC6087" w:rsidRDefault="00FD4D49" w:rsidP="00FD4D49">
      <w:pPr>
        <w:pStyle w:val="APAParagraph"/>
        <w:rPr>
          <w:color w:val="000000" w:themeColor="text1"/>
        </w:rPr>
      </w:pPr>
      <w:r w:rsidRPr="00FC6087">
        <w:rPr>
          <w:color w:val="000000" w:themeColor="text1"/>
        </w:rPr>
        <w:t>TEBA was very strongly related to HIT adoption (</w:t>
      </w:r>
      <w:r w:rsidR="00CC3D1A" w:rsidRPr="00FC6087">
        <w:rPr>
          <w:color w:val="000000" w:themeColor="text1"/>
        </w:rPr>
        <w:t>0</w:t>
      </w:r>
      <w:r w:rsidRPr="00FC6087">
        <w:rPr>
          <w:color w:val="000000" w:themeColor="text1"/>
        </w:rPr>
        <w:t>.89), suggesting that technical barriers pose the strongest hindrance to HIT adoption. Additionally, four of TEBA’s associated items were strongly related to it, suggesting that technology availability (</w:t>
      </w:r>
      <w:r w:rsidR="00CC3D1A" w:rsidRPr="00FC6087">
        <w:rPr>
          <w:color w:val="000000" w:themeColor="text1"/>
        </w:rPr>
        <w:t>0</w:t>
      </w:r>
      <w:r w:rsidRPr="00FC6087">
        <w:rPr>
          <w:color w:val="000000" w:themeColor="text1"/>
        </w:rPr>
        <w:t>.77)</w:t>
      </w:r>
      <w:r w:rsidR="00CC3D1A" w:rsidRPr="00FC6087">
        <w:rPr>
          <w:color w:val="000000" w:themeColor="text1"/>
        </w:rPr>
        <w:t xml:space="preserve"> and</w:t>
      </w:r>
      <w:r w:rsidRPr="00FC6087">
        <w:rPr>
          <w:color w:val="000000" w:themeColor="text1"/>
        </w:rPr>
        <w:t xml:space="preserve"> compatibility between old and new technologies (</w:t>
      </w:r>
      <w:r w:rsidR="00CC3D1A" w:rsidRPr="00FC6087">
        <w:rPr>
          <w:color w:val="000000" w:themeColor="text1"/>
        </w:rPr>
        <w:t>0</w:t>
      </w:r>
      <w:r w:rsidRPr="00FC6087">
        <w:rPr>
          <w:color w:val="000000" w:themeColor="text1"/>
        </w:rPr>
        <w:t xml:space="preserve">.82) can stand in the way of successful technology implementation. Updating software, switching platforms, and installing new technologies can all be disruptive </w:t>
      </w:r>
      <w:r w:rsidRPr="00FC6087">
        <w:rPr>
          <w:color w:val="000000" w:themeColor="text1"/>
        </w:rPr>
        <w:lastRenderedPageBreak/>
        <w:t>occurrences. Even if they eventually lead to greater productivity and efficiency, as they often initially do because of their novelty and learning curve, they cause frustration and can even slow progress on tasks that should be easy. Thus, to allay individuals’ fears as to a loss in productivity or increase in stress, as technologies are designed and implemented, they should be designed to be compatible with current technologies to be easy to use and master and to last a long time without becoming obsolete, which can often be the case in today’s fast-paced technological society.</w:t>
      </w:r>
    </w:p>
    <w:p w14:paraId="7D516C1E" w14:textId="08D31472" w:rsidR="00FD4D49" w:rsidRPr="00FC6087" w:rsidRDefault="00FD4D49" w:rsidP="00FD4D49">
      <w:pPr>
        <w:pStyle w:val="APAParagraph"/>
        <w:rPr>
          <w:color w:val="000000" w:themeColor="text1"/>
        </w:rPr>
      </w:pPr>
      <w:r w:rsidRPr="00FC6087">
        <w:rPr>
          <w:color w:val="000000" w:themeColor="text1"/>
        </w:rPr>
        <w:t>Finally, RTGB was only moderately related to HIT adoption (</w:t>
      </w:r>
      <w:r w:rsidR="00211067" w:rsidRPr="00FC6087">
        <w:rPr>
          <w:color w:val="000000" w:themeColor="text1"/>
        </w:rPr>
        <w:t>0</w:t>
      </w:r>
      <w:r w:rsidRPr="00FC6087">
        <w:rPr>
          <w:color w:val="000000" w:themeColor="text1"/>
        </w:rPr>
        <w:t>.66); however, all its associated items were strongly related to it (&gt;</w:t>
      </w:r>
      <w:r w:rsidR="006601DF">
        <w:rPr>
          <w:color w:val="000000" w:themeColor="text1"/>
        </w:rPr>
        <w:t xml:space="preserve"> </w:t>
      </w:r>
      <w:r w:rsidR="00211067" w:rsidRPr="00FC6087">
        <w:rPr>
          <w:color w:val="000000" w:themeColor="text1"/>
        </w:rPr>
        <w:t>0</w:t>
      </w:r>
      <w:r w:rsidRPr="00FC6087">
        <w:rPr>
          <w:color w:val="000000" w:themeColor="text1"/>
        </w:rPr>
        <w:t>.80), suggesting that concerns over privacy (</w:t>
      </w:r>
      <w:r w:rsidR="00211067" w:rsidRPr="00FC6087">
        <w:rPr>
          <w:color w:val="000000" w:themeColor="text1"/>
        </w:rPr>
        <w:t>0</w:t>
      </w:r>
      <w:r w:rsidRPr="00FC6087">
        <w:rPr>
          <w:color w:val="000000" w:themeColor="text1"/>
        </w:rPr>
        <w:t>.94), data sensitivity (</w:t>
      </w:r>
      <w:r w:rsidR="00211067" w:rsidRPr="00FC6087">
        <w:rPr>
          <w:color w:val="000000" w:themeColor="text1"/>
        </w:rPr>
        <w:t>0</w:t>
      </w:r>
      <w:r w:rsidRPr="00FC6087">
        <w:rPr>
          <w:color w:val="000000" w:themeColor="text1"/>
        </w:rPr>
        <w:t>.81), and information infrastructure (</w:t>
      </w:r>
      <w:r w:rsidR="00211067" w:rsidRPr="00FC6087">
        <w:rPr>
          <w:color w:val="000000" w:themeColor="text1"/>
        </w:rPr>
        <w:t>0</w:t>
      </w:r>
      <w:r w:rsidRPr="00FC6087">
        <w:rPr>
          <w:color w:val="000000" w:themeColor="text1"/>
        </w:rPr>
        <w:t>.84) serve as significant potential barriers to the implementation of new technologies. This suggests that a key area of focus is building an infrastructure that supports safe and secure storage and transfer of private information so that patients</w:t>
      </w:r>
      <w:r w:rsidR="00211067" w:rsidRPr="00FC6087">
        <w:rPr>
          <w:color w:val="000000" w:themeColor="text1"/>
        </w:rPr>
        <w:t>’</w:t>
      </w:r>
      <w:r w:rsidRPr="00FC6087">
        <w:rPr>
          <w:color w:val="000000" w:themeColor="text1"/>
        </w:rPr>
        <w:t xml:space="preserve"> sensitive records can be kept secure. Furthermore, individuals need to be assured of this security to buy into using these technologies, because patients want to know that their sensitive information will not be hacked and hospitals do not want to deal with the liability of hacked information (or the damage to their reputation, should that happen). Because of the investment of time and money that these </w:t>
      </w:r>
      <w:r w:rsidR="00B2304F" w:rsidRPr="00FC6087">
        <w:rPr>
          <w:color w:val="000000" w:themeColor="text1"/>
        </w:rPr>
        <w:t>endeavors</w:t>
      </w:r>
      <w:r w:rsidRPr="00FC6087">
        <w:rPr>
          <w:color w:val="000000" w:themeColor="text1"/>
        </w:rPr>
        <w:t xml:space="preserve"> could require (e.g. building secure servers</w:t>
      </w:r>
      <w:r w:rsidR="00211067" w:rsidRPr="00FC6087">
        <w:rPr>
          <w:color w:val="000000" w:themeColor="text1"/>
        </w:rPr>
        <w:t>,</w:t>
      </w:r>
      <w:r w:rsidRPr="00FC6087">
        <w:rPr>
          <w:color w:val="000000" w:themeColor="text1"/>
        </w:rPr>
        <w:t xml:space="preserve"> hiring crypto-engineers, etc.)</w:t>
      </w:r>
      <w:r w:rsidR="00962D14" w:rsidRPr="00FC6087">
        <w:rPr>
          <w:color w:val="000000" w:themeColor="text1"/>
        </w:rPr>
        <w:t xml:space="preserve">, </w:t>
      </w:r>
      <w:r w:rsidRPr="00FC6087">
        <w:rPr>
          <w:color w:val="000000" w:themeColor="text1"/>
        </w:rPr>
        <w:t>besides the importance of these concerns (see also Amaji</w:t>
      </w:r>
      <w:r w:rsidR="005E7A62">
        <w:rPr>
          <w:color w:val="000000" w:themeColor="text1"/>
        </w:rPr>
        <w:t xml:space="preserve"> &amp; </w:t>
      </w:r>
      <w:r w:rsidRPr="00FC6087">
        <w:rPr>
          <w:color w:val="000000" w:themeColor="text1"/>
        </w:rPr>
        <w:t xml:space="preserve">Bagheri-Tadi, 2013; Jha et al., 2009; Rao et al., </w:t>
      </w:r>
      <w:r w:rsidRPr="00FC6087">
        <w:rPr>
          <w:color w:val="000000" w:themeColor="text1"/>
        </w:rPr>
        <w:lastRenderedPageBreak/>
        <w:t>2011; Ross et al., 2015),</w:t>
      </w:r>
      <w:r w:rsidR="006601DF">
        <w:rPr>
          <w:color w:val="000000" w:themeColor="text1"/>
        </w:rPr>
        <w:t xml:space="preserve"> </w:t>
      </w:r>
      <w:r w:rsidRPr="00FC6087">
        <w:rPr>
          <w:color w:val="000000" w:themeColor="text1"/>
        </w:rPr>
        <w:t>this should be an area of initial concern for organizations looking to implement new software and platforms.</w:t>
      </w:r>
    </w:p>
    <w:p w14:paraId="7D516C1F" w14:textId="77777777" w:rsidR="00FD4D49" w:rsidRPr="00FC6087" w:rsidRDefault="00FD4D49" w:rsidP="00FD4D49">
      <w:pPr>
        <w:pStyle w:val="APAParagraph"/>
        <w:rPr>
          <w:color w:val="000000" w:themeColor="text1"/>
        </w:rPr>
      </w:pPr>
      <w:r w:rsidRPr="00FC6087">
        <w:rPr>
          <w:color w:val="000000" w:themeColor="text1"/>
        </w:rPr>
        <w:t xml:space="preserve">Taken together, the results in </w:t>
      </w:r>
      <w:r w:rsidR="00743DA1" w:rsidRPr="00FC6087">
        <w:rPr>
          <w:color w:val="000000" w:themeColor="text1"/>
        </w:rPr>
        <w:t>Steps</w:t>
      </w:r>
      <w:r w:rsidRPr="00FC6087">
        <w:rPr>
          <w:color w:val="000000" w:themeColor="text1"/>
        </w:rPr>
        <w:t xml:space="preserve"> 2A and 2B (in this chapter) show a clear picture of the barriers and motivators that stand in the way of HIT adoption and what can be done to break down those barriers and motivate individuals to move towards using modern healthcare technologies. Most prominently, they want to be assured that these technologies will be worth it. They want to know that whatever financial investment is made will be worth it and that the time </w:t>
      </w:r>
      <w:r w:rsidR="00E5730E" w:rsidRPr="00FC6087">
        <w:rPr>
          <w:color w:val="000000" w:themeColor="text1"/>
        </w:rPr>
        <w:t>a</w:t>
      </w:r>
      <w:r w:rsidRPr="00FC6087">
        <w:rPr>
          <w:color w:val="000000" w:themeColor="text1"/>
        </w:rPr>
        <w:t xml:space="preserve">nd effort they put in to learning to use these technologies will prove useful in the </w:t>
      </w:r>
      <w:r w:rsidR="00D31194" w:rsidRPr="00FC6087">
        <w:rPr>
          <w:color w:val="000000" w:themeColor="text1"/>
        </w:rPr>
        <w:t>long-term</w:t>
      </w:r>
      <w:r w:rsidRPr="00FC6087">
        <w:rPr>
          <w:color w:val="000000" w:themeColor="text1"/>
        </w:rPr>
        <w:t>. They also want to be assured that the technologies will be useful, thereby making the time and money well spent. One way to increase the utility of the technology is to make it more accessible, so that more individuals can use it. As more people buy into these initiatives, the more powerful and effective they could become. Another way to ensure utility is to maintain data secure, that is, allowing the technology to be a secure tool for storing and sharing data. Finally, these technologies can be useful for things beyond simply storing and sharing EHRs. For example, allowing doctors digital access to medical libraries and citizens</w:t>
      </w:r>
      <w:r w:rsidR="00710F6F" w:rsidRPr="00FC6087">
        <w:rPr>
          <w:color w:val="000000" w:themeColor="text1"/>
        </w:rPr>
        <w:t>’</w:t>
      </w:r>
      <w:r w:rsidRPr="00FC6087">
        <w:rPr>
          <w:color w:val="000000" w:themeColor="text1"/>
        </w:rPr>
        <w:t xml:space="preserve"> access to free telemedicine could inspire many to use such technologies. The UAE has already been implementing such initiatives. Arguably, as a result, the UAE is in the top the world rankings of the Future Health Index (Institute for the Future, 2016). The UAE has already </w:t>
      </w:r>
      <w:r w:rsidR="00751228" w:rsidRPr="00FC6087">
        <w:rPr>
          <w:color w:val="000000" w:themeColor="text1"/>
        </w:rPr>
        <w:t>expending great effort</w:t>
      </w:r>
      <w:r w:rsidRPr="00FC6087">
        <w:rPr>
          <w:color w:val="000000" w:themeColor="text1"/>
        </w:rPr>
        <w:t xml:space="preserve"> to motivate people to use new HIT initiatives and programs and to eliminate some of the barriers, making </w:t>
      </w:r>
      <w:r w:rsidR="00E2505D" w:rsidRPr="00FC6087">
        <w:rPr>
          <w:color w:val="000000" w:themeColor="text1"/>
        </w:rPr>
        <w:t>the UAE</w:t>
      </w:r>
      <w:r w:rsidRPr="00FC6087">
        <w:rPr>
          <w:color w:val="000000" w:themeColor="text1"/>
        </w:rPr>
        <w:t xml:space="preserve"> </w:t>
      </w:r>
      <w:r w:rsidRPr="00FC6087">
        <w:rPr>
          <w:color w:val="000000" w:themeColor="text1"/>
        </w:rPr>
        <w:lastRenderedPageBreak/>
        <w:t>an excellent example to other countries. With a deeper understanding enabled by the present research, they can continue to make such pioneering efforts.</w:t>
      </w:r>
    </w:p>
    <w:p w14:paraId="7D516C20" w14:textId="77777777" w:rsidR="00FD4D49" w:rsidRPr="00FC6087" w:rsidRDefault="00FD4D49" w:rsidP="00FD4D49">
      <w:pPr>
        <w:rPr>
          <w:rFonts w:eastAsia="Calibri"/>
          <w:color w:val="000000" w:themeColor="text1"/>
        </w:rPr>
      </w:pPr>
      <w:r w:rsidRPr="00FC6087">
        <w:rPr>
          <w:rFonts w:eastAsia="Calibri"/>
          <w:color w:val="000000" w:themeColor="text1"/>
        </w:rPr>
        <w:br w:type="page"/>
      </w:r>
    </w:p>
    <w:p w14:paraId="7D516C21" w14:textId="77777777" w:rsidR="00FD4D49" w:rsidRPr="00FC6087" w:rsidRDefault="00445E76" w:rsidP="00790070">
      <w:pPr>
        <w:pStyle w:val="ChapterTitle"/>
        <w:rPr>
          <w:i/>
          <w:iCs/>
          <w:color w:val="000000" w:themeColor="text1"/>
        </w:rPr>
      </w:pPr>
      <w:bookmarkStart w:id="161" w:name="_Toc532800306"/>
      <w:bookmarkStart w:id="162" w:name="_Toc534028550"/>
      <w:bookmarkStart w:id="163" w:name="_Toc534028934"/>
      <w:bookmarkStart w:id="164" w:name="_Toc24447814"/>
      <w:r w:rsidRPr="00FC6087">
        <w:rPr>
          <w:iCs/>
          <w:caps w:val="0"/>
          <w:color w:val="000000" w:themeColor="text1"/>
        </w:rPr>
        <w:lastRenderedPageBreak/>
        <w:t xml:space="preserve">CHAPTER </w:t>
      </w:r>
      <w:r w:rsidR="00FD4D49" w:rsidRPr="00FC6087">
        <w:rPr>
          <w:iCs/>
          <w:color w:val="000000" w:themeColor="text1"/>
        </w:rPr>
        <w:t>6: Implications and Suggestions for Future Research</w:t>
      </w:r>
      <w:bookmarkEnd w:id="161"/>
      <w:bookmarkEnd w:id="162"/>
      <w:bookmarkEnd w:id="163"/>
      <w:bookmarkEnd w:id="164"/>
    </w:p>
    <w:p w14:paraId="7D516C22" w14:textId="77777777" w:rsidR="00FD4D49" w:rsidRPr="00790070" w:rsidRDefault="00FD4D49" w:rsidP="00790070">
      <w:pPr>
        <w:jc w:val="center"/>
        <w:rPr>
          <w:b/>
          <w:color w:val="000000" w:themeColor="text1"/>
          <w:sz w:val="30"/>
          <w:szCs w:val="30"/>
        </w:rPr>
      </w:pPr>
      <w:r w:rsidRPr="00790070">
        <w:rPr>
          <w:b/>
          <w:color w:val="000000" w:themeColor="text1"/>
          <w:sz w:val="30"/>
          <w:szCs w:val="30"/>
        </w:rPr>
        <w:t xml:space="preserve">Structure of </w:t>
      </w:r>
      <w:r w:rsidR="00E2505D" w:rsidRPr="00FC6087">
        <w:rPr>
          <w:b/>
          <w:color w:val="000000" w:themeColor="text1"/>
          <w:sz w:val="30"/>
          <w:szCs w:val="30"/>
        </w:rPr>
        <w:t>C</w:t>
      </w:r>
      <w:r w:rsidRPr="00790070">
        <w:rPr>
          <w:b/>
          <w:color w:val="000000" w:themeColor="text1"/>
          <w:sz w:val="30"/>
          <w:szCs w:val="30"/>
        </w:rPr>
        <w:t xml:space="preserve">hapter </w:t>
      </w:r>
      <w:r w:rsidR="00E2505D" w:rsidRPr="00FC6087">
        <w:rPr>
          <w:b/>
          <w:color w:val="000000" w:themeColor="text1"/>
          <w:sz w:val="30"/>
          <w:szCs w:val="30"/>
        </w:rPr>
        <w:t>S</w:t>
      </w:r>
      <w:r w:rsidRPr="00790070">
        <w:rPr>
          <w:b/>
          <w:color w:val="000000" w:themeColor="text1"/>
          <w:sz w:val="30"/>
          <w:szCs w:val="30"/>
        </w:rPr>
        <w:t>ix</w:t>
      </w:r>
    </w:p>
    <w:p w14:paraId="7D516C23" w14:textId="77777777" w:rsidR="00FD4D49" w:rsidRPr="00FC6087" w:rsidRDefault="00FD4D49" w:rsidP="00FD4D49">
      <w:pPr>
        <w:rPr>
          <w:color w:val="000000" w:themeColor="text1"/>
        </w:rPr>
      </w:pPr>
    </w:p>
    <w:p w14:paraId="7D516C24" w14:textId="77777777" w:rsidR="00244BF2" w:rsidRPr="00A76642" w:rsidRDefault="00FD4D49" w:rsidP="00FD4D49">
      <w:pPr>
        <w:rPr>
          <w:color w:val="000000" w:themeColor="text1"/>
        </w:rPr>
      </w:pPr>
      <w:r w:rsidRPr="00A76642">
        <w:rPr>
          <w:noProof/>
          <w:color w:val="000000" w:themeColor="text1"/>
        </w:rPr>
        <w:drawing>
          <wp:inline distT="0" distB="0" distL="0" distR="0" wp14:anchorId="7D516DAC" wp14:editId="78404881">
            <wp:extent cx="4881489" cy="1198880"/>
            <wp:effectExtent l="0" t="0" r="14605" b="1270"/>
            <wp:docPr id="19"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7D516C25" w14:textId="77777777" w:rsidR="00244BF2" w:rsidRPr="00A76642" w:rsidRDefault="00244BF2" w:rsidP="00FD4D49">
      <w:pPr>
        <w:rPr>
          <w:color w:val="000000" w:themeColor="text1"/>
        </w:rPr>
      </w:pPr>
    </w:p>
    <w:p w14:paraId="7D516C26" w14:textId="5887EF48" w:rsidR="009767FF" w:rsidRPr="00FC6087" w:rsidRDefault="00AA41AB" w:rsidP="009767FF">
      <w:pPr>
        <w:spacing w:line="480" w:lineRule="auto"/>
        <w:rPr>
          <w:color w:val="000000" w:themeColor="text1"/>
        </w:rPr>
      </w:pPr>
      <w:r w:rsidRPr="00A76642">
        <w:rPr>
          <w:color w:val="000000" w:themeColor="text1"/>
        </w:rPr>
        <w:t>T</w:t>
      </w:r>
      <w:r w:rsidR="009767FF" w:rsidRPr="00A76642">
        <w:rPr>
          <w:color w:val="000000" w:themeColor="text1"/>
        </w:rPr>
        <w:t xml:space="preserve">his chapter discusses </w:t>
      </w:r>
      <w:r w:rsidRPr="00A76642">
        <w:rPr>
          <w:color w:val="000000" w:themeColor="text1"/>
        </w:rPr>
        <w:t xml:space="preserve">in detail </w:t>
      </w:r>
      <w:r w:rsidR="009767FF" w:rsidRPr="00A76642">
        <w:rPr>
          <w:color w:val="000000" w:themeColor="text1"/>
        </w:rPr>
        <w:t xml:space="preserve">the findings and results described in the previous chapter. The aim of this chapter is to demonstrate how the key findings accomplish the research </w:t>
      </w:r>
      <w:r w:rsidR="00E97F64" w:rsidRPr="00A76642">
        <w:rPr>
          <w:color w:val="000000" w:themeColor="text1"/>
        </w:rPr>
        <w:t>objectives set in</w:t>
      </w:r>
      <w:r w:rsidR="009767FF" w:rsidRPr="00A76642">
        <w:rPr>
          <w:color w:val="000000" w:themeColor="text1"/>
        </w:rPr>
        <w:t xml:space="preserve"> previous chapters.</w:t>
      </w:r>
    </w:p>
    <w:p w14:paraId="7D516C27" w14:textId="77777777" w:rsidR="00FD4D49" w:rsidRPr="00FC6087" w:rsidRDefault="00244BF2" w:rsidP="00FD4D49">
      <w:pPr>
        <w:pStyle w:val="Heading1"/>
        <w:rPr>
          <w:color w:val="000000" w:themeColor="text1"/>
        </w:rPr>
      </w:pPr>
      <w:bookmarkStart w:id="165" w:name="_Toc24447815"/>
      <w:r w:rsidRPr="00FC6087">
        <w:rPr>
          <w:color w:val="000000" w:themeColor="text1"/>
        </w:rPr>
        <w:t xml:space="preserve">6.1. </w:t>
      </w:r>
      <w:r w:rsidR="00FD4D49" w:rsidRPr="00FC6087">
        <w:rPr>
          <w:color w:val="000000" w:themeColor="text1"/>
        </w:rPr>
        <w:t xml:space="preserve">Discussion of </w:t>
      </w:r>
      <w:r w:rsidRPr="00FC6087">
        <w:rPr>
          <w:color w:val="000000" w:themeColor="text1"/>
        </w:rPr>
        <w:t>R</w:t>
      </w:r>
      <w:r w:rsidR="00FD4D49" w:rsidRPr="00FC6087">
        <w:rPr>
          <w:color w:val="000000" w:themeColor="text1"/>
        </w:rPr>
        <w:t>esults</w:t>
      </w:r>
      <w:bookmarkEnd w:id="165"/>
    </w:p>
    <w:p w14:paraId="7D516C28" w14:textId="77777777" w:rsidR="00FD4D49" w:rsidRPr="00FC6087" w:rsidRDefault="00FD4D49" w:rsidP="00FD4D49">
      <w:pPr>
        <w:pStyle w:val="APAParagraph"/>
        <w:rPr>
          <w:color w:val="000000" w:themeColor="text1"/>
        </w:rPr>
      </w:pPr>
      <w:r w:rsidRPr="00FC6087">
        <w:rPr>
          <w:color w:val="000000" w:themeColor="text1"/>
        </w:rPr>
        <w:t xml:space="preserve">This </w:t>
      </w:r>
      <w:r w:rsidR="00B2721E" w:rsidRPr="00FC6087">
        <w:t>research</w:t>
      </w:r>
      <w:r w:rsidR="000B0137" w:rsidRPr="00FC6087">
        <w:rPr>
          <w:color w:val="000000" w:themeColor="text1"/>
        </w:rPr>
        <w:t xml:space="preserve"> </w:t>
      </w:r>
      <w:r w:rsidRPr="00FC6087">
        <w:rPr>
          <w:color w:val="000000" w:themeColor="text1"/>
        </w:rPr>
        <w:t>identified and explored the motivators and barriers that affect HIT adoption in the UAE from the perspective of four key groups of healthcare stakeholders: providers</w:t>
      </w:r>
      <w:r w:rsidR="000B0137" w:rsidRPr="00FC6087">
        <w:rPr>
          <w:color w:val="000000" w:themeColor="text1"/>
        </w:rPr>
        <w:t>;</w:t>
      </w:r>
      <w:r w:rsidRPr="00FC6087">
        <w:rPr>
          <w:color w:val="000000" w:themeColor="text1"/>
        </w:rPr>
        <w:t xml:space="preserve"> patients</w:t>
      </w:r>
      <w:r w:rsidR="000B0137" w:rsidRPr="00FC6087">
        <w:rPr>
          <w:color w:val="000000" w:themeColor="text1"/>
        </w:rPr>
        <w:t>;</w:t>
      </w:r>
      <w:r w:rsidRPr="00FC6087">
        <w:rPr>
          <w:color w:val="000000" w:themeColor="text1"/>
        </w:rPr>
        <w:t xml:space="preserve"> residents</w:t>
      </w:r>
      <w:r w:rsidR="000B0137" w:rsidRPr="00FC6087">
        <w:rPr>
          <w:color w:val="000000" w:themeColor="text1"/>
        </w:rPr>
        <w:t>;</w:t>
      </w:r>
      <w:r w:rsidRPr="00FC6087">
        <w:rPr>
          <w:color w:val="000000" w:themeColor="text1"/>
        </w:rPr>
        <w:t xml:space="preserve"> and accredited future foresight experts. Foresight experts ha</w:t>
      </w:r>
      <w:r w:rsidR="000B0137" w:rsidRPr="00FC6087">
        <w:rPr>
          <w:color w:val="000000" w:themeColor="text1"/>
        </w:rPr>
        <w:t>ve</w:t>
      </w:r>
      <w:r w:rsidRPr="00FC6087">
        <w:rPr>
          <w:color w:val="000000" w:themeColor="text1"/>
        </w:rPr>
        <w:t xml:space="preserve"> never been included in research models until now, making this research theoretically valuable in that it fills in an important gap in </w:t>
      </w:r>
      <w:r w:rsidR="000B0137" w:rsidRPr="00FC6087">
        <w:rPr>
          <w:color w:val="000000" w:themeColor="text1"/>
        </w:rPr>
        <w:t>HIT</w:t>
      </w:r>
      <w:r w:rsidRPr="00FC6087">
        <w:rPr>
          <w:color w:val="000000" w:themeColor="text1"/>
        </w:rPr>
        <w:t xml:space="preserve"> knowledge. Additionally, in a field of research that consists of many qualitative studies, this</w:t>
      </w:r>
      <w:r w:rsidR="00D31194">
        <w:rPr>
          <w:color w:val="000000" w:themeColor="text1"/>
        </w:rPr>
        <w:t xml:space="preserve"> </w:t>
      </w:r>
      <w:r w:rsidR="00B2721E" w:rsidRPr="00FC6087">
        <w:t>research</w:t>
      </w:r>
      <w:r w:rsidR="00D31194">
        <w:t xml:space="preserve"> </w:t>
      </w:r>
      <w:r w:rsidRPr="00FC6087">
        <w:rPr>
          <w:color w:val="000000" w:themeColor="text1"/>
        </w:rPr>
        <w:t xml:space="preserve">is highly quantitative and, therefore, uniquely informative. The various motivators and barriers were not merely ascertained or inquired about, but were modeled, providing a deeper understanding of the </w:t>
      </w:r>
      <w:r w:rsidRPr="00FC6087">
        <w:rPr>
          <w:color w:val="000000" w:themeColor="text1"/>
        </w:rPr>
        <w:lastRenderedPageBreak/>
        <w:t xml:space="preserve">interrelatedness of the various factors and how they affect HIT adoption. Hopefully, this research will spur a new wave of quantitative analyses in this field. The effects of such </w:t>
      </w:r>
      <w:r w:rsidR="00B9788B" w:rsidRPr="00FC6087">
        <w:rPr>
          <w:color w:val="000000" w:themeColor="text1"/>
        </w:rPr>
        <w:t>analyses</w:t>
      </w:r>
      <w:r w:rsidRPr="00FC6087">
        <w:rPr>
          <w:color w:val="000000" w:themeColor="text1"/>
        </w:rPr>
        <w:t xml:space="preserve"> would be a greater understanding of HIT adoption, leading to a greater ability to motivate individuals to use it, which could drastically revolutionize healthcare, thereby improving the quality of life for many thousands or even millions of people.</w:t>
      </w:r>
    </w:p>
    <w:p w14:paraId="7D516C29" w14:textId="77777777" w:rsidR="00FD4D49" w:rsidRPr="00FC6087" w:rsidRDefault="00FD4D49" w:rsidP="00FD4D49">
      <w:pPr>
        <w:pStyle w:val="APAParagraph"/>
        <w:rPr>
          <w:color w:val="000000" w:themeColor="text1"/>
        </w:rPr>
      </w:pPr>
      <w:r w:rsidRPr="00FC6087">
        <w:rPr>
          <w:color w:val="000000" w:themeColor="text1"/>
        </w:rPr>
        <w:t xml:space="preserve">Practically, these outcomes are of </w:t>
      </w:r>
      <w:r w:rsidR="00B2304F" w:rsidRPr="00FC6087">
        <w:rPr>
          <w:color w:val="000000" w:themeColor="text1"/>
        </w:rPr>
        <w:t>great</w:t>
      </w:r>
      <w:r w:rsidRPr="00FC6087">
        <w:rPr>
          <w:color w:val="000000" w:themeColor="text1"/>
        </w:rPr>
        <w:t xml:space="preserve"> importance both </w:t>
      </w:r>
      <w:r w:rsidR="00B9788B" w:rsidRPr="00FC6087">
        <w:rPr>
          <w:color w:val="000000" w:themeColor="text1"/>
        </w:rPr>
        <w:t xml:space="preserve">to </w:t>
      </w:r>
      <w:r w:rsidRPr="00FC6087">
        <w:rPr>
          <w:color w:val="000000" w:themeColor="text1"/>
        </w:rPr>
        <w:t>policy</w:t>
      </w:r>
      <w:r w:rsidR="00B9788B" w:rsidRPr="00FC6087">
        <w:rPr>
          <w:color w:val="000000" w:themeColor="text1"/>
        </w:rPr>
        <w:t>-</w:t>
      </w:r>
      <w:r w:rsidRPr="00FC6087">
        <w:rPr>
          <w:color w:val="000000" w:themeColor="text1"/>
        </w:rPr>
        <w:t>makers and medical professionals, as they are the ones who must address the dynamic nature of today’s healthcare, from ongoing increases in the cost of healthcare to rapid demographic shifts, and still provide high-quality care to patients. In this dynamic environment, technology will prove essential to providing such care</w:t>
      </w:r>
      <w:r w:rsidR="000B58DB" w:rsidRPr="00FC6087">
        <w:rPr>
          <w:color w:val="000000" w:themeColor="text1"/>
        </w:rPr>
        <w:t>;</w:t>
      </w:r>
      <w:r w:rsidRPr="00FC6087">
        <w:rPr>
          <w:color w:val="000000" w:themeColor="text1"/>
        </w:rPr>
        <w:t xml:space="preserve"> policy</w:t>
      </w:r>
      <w:r w:rsidR="00B9788B" w:rsidRPr="00FC6087">
        <w:rPr>
          <w:color w:val="000000" w:themeColor="text1"/>
        </w:rPr>
        <w:t>-</w:t>
      </w:r>
      <w:r w:rsidRPr="00FC6087">
        <w:rPr>
          <w:color w:val="000000" w:themeColor="text1"/>
        </w:rPr>
        <w:t>makers and healthcare providers must be aware of these important technologies and willing to use them their fullest extent. However, using them to their fullest extent also requires being able to overcome their many barriers. By understanding what successfully motivates and hinders HIT adoption in the UAE, we can better equip and educate policy makers and providers and, through their example, help other countries and organizations make similar progress in implementing these useful technologies in healthcare.</w:t>
      </w:r>
    </w:p>
    <w:p w14:paraId="7D516C2A" w14:textId="77777777" w:rsidR="00FD4D49" w:rsidRPr="00FC6087" w:rsidRDefault="00FD4D49" w:rsidP="00FD4D49">
      <w:pPr>
        <w:pStyle w:val="APAParagraph"/>
        <w:rPr>
          <w:color w:val="000000" w:themeColor="text1"/>
        </w:rPr>
      </w:pPr>
      <w:r w:rsidRPr="00FC6087">
        <w:rPr>
          <w:color w:val="000000" w:themeColor="text1"/>
        </w:rPr>
        <w:t>Alsadan et al. (2015) argue</w:t>
      </w:r>
      <w:r w:rsidR="000B58DB" w:rsidRPr="00FC6087">
        <w:rPr>
          <w:color w:val="000000" w:themeColor="text1"/>
        </w:rPr>
        <w:t>d</w:t>
      </w:r>
      <w:r w:rsidRPr="00FC6087">
        <w:rPr>
          <w:color w:val="000000" w:themeColor="text1"/>
        </w:rPr>
        <w:t xml:space="preserve"> that significant barrier</w:t>
      </w:r>
      <w:r w:rsidR="0063660E" w:rsidRPr="00FC6087">
        <w:rPr>
          <w:color w:val="000000" w:themeColor="text1"/>
        </w:rPr>
        <w:t>s</w:t>
      </w:r>
      <w:r w:rsidRPr="00FC6087">
        <w:rPr>
          <w:color w:val="000000" w:themeColor="text1"/>
        </w:rPr>
        <w:t>, at least in Arab countries, to HIT adoption are funding gaps and low professionalism</w:t>
      </w:r>
      <w:r w:rsidR="0063660E" w:rsidRPr="00FC6087">
        <w:rPr>
          <w:color w:val="000000" w:themeColor="text1"/>
        </w:rPr>
        <w:t>,</w:t>
      </w:r>
      <w:r w:rsidRPr="00FC6087">
        <w:rPr>
          <w:color w:val="000000" w:themeColor="text1"/>
        </w:rPr>
        <w:t xml:space="preserve"> despite the substantial financial resources. The findings of this </w:t>
      </w:r>
      <w:r w:rsidR="00B2721E" w:rsidRPr="00FC6087">
        <w:rPr>
          <w:color w:val="000000" w:themeColor="text1"/>
        </w:rPr>
        <w:t>research</w:t>
      </w:r>
      <w:r w:rsidRPr="00FC6087">
        <w:rPr>
          <w:color w:val="000000" w:themeColor="text1"/>
        </w:rPr>
        <w:t xml:space="preserve"> do suggest that financial support is a key motivator, but so are other aspects of governmental </w:t>
      </w:r>
      <w:r w:rsidRPr="00FC6087">
        <w:rPr>
          <w:color w:val="000000" w:themeColor="text1"/>
        </w:rPr>
        <w:lastRenderedPageBreak/>
        <w:t>support, such as strategy and vision. Therefore, it is not enough to have financial resources</w:t>
      </w:r>
      <w:r w:rsidR="0063660E" w:rsidRPr="00FC6087">
        <w:rPr>
          <w:color w:val="000000" w:themeColor="text1"/>
        </w:rPr>
        <w:t>;</w:t>
      </w:r>
      <w:r w:rsidRPr="00FC6087">
        <w:rPr>
          <w:color w:val="000000" w:themeColor="text1"/>
        </w:rPr>
        <w:t xml:space="preserve"> governments (and/or hospital administrators) must </w:t>
      </w:r>
      <w:r w:rsidR="00D703EA" w:rsidRPr="00FC6087">
        <w:rPr>
          <w:color w:val="000000" w:themeColor="text1"/>
        </w:rPr>
        <w:t>fully understand,</w:t>
      </w:r>
      <w:r w:rsidRPr="00FC6087">
        <w:rPr>
          <w:color w:val="000000" w:themeColor="text1"/>
        </w:rPr>
        <w:t xml:space="preserve"> and plan how to use</w:t>
      </w:r>
      <w:r w:rsidR="00D703EA" w:rsidRPr="00FC6087">
        <w:rPr>
          <w:color w:val="000000" w:themeColor="text1"/>
        </w:rPr>
        <w:t>,</w:t>
      </w:r>
      <w:r w:rsidRPr="00FC6087">
        <w:rPr>
          <w:color w:val="000000" w:themeColor="text1"/>
        </w:rPr>
        <w:t xml:space="preserve"> these resources effectively. Further, it is important that such vision and strategy come</w:t>
      </w:r>
      <w:r w:rsidR="00D703EA" w:rsidRPr="00FC6087">
        <w:rPr>
          <w:color w:val="000000" w:themeColor="text1"/>
        </w:rPr>
        <w:t>s</w:t>
      </w:r>
      <w:r w:rsidRPr="00FC6087">
        <w:rPr>
          <w:color w:val="000000" w:themeColor="text1"/>
        </w:rPr>
        <w:t xml:space="preserve"> from the top down, whether from the government or hospital administrators</w:t>
      </w:r>
      <w:r w:rsidR="00D703EA" w:rsidRPr="00FC6087">
        <w:rPr>
          <w:color w:val="000000" w:themeColor="text1"/>
        </w:rPr>
        <w:t>.</w:t>
      </w:r>
      <w:r w:rsidRPr="00FC6087">
        <w:rPr>
          <w:color w:val="000000" w:themeColor="text1"/>
        </w:rPr>
        <w:t xml:space="preserve"> An important area of strategic investment is the professional development of medical professionals. In particular, governments and administrators should ensure that medical professionals have access to relevant knowledge, whether digital access to medical libraries, </w:t>
      </w:r>
      <w:r w:rsidR="0072410D" w:rsidRPr="00FC6087">
        <w:rPr>
          <w:color w:val="000000" w:themeColor="text1"/>
        </w:rPr>
        <w:t xml:space="preserve">access </w:t>
      </w:r>
      <w:r w:rsidRPr="00FC6087">
        <w:rPr>
          <w:color w:val="000000" w:themeColor="text1"/>
        </w:rPr>
        <w:t xml:space="preserve">to local medical schools and new cases, or </w:t>
      </w:r>
      <w:r w:rsidR="0072410D" w:rsidRPr="00FC6087">
        <w:rPr>
          <w:color w:val="000000" w:themeColor="text1"/>
        </w:rPr>
        <w:t xml:space="preserve">access </w:t>
      </w:r>
      <w:r w:rsidRPr="00FC6087">
        <w:rPr>
          <w:color w:val="000000" w:themeColor="text1"/>
        </w:rPr>
        <w:t>to career development centers.</w:t>
      </w:r>
    </w:p>
    <w:p w14:paraId="7D516C2B" w14:textId="77777777" w:rsidR="00FD4D49" w:rsidRPr="00FC6087" w:rsidRDefault="00FD4D49" w:rsidP="00FD4D49">
      <w:pPr>
        <w:pStyle w:val="APAParagraph"/>
        <w:rPr>
          <w:color w:val="000000" w:themeColor="text1"/>
        </w:rPr>
      </w:pPr>
      <w:r w:rsidRPr="00FC6087">
        <w:rPr>
          <w:color w:val="000000" w:themeColor="text1"/>
        </w:rPr>
        <w:t xml:space="preserve">Another key area to target is information infrastructure and security. Medical records are extremely private and sensitive. Patients do not want their private records hacked or exposed. This would be a huge breach of confidentiality and would considerably damage the reputation of the provider who had been managing that data. Therefore, hospitals and other managers of patient records ought to be concerned with the security of the technologies they use, both for the sake of patient privacy </w:t>
      </w:r>
      <w:r w:rsidR="0072410D" w:rsidRPr="00FC6087">
        <w:rPr>
          <w:color w:val="000000" w:themeColor="text1"/>
        </w:rPr>
        <w:t>and</w:t>
      </w:r>
      <w:r w:rsidRPr="00FC6087">
        <w:rPr>
          <w:color w:val="000000" w:themeColor="text1"/>
        </w:rPr>
        <w:t xml:space="preserve"> also for their reputation and the reputation of health technologies in general as individuals will not use technologies if they doubt their security. Therefore, as an increasing number of hospitals continue to move towards digitizing their patient records, they are advised to invest time and money into building or buying the most secure technologies for storing and sharing those records. While this could prove a significant time and monetary investment on the </w:t>
      </w:r>
      <w:r w:rsidRPr="00FC6087">
        <w:rPr>
          <w:color w:val="000000" w:themeColor="text1"/>
        </w:rPr>
        <w:lastRenderedPageBreak/>
        <w:t xml:space="preserve">front-end, the benefits (patient privacy, better reputation, </w:t>
      </w:r>
      <w:r w:rsidR="00CA64FF" w:rsidRPr="00FC6087">
        <w:rPr>
          <w:color w:val="000000" w:themeColor="text1"/>
        </w:rPr>
        <w:t xml:space="preserve">and </w:t>
      </w:r>
      <w:r w:rsidRPr="00FC6087">
        <w:rPr>
          <w:color w:val="000000" w:themeColor="text1"/>
        </w:rPr>
        <w:t xml:space="preserve">increased usage of HIT, </w:t>
      </w:r>
      <w:r w:rsidR="00CA64FF" w:rsidRPr="00FC6087">
        <w:rPr>
          <w:color w:val="000000" w:themeColor="text1"/>
        </w:rPr>
        <w:t xml:space="preserve">all </w:t>
      </w:r>
      <w:r w:rsidRPr="00FC6087">
        <w:rPr>
          <w:color w:val="000000" w:themeColor="text1"/>
        </w:rPr>
        <w:t>leading to improved care quality) would be worth it.</w:t>
      </w:r>
    </w:p>
    <w:p w14:paraId="7D516C2C" w14:textId="77777777" w:rsidR="00FD4D49" w:rsidRPr="00FC6087" w:rsidRDefault="00FD4D49" w:rsidP="00FD4D49">
      <w:pPr>
        <w:pStyle w:val="APAParagraph"/>
        <w:rPr>
          <w:color w:val="000000" w:themeColor="text1"/>
        </w:rPr>
      </w:pPr>
      <w:r w:rsidRPr="00FC6087">
        <w:rPr>
          <w:color w:val="000000" w:themeColor="text1"/>
        </w:rPr>
        <w:t xml:space="preserve">A </w:t>
      </w:r>
      <w:r w:rsidR="00CA64FF" w:rsidRPr="00FC6087">
        <w:rPr>
          <w:color w:val="000000" w:themeColor="text1"/>
        </w:rPr>
        <w:t>final</w:t>
      </w:r>
      <w:r w:rsidRPr="00FC6087">
        <w:rPr>
          <w:color w:val="000000" w:themeColor="text1"/>
        </w:rPr>
        <w:t xml:space="preserve"> key area of investment to be addressed is the usability of the technology itself. For HIT technologies to </w:t>
      </w:r>
      <w:r w:rsidR="0099206F" w:rsidRPr="00FC6087">
        <w:rPr>
          <w:color w:val="000000" w:themeColor="text1"/>
        </w:rPr>
        <w:t xml:space="preserve">enjoy </w:t>
      </w:r>
      <w:r w:rsidRPr="00FC6087">
        <w:rPr>
          <w:color w:val="000000" w:themeColor="text1"/>
        </w:rPr>
        <w:t>widespread use, they must first be accessible. Further, they must be cheap enough to be widely distributed and user-friendly enough to be used by someone with even the poorest of computer skills. However, that is only half the battle. For patients to buy in, they need to be confident that healthcare providers can adequately use the technologies. This means that technology developers must design these technologies with users—particularly hospital staff—in mind. However, the burden also falls on hospitals to train their staff and ensure a culture than encourages the use of these technologies. Finally, a joint effort between staff and developers is required to maintain these technologies and ensure their longevity. No one, whether patient or staff, wants to invest hours in learning new technologies (and possibly suffering weeks or months of under-productivity, as the learning curve levels off) only to have it replaced months or years later by something newer. Thus, intentional efforts must be made to ensure the long-term utility and usability of these technologies.</w:t>
      </w:r>
    </w:p>
    <w:p w14:paraId="7D516C2D" w14:textId="11191C18" w:rsidR="00FD4D49" w:rsidRPr="00FC6087" w:rsidRDefault="00FD4D49" w:rsidP="00FD4D49">
      <w:pPr>
        <w:pStyle w:val="APAParagraph"/>
        <w:rPr>
          <w:color w:val="000000" w:themeColor="text1"/>
        </w:rPr>
      </w:pPr>
      <w:r w:rsidRPr="00FC6087">
        <w:rPr>
          <w:color w:val="000000" w:themeColor="text1"/>
        </w:rPr>
        <w:t xml:space="preserve">The same holds true for every suggestion mentioned in the present </w:t>
      </w:r>
      <w:r w:rsidR="00B2721E" w:rsidRPr="00FC6087">
        <w:rPr>
          <w:color w:val="000000" w:themeColor="text1"/>
        </w:rPr>
        <w:t>research</w:t>
      </w:r>
      <w:r w:rsidRPr="00FC6087">
        <w:rPr>
          <w:color w:val="000000" w:themeColor="text1"/>
        </w:rPr>
        <w:t xml:space="preserve">, from improving data security to increasing access to professional development, ensuring the usability and longevity of technology to building cultures that support the use of these technologies, and the legislation to enable foreign trade to liability concerns. Given the numerous benefits associated with HIT usage </w:t>
      </w:r>
      <w:r w:rsidRPr="00FC6087">
        <w:rPr>
          <w:color w:val="000000" w:themeColor="text1"/>
        </w:rPr>
        <w:lastRenderedPageBreak/>
        <w:t>(Ahmadi et al., 201</w:t>
      </w:r>
      <w:r w:rsidR="00D31194">
        <w:rPr>
          <w:color w:val="000000" w:themeColor="text1"/>
        </w:rPr>
        <w:t>7</w:t>
      </w:r>
      <w:r w:rsidRPr="00FC6087">
        <w:rPr>
          <w:color w:val="000000" w:themeColor="text1"/>
        </w:rPr>
        <w:t>; Alsadan et al., 2015; Ayatollahi et al., 2016; Black et al., 2011; Chang et al., 2006; Ehteshami et al., 2013; Kruse</w:t>
      </w:r>
      <w:r w:rsidR="005E7A62">
        <w:rPr>
          <w:color w:val="000000" w:themeColor="text1"/>
        </w:rPr>
        <w:t xml:space="preserve"> &amp; </w:t>
      </w:r>
      <w:r w:rsidRPr="00FC6087">
        <w:rPr>
          <w:color w:val="000000" w:themeColor="text1"/>
        </w:rPr>
        <w:t xml:space="preserve">Beane, 2018; Ojo et al., 2007; Shekelle et al., 2006; Wang et al., 2018), it is of vital importance these suggestions be taken seriously. Only </w:t>
      </w:r>
      <w:r w:rsidR="00E9461A" w:rsidRPr="00FC6087">
        <w:rPr>
          <w:color w:val="000000" w:themeColor="text1"/>
        </w:rPr>
        <w:t>through</w:t>
      </w:r>
      <w:r w:rsidRPr="00FC6087">
        <w:rPr>
          <w:color w:val="000000" w:themeColor="text1"/>
        </w:rPr>
        <w:t xml:space="preserve"> intentional efforts to overcome the present barriers and motivate individuals to use HIT can the full value of these technologies be realized, that is, the transformation of healthcare to provide more efficient, timely, and high-quality care.</w:t>
      </w:r>
    </w:p>
    <w:p w14:paraId="7D516C2E" w14:textId="77777777" w:rsidR="00FD4D49" w:rsidRPr="00FC6087" w:rsidRDefault="00D31194" w:rsidP="00FD4D49">
      <w:pPr>
        <w:pStyle w:val="APAParagraph"/>
        <w:rPr>
          <w:color w:val="000000" w:themeColor="text1"/>
        </w:rPr>
      </w:pPr>
      <w:r w:rsidRPr="00FC6087">
        <w:rPr>
          <w:color w:val="000000" w:themeColor="text1"/>
        </w:rPr>
        <w:t>These</w:t>
      </w:r>
      <w:r w:rsidR="00FD4D49" w:rsidRPr="00FC6087">
        <w:rPr>
          <w:color w:val="000000" w:themeColor="text1"/>
        </w:rPr>
        <w:t xml:space="preserve"> results also show that, </w:t>
      </w:r>
      <w:r w:rsidR="00B2304F" w:rsidRPr="00FC6087">
        <w:rPr>
          <w:color w:val="000000" w:themeColor="text1"/>
        </w:rPr>
        <w:t>regarding</w:t>
      </w:r>
      <w:r w:rsidR="00FD4D49" w:rsidRPr="00FC6087">
        <w:rPr>
          <w:color w:val="000000" w:themeColor="text1"/>
        </w:rPr>
        <w:t xml:space="preserve"> e-health systems, the healthcare landscape supports coordination among healthcare organizations across the UAE and is ever-evolving, showing </w:t>
      </w:r>
      <w:r w:rsidR="00E9461A" w:rsidRPr="00FC6087">
        <w:rPr>
          <w:color w:val="000000" w:themeColor="text1"/>
        </w:rPr>
        <w:t>several</w:t>
      </w:r>
      <w:r w:rsidR="00FD4D49" w:rsidRPr="00FC6087">
        <w:rPr>
          <w:color w:val="000000" w:themeColor="text1"/>
        </w:rPr>
        <w:t xml:space="preserve"> emergent features. This evolution seems to be the result of four particular development directions: (1) top-down influence at the national level through HIT adoption programs (e.g. Wequaya), directions for development, and governance of information; (2) local priorities for better cooperation between organizations; (3) increased patient awareness, creating bottom-up pressure to improve the system; and (4) IT policies and strategies that create a resilient infrastructure able to cope with the emerging top-down, bottom-up, and local demands and priorities. As such, this </w:t>
      </w:r>
      <w:r w:rsidR="00B2721E" w:rsidRPr="00FC6087">
        <w:rPr>
          <w:color w:val="000000" w:themeColor="text1"/>
        </w:rPr>
        <w:t xml:space="preserve">research </w:t>
      </w:r>
      <w:r w:rsidR="00FD4D49" w:rsidRPr="00FC6087">
        <w:rPr>
          <w:color w:val="000000" w:themeColor="text1"/>
        </w:rPr>
        <w:t xml:space="preserve">ought to be considered a starting point for further discussion on the benefits both </w:t>
      </w:r>
      <w:r w:rsidR="00013A19" w:rsidRPr="00FC6087">
        <w:rPr>
          <w:color w:val="000000" w:themeColor="text1"/>
        </w:rPr>
        <w:t xml:space="preserve">of </w:t>
      </w:r>
      <w:r w:rsidR="00FD4D49" w:rsidRPr="00FC6087">
        <w:rPr>
          <w:color w:val="000000" w:themeColor="text1"/>
        </w:rPr>
        <w:t>top-down and bottom-up perspectives and which perspective(s) the UAE’s e-health system should consider. Based on this work, they ought to consider both, in addition to middle-level perspectives.</w:t>
      </w:r>
    </w:p>
    <w:p w14:paraId="7D516C2F" w14:textId="77777777" w:rsidR="00FD4D49" w:rsidRPr="00FC6087" w:rsidRDefault="00FD4D49" w:rsidP="00FD4D49">
      <w:pPr>
        <w:pStyle w:val="APAParagraph"/>
        <w:rPr>
          <w:color w:val="000000" w:themeColor="text1"/>
        </w:rPr>
      </w:pPr>
      <w:r w:rsidRPr="00FC6087">
        <w:rPr>
          <w:color w:val="000000" w:themeColor="text1"/>
        </w:rPr>
        <w:lastRenderedPageBreak/>
        <w:t xml:space="preserve">Not only do the present findings suggest what decision levels to consider, they </w:t>
      </w:r>
      <w:r w:rsidR="00E90970" w:rsidRPr="00FC6087">
        <w:rPr>
          <w:color w:val="000000" w:themeColor="text1"/>
        </w:rPr>
        <w:t xml:space="preserve">also </w:t>
      </w:r>
      <w:r w:rsidRPr="00FC6087">
        <w:rPr>
          <w:color w:val="000000" w:themeColor="text1"/>
        </w:rPr>
        <w:t xml:space="preserve">offer some suggestions on what avenues to pursue and barriers to target </w:t>
      </w:r>
      <w:r w:rsidR="00E90970" w:rsidRPr="00FC6087">
        <w:rPr>
          <w:color w:val="000000" w:themeColor="text1"/>
        </w:rPr>
        <w:t>to</w:t>
      </w:r>
      <w:r w:rsidRPr="00FC6087">
        <w:rPr>
          <w:color w:val="000000" w:themeColor="text1"/>
        </w:rPr>
        <w:t xml:space="preserve"> improv</w:t>
      </w:r>
      <w:r w:rsidR="00E90970" w:rsidRPr="00FC6087">
        <w:rPr>
          <w:color w:val="000000" w:themeColor="text1"/>
        </w:rPr>
        <w:t>e</w:t>
      </w:r>
      <w:r w:rsidRPr="00FC6087">
        <w:rPr>
          <w:color w:val="000000" w:themeColor="text1"/>
        </w:rPr>
        <w:t xml:space="preserve"> the healthcare system. First, as previously mentioned, top-down governmental involvement and support are crucial. For countries </w:t>
      </w:r>
      <w:r w:rsidR="00E90970" w:rsidRPr="00FC6087">
        <w:rPr>
          <w:color w:val="000000" w:themeColor="text1"/>
        </w:rPr>
        <w:t>seeking</w:t>
      </w:r>
      <w:r w:rsidRPr="00FC6087">
        <w:rPr>
          <w:color w:val="000000" w:themeColor="text1"/>
        </w:rPr>
        <w:t xml:space="preserve"> to improve their healthcare systems, particularly in terms of e-health, they are advised to follow </w:t>
      </w:r>
      <w:r w:rsidR="00E90970" w:rsidRPr="00FC6087">
        <w:rPr>
          <w:color w:val="000000" w:themeColor="text1"/>
        </w:rPr>
        <w:t xml:space="preserve">the </w:t>
      </w:r>
      <w:r w:rsidRPr="00FC6087">
        <w:rPr>
          <w:color w:val="000000" w:themeColor="text1"/>
        </w:rPr>
        <w:t xml:space="preserve">UAE’s lead to create a nationwide vision to improve healthcare and be willing to devote resources of time, money, and planning to see that vision realized. The UAE has been a prominent example of healthcare technology growth, especially in the Arab world, with its Vision 2021. Arguably, a large part of why the HIT sector has seen such growth in the UAE is </w:t>
      </w:r>
      <w:r w:rsidR="00292F15" w:rsidRPr="00FC6087">
        <w:rPr>
          <w:color w:val="000000" w:themeColor="text1"/>
        </w:rPr>
        <w:t>due</w:t>
      </w:r>
      <w:r w:rsidRPr="00FC6087">
        <w:rPr>
          <w:color w:val="000000" w:themeColor="text1"/>
        </w:rPr>
        <w:t xml:space="preserve"> to the strategic involvement of the government in creating, enacting, and funding policies and initiatives that work towards the realization of this vision. In this</w:t>
      </w:r>
      <w:r w:rsidR="00D31194" w:rsidRPr="00FC6087">
        <w:rPr>
          <w:color w:val="000000" w:themeColor="text1"/>
        </w:rPr>
        <w:t xml:space="preserve"> </w:t>
      </w:r>
      <w:r w:rsidRPr="00FC6087">
        <w:rPr>
          <w:color w:val="000000" w:themeColor="text1"/>
        </w:rPr>
        <w:t xml:space="preserve">respect, the UAE can be seen as a model to </w:t>
      </w:r>
      <w:r w:rsidR="00292F15" w:rsidRPr="00FC6087">
        <w:rPr>
          <w:color w:val="000000" w:themeColor="text1"/>
        </w:rPr>
        <w:t>neighboring</w:t>
      </w:r>
      <w:r w:rsidRPr="00FC6087">
        <w:rPr>
          <w:color w:val="000000" w:themeColor="text1"/>
        </w:rPr>
        <w:t xml:space="preserve"> nations</w:t>
      </w:r>
      <w:r w:rsidR="00292F15" w:rsidRPr="00FC6087">
        <w:rPr>
          <w:color w:val="000000" w:themeColor="text1"/>
        </w:rPr>
        <w:t>,</w:t>
      </w:r>
      <w:r w:rsidRPr="00FC6087">
        <w:rPr>
          <w:color w:val="000000" w:themeColor="text1"/>
        </w:rPr>
        <w:t xml:space="preserve"> and even to nations and organizations worldwide</w:t>
      </w:r>
      <w:r w:rsidR="00292F15" w:rsidRPr="00FC6087">
        <w:rPr>
          <w:color w:val="000000" w:themeColor="text1"/>
        </w:rPr>
        <w:t>,</w:t>
      </w:r>
      <w:r w:rsidR="00D31194" w:rsidRPr="00FC6087">
        <w:rPr>
          <w:color w:val="000000" w:themeColor="text1"/>
        </w:rPr>
        <w:t xml:space="preserve"> </w:t>
      </w:r>
      <w:r w:rsidR="00A35D42" w:rsidRPr="00FC6087">
        <w:rPr>
          <w:color w:val="000000" w:themeColor="text1"/>
        </w:rPr>
        <w:t>of</w:t>
      </w:r>
      <w:r w:rsidRPr="00FC6087">
        <w:rPr>
          <w:color w:val="000000" w:themeColor="text1"/>
        </w:rPr>
        <w:t xml:space="preserve"> how to stimulate </w:t>
      </w:r>
      <w:r w:rsidR="00A35D42" w:rsidRPr="00FC6087">
        <w:rPr>
          <w:color w:val="000000" w:themeColor="text1"/>
        </w:rPr>
        <w:t xml:space="preserve">effectively </w:t>
      </w:r>
      <w:r w:rsidRPr="00FC6087">
        <w:rPr>
          <w:color w:val="000000" w:themeColor="text1"/>
        </w:rPr>
        <w:t xml:space="preserve">the HIT sector to improve HIT adoption. </w:t>
      </w:r>
    </w:p>
    <w:p w14:paraId="7D516C30" w14:textId="77777777" w:rsidR="00FD4D49" w:rsidRPr="00FC6087" w:rsidRDefault="00244BF2" w:rsidP="00FD4D49">
      <w:pPr>
        <w:pStyle w:val="Heading1"/>
        <w:rPr>
          <w:color w:val="000000" w:themeColor="text1"/>
        </w:rPr>
      </w:pPr>
      <w:bookmarkStart w:id="166" w:name="_Toc24447816"/>
      <w:r w:rsidRPr="00FC6087">
        <w:rPr>
          <w:color w:val="000000" w:themeColor="text1"/>
        </w:rPr>
        <w:t xml:space="preserve">6.2. </w:t>
      </w:r>
      <w:r w:rsidR="00FD4D49" w:rsidRPr="00FC6087">
        <w:rPr>
          <w:color w:val="000000" w:themeColor="text1"/>
        </w:rPr>
        <w:t xml:space="preserve">Motivators for HIT </w:t>
      </w:r>
      <w:r w:rsidR="00A35D42" w:rsidRPr="00FC6087">
        <w:rPr>
          <w:color w:val="000000" w:themeColor="text1"/>
        </w:rPr>
        <w:t>A</w:t>
      </w:r>
      <w:r w:rsidR="00FD4D49" w:rsidRPr="00FC6087">
        <w:rPr>
          <w:color w:val="000000" w:themeColor="text1"/>
        </w:rPr>
        <w:t>doption</w:t>
      </w:r>
      <w:bookmarkEnd w:id="166"/>
    </w:p>
    <w:p w14:paraId="7D516C31" w14:textId="77777777" w:rsidR="00FD4D49" w:rsidRPr="00FC6087" w:rsidRDefault="00FD4D49" w:rsidP="00FD4D49">
      <w:pPr>
        <w:pStyle w:val="APAParagraph"/>
        <w:rPr>
          <w:color w:val="000000" w:themeColor="text1"/>
        </w:rPr>
      </w:pPr>
      <w:r w:rsidRPr="00FC6087">
        <w:rPr>
          <w:color w:val="000000" w:themeColor="text1"/>
        </w:rPr>
        <w:t xml:space="preserve">This transition of UAE’s healthcare system has not been without challenges, and this ambitious vision will not be met without facing further significant challenges. The region has faced myriad health and health-related problems, such as high incidences of cardiovascular diseases and cancers, rising numbers of congenital diseases, and the dramatically increased prevalence of obesity and </w:t>
      </w:r>
      <w:r w:rsidRPr="00FC6087">
        <w:rPr>
          <w:color w:val="000000" w:themeColor="text1"/>
        </w:rPr>
        <w:lastRenderedPageBreak/>
        <w:t>metabolic syndromes brought on by an increasingly affluent and sedentary lifestyle, all of which place high demands and pressures on the limited healthcare resources, thereby creating the need for the development and use of HIT and for partnership with the international community.</w:t>
      </w:r>
    </w:p>
    <w:p w14:paraId="7D516C32" w14:textId="77777777" w:rsidR="00FD4D49" w:rsidRPr="00FC6087" w:rsidRDefault="00FD4D49" w:rsidP="00FD4D49">
      <w:pPr>
        <w:pStyle w:val="APAParagraph"/>
        <w:rPr>
          <w:color w:val="000000" w:themeColor="text1"/>
        </w:rPr>
      </w:pPr>
      <w:r w:rsidRPr="00FC6087">
        <w:rPr>
          <w:color w:val="000000" w:themeColor="text1"/>
        </w:rPr>
        <w:t xml:space="preserve">This </w:t>
      </w:r>
      <w:r w:rsidR="00B2721E" w:rsidRPr="00FC6087">
        <w:rPr>
          <w:color w:val="000000" w:themeColor="text1"/>
        </w:rPr>
        <w:t xml:space="preserve">research </w:t>
      </w:r>
      <w:r w:rsidR="00A35D42" w:rsidRPr="00FC6087">
        <w:rPr>
          <w:color w:val="000000" w:themeColor="text1"/>
        </w:rPr>
        <w:t xml:space="preserve">has </w:t>
      </w:r>
      <w:r w:rsidRPr="00FC6087">
        <w:rPr>
          <w:color w:val="000000" w:themeColor="text1"/>
        </w:rPr>
        <w:t xml:space="preserve">identified and explored the motivators </w:t>
      </w:r>
      <w:r w:rsidR="0041248D" w:rsidRPr="00FC6087">
        <w:rPr>
          <w:color w:val="000000" w:themeColor="text1"/>
        </w:rPr>
        <w:t>for</w:t>
      </w:r>
      <w:r w:rsidRPr="00FC6087">
        <w:rPr>
          <w:color w:val="000000" w:themeColor="text1"/>
        </w:rPr>
        <w:t xml:space="preserve"> HIT adoption in the UAE from the perspective of four stakeholder categories, namely providers, patients, residents, and accredited future foresight experts. Considering that foresight experts have never been included in such models by previous research, the relevance of </w:t>
      </w:r>
      <w:r w:rsidR="00A35D42" w:rsidRPr="00FC6087">
        <w:rPr>
          <w:color w:val="000000" w:themeColor="text1"/>
        </w:rPr>
        <w:t>the</w:t>
      </w:r>
      <w:r w:rsidRPr="00FC6087">
        <w:rPr>
          <w:color w:val="000000" w:themeColor="text1"/>
        </w:rPr>
        <w:t xml:space="preserve"> findings from a theoretical viewpoint lies in filling in an important knowledge gap in HIT research. Furthermore, practically, the outcomes are of interest both </w:t>
      </w:r>
      <w:r w:rsidR="00A35D42" w:rsidRPr="00FC6087">
        <w:rPr>
          <w:color w:val="000000" w:themeColor="text1"/>
        </w:rPr>
        <w:t xml:space="preserve">for </w:t>
      </w:r>
      <w:r w:rsidRPr="00FC6087">
        <w:rPr>
          <w:color w:val="000000" w:themeColor="text1"/>
        </w:rPr>
        <w:t>policy</w:t>
      </w:r>
      <w:r w:rsidR="00A35D42" w:rsidRPr="00FC6087">
        <w:rPr>
          <w:color w:val="000000" w:themeColor="text1"/>
        </w:rPr>
        <w:t>-</w:t>
      </w:r>
      <w:r w:rsidRPr="00FC6087">
        <w:rPr>
          <w:color w:val="000000" w:themeColor="text1"/>
        </w:rPr>
        <w:t>makers and medical professionals, as they must address the ongoing increases in the cost of healthcare and rapid demographic shifts and, thus, need to improve the quality of the care delivered to patients via technology-based innovation. By understanding what successfully motivates HIT adoption in the UAE, we can better help other countries and organizations make similar progress by enhancing the implementation of useful technologies in healthcare.</w:t>
      </w:r>
    </w:p>
    <w:p w14:paraId="7D516C33" w14:textId="77777777" w:rsidR="00FD4D49" w:rsidRPr="00FC6087" w:rsidRDefault="00F01E4A" w:rsidP="00FD4D49">
      <w:pPr>
        <w:pStyle w:val="APAParagraph"/>
        <w:rPr>
          <w:color w:val="000000" w:themeColor="text1"/>
        </w:rPr>
      </w:pPr>
      <w:r w:rsidRPr="00FC6087">
        <w:rPr>
          <w:color w:val="000000" w:themeColor="text1"/>
        </w:rPr>
        <w:t>Two</w:t>
      </w:r>
      <w:r w:rsidR="00FD4D49" w:rsidRPr="00FC6087">
        <w:rPr>
          <w:color w:val="000000" w:themeColor="text1"/>
        </w:rPr>
        <w:t xml:space="preserve"> key funding-related questions show</w:t>
      </w:r>
      <w:r w:rsidR="000E5D2F" w:rsidRPr="00FC6087">
        <w:rPr>
          <w:color w:val="000000" w:themeColor="text1"/>
        </w:rPr>
        <w:t>ed</w:t>
      </w:r>
      <w:r w:rsidR="00FD4D49" w:rsidRPr="00FC6087">
        <w:rPr>
          <w:color w:val="000000" w:themeColor="text1"/>
        </w:rPr>
        <w:t xml:space="preserve"> strong factor loadings (cost of services, </w:t>
      </w:r>
      <w:r w:rsidR="00FD4D49" w:rsidRPr="00FC6087">
        <w:rPr>
          <w:i/>
          <w:iCs/>
          <w:color w:val="000000" w:themeColor="text1"/>
        </w:rPr>
        <w:t>β</w:t>
      </w:r>
      <w:r w:rsidR="00FD4D49" w:rsidRPr="00FC6087">
        <w:rPr>
          <w:color w:val="000000" w:themeColor="text1"/>
        </w:rPr>
        <w:t xml:space="preserve"> = </w:t>
      </w:r>
      <w:r w:rsidR="000E5D2F" w:rsidRPr="00FC6087">
        <w:rPr>
          <w:color w:val="000000" w:themeColor="text1"/>
        </w:rPr>
        <w:t>0</w:t>
      </w:r>
      <w:r w:rsidR="00FD4D49" w:rsidRPr="00FC6087">
        <w:rPr>
          <w:color w:val="000000" w:themeColor="text1"/>
        </w:rPr>
        <w:t xml:space="preserve">.71; financial support, </w:t>
      </w:r>
      <w:r w:rsidR="00FD4D49" w:rsidRPr="00FC6087">
        <w:rPr>
          <w:i/>
          <w:iCs/>
          <w:color w:val="000000" w:themeColor="text1"/>
        </w:rPr>
        <w:t>β</w:t>
      </w:r>
      <w:r w:rsidR="00FD4D49" w:rsidRPr="00FC6087">
        <w:rPr>
          <w:color w:val="000000" w:themeColor="text1"/>
        </w:rPr>
        <w:t xml:space="preserve"> = </w:t>
      </w:r>
      <w:r w:rsidR="000E5D2F" w:rsidRPr="00FC6087">
        <w:rPr>
          <w:color w:val="000000" w:themeColor="text1"/>
        </w:rPr>
        <w:t>0</w:t>
      </w:r>
      <w:r w:rsidR="00FD4D49" w:rsidRPr="00FC6087">
        <w:rPr>
          <w:color w:val="000000" w:themeColor="text1"/>
        </w:rPr>
        <w:t>.62) and several professional development-related questions show</w:t>
      </w:r>
      <w:r w:rsidR="000E5D2F" w:rsidRPr="00FC6087">
        <w:rPr>
          <w:color w:val="000000" w:themeColor="text1"/>
        </w:rPr>
        <w:t>ed</w:t>
      </w:r>
      <w:r w:rsidR="00FD4D49" w:rsidRPr="00FC6087">
        <w:rPr>
          <w:color w:val="000000" w:themeColor="text1"/>
        </w:rPr>
        <w:t xml:space="preserve"> some of the strongest factor loadings from EFA (JCI accreditation, </w:t>
      </w:r>
      <w:r w:rsidR="00DC24E6" w:rsidRPr="00FC6087">
        <w:rPr>
          <w:color w:val="000000" w:themeColor="text1"/>
        </w:rPr>
        <w:t>0</w:t>
      </w:r>
      <w:r w:rsidR="00FD4D49" w:rsidRPr="00FC6087">
        <w:rPr>
          <w:color w:val="000000" w:themeColor="text1"/>
        </w:rPr>
        <w:t xml:space="preserve">.77; support from teaching hospitals, </w:t>
      </w:r>
      <w:r w:rsidR="00DC24E6" w:rsidRPr="00FC6087">
        <w:rPr>
          <w:color w:val="000000" w:themeColor="text1"/>
        </w:rPr>
        <w:t>0</w:t>
      </w:r>
      <w:r w:rsidR="00FD4D49" w:rsidRPr="00FC6087">
        <w:rPr>
          <w:color w:val="000000" w:themeColor="text1"/>
        </w:rPr>
        <w:t xml:space="preserve">.87; easy transfer of knowledge, </w:t>
      </w:r>
      <w:r w:rsidR="00DC24E6" w:rsidRPr="00FC6087">
        <w:rPr>
          <w:color w:val="000000" w:themeColor="text1"/>
        </w:rPr>
        <w:t>0</w:t>
      </w:r>
      <w:r w:rsidR="00FD4D49" w:rsidRPr="00FC6087">
        <w:rPr>
          <w:color w:val="000000" w:themeColor="text1"/>
        </w:rPr>
        <w:t xml:space="preserve">.82; support from career development centers, </w:t>
      </w:r>
      <w:r w:rsidR="00DC24E6" w:rsidRPr="00FC6087">
        <w:rPr>
          <w:color w:val="000000" w:themeColor="text1"/>
        </w:rPr>
        <w:t>0</w:t>
      </w:r>
      <w:r w:rsidR="00FD4D49" w:rsidRPr="00FC6087">
        <w:rPr>
          <w:color w:val="000000" w:themeColor="text1"/>
        </w:rPr>
        <w:t xml:space="preserve">.80; existence of </w:t>
      </w:r>
      <w:r w:rsidR="00FD4D49" w:rsidRPr="00FC6087">
        <w:rPr>
          <w:color w:val="000000" w:themeColor="text1"/>
        </w:rPr>
        <w:lastRenderedPageBreak/>
        <w:t xml:space="preserve">local medical schools, </w:t>
      </w:r>
      <w:r w:rsidR="00DC24E6" w:rsidRPr="00FC6087">
        <w:rPr>
          <w:color w:val="000000" w:themeColor="text1"/>
        </w:rPr>
        <w:t>0</w:t>
      </w:r>
      <w:r w:rsidR="00FD4D49" w:rsidRPr="00FC6087">
        <w:rPr>
          <w:color w:val="000000" w:themeColor="text1"/>
        </w:rPr>
        <w:t>.55). These results indicate that financial concerns and professional</w:t>
      </w:r>
      <w:r w:rsidR="00DC24E6" w:rsidRPr="00FC6087">
        <w:rPr>
          <w:color w:val="000000" w:themeColor="text1"/>
        </w:rPr>
        <w:t>-</w:t>
      </w:r>
      <w:r w:rsidR="00FD4D49" w:rsidRPr="00FC6087">
        <w:rPr>
          <w:color w:val="000000" w:themeColor="text1"/>
        </w:rPr>
        <w:t>development concerns need to be addressed when discussing how to implement HIT.</w:t>
      </w:r>
      <w:r w:rsidR="005E0199" w:rsidRPr="00FC6087">
        <w:rPr>
          <w:color w:val="000000" w:themeColor="text1"/>
        </w:rPr>
        <w:t xml:space="preserve"> The results also </w:t>
      </w:r>
      <w:r w:rsidR="00992A2C" w:rsidRPr="00FC6087">
        <w:rPr>
          <w:color w:val="000000" w:themeColor="text1"/>
        </w:rPr>
        <w:t>support the opinion that most Arab states have been slow to adopt technology due to funding gaps and low professionalism, despite substantial financial resources (Alsadan et al., 2015).</w:t>
      </w:r>
    </w:p>
    <w:p w14:paraId="7D516C34" w14:textId="77777777" w:rsidR="00FD4D49" w:rsidRPr="00FC6087" w:rsidRDefault="00FD4D49" w:rsidP="00FD4D49">
      <w:pPr>
        <w:pStyle w:val="APAParagraph"/>
        <w:rPr>
          <w:color w:val="000000" w:themeColor="text1"/>
        </w:rPr>
      </w:pPr>
      <w:r w:rsidRPr="00FC6087">
        <w:rPr>
          <w:color w:val="000000" w:themeColor="text1"/>
        </w:rPr>
        <w:t>In addition, along with several items related to quality and legal concerns and important infrastructure that had strong loadings, many of the other strong loadings were policy-related, loading onto the SG factor. Given that this factor most strongly predicted technology adoption in the second-order CFA, these data suggest that a key area of investment for successfully implementing HIT is creating effective policies and legislation. Therefore, the government’s role in implementing new technologies cannot be over-emphasized as healthcare systems around the world continu</w:t>
      </w:r>
      <w:r w:rsidR="007A49A1" w:rsidRPr="00FC6087">
        <w:rPr>
          <w:color w:val="000000" w:themeColor="text1"/>
        </w:rPr>
        <w:t xml:space="preserve">ally need to </w:t>
      </w:r>
      <w:r w:rsidRPr="00FC6087">
        <w:rPr>
          <w:color w:val="000000" w:themeColor="text1"/>
        </w:rPr>
        <w:t>overcome health challenges to keep pace with the developments and demands of a fit and healthy society.</w:t>
      </w:r>
    </w:p>
    <w:p w14:paraId="7D516C35" w14:textId="77777777" w:rsidR="00FD4D49" w:rsidRPr="00FC6087" w:rsidRDefault="00FD4D49" w:rsidP="00FD4D49">
      <w:pPr>
        <w:pStyle w:val="APAParagraph"/>
        <w:rPr>
          <w:color w:val="000000" w:themeColor="text1"/>
        </w:rPr>
      </w:pPr>
      <w:r w:rsidRPr="00FC6087">
        <w:rPr>
          <w:color w:val="000000" w:themeColor="text1"/>
        </w:rPr>
        <w:t xml:space="preserve">Overall, the UAE </w:t>
      </w:r>
      <w:r w:rsidR="007A49A1" w:rsidRPr="00FC6087">
        <w:rPr>
          <w:color w:val="000000" w:themeColor="text1"/>
        </w:rPr>
        <w:t>can be seen as</w:t>
      </w:r>
      <w:r w:rsidRPr="00FC6087">
        <w:rPr>
          <w:color w:val="000000" w:themeColor="text1"/>
        </w:rPr>
        <w:t xml:space="preserve"> an important example of healthcare technology growth in the Arab world with its Vision 2021. Arguably, a large part of why HIT has been growing in the UAE is </w:t>
      </w:r>
      <w:r w:rsidR="007A49A1" w:rsidRPr="00FC6087">
        <w:rPr>
          <w:color w:val="000000" w:themeColor="text1"/>
        </w:rPr>
        <w:t>due t</w:t>
      </w:r>
      <w:r w:rsidRPr="00FC6087">
        <w:rPr>
          <w:color w:val="000000" w:themeColor="text1"/>
        </w:rPr>
        <w:t>o the strategic involvement of the government in creating and enacting policies that facilitate the implementation of such technologies. As the UAE continues to see successful growth in this arena, it can serve as a model to other nearby nations (</w:t>
      </w:r>
      <w:r w:rsidR="00B2304F" w:rsidRPr="00FC6087">
        <w:rPr>
          <w:color w:val="000000" w:themeColor="text1"/>
        </w:rPr>
        <w:t>regionally</w:t>
      </w:r>
      <w:r w:rsidR="00847820" w:rsidRPr="00FC6087">
        <w:rPr>
          <w:color w:val="000000" w:themeColor="text1"/>
        </w:rPr>
        <w:t xml:space="preserve"> and even globally</w:t>
      </w:r>
      <w:r w:rsidRPr="00FC6087">
        <w:rPr>
          <w:color w:val="000000" w:themeColor="text1"/>
        </w:rPr>
        <w:t xml:space="preserve">) on how to effectively increase HIT adoption. </w:t>
      </w:r>
    </w:p>
    <w:p w14:paraId="7D516C36" w14:textId="77777777" w:rsidR="00FD4D49" w:rsidRPr="00FC6087" w:rsidRDefault="00FD4D49" w:rsidP="00FD4D49">
      <w:pPr>
        <w:pStyle w:val="APAParagraph"/>
        <w:rPr>
          <w:color w:val="000000" w:themeColor="text1"/>
        </w:rPr>
      </w:pPr>
      <w:r w:rsidRPr="00FC6087">
        <w:rPr>
          <w:color w:val="000000" w:themeColor="text1"/>
        </w:rPr>
        <w:lastRenderedPageBreak/>
        <w:t xml:space="preserve">This scope </w:t>
      </w:r>
      <w:r w:rsidR="00B2721E" w:rsidRPr="00FC6087">
        <w:rPr>
          <w:color w:val="000000" w:themeColor="text1"/>
        </w:rPr>
        <w:t xml:space="preserve">of this research </w:t>
      </w:r>
      <w:r w:rsidRPr="00FC6087">
        <w:rPr>
          <w:color w:val="000000" w:themeColor="text1"/>
        </w:rPr>
        <w:t>is geographically limited to HIT adoption from the perspective of stakeholders in the UAE. It could be that these findings will not prove true for other nations, whether Arab or outside the Middle East. Therefore, social context must be considered when applying these findings to other populations. However, given ever</w:t>
      </w:r>
      <w:r w:rsidR="00847820" w:rsidRPr="00FC6087">
        <w:rPr>
          <w:color w:val="000000" w:themeColor="text1"/>
        </w:rPr>
        <w:t>-</w:t>
      </w:r>
      <w:r w:rsidRPr="00FC6087">
        <w:rPr>
          <w:color w:val="000000" w:themeColor="text1"/>
        </w:rPr>
        <w:t>increasing globalization, largely driven by technological innovations, it could be that these findings will be generalizable to other populations, making them an important example for how to effectively mobilize and motivate a nation to improve and reform healthcare. There is still much room for growth in this rather young field, and it is very much needed, because the quality of healthcare and people’s lives are</w:t>
      </w:r>
      <w:r w:rsidR="00513834" w:rsidRPr="00FC6087">
        <w:rPr>
          <w:color w:val="000000" w:themeColor="text1"/>
        </w:rPr>
        <w:t xml:space="preserve"> at stake</w:t>
      </w:r>
      <w:r w:rsidRPr="00FC6087">
        <w:rPr>
          <w:color w:val="000000" w:themeColor="text1"/>
        </w:rPr>
        <w:t>. Finally, as Cresswell and Sheikh (2013) note</w:t>
      </w:r>
      <w:r w:rsidR="00513834" w:rsidRPr="00FC6087">
        <w:rPr>
          <w:color w:val="000000" w:themeColor="text1"/>
        </w:rPr>
        <w:t>d</w:t>
      </w:r>
      <w:r w:rsidRPr="00FC6087">
        <w:rPr>
          <w:color w:val="000000" w:themeColor="text1"/>
        </w:rPr>
        <w:t>, de-motivators may be even more powerful than motivators when it comes to HIT adoption, so we should aim to identify what barriers may be hindering the adoption of these valuable technologies to be able to overcome them.</w:t>
      </w:r>
    </w:p>
    <w:p w14:paraId="7D516C37" w14:textId="77777777" w:rsidR="00FD4D49" w:rsidRPr="00FC6087" w:rsidRDefault="00244BF2" w:rsidP="00FD4D49">
      <w:pPr>
        <w:pStyle w:val="Heading1"/>
        <w:rPr>
          <w:color w:val="000000" w:themeColor="text1"/>
        </w:rPr>
      </w:pPr>
      <w:bookmarkStart w:id="167" w:name="_Toc24447817"/>
      <w:r w:rsidRPr="00FC6087">
        <w:rPr>
          <w:color w:val="000000" w:themeColor="text1"/>
        </w:rPr>
        <w:t xml:space="preserve">6.3. </w:t>
      </w:r>
      <w:r w:rsidR="00FD4D49" w:rsidRPr="00FC6087">
        <w:rPr>
          <w:color w:val="000000" w:themeColor="text1"/>
        </w:rPr>
        <w:t xml:space="preserve">Barriers to HIT </w:t>
      </w:r>
      <w:r w:rsidR="00513834" w:rsidRPr="00FC6087">
        <w:rPr>
          <w:color w:val="000000" w:themeColor="text1"/>
        </w:rPr>
        <w:t>A</w:t>
      </w:r>
      <w:r w:rsidR="00FD4D49" w:rsidRPr="00FC6087">
        <w:rPr>
          <w:color w:val="000000" w:themeColor="text1"/>
        </w:rPr>
        <w:t>doption</w:t>
      </w:r>
      <w:bookmarkEnd w:id="167"/>
    </w:p>
    <w:p w14:paraId="7D516C38" w14:textId="77777777" w:rsidR="00FD4D49" w:rsidRPr="00FC6087" w:rsidRDefault="00FD4D49" w:rsidP="00FD4D49">
      <w:pPr>
        <w:pStyle w:val="APAParagraph"/>
        <w:rPr>
          <w:color w:val="000000" w:themeColor="text1"/>
        </w:rPr>
      </w:pPr>
      <w:r w:rsidRPr="00FC6087">
        <w:rPr>
          <w:color w:val="000000" w:themeColor="text1"/>
        </w:rPr>
        <w:t>Despite its apparent promise, HIT has proved difficult to implement. Practical evidences and scholarly arguments show that the acceptance of innovative technologies by healthcare stakeholders is a challenging process because of a plethora of barriers</w:t>
      </w:r>
      <w:r w:rsidR="00513834" w:rsidRPr="00FC6087">
        <w:rPr>
          <w:color w:val="000000" w:themeColor="text1"/>
        </w:rPr>
        <w:t xml:space="preserve"> that are</w:t>
      </w:r>
      <w:r w:rsidRPr="00FC6087">
        <w:rPr>
          <w:color w:val="000000" w:themeColor="text1"/>
        </w:rPr>
        <w:t xml:space="preserve"> different in nature. The exploration of the literature has highlighted an array of potential deterrents to HIT adoption by various industry stakeholders. The adoption and implementation of healthcare </w:t>
      </w:r>
      <w:r w:rsidRPr="00FC6087">
        <w:rPr>
          <w:color w:val="000000" w:themeColor="text1"/>
        </w:rPr>
        <w:lastRenderedPageBreak/>
        <w:t xml:space="preserve">technology in the UAE faces many challenges, both real and perceived. As more consumers </w:t>
      </w:r>
      <w:r w:rsidR="00513834" w:rsidRPr="00FC6087">
        <w:rPr>
          <w:color w:val="000000" w:themeColor="text1"/>
        </w:rPr>
        <w:t xml:space="preserve">have </w:t>
      </w:r>
      <w:r w:rsidRPr="00FC6087">
        <w:rPr>
          <w:color w:val="000000" w:themeColor="text1"/>
        </w:rPr>
        <w:t>bec</w:t>
      </w:r>
      <w:r w:rsidR="00513834" w:rsidRPr="00FC6087">
        <w:rPr>
          <w:color w:val="000000" w:themeColor="text1"/>
        </w:rPr>
        <w:t>o</w:t>
      </w:r>
      <w:r w:rsidRPr="00FC6087">
        <w:rPr>
          <w:color w:val="000000" w:themeColor="text1"/>
        </w:rPr>
        <w:t xml:space="preserve">me engaged, practical arguments </w:t>
      </w:r>
      <w:r w:rsidR="00513834" w:rsidRPr="00FC6087">
        <w:rPr>
          <w:color w:val="000000" w:themeColor="text1"/>
        </w:rPr>
        <w:t xml:space="preserve">have </w:t>
      </w:r>
      <w:r w:rsidRPr="00FC6087">
        <w:rPr>
          <w:color w:val="000000" w:themeColor="text1"/>
        </w:rPr>
        <w:t>reveal</w:t>
      </w:r>
      <w:r w:rsidR="00513834" w:rsidRPr="00FC6087">
        <w:rPr>
          <w:color w:val="000000" w:themeColor="text1"/>
        </w:rPr>
        <w:t>ed</w:t>
      </w:r>
      <w:r w:rsidRPr="00FC6087">
        <w:rPr>
          <w:color w:val="000000" w:themeColor="text1"/>
        </w:rPr>
        <w:t xml:space="preserve"> a multitude of issues arising in the area of security and privacy (Poku, 2017). Nevertheless, the vast majority of UAE health establishments do address privacy issues (Zineddine, 2011).</w:t>
      </w:r>
    </w:p>
    <w:p w14:paraId="7D516C39" w14:textId="3B3F0C6F" w:rsidR="00FD4D49" w:rsidRPr="00FC6087" w:rsidRDefault="0087763F" w:rsidP="00FD4D49">
      <w:pPr>
        <w:pStyle w:val="APAParagraph"/>
        <w:rPr>
          <w:color w:val="000000" w:themeColor="text1"/>
        </w:rPr>
      </w:pPr>
      <w:r w:rsidRPr="00FC6087">
        <w:rPr>
          <w:color w:val="000000" w:themeColor="text1"/>
        </w:rPr>
        <w:t>Currently</w:t>
      </w:r>
      <w:r w:rsidR="00FD4D49" w:rsidRPr="00FC6087">
        <w:rPr>
          <w:color w:val="000000" w:themeColor="text1"/>
        </w:rPr>
        <w:t>, with the ever-increasing need for the use of technology in healthcare, understanding the barriers to adopting HIT is an essential step for improving the quality of care. The benefits of moderating these barriers are well documented: improved efficiency in healthcare provision and administration</w:t>
      </w:r>
      <w:r w:rsidR="000127A9" w:rsidRPr="00FC6087">
        <w:rPr>
          <w:color w:val="000000" w:themeColor="text1"/>
        </w:rPr>
        <w:t>;</w:t>
      </w:r>
      <w:r w:rsidR="00FD4D49" w:rsidRPr="00FC6087">
        <w:rPr>
          <w:color w:val="000000" w:themeColor="text1"/>
        </w:rPr>
        <w:t xml:space="preserve"> security and stakeholder satisfaction</w:t>
      </w:r>
      <w:r w:rsidR="000127A9" w:rsidRPr="00FC6087">
        <w:rPr>
          <w:color w:val="000000" w:themeColor="text1"/>
        </w:rPr>
        <w:t>;</w:t>
      </w:r>
      <w:r w:rsidR="00FD4D49" w:rsidRPr="00FC6087">
        <w:rPr>
          <w:color w:val="000000" w:themeColor="text1"/>
        </w:rPr>
        <w:t xml:space="preserve"> automation</w:t>
      </w:r>
      <w:r w:rsidR="000127A9" w:rsidRPr="00FC6087">
        <w:rPr>
          <w:color w:val="000000" w:themeColor="text1"/>
        </w:rPr>
        <w:t>;</w:t>
      </w:r>
      <w:r w:rsidR="00FD4D49" w:rsidRPr="00FC6087">
        <w:rPr>
          <w:color w:val="000000" w:themeColor="text1"/>
        </w:rPr>
        <w:t xml:space="preserve"> error minimization</w:t>
      </w:r>
      <w:r w:rsidR="000127A9" w:rsidRPr="00FC6087">
        <w:rPr>
          <w:color w:val="000000" w:themeColor="text1"/>
        </w:rPr>
        <w:t>;</w:t>
      </w:r>
      <w:r w:rsidR="00FD4D49" w:rsidRPr="00FC6087">
        <w:rPr>
          <w:color w:val="000000" w:themeColor="text1"/>
        </w:rPr>
        <w:t xml:space="preserve"> and increased staff productivity (Ahmadi et al., 2017; Black et al., 2011; Ehteshami</w:t>
      </w:r>
      <w:r w:rsidR="002B4025" w:rsidRPr="00FC6087">
        <w:rPr>
          <w:color w:val="000000" w:themeColor="text1"/>
        </w:rPr>
        <w:t xml:space="preserve"> et al.</w:t>
      </w:r>
      <w:r w:rsidR="00FD4D49" w:rsidRPr="00FC6087">
        <w:rPr>
          <w:color w:val="000000" w:themeColor="text1"/>
        </w:rPr>
        <w:t xml:space="preserve">, 2013; Shekelle et al., 2006; Wang et al., 2018). However, in some developing countries, where efficient health provision and administration is paramount, there seems to be a </w:t>
      </w:r>
      <w:r w:rsidR="000127A9" w:rsidRPr="00FC6087">
        <w:rPr>
          <w:color w:val="000000" w:themeColor="text1"/>
        </w:rPr>
        <w:t>significant</w:t>
      </w:r>
      <w:r w:rsidR="00FD4D49" w:rsidRPr="00FC6087">
        <w:rPr>
          <w:color w:val="000000" w:themeColor="text1"/>
        </w:rPr>
        <w:t xml:space="preserve"> lag in technology implementation, driven by many barriers, such as inadequate infrastructure, low computer</w:t>
      </w:r>
      <w:r w:rsidR="000127A9" w:rsidRPr="00FC6087">
        <w:rPr>
          <w:color w:val="000000" w:themeColor="text1"/>
        </w:rPr>
        <w:t>-</w:t>
      </w:r>
      <w:r w:rsidR="00FD4D49" w:rsidRPr="00FC6087">
        <w:rPr>
          <w:color w:val="000000" w:themeColor="text1"/>
        </w:rPr>
        <w:t>literacy level</w:t>
      </w:r>
      <w:r w:rsidR="000127A9" w:rsidRPr="00FC6087">
        <w:rPr>
          <w:color w:val="000000" w:themeColor="text1"/>
        </w:rPr>
        <w:t>s</w:t>
      </w:r>
      <w:r w:rsidR="00FD4D49" w:rsidRPr="00FC6087">
        <w:rPr>
          <w:color w:val="000000" w:themeColor="text1"/>
        </w:rPr>
        <w:t xml:space="preserve">, cost, resistance to change (especially in the introduction of HIT </w:t>
      </w:r>
      <w:r w:rsidR="000127A9" w:rsidRPr="00FC6087">
        <w:rPr>
          <w:color w:val="000000" w:themeColor="text1"/>
        </w:rPr>
        <w:t>p</w:t>
      </w:r>
      <w:r w:rsidR="00FD4D49" w:rsidRPr="00FC6087">
        <w:rPr>
          <w:color w:val="000000" w:themeColor="text1"/>
        </w:rPr>
        <w:t>rogram</w:t>
      </w:r>
      <w:r w:rsidR="000127A9" w:rsidRPr="00FC6087">
        <w:rPr>
          <w:color w:val="000000" w:themeColor="text1"/>
        </w:rPr>
        <w:t>s</w:t>
      </w:r>
      <w:r w:rsidR="00FD4D49" w:rsidRPr="00FC6087">
        <w:rPr>
          <w:color w:val="000000" w:themeColor="text1"/>
        </w:rPr>
        <w:t>), low technical expertise, and privacy and confidentiality risk</w:t>
      </w:r>
      <w:r w:rsidR="000127A9" w:rsidRPr="00FC6087">
        <w:rPr>
          <w:color w:val="000000" w:themeColor="text1"/>
        </w:rPr>
        <w:t>s</w:t>
      </w:r>
      <w:r w:rsidR="00FD4D49" w:rsidRPr="00FC6087">
        <w:rPr>
          <w:color w:val="000000" w:themeColor="text1"/>
        </w:rPr>
        <w:t>(Boonstra</w:t>
      </w:r>
      <w:r w:rsidR="005E7A62">
        <w:rPr>
          <w:color w:val="000000" w:themeColor="text1"/>
        </w:rPr>
        <w:t xml:space="preserve"> &amp; </w:t>
      </w:r>
      <w:r w:rsidR="00FD4D49" w:rsidRPr="00FC6087">
        <w:rPr>
          <w:color w:val="000000" w:themeColor="text1"/>
        </w:rPr>
        <w:t>Broekhuis, 2010; Ebrahim</w:t>
      </w:r>
      <w:r w:rsidR="005E7A62">
        <w:rPr>
          <w:color w:val="000000" w:themeColor="text1"/>
        </w:rPr>
        <w:t xml:space="preserve"> &amp; </w:t>
      </w:r>
      <w:r w:rsidR="00FD4D49" w:rsidRPr="00FC6087">
        <w:rPr>
          <w:color w:val="000000" w:themeColor="text1"/>
        </w:rPr>
        <w:t>Irani, 2005; Laerum et al., 2001; Simon et al., 2007; Stewart</w:t>
      </w:r>
      <w:r w:rsidR="00771F94" w:rsidRPr="00FC6087">
        <w:rPr>
          <w:color w:val="000000" w:themeColor="text1"/>
        </w:rPr>
        <w:t xml:space="preserve"> et al.</w:t>
      </w:r>
      <w:r w:rsidR="00FD4D49" w:rsidRPr="00FC6087">
        <w:rPr>
          <w:color w:val="000000" w:themeColor="text1"/>
        </w:rPr>
        <w:t xml:space="preserve">, 2004). This </w:t>
      </w:r>
      <w:r w:rsidR="00B2721E" w:rsidRPr="00FC6087">
        <w:rPr>
          <w:color w:val="000000" w:themeColor="text1"/>
        </w:rPr>
        <w:t xml:space="preserve">research </w:t>
      </w:r>
      <w:r w:rsidR="000127A9" w:rsidRPr="00FC6087">
        <w:rPr>
          <w:color w:val="000000" w:themeColor="text1"/>
        </w:rPr>
        <w:t xml:space="preserve">has </w:t>
      </w:r>
      <w:r w:rsidR="00FD4D49" w:rsidRPr="00FC6087">
        <w:rPr>
          <w:color w:val="000000" w:themeColor="text1"/>
        </w:rPr>
        <w:t>focuse</w:t>
      </w:r>
      <w:r w:rsidR="000127A9" w:rsidRPr="00FC6087">
        <w:rPr>
          <w:color w:val="000000" w:themeColor="text1"/>
        </w:rPr>
        <w:t>d</w:t>
      </w:r>
      <w:r w:rsidR="00FD4D49" w:rsidRPr="00FC6087">
        <w:rPr>
          <w:color w:val="000000" w:themeColor="text1"/>
        </w:rPr>
        <w:t xml:space="preserve"> on barriers to HIT adoption, as reported by </w:t>
      </w:r>
      <w:r w:rsidR="000127A9" w:rsidRPr="00FC6087">
        <w:rPr>
          <w:color w:val="000000" w:themeColor="text1"/>
        </w:rPr>
        <w:t xml:space="preserve">the </w:t>
      </w:r>
      <w:r w:rsidR="00FD4D49" w:rsidRPr="00FC6087">
        <w:rPr>
          <w:color w:val="000000" w:themeColor="text1"/>
        </w:rPr>
        <w:t xml:space="preserve">four relevant categories of healthcare stakeholders in the UAE in an attempt to understand what have been the key factors in the adoption of important HIT </w:t>
      </w:r>
      <w:r w:rsidR="00FD4D49" w:rsidRPr="00FC6087">
        <w:rPr>
          <w:color w:val="000000" w:themeColor="text1"/>
        </w:rPr>
        <w:lastRenderedPageBreak/>
        <w:t>technologies in a country that is seeing good progress in this area and, as such, could serve as an example to others.</w:t>
      </w:r>
    </w:p>
    <w:p w14:paraId="7D516C3A" w14:textId="42FC4E43" w:rsidR="00FD4D49" w:rsidRPr="00FC6087" w:rsidRDefault="00FD4D49" w:rsidP="00FD4D49">
      <w:pPr>
        <w:pStyle w:val="APAParagraph"/>
        <w:rPr>
          <w:color w:val="000000" w:themeColor="text1"/>
        </w:rPr>
      </w:pPr>
      <w:r w:rsidRPr="00FC6087">
        <w:rPr>
          <w:color w:val="000000" w:themeColor="text1"/>
        </w:rPr>
        <w:t>Based on stakeholders’ responses, an EFA using the responses by members of these four stakeholder categories identified four key areas (components or factors) of barriers: organizational strategy (ORGS)</w:t>
      </w:r>
      <w:r w:rsidR="004131F6" w:rsidRPr="00FC6087">
        <w:rPr>
          <w:color w:val="000000" w:themeColor="text1"/>
        </w:rPr>
        <w:t>;</w:t>
      </w:r>
      <w:r w:rsidRPr="00FC6087">
        <w:rPr>
          <w:color w:val="000000" w:themeColor="text1"/>
        </w:rPr>
        <w:t xml:space="preserve"> technical barriers (T</w:t>
      </w:r>
      <w:r w:rsidR="0087763F" w:rsidRPr="00FC6087">
        <w:rPr>
          <w:color w:val="000000" w:themeColor="text1"/>
        </w:rPr>
        <w:t>E</w:t>
      </w:r>
      <w:r w:rsidRPr="00FC6087">
        <w:rPr>
          <w:color w:val="000000" w:themeColor="text1"/>
        </w:rPr>
        <w:t>B</w:t>
      </w:r>
      <w:r w:rsidR="0087763F" w:rsidRPr="00FC6087">
        <w:rPr>
          <w:color w:val="000000" w:themeColor="text1"/>
        </w:rPr>
        <w:t>A</w:t>
      </w:r>
      <w:r w:rsidRPr="00FC6087">
        <w:rPr>
          <w:color w:val="000000" w:themeColor="text1"/>
        </w:rPr>
        <w:t>)</w:t>
      </w:r>
      <w:r w:rsidR="004131F6" w:rsidRPr="00FC6087">
        <w:rPr>
          <w:color w:val="000000" w:themeColor="text1"/>
        </w:rPr>
        <w:t>;</w:t>
      </w:r>
      <w:r w:rsidRPr="00FC6087">
        <w:rPr>
          <w:color w:val="000000" w:themeColor="text1"/>
        </w:rPr>
        <w:t xml:space="preserve"> readiness </w:t>
      </w:r>
      <w:r w:rsidR="004131F6" w:rsidRPr="00FC6087">
        <w:rPr>
          <w:color w:val="000000" w:themeColor="text1"/>
        </w:rPr>
        <w:t xml:space="preserve">for </w:t>
      </w:r>
      <w:r w:rsidRPr="00FC6087">
        <w:rPr>
          <w:color w:val="000000" w:themeColor="text1"/>
        </w:rPr>
        <w:t>big data and I</w:t>
      </w:r>
      <w:r w:rsidR="004131F6" w:rsidRPr="00FC6087">
        <w:rPr>
          <w:color w:val="000000" w:themeColor="text1"/>
        </w:rPr>
        <w:t>o</w:t>
      </w:r>
      <w:r w:rsidRPr="00FC6087">
        <w:rPr>
          <w:color w:val="000000" w:themeColor="text1"/>
        </w:rPr>
        <w:t>T (RT</w:t>
      </w:r>
      <w:r w:rsidR="00B2304F">
        <w:rPr>
          <w:color w:val="000000" w:themeColor="text1"/>
        </w:rPr>
        <w:t>GB</w:t>
      </w:r>
      <w:r w:rsidRPr="00FC6087">
        <w:rPr>
          <w:color w:val="000000" w:themeColor="text1"/>
        </w:rPr>
        <w:t>)</w:t>
      </w:r>
      <w:r w:rsidR="004131F6" w:rsidRPr="00FC6087">
        <w:rPr>
          <w:color w:val="000000" w:themeColor="text1"/>
        </w:rPr>
        <w:t>;</w:t>
      </w:r>
      <w:r w:rsidRPr="00FC6087">
        <w:rPr>
          <w:color w:val="000000" w:themeColor="text1"/>
        </w:rPr>
        <w:t xml:space="preserve"> and orientation (ORI). The first- and second-order CFAs revealed a high correlation between ORGS and resistance to HIT adoption (</w:t>
      </w:r>
      <w:r w:rsidR="004131F6" w:rsidRPr="00FC6087">
        <w:rPr>
          <w:color w:val="000000" w:themeColor="text1"/>
        </w:rPr>
        <w:t>0</w:t>
      </w:r>
      <w:r w:rsidRPr="00FC6087">
        <w:rPr>
          <w:color w:val="000000" w:themeColor="text1"/>
        </w:rPr>
        <w:t>.85), with similarly high correlations to specific items regarding cost strategies (</w:t>
      </w:r>
      <w:r w:rsidR="004131F6" w:rsidRPr="00FC6087">
        <w:rPr>
          <w:color w:val="000000" w:themeColor="text1"/>
        </w:rPr>
        <w:t>0</w:t>
      </w:r>
      <w:r w:rsidRPr="00FC6087">
        <w:rPr>
          <w:color w:val="000000" w:themeColor="text1"/>
        </w:rPr>
        <w:t>.79), lack of coordination between health authorities (</w:t>
      </w:r>
      <w:r w:rsidR="004131F6" w:rsidRPr="00FC6087">
        <w:rPr>
          <w:color w:val="000000" w:themeColor="text1"/>
        </w:rPr>
        <w:t>0</w:t>
      </w:r>
      <w:r w:rsidRPr="00FC6087">
        <w:rPr>
          <w:color w:val="000000" w:themeColor="text1"/>
        </w:rPr>
        <w:t>.73), and lack of unified procedures (</w:t>
      </w:r>
      <w:r w:rsidR="00743141">
        <w:rPr>
          <w:color w:val="000000" w:themeColor="text1"/>
        </w:rPr>
        <w:t>0</w:t>
      </w:r>
      <w:r w:rsidRPr="00FC6087">
        <w:rPr>
          <w:color w:val="000000" w:themeColor="text1"/>
        </w:rPr>
        <w:t xml:space="preserve">.84). This suggests that perceived confusion and/or miscommunication are potential barriers to adopting HIT. Individuals want to know that potential changes would be well organized and carried out effectively. </w:t>
      </w:r>
    </w:p>
    <w:p w14:paraId="7D516C3B" w14:textId="77777777" w:rsidR="00FD4D49" w:rsidRPr="00FC6087" w:rsidRDefault="00FD4D49" w:rsidP="00FD4D49">
      <w:pPr>
        <w:pStyle w:val="APAParagraph"/>
        <w:rPr>
          <w:color w:val="000000" w:themeColor="text1"/>
        </w:rPr>
      </w:pPr>
      <w:r w:rsidRPr="00FC6087">
        <w:rPr>
          <w:color w:val="000000" w:themeColor="text1"/>
        </w:rPr>
        <w:t>The correlation between T</w:t>
      </w:r>
      <w:r w:rsidR="00816F5F" w:rsidRPr="00FC6087">
        <w:rPr>
          <w:color w:val="000000" w:themeColor="text1"/>
        </w:rPr>
        <w:t>E</w:t>
      </w:r>
      <w:r w:rsidRPr="00FC6087">
        <w:rPr>
          <w:color w:val="000000" w:themeColor="text1"/>
        </w:rPr>
        <w:t>B</w:t>
      </w:r>
      <w:r w:rsidR="00816F5F" w:rsidRPr="00FC6087">
        <w:rPr>
          <w:color w:val="000000" w:themeColor="text1"/>
        </w:rPr>
        <w:t>A</w:t>
      </w:r>
      <w:r w:rsidRPr="00FC6087">
        <w:rPr>
          <w:color w:val="000000" w:themeColor="text1"/>
        </w:rPr>
        <w:t xml:space="preserve"> and resistance was even higher (</w:t>
      </w:r>
      <w:r w:rsidR="00816F5F" w:rsidRPr="00FC6087">
        <w:rPr>
          <w:color w:val="000000" w:themeColor="text1"/>
        </w:rPr>
        <w:t>0</w:t>
      </w:r>
      <w:r w:rsidRPr="00FC6087">
        <w:rPr>
          <w:color w:val="000000" w:themeColor="text1"/>
        </w:rPr>
        <w:t>.89), with strong relationships to items regarding availability of technology (</w:t>
      </w:r>
      <w:r w:rsidR="00816F5F" w:rsidRPr="00FC6087">
        <w:rPr>
          <w:color w:val="000000" w:themeColor="text1"/>
        </w:rPr>
        <w:t>0</w:t>
      </w:r>
      <w:r w:rsidRPr="00FC6087">
        <w:rPr>
          <w:color w:val="000000" w:themeColor="text1"/>
        </w:rPr>
        <w:t>.77), compatibility between new and old technologies (</w:t>
      </w:r>
      <w:r w:rsidR="00816F5F" w:rsidRPr="00FC6087">
        <w:rPr>
          <w:color w:val="000000" w:themeColor="text1"/>
        </w:rPr>
        <w:t>0</w:t>
      </w:r>
      <w:r w:rsidRPr="00FC6087">
        <w:rPr>
          <w:color w:val="000000" w:themeColor="text1"/>
        </w:rPr>
        <w:t>.82), lifespan of the technology (</w:t>
      </w:r>
      <w:r w:rsidR="00816F5F" w:rsidRPr="00FC6087">
        <w:rPr>
          <w:color w:val="000000" w:themeColor="text1"/>
        </w:rPr>
        <w:t>0</w:t>
      </w:r>
      <w:r w:rsidRPr="00FC6087">
        <w:rPr>
          <w:color w:val="000000" w:themeColor="text1"/>
        </w:rPr>
        <w:t>.83), and technology maintenance (</w:t>
      </w:r>
      <w:r w:rsidR="00816F5F" w:rsidRPr="00FC6087">
        <w:rPr>
          <w:color w:val="000000" w:themeColor="text1"/>
        </w:rPr>
        <w:t>0</w:t>
      </w:r>
      <w:r w:rsidRPr="00FC6087">
        <w:rPr>
          <w:color w:val="000000" w:themeColor="text1"/>
        </w:rPr>
        <w:t>.84). These correlations suggest that the perceived usability—or, more properly, their difficulty or impracticability of use—is a particularly potent deterrent. If individuals perceive that the technology would be difficult to learn to use, or would be tedious to upkeep, it could deter them from adopting it.</w:t>
      </w:r>
    </w:p>
    <w:p w14:paraId="7D516C3C" w14:textId="77777777" w:rsidR="00FD4D49" w:rsidRPr="00FC6087" w:rsidRDefault="00FD4D49" w:rsidP="00FD4D49">
      <w:pPr>
        <w:pStyle w:val="APAParagraph"/>
        <w:rPr>
          <w:color w:val="000000" w:themeColor="text1"/>
        </w:rPr>
      </w:pPr>
      <w:r w:rsidRPr="00FC6087">
        <w:rPr>
          <w:color w:val="000000" w:themeColor="text1"/>
        </w:rPr>
        <w:t>ORI was also strongly correlated with resistance (</w:t>
      </w:r>
      <w:r w:rsidR="00816F5F" w:rsidRPr="00FC6087">
        <w:rPr>
          <w:color w:val="000000" w:themeColor="text1"/>
        </w:rPr>
        <w:t>0</w:t>
      </w:r>
      <w:r w:rsidRPr="00FC6087">
        <w:rPr>
          <w:color w:val="000000" w:themeColor="text1"/>
        </w:rPr>
        <w:t>.83), with strong correlations to items regarding learning behavior staff (</w:t>
      </w:r>
      <w:r w:rsidR="00816F5F" w:rsidRPr="00FC6087">
        <w:rPr>
          <w:color w:val="000000" w:themeColor="text1"/>
        </w:rPr>
        <w:t>0</w:t>
      </w:r>
      <w:r w:rsidRPr="00FC6087">
        <w:rPr>
          <w:color w:val="000000" w:themeColor="text1"/>
        </w:rPr>
        <w:t xml:space="preserve">.72) and educational </w:t>
      </w:r>
      <w:r w:rsidRPr="00FC6087">
        <w:rPr>
          <w:color w:val="000000" w:themeColor="text1"/>
        </w:rPr>
        <w:lastRenderedPageBreak/>
        <w:t>background (</w:t>
      </w:r>
      <w:r w:rsidR="00816F5F" w:rsidRPr="00FC6087">
        <w:rPr>
          <w:color w:val="000000" w:themeColor="text1"/>
        </w:rPr>
        <w:t>0</w:t>
      </w:r>
      <w:r w:rsidRPr="00FC6087">
        <w:rPr>
          <w:color w:val="000000" w:themeColor="text1"/>
        </w:rPr>
        <w:t>.74). This suggests that individuals seem to think there might be a steep learning curve in using new healthcare technologies, one that they may not be willing to climb.</w:t>
      </w:r>
    </w:p>
    <w:p w14:paraId="7D516C3D" w14:textId="645343B1" w:rsidR="00FD4D49" w:rsidRPr="00FC6087" w:rsidRDefault="00FD4D49" w:rsidP="00FD4D49">
      <w:pPr>
        <w:pStyle w:val="APAParagraph"/>
        <w:rPr>
          <w:color w:val="000000" w:themeColor="text1"/>
        </w:rPr>
      </w:pPr>
      <w:r w:rsidRPr="00FC6087">
        <w:rPr>
          <w:color w:val="000000" w:themeColor="text1"/>
        </w:rPr>
        <w:t>Finally, RTGB showed only a moderate correlation with resistance (</w:t>
      </w:r>
      <w:r w:rsidR="00816F5F" w:rsidRPr="00FC6087">
        <w:rPr>
          <w:color w:val="000000" w:themeColor="text1"/>
        </w:rPr>
        <w:t>0</w:t>
      </w:r>
      <w:r w:rsidRPr="00FC6087">
        <w:rPr>
          <w:color w:val="000000" w:themeColor="text1"/>
        </w:rPr>
        <w:t>.66), but strong relationships with specific items regarding information security (</w:t>
      </w:r>
      <w:r w:rsidR="00816F5F" w:rsidRPr="00FC6087">
        <w:rPr>
          <w:color w:val="000000" w:themeColor="text1"/>
        </w:rPr>
        <w:t>0</w:t>
      </w:r>
      <w:r w:rsidRPr="00FC6087">
        <w:rPr>
          <w:color w:val="000000" w:themeColor="text1"/>
        </w:rPr>
        <w:t>.94), data sensitivity (</w:t>
      </w:r>
      <w:r w:rsidR="00816F5F" w:rsidRPr="00FC6087">
        <w:rPr>
          <w:color w:val="000000" w:themeColor="text1"/>
        </w:rPr>
        <w:t>0</w:t>
      </w:r>
      <w:r w:rsidRPr="00FC6087">
        <w:rPr>
          <w:color w:val="000000" w:themeColor="text1"/>
        </w:rPr>
        <w:t>.81), and information infrastructure (</w:t>
      </w:r>
      <w:r w:rsidR="00816F5F" w:rsidRPr="00FC6087">
        <w:rPr>
          <w:color w:val="000000" w:themeColor="text1"/>
        </w:rPr>
        <w:t>0</w:t>
      </w:r>
      <w:r w:rsidRPr="00FC6087">
        <w:rPr>
          <w:color w:val="000000" w:themeColor="text1"/>
        </w:rPr>
        <w:t>.84). These findings suggest that concerns over the security of personal</w:t>
      </w:r>
      <w:r w:rsidR="00743141">
        <w:rPr>
          <w:color w:val="000000" w:themeColor="text1"/>
        </w:rPr>
        <w:t xml:space="preserve"> </w:t>
      </w:r>
      <w:r w:rsidRPr="00FC6087">
        <w:rPr>
          <w:color w:val="000000" w:themeColor="text1"/>
        </w:rPr>
        <w:t>health information are significant deterrents to adopting HIT. Ensuring the secure storage and sharing of health information could, therefore, prove a hugely effective means of getting individuals to adopt HIT.</w:t>
      </w:r>
    </w:p>
    <w:p w14:paraId="7D516C3E" w14:textId="77777777" w:rsidR="00FD4D49" w:rsidRPr="00FC6087" w:rsidRDefault="00FD4D49" w:rsidP="00FD4D49">
      <w:pPr>
        <w:pStyle w:val="APAParagraph"/>
        <w:rPr>
          <w:color w:val="000000" w:themeColor="text1"/>
        </w:rPr>
      </w:pPr>
      <w:r w:rsidRPr="00FC6087">
        <w:rPr>
          <w:color w:val="000000" w:themeColor="text1"/>
        </w:rPr>
        <w:t xml:space="preserve">Considering at the results of EFA, ORGS explained almost half of the variance in responses (48.52%), while no other factor individually explained even 10% of the total variance (see Table </w:t>
      </w:r>
      <w:r w:rsidR="00816F5F" w:rsidRPr="00FC6087">
        <w:rPr>
          <w:color w:val="000000" w:themeColor="text1"/>
        </w:rPr>
        <w:t>5.7</w:t>
      </w:r>
      <w:r w:rsidRPr="00FC6087">
        <w:rPr>
          <w:color w:val="000000" w:themeColor="text1"/>
        </w:rPr>
        <w:t xml:space="preserve">). </w:t>
      </w:r>
      <w:r w:rsidR="00B26150" w:rsidRPr="00FC6087">
        <w:rPr>
          <w:color w:val="000000" w:themeColor="text1"/>
        </w:rPr>
        <w:t>T</w:t>
      </w:r>
      <w:r w:rsidRPr="00FC6087">
        <w:rPr>
          <w:color w:val="000000" w:themeColor="text1"/>
        </w:rPr>
        <w:t>he variability in stakeholders’ responses to questions regarding organization (e.g. cost, marketing strategy, coordination, training, procedures)</w:t>
      </w:r>
      <w:r w:rsidR="00B26150" w:rsidRPr="00FC6087">
        <w:rPr>
          <w:color w:val="000000" w:themeColor="text1"/>
        </w:rPr>
        <w:t>, therefore,</w:t>
      </w:r>
      <w:r w:rsidRPr="00FC6087">
        <w:rPr>
          <w:color w:val="000000" w:themeColor="text1"/>
        </w:rPr>
        <w:t xml:space="preserve"> accounts for much of the total variation in responses, suggesting that it is on such issues of organization and strategy that individuals have different opinions. This makes sense as</w:t>
      </w:r>
      <w:r w:rsidR="00710F6F" w:rsidRPr="00FC6087">
        <w:rPr>
          <w:color w:val="000000" w:themeColor="text1"/>
        </w:rPr>
        <w:t xml:space="preserve"> </w:t>
      </w:r>
      <w:r w:rsidRPr="00FC6087">
        <w:rPr>
          <w:color w:val="000000" w:themeColor="text1"/>
        </w:rPr>
        <w:t>patients and providers alike are going to value secure and safe data storage and technologies that are easy to use.</w:t>
      </w:r>
      <w:r w:rsidR="00710F6F" w:rsidRPr="00FC6087">
        <w:rPr>
          <w:color w:val="000000" w:themeColor="text1"/>
        </w:rPr>
        <w:t xml:space="preserve"> </w:t>
      </w:r>
      <w:r w:rsidRPr="00FC6087">
        <w:rPr>
          <w:color w:val="000000" w:themeColor="text1"/>
        </w:rPr>
        <w:t xml:space="preserve">However, they are likely to have different opinions on what is a good price for these technologies or how to market them effectively, among others. Therefore, future research is needed to more carefully assess how these stakeholders differ in their opinions on these issues. Conversely, issues on data </w:t>
      </w:r>
      <w:r w:rsidRPr="00FC6087">
        <w:rPr>
          <w:color w:val="000000" w:themeColor="text1"/>
        </w:rPr>
        <w:lastRenderedPageBreak/>
        <w:t xml:space="preserve">infrastructure and security may not need as much investigating. Individuals seem to have </w:t>
      </w:r>
      <w:r w:rsidR="001F447C" w:rsidRPr="00FC6087">
        <w:rPr>
          <w:color w:val="000000" w:themeColor="text1"/>
        </w:rPr>
        <w:t>largely</w:t>
      </w:r>
      <w:r w:rsidRPr="00FC6087">
        <w:rPr>
          <w:color w:val="000000" w:themeColor="text1"/>
        </w:rPr>
        <w:t xml:space="preserve"> consistent views on this (RTGB explained only 8.54% of the total variance) but it d</w:t>
      </w:r>
      <w:r w:rsidR="001F447C" w:rsidRPr="00FC6087">
        <w:rPr>
          <w:color w:val="000000" w:themeColor="text1"/>
        </w:rPr>
        <w:t>id</w:t>
      </w:r>
      <w:r w:rsidRPr="00FC6087">
        <w:rPr>
          <w:color w:val="000000" w:themeColor="text1"/>
        </w:rPr>
        <w:t xml:space="preserve"> not predict HIT adoption as strongly (</w:t>
      </w:r>
      <w:r w:rsidR="001F447C" w:rsidRPr="00FC6087">
        <w:rPr>
          <w:color w:val="000000" w:themeColor="text1"/>
        </w:rPr>
        <w:t>0</w:t>
      </w:r>
      <w:r w:rsidRPr="00FC6087">
        <w:rPr>
          <w:color w:val="000000" w:themeColor="text1"/>
        </w:rPr>
        <w:t>.66). This is perhaps owing to our increasingly technological and global culture: technology is increasingly prevalent</w:t>
      </w:r>
      <w:r w:rsidR="001F447C" w:rsidRPr="00FC6087">
        <w:rPr>
          <w:color w:val="000000" w:themeColor="text1"/>
        </w:rPr>
        <w:t>,</w:t>
      </w:r>
      <w:r w:rsidRPr="00FC6087">
        <w:rPr>
          <w:color w:val="000000" w:themeColor="text1"/>
        </w:rPr>
        <w:t xml:space="preserve"> and individuals are becoming more comfortable with it and how secure it is, meaning that they may be increasingly willing to use it more readily in healthcare.</w:t>
      </w:r>
    </w:p>
    <w:p w14:paraId="7D516C3F" w14:textId="77777777" w:rsidR="00FD4D49" w:rsidRPr="00FC6087" w:rsidRDefault="008C14BA" w:rsidP="00FD4D49">
      <w:pPr>
        <w:pStyle w:val="APAParagraph"/>
        <w:rPr>
          <w:color w:val="000000" w:themeColor="text1"/>
        </w:rPr>
      </w:pPr>
      <w:r w:rsidRPr="00FC6087">
        <w:rPr>
          <w:color w:val="000000" w:themeColor="text1"/>
        </w:rPr>
        <w:t>It must be noted, however, that</w:t>
      </w:r>
      <w:r w:rsidR="00FD4D49" w:rsidRPr="00FC6087">
        <w:rPr>
          <w:color w:val="000000" w:themeColor="text1"/>
        </w:rPr>
        <w:t xml:space="preserve"> these findings are from a single nation, which could limit their generalizability, as these attitudes could be unique to the cultural milieu of the UAE and its ambitious goal to be a top healthcare destination. Nevertheless, the results provide valuable insights as to the attitudes of people in a nation that has seen substantial growth in its HIT sector. Moreover, in today’s increasingly globalized and interconnected culture, it could be that similar attitudes are shared by individuals in organizations and from nations around the globe. </w:t>
      </w:r>
      <w:r w:rsidR="00207A71" w:rsidRPr="00FC6087">
        <w:rPr>
          <w:color w:val="000000" w:themeColor="text1"/>
        </w:rPr>
        <w:t>To assess the suggested generalizability of these findings</w:t>
      </w:r>
      <w:r w:rsidR="00FD4D49" w:rsidRPr="00FC6087">
        <w:rPr>
          <w:color w:val="000000" w:themeColor="text1"/>
        </w:rPr>
        <w:t>, more research is needed to determine how views vary (or not) in different nations, and in general, in the field of HIT adoption as there is no general agreement on definitions and understanding of terms and concepts related to technology in healthcare. Furthermore, as addressed earlier, there is a need for more quantitative or semi-quantitative research. Only then can we better understand how to help and encourage people to overcome the barriers to their successfully adopting these important tools.</w:t>
      </w:r>
    </w:p>
    <w:p w14:paraId="7D516C40" w14:textId="77777777" w:rsidR="00FD4D49" w:rsidRPr="00FC6087" w:rsidRDefault="00FD4D49" w:rsidP="00FD4D49">
      <w:pPr>
        <w:rPr>
          <w:rFonts w:eastAsiaTheme="majorEastAsia" w:cstheme="majorBidi"/>
          <w:b/>
          <w:bCs/>
          <w:i/>
          <w:smallCaps/>
          <w:color w:val="000000" w:themeColor="text1"/>
          <w:szCs w:val="28"/>
          <w:u w:val="single"/>
        </w:rPr>
      </w:pPr>
      <w:r w:rsidRPr="00FC6087">
        <w:rPr>
          <w:color w:val="000000" w:themeColor="text1"/>
        </w:rPr>
        <w:br w:type="page"/>
      </w:r>
    </w:p>
    <w:p w14:paraId="7D516C41" w14:textId="77777777" w:rsidR="00FD4D49" w:rsidRPr="00FC6087" w:rsidRDefault="00445E76" w:rsidP="00FD4D49">
      <w:pPr>
        <w:pStyle w:val="ChapterTitle"/>
        <w:rPr>
          <w:color w:val="000000" w:themeColor="text1"/>
        </w:rPr>
      </w:pPr>
      <w:bookmarkStart w:id="168" w:name="_Toc532800307"/>
      <w:bookmarkStart w:id="169" w:name="_Toc534028551"/>
      <w:bookmarkStart w:id="170" w:name="_Toc534028935"/>
      <w:bookmarkStart w:id="171" w:name="_Toc24447818"/>
      <w:r w:rsidRPr="00FC6087">
        <w:rPr>
          <w:caps w:val="0"/>
          <w:color w:val="000000" w:themeColor="text1"/>
        </w:rPr>
        <w:t xml:space="preserve">CHAPTER </w:t>
      </w:r>
      <w:r w:rsidR="00FD4D49" w:rsidRPr="00FC6087">
        <w:rPr>
          <w:color w:val="000000" w:themeColor="text1"/>
        </w:rPr>
        <w:t>7: Conclusion</w:t>
      </w:r>
      <w:bookmarkEnd w:id="168"/>
      <w:bookmarkEnd w:id="169"/>
      <w:bookmarkEnd w:id="170"/>
      <w:bookmarkEnd w:id="171"/>
    </w:p>
    <w:p w14:paraId="7D516C42" w14:textId="77777777" w:rsidR="00FD4D49" w:rsidRPr="00790070" w:rsidRDefault="00FD4D49" w:rsidP="00790070">
      <w:pPr>
        <w:jc w:val="center"/>
        <w:rPr>
          <w:b/>
          <w:color w:val="000000" w:themeColor="text1"/>
          <w:sz w:val="30"/>
          <w:szCs w:val="30"/>
        </w:rPr>
      </w:pPr>
      <w:r w:rsidRPr="00790070">
        <w:rPr>
          <w:b/>
          <w:color w:val="000000" w:themeColor="text1"/>
          <w:sz w:val="30"/>
          <w:szCs w:val="30"/>
        </w:rPr>
        <w:t xml:space="preserve">Structure of </w:t>
      </w:r>
      <w:r w:rsidR="00046345" w:rsidRPr="00FC6087">
        <w:rPr>
          <w:b/>
          <w:color w:val="000000" w:themeColor="text1"/>
          <w:sz w:val="30"/>
          <w:szCs w:val="30"/>
        </w:rPr>
        <w:t>C</w:t>
      </w:r>
      <w:r w:rsidRPr="00790070">
        <w:rPr>
          <w:b/>
          <w:color w:val="000000" w:themeColor="text1"/>
          <w:sz w:val="30"/>
          <w:szCs w:val="30"/>
        </w:rPr>
        <w:t xml:space="preserve">hapter </w:t>
      </w:r>
      <w:r w:rsidR="00046345" w:rsidRPr="00FC6087">
        <w:rPr>
          <w:b/>
          <w:color w:val="000000" w:themeColor="text1"/>
          <w:sz w:val="30"/>
          <w:szCs w:val="30"/>
        </w:rPr>
        <w:t>S</w:t>
      </w:r>
      <w:r w:rsidRPr="00790070">
        <w:rPr>
          <w:b/>
          <w:color w:val="000000" w:themeColor="text1"/>
          <w:sz w:val="30"/>
          <w:szCs w:val="30"/>
        </w:rPr>
        <w:t>even</w:t>
      </w:r>
    </w:p>
    <w:p w14:paraId="7D516C43" w14:textId="77777777" w:rsidR="00FD4D49" w:rsidRPr="00FC6087" w:rsidRDefault="00FD4D49" w:rsidP="00FD4D49">
      <w:pPr>
        <w:rPr>
          <w:color w:val="000000" w:themeColor="text1"/>
        </w:rPr>
      </w:pPr>
    </w:p>
    <w:p w14:paraId="7D516C44" w14:textId="77777777" w:rsidR="00244BF2" w:rsidRPr="00FC6087" w:rsidRDefault="00FD4D49" w:rsidP="00FD4D49">
      <w:pPr>
        <w:rPr>
          <w:color w:val="000000" w:themeColor="text1"/>
        </w:rPr>
      </w:pPr>
      <w:r w:rsidRPr="00DD1197">
        <w:rPr>
          <w:noProof/>
          <w:color w:val="000000" w:themeColor="text1"/>
        </w:rPr>
        <w:drawing>
          <wp:inline distT="0" distB="0" distL="0" distR="0" wp14:anchorId="7D516DAE" wp14:editId="6ADAFF31">
            <wp:extent cx="4937760" cy="2018030"/>
            <wp:effectExtent l="0" t="0" r="15240" b="1270"/>
            <wp:docPr id="20"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7D516C45" w14:textId="77777777" w:rsidR="00FD4D49" w:rsidRDefault="00FD4D49" w:rsidP="00FD4D49">
      <w:pPr>
        <w:rPr>
          <w:color w:val="000000" w:themeColor="text1"/>
        </w:rPr>
      </w:pPr>
    </w:p>
    <w:p w14:paraId="7D516C46" w14:textId="75BAC498" w:rsidR="0066420F" w:rsidRPr="0066420F" w:rsidRDefault="00743141" w:rsidP="007861F4">
      <w:pPr>
        <w:spacing w:line="480" w:lineRule="auto"/>
        <w:rPr>
          <w:color w:val="000000" w:themeColor="text1"/>
        </w:rPr>
      </w:pPr>
      <w:r>
        <w:rPr>
          <w:color w:val="000000" w:themeColor="text1"/>
        </w:rPr>
        <w:t>T</w:t>
      </w:r>
      <w:r w:rsidR="007861F4">
        <w:rPr>
          <w:color w:val="000000" w:themeColor="text1"/>
        </w:rPr>
        <w:t xml:space="preserve">his chapter </w:t>
      </w:r>
      <w:r w:rsidR="0066420F" w:rsidRPr="0066420F">
        <w:rPr>
          <w:color w:val="000000" w:themeColor="text1"/>
        </w:rPr>
        <w:t>present</w:t>
      </w:r>
      <w:r w:rsidR="007861F4">
        <w:rPr>
          <w:color w:val="000000" w:themeColor="text1"/>
        </w:rPr>
        <w:t>s</w:t>
      </w:r>
      <w:r w:rsidR="0066420F" w:rsidRPr="0066420F">
        <w:rPr>
          <w:color w:val="000000" w:themeColor="text1"/>
        </w:rPr>
        <w:t xml:space="preserve"> the theoretical and managerial implications of this </w:t>
      </w:r>
      <w:r w:rsidR="007861F4">
        <w:rPr>
          <w:color w:val="000000" w:themeColor="text1"/>
        </w:rPr>
        <w:t>research</w:t>
      </w:r>
      <w:r w:rsidR="0066420F" w:rsidRPr="0066420F">
        <w:rPr>
          <w:color w:val="000000" w:themeColor="text1"/>
        </w:rPr>
        <w:t xml:space="preserve"> and the limitations and future directions, conclud</w:t>
      </w:r>
      <w:r>
        <w:rPr>
          <w:color w:val="000000" w:themeColor="text1"/>
        </w:rPr>
        <w:t>ing</w:t>
      </w:r>
      <w:r w:rsidR="0066420F" w:rsidRPr="0066420F">
        <w:rPr>
          <w:color w:val="000000" w:themeColor="text1"/>
        </w:rPr>
        <w:t xml:space="preserve"> with some recommendations to help decision</w:t>
      </w:r>
      <w:r>
        <w:rPr>
          <w:color w:val="000000" w:themeColor="text1"/>
        </w:rPr>
        <w:t>-</w:t>
      </w:r>
      <w:r w:rsidR="0066420F" w:rsidRPr="0066420F">
        <w:rPr>
          <w:color w:val="000000" w:themeColor="text1"/>
        </w:rPr>
        <w:t>maker</w:t>
      </w:r>
      <w:r w:rsidR="0066420F">
        <w:rPr>
          <w:color w:val="000000" w:themeColor="text1"/>
        </w:rPr>
        <w:t>s and healthcare professionals adopt the latest technologies in an effective manner</w:t>
      </w:r>
      <w:r w:rsidR="0066420F" w:rsidRPr="0066420F">
        <w:rPr>
          <w:color w:val="000000" w:themeColor="text1"/>
        </w:rPr>
        <w:t>.</w:t>
      </w:r>
    </w:p>
    <w:p w14:paraId="7D516C47" w14:textId="77777777" w:rsidR="00FD4D49" w:rsidRPr="00FC6087" w:rsidRDefault="00244BF2" w:rsidP="00FD4D49">
      <w:pPr>
        <w:pStyle w:val="Heading1"/>
        <w:rPr>
          <w:color w:val="000000" w:themeColor="text1"/>
        </w:rPr>
      </w:pPr>
      <w:bookmarkStart w:id="172" w:name="_Toc24447819"/>
      <w:r w:rsidRPr="00FC6087">
        <w:rPr>
          <w:color w:val="000000" w:themeColor="text1"/>
        </w:rPr>
        <w:t xml:space="preserve">7.1. </w:t>
      </w:r>
      <w:r w:rsidR="00FD4D49" w:rsidRPr="00FC6087">
        <w:rPr>
          <w:color w:val="000000" w:themeColor="text1"/>
        </w:rPr>
        <w:t xml:space="preserve">Managerial </w:t>
      </w:r>
      <w:r w:rsidRPr="00FC6087">
        <w:rPr>
          <w:color w:val="000000" w:themeColor="text1"/>
        </w:rPr>
        <w:t>I</w:t>
      </w:r>
      <w:r w:rsidR="00FD4D49" w:rsidRPr="00FC6087">
        <w:rPr>
          <w:color w:val="000000" w:themeColor="text1"/>
        </w:rPr>
        <w:t>mplications</w:t>
      </w:r>
      <w:bookmarkEnd w:id="172"/>
    </w:p>
    <w:p w14:paraId="7D516C48" w14:textId="77777777" w:rsidR="00FD4D49" w:rsidRPr="00FC6087" w:rsidRDefault="00FD4D49" w:rsidP="00FD4D49">
      <w:pPr>
        <w:pStyle w:val="APAParagraph"/>
        <w:rPr>
          <w:color w:val="000000" w:themeColor="text1"/>
        </w:rPr>
      </w:pPr>
      <w:r w:rsidRPr="00FC6087">
        <w:rPr>
          <w:color w:val="000000" w:themeColor="text1"/>
        </w:rPr>
        <w:t>A</w:t>
      </w:r>
      <w:r w:rsidR="00046345" w:rsidRPr="00FC6087">
        <w:rPr>
          <w:color w:val="000000" w:themeColor="text1"/>
        </w:rPr>
        <w:t xml:space="preserve">ccording to </w:t>
      </w:r>
      <w:r w:rsidRPr="00FC6087">
        <w:rPr>
          <w:color w:val="000000" w:themeColor="text1"/>
        </w:rPr>
        <w:t xml:space="preserve">the data available from the US–UAE Business Council (2018), the healthcare industry in the Emirates is estimated to reach over 20 billion USD by 2020 and nearly 25 billion USD by 2025, primarily driven by the increase in population, changes in demographic patterns, chaotic lifestyle habits, medical tourism, government efforts to introduce universal health insurance, and increasing wealth, which mean additional demand for higher-quality medical services. The UAE is recording the world’s fasters-growing medical tourism influx, with an estimated attached spending of 28 billion USD by 2021 (Gulf Base, 2018). Thus, the healthcare industry is predicted to experience an array of challenges to become more equitable, efficient, and offer high-quality services, in line with the targets of the UAE Vision 2030 (The United Arab Emirates Government, 2016). These goals can only be met if modern technology is implemented throughout the entire system, allowing for a seamless integration of all participants. </w:t>
      </w:r>
    </w:p>
    <w:p w14:paraId="7D516C49" w14:textId="77777777" w:rsidR="00FD4D49" w:rsidRPr="00FC6087" w:rsidRDefault="00FD4D49" w:rsidP="00FD4D49">
      <w:pPr>
        <w:pStyle w:val="APAParagraph"/>
        <w:rPr>
          <w:color w:val="000000" w:themeColor="text1"/>
        </w:rPr>
      </w:pPr>
      <w:r w:rsidRPr="00FC6087">
        <w:rPr>
          <w:color w:val="000000" w:themeColor="text1"/>
        </w:rPr>
        <w:t xml:space="preserve">This </w:t>
      </w:r>
      <w:r w:rsidR="00CD0525" w:rsidRPr="00FC6087">
        <w:rPr>
          <w:color w:val="000000" w:themeColor="text1"/>
        </w:rPr>
        <w:t xml:space="preserve">research </w:t>
      </w:r>
      <w:r w:rsidRPr="00FC6087">
        <w:rPr>
          <w:color w:val="000000" w:themeColor="text1"/>
        </w:rPr>
        <w:t xml:space="preserve">has revealed that logistics, orientation, and technical barriers are the strongest barriers to HIT adoption practices in the UAE. At the opposite spectrum, the least important barriers noted by the four stakeholder groups </w:t>
      </w:r>
      <w:r w:rsidR="00541223" w:rsidRPr="00FC6087">
        <w:rPr>
          <w:color w:val="000000" w:themeColor="text1"/>
        </w:rPr>
        <w:t>we</w:t>
      </w:r>
      <w:r w:rsidRPr="00FC6087">
        <w:rPr>
          <w:color w:val="000000" w:themeColor="text1"/>
        </w:rPr>
        <w:t xml:space="preserve">re readiness </w:t>
      </w:r>
      <w:r w:rsidR="00541223" w:rsidRPr="00FC6087">
        <w:rPr>
          <w:color w:val="000000" w:themeColor="text1"/>
        </w:rPr>
        <w:t>for</w:t>
      </w:r>
      <w:r w:rsidRPr="00FC6087">
        <w:rPr>
          <w:color w:val="000000" w:themeColor="text1"/>
        </w:rPr>
        <w:t xml:space="preserve"> big data and I</w:t>
      </w:r>
      <w:r w:rsidR="00541223" w:rsidRPr="00FC6087">
        <w:rPr>
          <w:color w:val="000000" w:themeColor="text1"/>
        </w:rPr>
        <w:t>o</w:t>
      </w:r>
      <w:r w:rsidRPr="00FC6087">
        <w:rPr>
          <w:color w:val="000000" w:themeColor="text1"/>
        </w:rPr>
        <w:t xml:space="preserve">T, stakeholders, and outsourcing. As such, the results of the present </w:t>
      </w:r>
      <w:r w:rsidR="00CD0525" w:rsidRPr="00FC6087">
        <w:rPr>
          <w:color w:val="000000" w:themeColor="text1"/>
        </w:rPr>
        <w:t xml:space="preserve">research </w:t>
      </w:r>
      <w:r w:rsidRPr="00FC6087">
        <w:rPr>
          <w:color w:val="000000" w:themeColor="text1"/>
        </w:rPr>
        <w:t xml:space="preserve">are of </w:t>
      </w:r>
      <w:r w:rsidR="00541223" w:rsidRPr="00FC6087">
        <w:rPr>
          <w:color w:val="000000" w:themeColor="text1"/>
        </w:rPr>
        <w:t xml:space="preserve">the </w:t>
      </w:r>
      <w:r w:rsidRPr="00FC6087">
        <w:rPr>
          <w:color w:val="000000" w:themeColor="text1"/>
        </w:rPr>
        <w:t>utmost importance to policy</w:t>
      </w:r>
      <w:r w:rsidR="00541223" w:rsidRPr="00FC6087">
        <w:rPr>
          <w:color w:val="000000" w:themeColor="text1"/>
        </w:rPr>
        <w:t>-</w:t>
      </w:r>
      <w:r w:rsidRPr="00FC6087">
        <w:rPr>
          <w:color w:val="000000" w:themeColor="text1"/>
        </w:rPr>
        <w:t>makers and health professionals that must address the issue of rising care cost</w:t>
      </w:r>
      <w:r w:rsidR="00F9084C" w:rsidRPr="00FC6087">
        <w:rPr>
          <w:color w:val="000000" w:themeColor="text1"/>
        </w:rPr>
        <w:t>s</w:t>
      </w:r>
      <w:r w:rsidRPr="00FC6087">
        <w:rPr>
          <w:color w:val="000000" w:themeColor="text1"/>
        </w:rPr>
        <w:t xml:space="preserve"> and disjointed demographic changes in their attempts improve the quality of healthcare services delivered to patients via tech-based innovations. In particular, data</w:t>
      </w:r>
      <w:r w:rsidR="00F9084C" w:rsidRPr="00FC6087">
        <w:rPr>
          <w:color w:val="000000" w:themeColor="text1"/>
        </w:rPr>
        <w:t>-</w:t>
      </w:r>
      <w:r w:rsidRPr="00FC6087">
        <w:rPr>
          <w:color w:val="000000" w:themeColor="text1"/>
        </w:rPr>
        <w:t xml:space="preserve">security concerns </w:t>
      </w:r>
      <w:r w:rsidR="00F9084C" w:rsidRPr="00FC6087">
        <w:rPr>
          <w:color w:val="000000" w:themeColor="text1"/>
        </w:rPr>
        <w:t>we</w:t>
      </w:r>
      <w:r w:rsidRPr="00FC6087">
        <w:rPr>
          <w:color w:val="000000" w:themeColor="text1"/>
        </w:rPr>
        <w:t xml:space="preserve">re not </w:t>
      </w:r>
      <w:r w:rsidR="00F9084C" w:rsidRPr="00FC6087">
        <w:rPr>
          <w:color w:val="000000" w:themeColor="text1"/>
        </w:rPr>
        <w:t xml:space="preserve">found to be </w:t>
      </w:r>
      <w:r w:rsidRPr="00FC6087">
        <w:rPr>
          <w:color w:val="000000" w:themeColor="text1"/>
        </w:rPr>
        <w:t>as strong deterrents as concerns about organization, policy, and the practicability and longevity of the proposed technologies. Despite the obvious, documented benefits of HIT to all health stakeholders, the diffusion of technology in the UAE is still low—and even lower in most other Arab nations—and meets resistance from medical specialists. However, these findings suggest that effective avenues for enhancing the adoption of these technologies should be aimed less at convincing individuals of the security of the technologies, but at developing technologies that will be user friendly, training people to use these technologies, and ensuring that changes are implemented smoothly.</w:t>
      </w:r>
    </w:p>
    <w:p w14:paraId="7D516C4A" w14:textId="77777777" w:rsidR="00FD4D49" w:rsidRPr="00FC6087" w:rsidRDefault="00FD4D49" w:rsidP="00FD4D49">
      <w:pPr>
        <w:pStyle w:val="APAParagraph"/>
        <w:rPr>
          <w:color w:val="000000" w:themeColor="text1"/>
        </w:rPr>
      </w:pPr>
      <w:r w:rsidRPr="00FC6087">
        <w:rPr>
          <w:color w:val="000000" w:themeColor="text1"/>
        </w:rPr>
        <w:t xml:space="preserve">The UAE is thus in a good position </w:t>
      </w:r>
      <w:r w:rsidR="00245A3A" w:rsidRPr="00FC6087">
        <w:rPr>
          <w:color w:val="000000" w:themeColor="text1"/>
        </w:rPr>
        <w:t xml:space="preserve">to successfully </w:t>
      </w:r>
      <w:r w:rsidRPr="00FC6087">
        <w:rPr>
          <w:color w:val="000000" w:themeColor="text1"/>
        </w:rPr>
        <w:t xml:space="preserve">implement innovative healthcare technology for the populace as it has put considerable effort into making healthcare accessible by rising above conventional ideology and implementing the most modern, state-of-the-art healthcare technology available in the region. Although the perspective of the present </w:t>
      </w:r>
      <w:r w:rsidR="00CD0525" w:rsidRPr="00FC6087">
        <w:rPr>
          <w:color w:val="000000" w:themeColor="text1"/>
        </w:rPr>
        <w:t xml:space="preserve">research </w:t>
      </w:r>
      <w:r w:rsidRPr="00FC6087">
        <w:rPr>
          <w:color w:val="000000" w:themeColor="text1"/>
        </w:rPr>
        <w:t xml:space="preserve">is focused on stakeholders’ views, the </w:t>
      </w:r>
      <w:r w:rsidR="00BB0339" w:rsidRPr="00FC6087">
        <w:rPr>
          <w:color w:val="000000" w:themeColor="text1"/>
        </w:rPr>
        <w:t>UAE</w:t>
      </w:r>
      <w:r w:rsidR="00007FB3">
        <w:rPr>
          <w:color w:val="000000" w:themeColor="text1"/>
        </w:rPr>
        <w:t xml:space="preserve"> </w:t>
      </w:r>
      <w:r w:rsidRPr="00FC6087">
        <w:rPr>
          <w:color w:val="000000" w:themeColor="text1"/>
        </w:rPr>
        <w:t xml:space="preserve">government has </w:t>
      </w:r>
      <w:r w:rsidR="00C9031E" w:rsidRPr="00FC6087">
        <w:rPr>
          <w:color w:val="000000" w:themeColor="text1"/>
        </w:rPr>
        <w:t>performed</w:t>
      </w:r>
      <w:r w:rsidRPr="00FC6087">
        <w:rPr>
          <w:color w:val="000000" w:themeColor="text1"/>
        </w:rPr>
        <w:t xml:space="preserve"> remarkably well, </w:t>
      </w:r>
      <w:r w:rsidR="00BB0339" w:rsidRPr="00FC6087">
        <w:rPr>
          <w:color w:val="000000" w:themeColor="text1"/>
        </w:rPr>
        <w:t xml:space="preserve">making use of its </w:t>
      </w:r>
      <w:r w:rsidRPr="00FC6087">
        <w:rPr>
          <w:color w:val="000000" w:themeColor="text1"/>
        </w:rPr>
        <w:t xml:space="preserve">increasing wealth generated from its position as the second-largest economy in the Arab world (after Saudi Arabia), which shows </w:t>
      </w:r>
      <w:r w:rsidR="00D85A05" w:rsidRPr="00FC6087">
        <w:rPr>
          <w:color w:val="000000" w:themeColor="text1"/>
        </w:rPr>
        <w:t xml:space="preserve">its </w:t>
      </w:r>
      <w:r w:rsidRPr="00FC6087">
        <w:rPr>
          <w:color w:val="000000" w:themeColor="text1"/>
        </w:rPr>
        <w:t>willingness</w:t>
      </w:r>
      <w:r w:rsidR="00D85A05" w:rsidRPr="00FC6087">
        <w:rPr>
          <w:color w:val="000000" w:themeColor="text1"/>
        </w:rPr>
        <w:t>,</w:t>
      </w:r>
      <w:r w:rsidRPr="00FC6087">
        <w:rPr>
          <w:color w:val="000000" w:themeColor="text1"/>
        </w:rPr>
        <w:t xml:space="preserve"> and progress</w:t>
      </w:r>
      <w:r w:rsidR="00D85A05" w:rsidRPr="00FC6087">
        <w:rPr>
          <w:color w:val="000000" w:themeColor="text1"/>
        </w:rPr>
        <w:t>,</w:t>
      </w:r>
      <w:r w:rsidR="00007FB3">
        <w:rPr>
          <w:color w:val="000000" w:themeColor="text1"/>
        </w:rPr>
        <w:t xml:space="preserve"> </w:t>
      </w:r>
      <w:r w:rsidR="00D85A05" w:rsidRPr="00FC6087">
        <w:rPr>
          <w:color w:val="000000" w:themeColor="text1"/>
        </w:rPr>
        <w:t>in</w:t>
      </w:r>
      <w:r w:rsidRPr="00FC6087">
        <w:rPr>
          <w:color w:val="000000" w:themeColor="text1"/>
        </w:rPr>
        <w:t xml:space="preserve"> adopting new technologies.</w:t>
      </w:r>
    </w:p>
    <w:p w14:paraId="7D516C4B" w14:textId="77777777" w:rsidR="00FD4D49" w:rsidRPr="00FC6087" w:rsidRDefault="00FD4D49" w:rsidP="00FD4D49">
      <w:pPr>
        <w:pStyle w:val="APAParagraph"/>
        <w:rPr>
          <w:color w:val="000000" w:themeColor="text1"/>
        </w:rPr>
      </w:pPr>
      <w:r w:rsidRPr="00FC6087">
        <w:rPr>
          <w:color w:val="000000" w:themeColor="text1"/>
        </w:rPr>
        <w:t xml:space="preserve">As previously mentioned, this development in health infrastructure is </w:t>
      </w:r>
      <w:r w:rsidR="00D85A05" w:rsidRPr="00FC6087">
        <w:rPr>
          <w:color w:val="000000" w:themeColor="text1"/>
        </w:rPr>
        <w:t>demonstrated</w:t>
      </w:r>
      <w:r w:rsidRPr="00FC6087">
        <w:rPr>
          <w:color w:val="000000" w:themeColor="text1"/>
        </w:rPr>
        <w:t xml:space="preserve"> by UAE’s position on the leaderboard of last year’s Philips’ Future Health Index (2017) report, which measures how key stakeholders in various countries perceive access to healthcare, the integration of their healthcare systems, and </w:t>
      </w:r>
      <w:r w:rsidR="00D85A05" w:rsidRPr="00FC6087">
        <w:rPr>
          <w:color w:val="000000" w:themeColor="text1"/>
        </w:rPr>
        <w:t xml:space="preserve">the </w:t>
      </w:r>
      <w:r w:rsidRPr="00FC6087">
        <w:rPr>
          <w:color w:val="000000" w:themeColor="text1"/>
        </w:rPr>
        <w:t xml:space="preserve">adoption of technologies critical to connected healthcare (Wang et al., 2018). The UAE leads other countries on the index by a significant margin due to the positive views on the current state of integration throughout the health system and to the patients’ and healthcare professionals’ readiness to adopt technology. Consequently, by enhancing the current knowledge of these key stakeholders’ views on adopting HIT in the UAE, particularly if combined with similar studies on other countries, this </w:t>
      </w:r>
      <w:r w:rsidR="00CD0525" w:rsidRPr="00FC6087">
        <w:rPr>
          <w:color w:val="000000" w:themeColor="text1"/>
        </w:rPr>
        <w:t xml:space="preserve">research </w:t>
      </w:r>
      <w:r w:rsidRPr="00FC6087">
        <w:rPr>
          <w:color w:val="000000" w:themeColor="text1"/>
        </w:rPr>
        <w:t>can help policy</w:t>
      </w:r>
      <w:r w:rsidR="001D6252" w:rsidRPr="00FC6087">
        <w:rPr>
          <w:color w:val="000000" w:themeColor="text1"/>
        </w:rPr>
        <w:t>-</w:t>
      </w:r>
      <w:r w:rsidRPr="00FC6087">
        <w:rPr>
          <w:color w:val="000000" w:themeColor="text1"/>
        </w:rPr>
        <w:t xml:space="preserve">makers and managers better understand why and how the UAE is leading the healthcare technology revolution and how it can be used as an example to </w:t>
      </w:r>
      <w:r w:rsidR="001D6252" w:rsidRPr="00FC6087">
        <w:rPr>
          <w:color w:val="000000" w:themeColor="text1"/>
        </w:rPr>
        <w:t>help</w:t>
      </w:r>
      <w:r w:rsidRPr="00FC6087">
        <w:rPr>
          <w:color w:val="000000" w:themeColor="text1"/>
        </w:rPr>
        <w:t xml:space="preserve"> other countries in the region and around the world to adopt these valuable innovations.</w:t>
      </w:r>
    </w:p>
    <w:p w14:paraId="7D516C4C" w14:textId="77777777" w:rsidR="00FD4D49" w:rsidRPr="00FC6087" w:rsidRDefault="00FD4D49" w:rsidP="00FD4D49">
      <w:pPr>
        <w:pStyle w:val="APAParagraph"/>
        <w:rPr>
          <w:color w:val="000000" w:themeColor="text1"/>
        </w:rPr>
      </w:pPr>
      <w:r w:rsidRPr="00FC6087">
        <w:rPr>
          <w:color w:val="000000" w:themeColor="text1"/>
        </w:rPr>
        <w:t xml:space="preserve">The results of this </w:t>
      </w:r>
      <w:r w:rsidR="001D6252" w:rsidRPr="00FC6087">
        <w:rPr>
          <w:color w:val="000000" w:themeColor="text1"/>
        </w:rPr>
        <w:t>research</w:t>
      </w:r>
      <w:r w:rsidRPr="00FC6087">
        <w:rPr>
          <w:color w:val="000000" w:themeColor="text1"/>
        </w:rPr>
        <w:t xml:space="preserve"> offer important implications for the UAE healthcare system, which relies heavily on domestic resources and is a mixed public</w:t>
      </w:r>
      <w:r w:rsidR="001D6252" w:rsidRPr="00FC6087">
        <w:rPr>
          <w:color w:val="000000" w:themeColor="text1"/>
        </w:rPr>
        <w:t>–</w:t>
      </w:r>
      <w:r w:rsidRPr="00FC6087">
        <w:rPr>
          <w:color w:val="000000" w:themeColor="text1"/>
        </w:rPr>
        <w:t xml:space="preserve">private system, centrally managed and funded. The population of the Emirates is requesting accountability and inclusion from the government at all levels (Alsadan et al., 2015), and the UAE healthcare system should thus be navigating its substantial transformation to better meet the needs of the citizens and of the predicted population increase. State-of-the-art new facilities are being built and healthcare reforms are shifting the economic risk from a government-funded model to a more classical (i.e. privately managed) care paradigm. As such, these changes should be based on a framework that can consider the evolution of the motivators </w:t>
      </w:r>
      <w:r w:rsidR="00384EB6" w:rsidRPr="00FC6087">
        <w:rPr>
          <w:color w:val="000000" w:themeColor="text1"/>
        </w:rPr>
        <w:t xml:space="preserve">for </w:t>
      </w:r>
      <w:r w:rsidRPr="00FC6087">
        <w:rPr>
          <w:color w:val="000000" w:themeColor="text1"/>
        </w:rPr>
        <w:t xml:space="preserve">and barriers to HIT adoption. </w:t>
      </w:r>
      <w:r w:rsidR="00F4502F" w:rsidRPr="00FC6087">
        <w:rPr>
          <w:color w:val="000000" w:themeColor="text1"/>
        </w:rPr>
        <w:t>Finally</w:t>
      </w:r>
      <w:r w:rsidRPr="00FC6087">
        <w:rPr>
          <w:color w:val="000000" w:themeColor="text1"/>
        </w:rPr>
        <w:t>, to enhance the attractiveness of the country as a medical tourism hub, the government launched the UAE Vision 2021 as a strategy that seeks to make the UAE a top global healthcare destination</w:t>
      </w:r>
      <w:r w:rsidR="00F4502F" w:rsidRPr="00FC6087">
        <w:rPr>
          <w:color w:val="000000" w:themeColor="text1"/>
        </w:rPr>
        <w:t>; making this vision a reality will</w:t>
      </w:r>
      <w:r w:rsidRPr="00FC6087">
        <w:rPr>
          <w:color w:val="000000" w:themeColor="text1"/>
        </w:rPr>
        <w:t xml:space="preserve"> require guidelines</w:t>
      </w:r>
      <w:r w:rsidR="00FB63C8" w:rsidRPr="00FC6087">
        <w:rPr>
          <w:color w:val="000000" w:themeColor="text1"/>
        </w:rPr>
        <w:t xml:space="preserve"> based on strong theory and quantitative results</w:t>
      </w:r>
      <w:r w:rsidRPr="00FC6087">
        <w:rPr>
          <w:color w:val="000000" w:themeColor="text1"/>
        </w:rPr>
        <w:t xml:space="preserve">, such as the </w:t>
      </w:r>
      <w:r w:rsidR="00F4502F" w:rsidRPr="00FC6087">
        <w:rPr>
          <w:color w:val="000000" w:themeColor="text1"/>
        </w:rPr>
        <w:t>those</w:t>
      </w:r>
      <w:r w:rsidRPr="00FC6087">
        <w:rPr>
          <w:color w:val="000000" w:themeColor="text1"/>
        </w:rPr>
        <w:t xml:space="preserve"> provided by this </w:t>
      </w:r>
      <w:r w:rsidR="00F4502F" w:rsidRPr="00FC6087">
        <w:rPr>
          <w:color w:val="000000" w:themeColor="text1"/>
        </w:rPr>
        <w:t>research</w:t>
      </w:r>
      <w:r w:rsidRPr="00FC6087">
        <w:rPr>
          <w:color w:val="000000" w:themeColor="text1"/>
        </w:rPr>
        <w:t>.</w:t>
      </w:r>
    </w:p>
    <w:p w14:paraId="7D516C4D" w14:textId="77777777" w:rsidR="00FD4D49" w:rsidRPr="00FC6087" w:rsidRDefault="00244BF2" w:rsidP="00FD4D49">
      <w:pPr>
        <w:pStyle w:val="Heading1"/>
        <w:rPr>
          <w:color w:val="000000" w:themeColor="text1"/>
        </w:rPr>
      </w:pPr>
      <w:bookmarkStart w:id="173" w:name="_Toc24447820"/>
      <w:r w:rsidRPr="00FC6087">
        <w:rPr>
          <w:color w:val="000000" w:themeColor="text1"/>
        </w:rPr>
        <w:t xml:space="preserve">7.2. </w:t>
      </w:r>
      <w:r w:rsidR="00FD4D49" w:rsidRPr="00FC6087">
        <w:rPr>
          <w:color w:val="000000" w:themeColor="text1"/>
        </w:rPr>
        <w:t xml:space="preserve">Theoretical </w:t>
      </w:r>
      <w:r w:rsidRPr="00FC6087">
        <w:rPr>
          <w:color w:val="000000" w:themeColor="text1"/>
        </w:rPr>
        <w:t>I</w:t>
      </w:r>
      <w:r w:rsidR="00FD4D49" w:rsidRPr="00FC6087">
        <w:rPr>
          <w:color w:val="000000" w:themeColor="text1"/>
        </w:rPr>
        <w:t>mplications</w:t>
      </w:r>
      <w:bookmarkEnd w:id="173"/>
    </w:p>
    <w:p w14:paraId="7D516C4E" w14:textId="3F4DEEEC" w:rsidR="00FD4D49" w:rsidRPr="00FC6087" w:rsidRDefault="00FD4D49" w:rsidP="00FD4D49">
      <w:pPr>
        <w:pStyle w:val="APAParagraph"/>
        <w:rPr>
          <w:color w:val="000000" w:themeColor="text1"/>
        </w:rPr>
      </w:pPr>
      <w:r w:rsidRPr="00FC6087">
        <w:rPr>
          <w:color w:val="000000" w:themeColor="text1"/>
        </w:rPr>
        <w:t xml:space="preserve">Since the 1960s, scholars have provided a vast collection of analyses with the aim of clarifying the mechanisms of technology acceptance and the </w:t>
      </w:r>
      <w:r w:rsidR="005007C3" w:rsidRPr="00FC6087">
        <w:rPr>
          <w:color w:val="000000" w:themeColor="text1"/>
        </w:rPr>
        <w:t xml:space="preserve">related </w:t>
      </w:r>
      <w:r w:rsidRPr="00FC6087">
        <w:rPr>
          <w:color w:val="000000" w:themeColor="text1"/>
        </w:rPr>
        <w:t>attitudes of healthcare stakeholders, based on various theories, inter alia, the theory of reasoned action (Fishbein</w:t>
      </w:r>
      <w:r w:rsidR="005E7A62">
        <w:rPr>
          <w:color w:val="000000" w:themeColor="text1"/>
        </w:rPr>
        <w:t xml:space="preserve"> &amp; </w:t>
      </w:r>
      <w:r w:rsidRPr="00FC6087">
        <w:rPr>
          <w:color w:val="000000" w:themeColor="text1"/>
        </w:rPr>
        <w:t xml:space="preserve">Ajzen, 1975), the theory of planned behavior (Ajzen, 1985), TAM (Davis, 1986), </w:t>
      </w:r>
      <w:r w:rsidR="005007C3" w:rsidRPr="00FC6087">
        <w:rPr>
          <w:color w:val="000000" w:themeColor="text1"/>
        </w:rPr>
        <w:t xml:space="preserve">and </w:t>
      </w:r>
      <w:r w:rsidRPr="00FC6087">
        <w:rPr>
          <w:color w:val="000000" w:themeColor="text1"/>
        </w:rPr>
        <w:t>TAM2</w:t>
      </w:r>
      <w:r w:rsidR="005007C3" w:rsidRPr="00FC6087">
        <w:rPr>
          <w:color w:val="000000" w:themeColor="text1"/>
        </w:rPr>
        <w:t xml:space="preserve">, </w:t>
      </w:r>
      <w:r w:rsidRPr="00FC6087">
        <w:rPr>
          <w:color w:val="000000" w:themeColor="text1"/>
        </w:rPr>
        <w:t>a new specification of TAM (Venkatesh</w:t>
      </w:r>
      <w:r w:rsidR="005E7A62">
        <w:rPr>
          <w:color w:val="000000" w:themeColor="text1"/>
        </w:rPr>
        <w:t xml:space="preserve"> &amp; </w:t>
      </w:r>
      <w:r w:rsidRPr="00FC6087">
        <w:rPr>
          <w:color w:val="000000" w:themeColor="text1"/>
        </w:rPr>
        <w:t xml:space="preserve">Davis, 2000). The above-mentioned theories have been used </w:t>
      </w:r>
      <w:r w:rsidR="005007C3" w:rsidRPr="00FC6087">
        <w:rPr>
          <w:color w:val="000000" w:themeColor="text1"/>
        </w:rPr>
        <w:t>to</w:t>
      </w:r>
      <w:r w:rsidRPr="00FC6087">
        <w:rPr>
          <w:color w:val="000000" w:themeColor="text1"/>
        </w:rPr>
        <w:t xml:space="preserve"> explor</w:t>
      </w:r>
      <w:r w:rsidR="005007C3" w:rsidRPr="00FC6087">
        <w:rPr>
          <w:color w:val="000000" w:themeColor="text1"/>
        </w:rPr>
        <w:t>e</w:t>
      </w:r>
      <w:r w:rsidRPr="00FC6087">
        <w:rPr>
          <w:color w:val="000000" w:themeColor="text1"/>
        </w:rPr>
        <w:t xml:space="preserve"> the issue of HIT</w:t>
      </w:r>
      <w:r w:rsidR="001C6A6B" w:rsidRPr="00FC6087">
        <w:rPr>
          <w:color w:val="000000" w:themeColor="text1"/>
        </w:rPr>
        <w:t>,</w:t>
      </w:r>
      <w:r w:rsidRPr="00FC6087">
        <w:rPr>
          <w:color w:val="000000" w:themeColor="text1"/>
        </w:rPr>
        <w:t xml:space="preserve"> but an integrated approach presenting a view of all relevant stakeholders is yet missing. Kumar et al. (2016) mentioned that the different stakeholder groups are all interconnected and, thus, </w:t>
      </w:r>
      <w:r w:rsidR="001C6A6B" w:rsidRPr="00FC6087">
        <w:rPr>
          <w:color w:val="000000" w:themeColor="text1"/>
        </w:rPr>
        <w:t>must</w:t>
      </w:r>
      <w:r w:rsidRPr="00FC6087">
        <w:rPr>
          <w:color w:val="000000" w:themeColor="text1"/>
        </w:rPr>
        <w:t xml:space="preserve"> be investigated in an integrated way. To this end, stakeholder theory has been used but</w:t>
      </w:r>
      <w:r w:rsidR="001C6A6B" w:rsidRPr="00FC6087">
        <w:rPr>
          <w:color w:val="000000" w:themeColor="text1"/>
        </w:rPr>
        <w:t>,</w:t>
      </w:r>
      <w:r w:rsidRPr="00FC6087">
        <w:rPr>
          <w:color w:val="000000" w:themeColor="text1"/>
        </w:rPr>
        <w:t xml:space="preserve"> again, its focus was on </w:t>
      </w:r>
      <w:r w:rsidR="001C6A6B" w:rsidRPr="00FC6087">
        <w:rPr>
          <w:color w:val="000000" w:themeColor="text1"/>
        </w:rPr>
        <w:t xml:space="preserve">only </w:t>
      </w:r>
      <w:r w:rsidRPr="00FC6087">
        <w:rPr>
          <w:color w:val="000000" w:themeColor="text1"/>
        </w:rPr>
        <w:t>one or two categories (see</w:t>
      </w:r>
      <w:r w:rsidR="001C6A6B" w:rsidRPr="00FC6087">
        <w:rPr>
          <w:color w:val="000000" w:themeColor="text1"/>
        </w:rPr>
        <w:t>,</w:t>
      </w:r>
      <w:r w:rsidRPr="00FC6087">
        <w:rPr>
          <w:color w:val="000000" w:themeColor="text1"/>
        </w:rPr>
        <w:t xml:space="preserve"> for example</w:t>
      </w:r>
      <w:r w:rsidR="001C6A6B" w:rsidRPr="00FC6087">
        <w:rPr>
          <w:color w:val="000000" w:themeColor="text1"/>
        </w:rPr>
        <w:t>,</w:t>
      </w:r>
      <w:r w:rsidR="00743141">
        <w:rPr>
          <w:color w:val="000000" w:themeColor="text1"/>
        </w:rPr>
        <w:t xml:space="preserve"> </w:t>
      </w:r>
      <w:r w:rsidR="001C6A6B" w:rsidRPr="00FC6087">
        <w:rPr>
          <w:color w:val="000000" w:themeColor="text1"/>
        </w:rPr>
        <w:t xml:space="preserve">Chang, 2010; </w:t>
      </w:r>
      <w:r w:rsidRPr="00FC6087">
        <w:rPr>
          <w:color w:val="000000" w:themeColor="text1"/>
        </w:rPr>
        <w:t xml:space="preserve">Chaudry et al., 2006; Poon et al., 2006; Pouloudi et al., 2016). Focusing on </w:t>
      </w:r>
      <w:r w:rsidR="001C6A6B" w:rsidRPr="00FC6087">
        <w:rPr>
          <w:color w:val="000000" w:themeColor="text1"/>
        </w:rPr>
        <w:t xml:space="preserve">a </w:t>
      </w:r>
      <w:r w:rsidRPr="00FC6087">
        <w:rPr>
          <w:color w:val="000000" w:themeColor="text1"/>
        </w:rPr>
        <w:t>few stakeholders does not guarantee optimal outcome</w:t>
      </w:r>
      <w:r w:rsidR="00997133" w:rsidRPr="00FC6087">
        <w:rPr>
          <w:color w:val="000000" w:themeColor="text1"/>
        </w:rPr>
        <w:t>s</w:t>
      </w:r>
      <w:r w:rsidRPr="00FC6087">
        <w:rPr>
          <w:color w:val="000000" w:themeColor="text1"/>
        </w:rPr>
        <w:t xml:space="preserve"> for the entire organization. </w:t>
      </w:r>
      <w:r w:rsidR="00997133" w:rsidRPr="00FC6087">
        <w:rPr>
          <w:color w:val="000000" w:themeColor="text1"/>
        </w:rPr>
        <w:t>A</w:t>
      </w:r>
      <w:r w:rsidRPr="00FC6087">
        <w:rPr>
          <w:color w:val="000000" w:themeColor="text1"/>
        </w:rPr>
        <w:t xml:space="preserve">ll categories </w:t>
      </w:r>
      <w:r w:rsidR="00997133" w:rsidRPr="00FC6087">
        <w:rPr>
          <w:color w:val="000000" w:themeColor="text1"/>
        </w:rPr>
        <w:t xml:space="preserve">need to be </w:t>
      </w:r>
      <w:r w:rsidRPr="00FC6087">
        <w:rPr>
          <w:color w:val="000000" w:themeColor="text1"/>
        </w:rPr>
        <w:t xml:space="preserve">simultaneously involved in the process, and this </w:t>
      </w:r>
      <w:r w:rsidR="00CD0525" w:rsidRPr="00FC6087">
        <w:rPr>
          <w:color w:val="000000" w:themeColor="text1"/>
        </w:rPr>
        <w:t xml:space="preserve">research </w:t>
      </w:r>
      <w:r w:rsidRPr="00FC6087">
        <w:rPr>
          <w:color w:val="000000" w:themeColor="text1"/>
        </w:rPr>
        <w:t xml:space="preserve">fills this gap by integrating the view of the four major stakeholders (employees, patients, the public, and foresight experts) in the healthcare system. However, assimilating all major stakeholders provides interesting and conflicting points of view. Furthermore, the inclusion of the future foresight experts is a unique endeavor </w:t>
      </w:r>
      <w:r w:rsidR="00997133" w:rsidRPr="00FC6087">
        <w:rPr>
          <w:color w:val="000000" w:themeColor="text1"/>
        </w:rPr>
        <w:t xml:space="preserve">to date </w:t>
      </w:r>
      <w:r w:rsidRPr="00FC6087">
        <w:rPr>
          <w:color w:val="000000" w:themeColor="text1"/>
        </w:rPr>
        <w:t xml:space="preserve">within the </w:t>
      </w:r>
      <w:r w:rsidR="00997133" w:rsidRPr="00FC6087">
        <w:rPr>
          <w:color w:val="000000" w:themeColor="text1"/>
        </w:rPr>
        <w:t>field</w:t>
      </w:r>
      <w:r w:rsidRPr="00FC6087">
        <w:rPr>
          <w:color w:val="000000" w:themeColor="text1"/>
        </w:rPr>
        <w:t xml:space="preserve">. </w:t>
      </w:r>
    </w:p>
    <w:p w14:paraId="7D516C4F" w14:textId="78F31612" w:rsidR="00FD4D49" w:rsidRPr="00FC6087" w:rsidRDefault="00FD4D49" w:rsidP="00FD4D49">
      <w:pPr>
        <w:pStyle w:val="APAParagraph"/>
        <w:rPr>
          <w:color w:val="000000" w:themeColor="text1"/>
        </w:rPr>
      </w:pPr>
      <w:r w:rsidRPr="00FC6087">
        <w:rPr>
          <w:color w:val="000000" w:themeColor="text1"/>
        </w:rPr>
        <w:t xml:space="preserve">Methodologically, most authors have used qualitative research methods for investigating the issue of HIT barriers </w:t>
      </w:r>
      <w:r w:rsidR="003E1259" w:rsidRPr="00FC6087">
        <w:rPr>
          <w:color w:val="000000" w:themeColor="text1"/>
        </w:rPr>
        <w:t>[</w:t>
      </w:r>
      <w:r w:rsidRPr="00FC6087">
        <w:rPr>
          <w:color w:val="000000" w:themeColor="text1"/>
        </w:rPr>
        <w:t xml:space="preserve">e.g. </w:t>
      </w:r>
      <w:r w:rsidR="00357B75" w:rsidRPr="00FC6087">
        <w:rPr>
          <w:color w:val="000000" w:themeColor="text1"/>
        </w:rPr>
        <w:t xml:space="preserve">Bramble et al. (2008) (content analysis of qualitative interviews); </w:t>
      </w:r>
      <w:r w:rsidRPr="00FC6087">
        <w:rPr>
          <w:color w:val="000000" w:themeColor="text1"/>
        </w:rPr>
        <w:t>Randeree (2007)</w:t>
      </w:r>
      <w:r w:rsidR="003E1259" w:rsidRPr="00FC6087">
        <w:rPr>
          <w:color w:val="000000" w:themeColor="text1"/>
        </w:rPr>
        <w:t xml:space="preserve"> (</w:t>
      </w:r>
      <w:r w:rsidRPr="00FC6087">
        <w:rPr>
          <w:color w:val="000000" w:themeColor="text1"/>
        </w:rPr>
        <w:t>interview</w:t>
      </w:r>
      <w:r w:rsidR="003E1259" w:rsidRPr="00FC6087">
        <w:rPr>
          <w:color w:val="000000" w:themeColor="text1"/>
        </w:rPr>
        <w:t>)</w:t>
      </w:r>
      <w:r w:rsidRPr="00FC6087">
        <w:rPr>
          <w:color w:val="000000" w:themeColor="text1"/>
        </w:rPr>
        <w:t>; Rozenblum</w:t>
      </w:r>
      <w:r w:rsidR="0022760B">
        <w:rPr>
          <w:color w:val="000000" w:themeColor="text1"/>
        </w:rPr>
        <w:t xml:space="preserve"> et al.</w:t>
      </w:r>
      <w:r w:rsidRPr="00FC6087">
        <w:rPr>
          <w:color w:val="000000" w:themeColor="text1"/>
        </w:rPr>
        <w:t xml:space="preserve"> </w:t>
      </w:r>
      <w:r w:rsidR="00C206E2">
        <w:rPr>
          <w:color w:val="000000" w:themeColor="text1"/>
        </w:rPr>
        <w:t>(</w:t>
      </w:r>
      <w:r w:rsidRPr="00FC6087">
        <w:rPr>
          <w:color w:val="000000" w:themeColor="text1"/>
        </w:rPr>
        <w:t>2013)</w:t>
      </w:r>
      <w:r w:rsidR="0022760B">
        <w:rPr>
          <w:color w:val="000000" w:themeColor="text1"/>
        </w:rPr>
        <w:t xml:space="preserve"> </w:t>
      </w:r>
      <w:r w:rsidR="003E1259" w:rsidRPr="00FC6087">
        <w:rPr>
          <w:color w:val="000000" w:themeColor="text1"/>
        </w:rPr>
        <w:t>(</w:t>
      </w:r>
      <w:r w:rsidRPr="00FC6087">
        <w:rPr>
          <w:color w:val="000000" w:themeColor="text1"/>
        </w:rPr>
        <w:t>case study approach</w:t>
      </w:r>
      <w:r w:rsidR="003E1259" w:rsidRPr="00FC6087">
        <w:rPr>
          <w:color w:val="000000" w:themeColor="text1"/>
        </w:rPr>
        <w:t>)</w:t>
      </w:r>
      <w:r w:rsidRPr="00FC6087">
        <w:rPr>
          <w:color w:val="000000" w:themeColor="text1"/>
        </w:rPr>
        <w:t>; Zinszer</w:t>
      </w:r>
      <w:r w:rsidR="00C206E2">
        <w:rPr>
          <w:color w:val="000000" w:themeColor="text1"/>
        </w:rPr>
        <w:t xml:space="preserve">, </w:t>
      </w:r>
      <w:r w:rsidR="00C206E2" w:rsidRPr="00312599">
        <w:rPr>
          <w:color w:val="000000" w:themeColor="text1"/>
        </w:rPr>
        <w:t>Tamblyn, Bates,</w:t>
      </w:r>
      <w:r w:rsidR="005E7A62">
        <w:rPr>
          <w:color w:val="000000" w:themeColor="text1"/>
        </w:rPr>
        <w:t xml:space="preserve"> &amp; </w:t>
      </w:r>
      <w:r w:rsidR="00C206E2" w:rsidRPr="00312599">
        <w:rPr>
          <w:color w:val="000000" w:themeColor="text1"/>
        </w:rPr>
        <w:t>Buckeridge</w:t>
      </w:r>
      <w:r w:rsidRPr="00FC6087">
        <w:rPr>
          <w:color w:val="000000" w:themeColor="text1"/>
        </w:rPr>
        <w:t xml:space="preserve"> (2013)</w:t>
      </w:r>
      <w:r w:rsidR="00F641EE">
        <w:rPr>
          <w:color w:val="000000" w:themeColor="text1"/>
        </w:rPr>
        <w:t xml:space="preserve"> </w:t>
      </w:r>
      <w:r w:rsidR="003E1259" w:rsidRPr="00FC6087">
        <w:rPr>
          <w:color w:val="000000" w:themeColor="text1"/>
        </w:rPr>
        <w:t>(</w:t>
      </w:r>
      <w:r w:rsidRPr="00FC6087">
        <w:rPr>
          <w:color w:val="000000" w:themeColor="text1"/>
        </w:rPr>
        <w:t>qualitative case study)</w:t>
      </w:r>
      <w:r w:rsidR="003E1259" w:rsidRPr="00FC6087">
        <w:rPr>
          <w:color w:val="000000" w:themeColor="text1"/>
        </w:rPr>
        <w:t>]</w:t>
      </w:r>
      <w:r w:rsidRPr="00FC6087">
        <w:rPr>
          <w:color w:val="000000" w:themeColor="text1"/>
        </w:rPr>
        <w:t xml:space="preserve">, while few have used quantitative methods (e.g. </w:t>
      </w:r>
      <w:r w:rsidR="00357B75" w:rsidRPr="00FC6087">
        <w:rPr>
          <w:color w:val="000000" w:themeColor="text1"/>
        </w:rPr>
        <w:t>DesRoches</w:t>
      </w:r>
      <w:r w:rsidR="00C206E2">
        <w:rPr>
          <w:color w:val="000000" w:themeColor="text1"/>
        </w:rPr>
        <w:t xml:space="preserve">, </w:t>
      </w:r>
      <w:r w:rsidR="00C206E2" w:rsidRPr="00312599">
        <w:rPr>
          <w:color w:val="000000" w:themeColor="text1"/>
        </w:rPr>
        <w:t>Campbell</w:t>
      </w:r>
      <w:r w:rsidR="00F641EE">
        <w:rPr>
          <w:color w:val="000000" w:themeColor="text1"/>
        </w:rPr>
        <w:t>,</w:t>
      </w:r>
      <w:r w:rsidR="005E7A62">
        <w:rPr>
          <w:color w:val="000000" w:themeColor="text1"/>
        </w:rPr>
        <w:t xml:space="preserve"> &amp; </w:t>
      </w:r>
      <w:r w:rsidR="00C206E2" w:rsidRPr="00312599">
        <w:rPr>
          <w:color w:val="000000" w:themeColor="text1"/>
        </w:rPr>
        <w:t>Rao</w:t>
      </w:r>
      <w:r w:rsidR="00357B75" w:rsidRPr="00FC6087">
        <w:rPr>
          <w:color w:val="000000" w:themeColor="text1"/>
        </w:rPr>
        <w:t xml:space="preserve">, 2008; </w:t>
      </w:r>
      <w:r w:rsidRPr="00FC6087">
        <w:rPr>
          <w:color w:val="000000" w:themeColor="text1"/>
        </w:rPr>
        <w:t>Jha et al., 2009</w:t>
      </w:r>
      <w:r w:rsidR="00357B75" w:rsidRPr="00FC6087">
        <w:rPr>
          <w:color w:val="000000" w:themeColor="text1"/>
        </w:rPr>
        <w:t>; Menachemi</w:t>
      </w:r>
      <w:r w:rsidR="00C206E2">
        <w:rPr>
          <w:color w:val="000000" w:themeColor="text1"/>
        </w:rPr>
        <w:t xml:space="preserve">, </w:t>
      </w:r>
      <w:r w:rsidR="00C206E2" w:rsidRPr="00312599">
        <w:rPr>
          <w:color w:val="000000" w:themeColor="text1"/>
        </w:rPr>
        <w:t>Langley</w:t>
      </w:r>
      <w:r w:rsidR="00F641EE">
        <w:rPr>
          <w:color w:val="000000" w:themeColor="text1"/>
        </w:rPr>
        <w:t>,</w:t>
      </w:r>
      <w:r w:rsidR="005E7A62">
        <w:rPr>
          <w:color w:val="000000" w:themeColor="text1"/>
        </w:rPr>
        <w:t xml:space="preserve"> &amp; </w:t>
      </w:r>
      <w:r w:rsidR="00C206E2" w:rsidRPr="00312599">
        <w:rPr>
          <w:color w:val="000000" w:themeColor="text1"/>
        </w:rPr>
        <w:t>Brooks</w:t>
      </w:r>
      <w:r w:rsidR="00C206E2">
        <w:rPr>
          <w:color w:val="000000" w:themeColor="text1"/>
        </w:rPr>
        <w:t>,</w:t>
      </w:r>
      <w:r w:rsidR="00357B75" w:rsidRPr="00FC6087">
        <w:rPr>
          <w:color w:val="000000" w:themeColor="text1"/>
        </w:rPr>
        <w:t xml:space="preserve"> 2007; Ranasinghe</w:t>
      </w:r>
      <w:r w:rsidR="00C206E2">
        <w:rPr>
          <w:color w:val="000000" w:themeColor="text1"/>
        </w:rPr>
        <w:t xml:space="preserve">, </w:t>
      </w:r>
      <w:r w:rsidR="00C206E2" w:rsidRPr="00312599">
        <w:rPr>
          <w:color w:val="000000" w:themeColor="text1"/>
        </w:rPr>
        <w:t>Chan</w:t>
      </w:r>
      <w:r w:rsidR="00F641EE">
        <w:rPr>
          <w:color w:val="000000" w:themeColor="text1"/>
        </w:rPr>
        <w:t>,</w:t>
      </w:r>
      <w:r w:rsidR="005E7A62">
        <w:rPr>
          <w:color w:val="000000" w:themeColor="text1"/>
        </w:rPr>
        <w:t xml:space="preserve"> &amp; </w:t>
      </w:r>
      <w:r w:rsidR="00C206E2" w:rsidRPr="00312599">
        <w:rPr>
          <w:color w:val="000000" w:themeColor="text1"/>
        </w:rPr>
        <w:t>Yaralagadda</w:t>
      </w:r>
      <w:r w:rsidR="00C206E2">
        <w:rPr>
          <w:color w:val="000000" w:themeColor="text1"/>
        </w:rPr>
        <w:t>,</w:t>
      </w:r>
      <w:r w:rsidR="00357B75" w:rsidRPr="00FC6087">
        <w:rPr>
          <w:color w:val="000000" w:themeColor="text1"/>
        </w:rPr>
        <w:t xml:space="preserve"> 2012</w:t>
      </w:r>
      <w:r w:rsidRPr="00FC6087">
        <w:rPr>
          <w:color w:val="000000" w:themeColor="text1"/>
        </w:rPr>
        <w:t>; Walter</w:t>
      </w:r>
      <w:r w:rsidR="005E7A62">
        <w:rPr>
          <w:color w:val="000000" w:themeColor="text1"/>
        </w:rPr>
        <w:t xml:space="preserve"> &amp; </w:t>
      </w:r>
      <w:r w:rsidR="00C206E2">
        <w:rPr>
          <w:color w:val="000000" w:themeColor="text1"/>
        </w:rPr>
        <w:t>Lopez,</w:t>
      </w:r>
      <w:r w:rsidRPr="00FC6087">
        <w:rPr>
          <w:color w:val="000000" w:themeColor="text1"/>
        </w:rPr>
        <w:t xml:space="preserve"> 2008). However, as pointed out by Hussain et al. (2018), obtaining the viewpoint of various stakeholders across any organization needs a structured approach by involving all relevant players. Therefore, this </w:t>
      </w:r>
      <w:r w:rsidR="00CD0525" w:rsidRPr="00FC6087">
        <w:rPr>
          <w:color w:val="000000" w:themeColor="text1"/>
        </w:rPr>
        <w:t xml:space="preserve">research </w:t>
      </w:r>
      <w:r w:rsidRPr="00FC6087">
        <w:rPr>
          <w:color w:val="000000" w:themeColor="text1"/>
        </w:rPr>
        <w:t xml:space="preserve">is among the first research endeavors to be conducted on the barriers and motivators </w:t>
      </w:r>
      <w:r w:rsidR="0041248D" w:rsidRPr="00FC6087">
        <w:rPr>
          <w:color w:val="000000" w:themeColor="text1"/>
        </w:rPr>
        <w:t>for</w:t>
      </w:r>
      <w:r w:rsidRPr="00FC6087">
        <w:rPr>
          <w:color w:val="000000" w:themeColor="text1"/>
        </w:rPr>
        <w:t xml:space="preserve"> adoption of recent technologies in modern healthcare</w:t>
      </w:r>
      <w:r w:rsidR="00C91AAA" w:rsidRPr="00FC6087">
        <w:rPr>
          <w:color w:val="000000" w:themeColor="text1"/>
        </w:rPr>
        <w:t xml:space="preserve">, focusing specifically </w:t>
      </w:r>
      <w:r w:rsidR="00F5443A" w:rsidRPr="00FC6087">
        <w:rPr>
          <w:color w:val="000000" w:themeColor="text1"/>
        </w:rPr>
        <w:t>on HIT adoption in the UAE</w:t>
      </w:r>
      <w:r w:rsidRPr="00FC6087">
        <w:rPr>
          <w:color w:val="000000" w:themeColor="text1"/>
        </w:rPr>
        <w:t>. The different groups of stakeholders were affected</w:t>
      </w:r>
      <w:r w:rsidR="00F5443A" w:rsidRPr="00FC6087">
        <w:rPr>
          <w:color w:val="000000" w:themeColor="text1"/>
        </w:rPr>
        <w:t xml:space="preserve"> differently</w:t>
      </w:r>
      <w:r w:rsidRPr="00FC6087">
        <w:rPr>
          <w:color w:val="000000" w:themeColor="text1"/>
        </w:rPr>
        <w:t xml:space="preserve"> by the changes in technology in the healthcare sector. </w:t>
      </w:r>
    </w:p>
    <w:p w14:paraId="7D516C50" w14:textId="77777777" w:rsidR="00FD4D49" w:rsidRPr="00FC6087" w:rsidRDefault="00FD4D49" w:rsidP="00FD4D49">
      <w:pPr>
        <w:pStyle w:val="APAParagraph"/>
        <w:rPr>
          <w:color w:val="000000" w:themeColor="text1"/>
        </w:rPr>
      </w:pPr>
      <w:r w:rsidRPr="00FC6087">
        <w:rPr>
          <w:color w:val="000000" w:themeColor="text1"/>
        </w:rPr>
        <w:t xml:space="preserve">This </w:t>
      </w:r>
      <w:r w:rsidR="0045680E" w:rsidRPr="00FC6087">
        <w:rPr>
          <w:color w:val="000000" w:themeColor="text1"/>
        </w:rPr>
        <w:t xml:space="preserve">research </w:t>
      </w:r>
      <w:r w:rsidR="00F5443A" w:rsidRPr="00FC6087">
        <w:rPr>
          <w:color w:val="000000" w:themeColor="text1"/>
        </w:rPr>
        <w:t xml:space="preserve">has </w:t>
      </w:r>
      <w:r w:rsidRPr="00FC6087">
        <w:rPr>
          <w:color w:val="000000" w:themeColor="text1"/>
        </w:rPr>
        <w:t>explore</w:t>
      </w:r>
      <w:r w:rsidR="00F5443A" w:rsidRPr="00FC6087">
        <w:rPr>
          <w:color w:val="000000" w:themeColor="text1"/>
        </w:rPr>
        <w:t>d</w:t>
      </w:r>
      <w:r w:rsidRPr="00FC6087">
        <w:rPr>
          <w:color w:val="000000" w:themeColor="text1"/>
        </w:rPr>
        <w:t>, examine</w:t>
      </w:r>
      <w:r w:rsidR="00F5443A" w:rsidRPr="00FC6087">
        <w:rPr>
          <w:color w:val="000000" w:themeColor="text1"/>
        </w:rPr>
        <w:t>d</w:t>
      </w:r>
      <w:r w:rsidRPr="00FC6087">
        <w:rPr>
          <w:color w:val="000000" w:themeColor="text1"/>
        </w:rPr>
        <w:t>, and prioritize</w:t>
      </w:r>
      <w:r w:rsidR="00F5443A" w:rsidRPr="00FC6087">
        <w:rPr>
          <w:color w:val="000000" w:themeColor="text1"/>
        </w:rPr>
        <w:t>d</w:t>
      </w:r>
      <w:r w:rsidRPr="00FC6087">
        <w:rPr>
          <w:color w:val="000000" w:themeColor="text1"/>
        </w:rPr>
        <w:t xml:space="preserve"> the barriers that affect the adoption of modern technologies by major industry stakeholder groups in the context of the UAE healthcare arena. Thus, </w:t>
      </w:r>
      <w:r w:rsidR="00F5443A" w:rsidRPr="00FC6087">
        <w:rPr>
          <w:color w:val="000000" w:themeColor="text1"/>
        </w:rPr>
        <w:t xml:space="preserve">the research fills </w:t>
      </w:r>
      <w:r w:rsidR="00786579" w:rsidRPr="00FC6087">
        <w:rPr>
          <w:color w:val="000000" w:themeColor="text1"/>
        </w:rPr>
        <w:t>t</w:t>
      </w:r>
      <w:r w:rsidRPr="00FC6087">
        <w:rPr>
          <w:color w:val="000000" w:themeColor="text1"/>
        </w:rPr>
        <w:t xml:space="preserve">he gap in the literature by identifying the deterrents of HIT acceptance in the daily routines of the four main categories of stakeholders, namely employees, patients, UAE community and residents, and future foresight experts, using a framework that reveals the practical implementation and management </w:t>
      </w:r>
      <w:r w:rsidR="00786579" w:rsidRPr="00FC6087">
        <w:rPr>
          <w:color w:val="000000" w:themeColor="text1"/>
        </w:rPr>
        <w:t>processes needed</w:t>
      </w:r>
      <w:r w:rsidRPr="00FC6087">
        <w:rPr>
          <w:color w:val="000000" w:themeColor="text1"/>
        </w:rPr>
        <w:t xml:space="preserve"> to deal with/remove such barriers. Therefore, </w:t>
      </w:r>
      <w:r w:rsidR="00786579" w:rsidRPr="00FC6087">
        <w:rPr>
          <w:color w:val="000000" w:themeColor="text1"/>
        </w:rPr>
        <w:t xml:space="preserve">this research is </w:t>
      </w:r>
      <w:r w:rsidRPr="00FC6087">
        <w:rPr>
          <w:color w:val="000000" w:themeColor="text1"/>
        </w:rPr>
        <w:t>an original contribution to the field</w:t>
      </w:r>
      <w:r w:rsidR="00786579" w:rsidRPr="00FC6087">
        <w:rPr>
          <w:color w:val="000000" w:themeColor="text1"/>
        </w:rPr>
        <w:t>,</w:t>
      </w:r>
      <w:r w:rsidRPr="00FC6087">
        <w:rPr>
          <w:color w:val="000000" w:themeColor="text1"/>
        </w:rPr>
        <w:t xml:space="preserve"> exploring in an integrated manner the attitudes and judgment of four different stakeholder cohorts closely linked with the healthcare sector and HIT acceptance in the UAE via an exploratory two-phase qualitative methodology.</w:t>
      </w:r>
    </w:p>
    <w:p w14:paraId="7D516C51" w14:textId="77777777" w:rsidR="00FD4D49" w:rsidRPr="00FC6087" w:rsidRDefault="00FD4D49" w:rsidP="00FD4D49">
      <w:pPr>
        <w:pStyle w:val="APAParagraph"/>
        <w:rPr>
          <w:color w:val="000000" w:themeColor="text1"/>
        </w:rPr>
      </w:pPr>
      <w:r w:rsidRPr="00FC6087">
        <w:rPr>
          <w:color w:val="000000" w:themeColor="text1"/>
        </w:rPr>
        <w:t xml:space="preserve">Based on the in-depth interviews with these clusters, </w:t>
      </w:r>
      <w:r w:rsidR="00FE3B7C" w:rsidRPr="00FC6087">
        <w:rPr>
          <w:color w:val="000000" w:themeColor="text1"/>
        </w:rPr>
        <w:t>this research</w:t>
      </w:r>
      <w:r w:rsidR="00855529">
        <w:rPr>
          <w:color w:val="000000" w:themeColor="text1"/>
        </w:rPr>
        <w:t xml:space="preserve"> </w:t>
      </w:r>
      <w:r w:rsidR="004C4A06" w:rsidRPr="00FC6087">
        <w:rPr>
          <w:color w:val="000000" w:themeColor="text1"/>
        </w:rPr>
        <w:t xml:space="preserve">has </w:t>
      </w:r>
      <w:r w:rsidRPr="00FC6087">
        <w:rPr>
          <w:color w:val="000000" w:themeColor="text1"/>
        </w:rPr>
        <w:t>identif</w:t>
      </w:r>
      <w:r w:rsidR="00FE3B7C" w:rsidRPr="00FC6087">
        <w:rPr>
          <w:color w:val="000000" w:themeColor="text1"/>
        </w:rPr>
        <w:t>ied</w:t>
      </w:r>
      <w:r w:rsidRPr="00FC6087">
        <w:rPr>
          <w:color w:val="000000" w:themeColor="text1"/>
        </w:rPr>
        <w:t xml:space="preserve"> the barriers to the adoption of innovative technologies and their priority weights, an endeavor that enables the UAE government and healthcare organizations to adjust current practices and policies. As the literature provides no comprehensive analysis that investigates the obstacles for practices, physicians, nurses, fro</w:t>
      </w:r>
      <w:r w:rsidR="00FE3B7C" w:rsidRPr="00FC6087">
        <w:rPr>
          <w:color w:val="000000" w:themeColor="text1"/>
        </w:rPr>
        <w:t>nt-</w:t>
      </w:r>
      <w:r w:rsidRPr="00FC6087">
        <w:rPr>
          <w:color w:val="000000" w:themeColor="text1"/>
        </w:rPr>
        <w:t xml:space="preserve">office staff, </w:t>
      </w:r>
      <w:r w:rsidR="00FE3B7C" w:rsidRPr="00FC6087">
        <w:rPr>
          <w:color w:val="000000" w:themeColor="text1"/>
        </w:rPr>
        <w:t>or</w:t>
      </w:r>
      <w:r w:rsidRPr="00FC6087">
        <w:rPr>
          <w:color w:val="000000" w:themeColor="text1"/>
        </w:rPr>
        <w:t xml:space="preserve"> other stakeholders within an establishment, and particularly foresight experts, </w:t>
      </w:r>
      <w:r w:rsidR="00C15FAE" w:rsidRPr="00FC6087">
        <w:rPr>
          <w:color w:val="000000" w:themeColor="text1"/>
        </w:rPr>
        <w:t xml:space="preserve">this </w:t>
      </w:r>
      <w:r w:rsidRPr="00FC6087">
        <w:rPr>
          <w:color w:val="000000" w:themeColor="text1"/>
        </w:rPr>
        <w:t xml:space="preserve">further underlines the need to document the barriers </w:t>
      </w:r>
      <w:r w:rsidR="00C15FAE" w:rsidRPr="00FC6087">
        <w:rPr>
          <w:color w:val="000000" w:themeColor="text1"/>
        </w:rPr>
        <w:t>affecting</w:t>
      </w:r>
      <w:r w:rsidRPr="00FC6087">
        <w:rPr>
          <w:color w:val="000000" w:themeColor="text1"/>
        </w:rPr>
        <w:t xml:space="preserve"> different system participants to understand what factors affect the various groups of employees. This effort should standardize the basic tenets of </w:t>
      </w:r>
      <w:r w:rsidR="00C15FAE" w:rsidRPr="00FC6087">
        <w:rPr>
          <w:color w:val="000000" w:themeColor="text1"/>
        </w:rPr>
        <w:t>H</w:t>
      </w:r>
      <w:r w:rsidRPr="00FC6087">
        <w:rPr>
          <w:color w:val="000000" w:themeColor="text1"/>
        </w:rPr>
        <w:t>IT adoption and contribute, in a meaningful way, to the literature on organizations’ perspective</w:t>
      </w:r>
      <w:r w:rsidR="00C15FAE" w:rsidRPr="00FC6087">
        <w:rPr>
          <w:color w:val="000000" w:themeColor="text1"/>
        </w:rPr>
        <w:t>s</w:t>
      </w:r>
      <w:r w:rsidRPr="00FC6087">
        <w:rPr>
          <w:color w:val="000000" w:themeColor="text1"/>
        </w:rPr>
        <w:t xml:space="preserve"> of technological innovation within the healthcare ecosystem. At the academic level, this </w:t>
      </w:r>
      <w:r w:rsidR="0045680E" w:rsidRPr="00FC6087">
        <w:rPr>
          <w:color w:val="000000" w:themeColor="text1"/>
        </w:rPr>
        <w:t xml:space="preserve">research </w:t>
      </w:r>
      <w:r w:rsidRPr="00FC6087">
        <w:rPr>
          <w:color w:val="000000" w:themeColor="text1"/>
        </w:rPr>
        <w:t>also adds to the applicability of stakeholder theory to the health sector.</w:t>
      </w:r>
    </w:p>
    <w:p w14:paraId="7D516C52" w14:textId="77777777" w:rsidR="00FD4D49" w:rsidRPr="00FC6087" w:rsidRDefault="00FD4D49" w:rsidP="00FD4D49">
      <w:pPr>
        <w:pStyle w:val="APAParagraph"/>
        <w:rPr>
          <w:color w:val="000000" w:themeColor="text1"/>
        </w:rPr>
      </w:pPr>
      <w:r w:rsidRPr="00FC6087">
        <w:rPr>
          <w:color w:val="000000" w:themeColor="text1"/>
        </w:rPr>
        <w:t>Considering the increasing heterogeneity of the field, the need for multiple research perspectives, and the implications of scientific sub</w:t>
      </w:r>
      <w:r w:rsidR="004C4A06" w:rsidRPr="00FC6087">
        <w:rPr>
          <w:color w:val="000000" w:themeColor="text1"/>
        </w:rPr>
        <w:t>-</w:t>
      </w:r>
      <w:r w:rsidRPr="00FC6087">
        <w:rPr>
          <w:color w:val="000000" w:themeColor="text1"/>
        </w:rPr>
        <w:t xml:space="preserve">cultures, this </w:t>
      </w:r>
      <w:r w:rsidR="0045680E" w:rsidRPr="00FC6087">
        <w:rPr>
          <w:color w:val="000000" w:themeColor="text1"/>
        </w:rPr>
        <w:t xml:space="preserve">research </w:t>
      </w:r>
      <w:r w:rsidR="004C4A06" w:rsidRPr="00FC6087">
        <w:rPr>
          <w:color w:val="000000" w:themeColor="text1"/>
        </w:rPr>
        <w:t xml:space="preserve">has </w:t>
      </w:r>
      <w:r w:rsidRPr="00FC6087">
        <w:rPr>
          <w:color w:val="000000" w:themeColor="text1"/>
        </w:rPr>
        <w:t>discusse</w:t>
      </w:r>
      <w:r w:rsidR="004C4A06" w:rsidRPr="00FC6087">
        <w:rPr>
          <w:color w:val="000000" w:themeColor="text1"/>
        </w:rPr>
        <w:t>d</w:t>
      </w:r>
      <w:r w:rsidRPr="00FC6087">
        <w:rPr>
          <w:color w:val="000000" w:themeColor="text1"/>
        </w:rPr>
        <w:t xml:space="preserve"> the importance of research </w:t>
      </w:r>
      <w:r w:rsidR="004C4A06" w:rsidRPr="00FC6087">
        <w:rPr>
          <w:color w:val="000000" w:themeColor="text1"/>
        </w:rPr>
        <w:t>in</w:t>
      </w:r>
      <w:r w:rsidRPr="00FC6087">
        <w:rPr>
          <w:color w:val="000000" w:themeColor="text1"/>
        </w:rPr>
        <w:t xml:space="preserve"> ensuring the effective adoption of new e-health technologies. Furthermore, it </w:t>
      </w:r>
      <w:r w:rsidR="004C4A06" w:rsidRPr="00FC6087">
        <w:rPr>
          <w:color w:val="000000" w:themeColor="text1"/>
        </w:rPr>
        <w:t xml:space="preserve">has </w:t>
      </w:r>
      <w:r w:rsidRPr="00FC6087">
        <w:rPr>
          <w:color w:val="000000" w:themeColor="text1"/>
        </w:rPr>
        <w:t>highlight</w:t>
      </w:r>
      <w:r w:rsidR="004C4A06" w:rsidRPr="00FC6087">
        <w:rPr>
          <w:color w:val="000000" w:themeColor="text1"/>
        </w:rPr>
        <w:t>ed</w:t>
      </w:r>
      <w:r w:rsidRPr="00FC6087">
        <w:rPr>
          <w:color w:val="000000" w:themeColor="text1"/>
        </w:rPr>
        <w:t xml:space="preserve"> common concepts and methods in software design and health services research, </w:t>
      </w:r>
      <w:r w:rsidR="004C4A06" w:rsidRPr="00FC6087">
        <w:rPr>
          <w:color w:val="000000" w:themeColor="text1"/>
        </w:rPr>
        <w:t xml:space="preserve">as well as </w:t>
      </w:r>
      <w:r w:rsidRPr="00FC6087">
        <w:rPr>
          <w:color w:val="000000" w:themeColor="text1"/>
        </w:rPr>
        <w:t>consider</w:t>
      </w:r>
      <w:r w:rsidR="004C4A06" w:rsidRPr="00FC6087">
        <w:rPr>
          <w:color w:val="000000" w:themeColor="text1"/>
        </w:rPr>
        <w:t>ing</w:t>
      </w:r>
      <w:r w:rsidRPr="00FC6087">
        <w:rPr>
          <w:color w:val="000000" w:themeColor="text1"/>
        </w:rPr>
        <w:t xml:space="preserve"> the benefits, challenges, and facilitators </w:t>
      </w:r>
      <w:r w:rsidR="00284B62" w:rsidRPr="00FC6087">
        <w:rPr>
          <w:color w:val="000000" w:themeColor="text1"/>
        </w:rPr>
        <w:t>of</w:t>
      </w:r>
      <w:r w:rsidRPr="00FC6087">
        <w:rPr>
          <w:color w:val="000000" w:themeColor="text1"/>
        </w:rPr>
        <w:t xml:space="preserve"> interdisciplinary collaboration (Pagliari, 2007). Managers need to move beyond their focus on managing individual stakeholders to thinking about multiple relationships and to managing stakeholders for the beneﬁt of the organization. This way, the best strategy to manage each stakeholder (or group of stakeholders) can be developed, with attention paid to issues</w:t>
      </w:r>
      <w:r w:rsidR="00855529">
        <w:rPr>
          <w:color w:val="000000" w:themeColor="text1"/>
        </w:rPr>
        <w:t xml:space="preserve"> </w:t>
      </w:r>
      <w:r w:rsidRPr="00FC6087">
        <w:rPr>
          <w:color w:val="000000" w:themeColor="text1"/>
        </w:rPr>
        <w:t>such as whether stakeholders are “threats” or “opportunities,” the power they have, and the issues most significant to them.</w:t>
      </w:r>
    </w:p>
    <w:p w14:paraId="7D516C53" w14:textId="0DBC76C5" w:rsidR="00FD4D49" w:rsidRPr="00FC6087" w:rsidRDefault="00FD4D49" w:rsidP="00FD4D49">
      <w:pPr>
        <w:pStyle w:val="APAParagraph"/>
        <w:rPr>
          <w:color w:val="000000" w:themeColor="text1"/>
        </w:rPr>
      </w:pPr>
      <w:r w:rsidRPr="00FC6087">
        <w:rPr>
          <w:color w:val="000000" w:themeColor="text1"/>
        </w:rPr>
        <w:t xml:space="preserve">Government support, particularly the 2030 </w:t>
      </w:r>
      <w:r w:rsidR="00284B62" w:rsidRPr="00FC6087">
        <w:rPr>
          <w:color w:val="000000" w:themeColor="text1"/>
        </w:rPr>
        <w:t>V</w:t>
      </w:r>
      <w:r w:rsidRPr="00FC6087">
        <w:rPr>
          <w:color w:val="000000" w:themeColor="text1"/>
        </w:rPr>
        <w:t xml:space="preserve">ision of the UAE government, </w:t>
      </w:r>
      <w:r w:rsidR="00284B62" w:rsidRPr="00FC6087">
        <w:rPr>
          <w:color w:val="000000" w:themeColor="text1"/>
        </w:rPr>
        <w:t>was</w:t>
      </w:r>
      <w:r w:rsidRPr="00FC6087">
        <w:rPr>
          <w:color w:val="000000" w:themeColor="text1"/>
        </w:rPr>
        <w:t xml:space="preserve"> identified as a motivator by all stakeholder groups. This corresponds to the high cost that </w:t>
      </w:r>
      <w:r w:rsidR="00284B62" w:rsidRPr="00FC6087">
        <w:rPr>
          <w:color w:val="000000" w:themeColor="text1"/>
        </w:rPr>
        <w:t>was</w:t>
      </w:r>
      <w:r w:rsidRPr="00FC6087">
        <w:rPr>
          <w:color w:val="000000" w:themeColor="text1"/>
        </w:rPr>
        <w:t xml:space="preserve"> also been identified by all groups as a barrier. The cost of adopting new technology has been continuously increasing but these costs must decrease if a large-scale adoption of technology is to be implemented (Center for Technology and Aging, 2009). A strong government support could mean more funds for certain innovations. However, it is not only the monetary support that the government can provide to improve </w:t>
      </w:r>
      <w:r w:rsidR="00284B62" w:rsidRPr="00FC6087">
        <w:rPr>
          <w:color w:val="000000" w:themeColor="text1"/>
        </w:rPr>
        <w:t xml:space="preserve">a country’s </w:t>
      </w:r>
      <w:r w:rsidRPr="00FC6087">
        <w:rPr>
          <w:color w:val="000000" w:themeColor="text1"/>
        </w:rPr>
        <w:t xml:space="preserve">healthcare system. Other types </w:t>
      </w:r>
      <w:r w:rsidR="00284B62" w:rsidRPr="00FC6087">
        <w:rPr>
          <w:color w:val="000000" w:themeColor="text1"/>
        </w:rPr>
        <w:t xml:space="preserve">of support that </w:t>
      </w:r>
      <w:r w:rsidRPr="00FC6087">
        <w:rPr>
          <w:color w:val="000000" w:themeColor="text1"/>
        </w:rPr>
        <w:t xml:space="preserve">the government can </w:t>
      </w:r>
      <w:r w:rsidR="00284B62" w:rsidRPr="00FC6087">
        <w:rPr>
          <w:color w:val="000000" w:themeColor="text1"/>
        </w:rPr>
        <w:t>provide</w:t>
      </w:r>
      <w:r w:rsidRPr="00FC6087">
        <w:rPr>
          <w:color w:val="000000" w:themeColor="text1"/>
        </w:rPr>
        <w:t xml:space="preserve"> include purchasing healthcare, developing the healthcare workforce, evaluating and improving healthcare technology and practices, and ensuring access to quality healthcare, especially for marginalized categories of the population (Tang</w:t>
      </w:r>
      <w:r w:rsidR="00855529">
        <w:rPr>
          <w:color w:val="000000" w:themeColor="text1"/>
        </w:rPr>
        <w:t xml:space="preserve">, </w:t>
      </w:r>
      <w:r w:rsidR="00855529">
        <w:rPr>
          <w:rFonts w:eastAsia="Times New Roman"/>
        </w:rPr>
        <w:t>Eisenberg</w:t>
      </w:r>
      <w:r w:rsidR="005E7A62">
        <w:rPr>
          <w:rFonts w:eastAsia="Times New Roman"/>
        </w:rPr>
        <w:t xml:space="preserve"> &amp; </w:t>
      </w:r>
      <w:r w:rsidR="00855529">
        <w:rPr>
          <w:rFonts w:eastAsia="Times New Roman"/>
        </w:rPr>
        <w:t xml:space="preserve">Meyer, </w:t>
      </w:r>
      <w:r w:rsidRPr="00FC6087">
        <w:rPr>
          <w:color w:val="000000" w:themeColor="text1"/>
        </w:rPr>
        <w:t>2004)</w:t>
      </w:r>
      <w:r w:rsidR="00284B62" w:rsidRPr="00FC6087">
        <w:rPr>
          <w:color w:val="000000" w:themeColor="text1"/>
        </w:rPr>
        <w:t>.</w:t>
      </w:r>
    </w:p>
    <w:p w14:paraId="7D516C54" w14:textId="32D0C64F" w:rsidR="00FD4D49" w:rsidRPr="00EF28CD" w:rsidRDefault="00830263" w:rsidP="00FD4D49">
      <w:pPr>
        <w:pStyle w:val="APAParagraph"/>
        <w:rPr>
          <w:color w:val="FF0000"/>
        </w:rPr>
      </w:pPr>
      <w:r w:rsidRPr="00EF28CD">
        <w:rPr>
          <w:color w:val="FF0000"/>
        </w:rPr>
        <w:t>R</w:t>
      </w:r>
      <w:r w:rsidR="00FD4D49" w:rsidRPr="00EF28CD">
        <w:rPr>
          <w:color w:val="FF0000"/>
        </w:rPr>
        <w:t xml:space="preserve">esistance </w:t>
      </w:r>
      <w:r w:rsidRPr="00EF28CD">
        <w:rPr>
          <w:color w:val="FF0000"/>
        </w:rPr>
        <w:t xml:space="preserve">to change </w:t>
      </w:r>
      <w:r w:rsidR="00F22EF6" w:rsidRPr="00EF28CD">
        <w:rPr>
          <w:color w:val="FF0000"/>
        </w:rPr>
        <w:t>h</w:t>
      </w:r>
      <w:r w:rsidR="00284B62" w:rsidRPr="00EF28CD">
        <w:rPr>
          <w:color w:val="FF0000"/>
        </w:rPr>
        <w:t>as</w:t>
      </w:r>
      <w:r w:rsidR="00FD4D49" w:rsidRPr="00EF28CD">
        <w:rPr>
          <w:color w:val="FF0000"/>
        </w:rPr>
        <w:t xml:space="preserve"> been highlighted as a common barrier, for all stakeholders, to adopting new technology. While it is common knowledge that resistance to change will always be present, many articles and studies have already been conducted regarding </w:t>
      </w:r>
      <w:r w:rsidR="008E3274" w:rsidRPr="00EF28CD">
        <w:rPr>
          <w:color w:val="FF0000"/>
        </w:rPr>
        <w:t xml:space="preserve">the </w:t>
      </w:r>
      <w:r w:rsidR="00FD4D49" w:rsidRPr="00EF28CD">
        <w:rPr>
          <w:color w:val="FF0000"/>
        </w:rPr>
        <w:t>proper management of change as well as its resistance (Broadbent</w:t>
      </w:r>
      <w:r w:rsidR="00855529" w:rsidRPr="00EF28CD">
        <w:rPr>
          <w:color w:val="FF0000"/>
        </w:rPr>
        <w:t>,</w:t>
      </w:r>
      <w:r w:rsidR="00FD4D49" w:rsidRPr="00EF28CD">
        <w:rPr>
          <w:color w:val="FF0000"/>
        </w:rPr>
        <w:t xml:space="preserve"> Jacobs</w:t>
      </w:r>
      <w:r w:rsidR="00F641EE" w:rsidRPr="00EF28CD">
        <w:rPr>
          <w:color w:val="FF0000"/>
        </w:rPr>
        <w:t>,</w:t>
      </w:r>
      <w:r w:rsidR="005E7A62" w:rsidRPr="00EF28CD">
        <w:rPr>
          <w:color w:val="FF0000"/>
        </w:rPr>
        <w:t xml:space="preserve"> &amp; </w:t>
      </w:r>
      <w:r w:rsidR="00855529" w:rsidRPr="00EF28CD">
        <w:rPr>
          <w:rFonts w:eastAsia="Calibri"/>
          <w:color w:val="FF0000"/>
          <w:shd w:val="clear" w:color="auto" w:fill="FFFFFF"/>
        </w:rPr>
        <w:t>Laughlin</w:t>
      </w:r>
      <w:r w:rsidR="00FD4D49" w:rsidRPr="00EF28CD">
        <w:rPr>
          <w:color w:val="FF0000"/>
        </w:rPr>
        <w:t>, 2001). Since some members of the healthcare sector are also businessmen, theories on proper change management used by private entities in other industries can also be applied.</w:t>
      </w:r>
      <w:r w:rsidR="00855529" w:rsidRPr="00EF28CD">
        <w:rPr>
          <w:color w:val="FF0000"/>
        </w:rPr>
        <w:t xml:space="preserve"> </w:t>
      </w:r>
      <w:r w:rsidR="00FD4D49" w:rsidRPr="00EF28CD">
        <w:rPr>
          <w:color w:val="FF0000"/>
        </w:rPr>
        <w:t xml:space="preserve">An interesting result that also came from the interviews </w:t>
      </w:r>
      <w:r w:rsidR="008E3274" w:rsidRPr="00EF28CD">
        <w:rPr>
          <w:color w:val="FF0000"/>
        </w:rPr>
        <w:t>wa</w:t>
      </w:r>
      <w:r w:rsidR="00FD4D49" w:rsidRPr="00EF28CD">
        <w:rPr>
          <w:color w:val="FF0000"/>
        </w:rPr>
        <w:t xml:space="preserve">s that both cultural and social awareness can be motivators </w:t>
      </w:r>
      <w:r w:rsidR="008E3274" w:rsidRPr="00EF28CD">
        <w:rPr>
          <w:color w:val="FF0000"/>
        </w:rPr>
        <w:t xml:space="preserve">for </w:t>
      </w:r>
      <w:r w:rsidR="00FD4D49" w:rsidRPr="00EF28CD">
        <w:rPr>
          <w:color w:val="FF0000"/>
        </w:rPr>
        <w:t xml:space="preserve">or barriers </w:t>
      </w:r>
      <w:r w:rsidR="008E3274" w:rsidRPr="00EF28CD">
        <w:rPr>
          <w:color w:val="FF0000"/>
        </w:rPr>
        <w:t>to</w:t>
      </w:r>
      <w:r w:rsidR="00FD4D49" w:rsidRPr="00EF28CD">
        <w:rPr>
          <w:color w:val="FF0000"/>
        </w:rPr>
        <w:t xml:space="preserve"> adopting technology. Social influence is an important factor for new</w:t>
      </w:r>
      <w:r w:rsidR="008E3274" w:rsidRPr="00EF28CD">
        <w:rPr>
          <w:color w:val="FF0000"/>
        </w:rPr>
        <w:t>-</w:t>
      </w:r>
      <w:r w:rsidR="00FD4D49" w:rsidRPr="00EF28CD">
        <w:rPr>
          <w:color w:val="FF0000"/>
        </w:rPr>
        <w:t>technology acceptance (Bjorn</w:t>
      </w:r>
      <w:r w:rsidR="00A56AD9" w:rsidRPr="00EF28CD">
        <w:rPr>
          <w:color w:val="FF0000"/>
        </w:rPr>
        <w:t>, Fitzgerald</w:t>
      </w:r>
      <w:r w:rsidR="00F641EE" w:rsidRPr="00EF28CD">
        <w:rPr>
          <w:color w:val="FF0000"/>
        </w:rPr>
        <w:t>,</w:t>
      </w:r>
      <w:r w:rsidR="005E7A62" w:rsidRPr="00EF28CD">
        <w:rPr>
          <w:color w:val="FF0000"/>
        </w:rPr>
        <w:t xml:space="preserve"> &amp; </w:t>
      </w:r>
      <w:r w:rsidR="00A56AD9" w:rsidRPr="00EF28CD">
        <w:rPr>
          <w:color w:val="FF0000"/>
        </w:rPr>
        <w:t>Scopula</w:t>
      </w:r>
      <w:r w:rsidR="00FD4D49" w:rsidRPr="00EF28CD">
        <w:rPr>
          <w:color w:val="FF0000"/>
        </w:rPr>
        <w:t>, 2003). If the implementation of a new technology is more transparent to the public, then the failures from this adoption of technology can also be easily criticized by the society.</w:t>
      </w:r>
    </w:p>
    <w:p w14:paraId="7D516C55" w14:textId="77777777" w:rsidR="00FD4D49" w:rsidRPr="00EF28CD" w:rsidRDefault="00FD4D49" w:rsidP="00FD4D49">
      <w:pPr>
        <w:pStyle w:val="APAParagraph"/>
        <w:rPr>
          <w:color w:val="FF0000"/>
        </w:rPr>
      </w:pPr>
      <w:r w:rsidRPr="00EF28CD">
        <w:rPr>
          <w:color w:val="FF0000"/>
        </w:rPr>
        <w:t>In sum</w:t>
      </w:r>
      <w:r w:rsidR="00805E05" w:rsidRPr="00EF28CD">
        <w:rPr>
          <w:color w:val="FF0000"/>
        </w:rPr>
        <w:t>mary</w:t>
      </w:r>
      <w:r w:rsidRPr="00EF28CD">
        <w:rPr>
          <w:color w:val="FF0000"/>
        </w:rPr>
        <w:t xml:space="preserve">, this </w:t>
      </w:r>
      <w:r w:rsidR="0045680E" w:rsidRPr="00EF28CD">
        <w:rPr>
          <w:color w:val="FF0000"/>
        </w:rPr>
        <w:t xml:space="preserve">research </w:t>
      </w:r>
      <w:r w:rsidRPr="00EF28CD">
        <w:rPr>
          <w:color w:val="FF0000"/>
        </w:rPr>
        <w:t xml:space="preserve">has identified HIT barriers across </w:t>
      </w:r>
      <w:r w:rsidR="00805E05" w:rsidRPr="00EF28CD">
        <w:rPr>
          <w:color w:val="FF0000"/>
        </w:rPr>
        <w:t xml:space="preserve">the </w:t>
      </w:r>
      <w:r w:rsidRPr="00EF28CD">
        <w:rPr>
          <w:color w:val="FF0000"/>
        </w:rPr>
        <w:t xml:space="preserve">healthcare system and its stakeholders, shedding light on </w:t>
      </w:r>
      <w:r w:rsidR="00882C62" w:rsidRPr="00EF28CD">
        <w:rPr>
          <w:color w:val="FF0000"/>
        </w:rPr>
        <w:t>the latter’s</w:t>
      </w:r>
      <w:r w:rsidRPr="00EF28CD">
        <w:rPr>
          <w:color w:val="FF0000"/>
        </w:rPr>
        <w:t xml:space="preserve"> beliefs, experiences, and opinions, which has the advantage of simplifying and managing the large amounts </w:t>
      </w:r>
      <w:r w:rsidR="00882C62" w:rsidRPr="00EF28CD">
        <w:rPr>
          <w:color w:val="FF0000"/>
        </w:rPr>
        <w:t xml:space="preserve">of data </w:t>
      </w:r>
      <w:r w:rsidRPr="00EF28CD">
        <w:rPr>
          <w:color w:val="FF0000"/>
        </w:rPr>
        <w:t>involved without sacrificing complexity and context. Furthermore, the outcomes of exploration, the factors, were merged into groups and sub-groups and analyzed to quantify their weights. In practical terms, this effort standardizes the basic tenets of HIT adoption and enriches organizations’ perspectives towards technological innovation within the healthcare ecosystem to proactively respond to social needs. At the theoretical level, the applicability of stakeholder theory to the healthcare sector is also improved, which allows policy</w:t>
      </w:r>
      <w:r w:rsidR="00416703" w:rsidRPr="00EF28CD">
        <w:rPr>
          <w:color w:val="FF0000"/>
        </w:rPr>
        <w:t>-</w:t>
      </w:r>
      <w:r w:rsidRPr="00EF28CD">
        <w:rPr>
          <w:color w:val="FF0000"/>
        </w:rPr>
        <w:t>makers to use the proposed framework for more diligent and inclusive future policy proposals.</w:t>
      </w:r>
    </w:p>
    <w:p w14:paraId="7D516C56" w14:textId="77777777" w:rsidR="00FD4D49" w:rsidRPr="00FC6087" w:rsidRDefault="00FD4D49" w:rsidP="00FD4D49">
      <w:pPr>
        <w:pStyle w:val="APAParagraph"/>
        <w:rPr>
          <w:color w:val="000000" w:themeColor="text1"/>
        </w:rPr>
      </w:pPr>
      <w:r w:rsidRPr="00FC6087">
        <w:rPr>
          <w:color w:val="000000" w:themeColor="text1"/>
        </w:rPr>
        <w:t xml:space="preserve">The results also show that the landscape of the healthcare systems, in view of the emergence of e-health systems, supports coordination across healthcare organizations in the UAE and is evolving, showing </w:t>
      </w:r>
      <w:r w:rsidR="00416703" w:rsidRPr="00FC6087">
        <w:rPr>
          <w:color w:val="000000" w:themeColor="text1"/>
        </w:rPr>
        <w:t>several</w:t>
      </w:r>
      <w:r w:rsidRPr="00FC6087">
        <w:rPr>
          <w:color w:val="000000" w:themeColor="text1"/>
        </w:rPr>
        <w:t xml:space="preserve"> emergent features. As previously mentioned, its evolution seems to be the results of four development directions</w:t>
      </w:r>
      <w:r w:rsidR="00416703" w:rsidRPr="00FC6087">
        <w:rPr>
          <w:color w:val="000000" w:themeColor="text1"/>
        </w:rPr>
        <w:t>:</w:t>
      </w:r>
      <w:r w:rsidRPr="00FC6087">
        <w:rPr>
          <w:color w:val="000000" w:themeColor="text1"/>
        </w:rPr>
        <w:t xml:space="preserve"> (</w:t>
      </w:r>
      <w:r w:rsidR="00416703" w:rsidRPr="00FC6087">
        <w:rPr>
          <w:color w:val="000000" w:themeColor="text1"/>
        </w:rPr>
        <w:t>1</w:t>
      </w:r>
      <w:r w:rsidRPr="00FC6087">
        <w:rPr>
          <w:color w:val="000000" w:themeColor="text1"/>
        </w:rPr>
        <w:t>) top-down national influence through HIT adoption programs, directions for development, and information governance; (</w:t>
      </w:r>
      <w:r w:rsidR="00416703" w:rsidRPr="00FC6087">
        <w:rPr>
          <w:color w:val="000000" w:themeColor="text1"/>
        </w:rPr>
        <w:t>2</w:t>
      </w:r>
      <w:r w:rsidRPr="00FC6087">
        <w:rPr>
          <w:color w:val="000000" w:themeColor="text1"/>
        </w:rPr>
        <w:t>) local priorities for inter-organizational cooperation; (</w:t>
      </w:r>
      <w:r w:rsidR="00416703" w:rsidRPr="00FC6087">
        <w:rPr>
          <w:color w:val="000000" w:themeColor="text1"/>
        </w:rPr>
        <w:t>3</w:t>
      </w:r>
      <w:r w:rsidRPr="00FC6087">
        <w:rPr>
          <w:color w:val="000000" w:themeColor="text1"/>
        </w:rPr>
        <w:t>) an awareness amongst the patient community, which creates pressure from the bottom up for further improving the system; and (</w:t>
      </w:r>
      <w:r w:rsidR="00416703" w:rsidRPr="00FC6087">
        <w:rPr>
          <w:color w:val="000000" w:themeColor="text1"/>
        </w:rPr>
        <w:t>4</w:t>
      </w:r>
      <w:r w:rsidRPr="00FC6087">
        <w:rPr>
          <w:color w:val="000000" w:themeColor="text1"/>
        </w:rPr>
        <w:t>) IT policies and strategies to create a resilient infrastructure that can cope with the emerging demands of points (</w:t>
      </w:r>
      <w:r w:rsidR="00E353FB" w:rsidRPr="00FC6087">
        <w:rPr>
          <w:color w:val="000000" w:themeColor="text1"/>
        </w:rPr>
        <w:t>1</w:t>
      </w:r>
      <w:r w:rsidRPr="00FC6087">
        <w:rPr>
          <w:color w:val="000000" w:themeColor="text1"/>
        </w:rPr>
        <w:t>)–(</w:t>
      </w:r>
      <w:r w:rsidR="00E353FB" w:rsidRPr="00FC6087">
        <w:rPr>
          <w:color w:val="000000" w:themeColor="text1"/>
        </w:rPr>
        <w:t>3</w:t>
      </w:r>
      <w:r w:rsidRPr="00FC6087">
        <w:rPr>
          <w:color w:val="000000" w:themeColor="text1"/>
        </w:rPr>
        <w:t xml:space="preserve">) above. As such, this </w:t>
      </w:r>
      <w:r w:rsidR="0045680E" w:rsidRPr="00FC6087">
        <w:rPr>
          <w:color w:val="000000" w:themeColor="text1"/>
        </w:rPr>
        <w:t xml:space="preserve">research </w:t>
      </w:r>
      <w:r w:rsidRPr="00FC6087">
        <w:rPr>
          <w:color w:val="000000" w:themeColor="text1"/>
        </w:rPr>
        <w:t>can be considered a starting point for the debate on whether the design of the e-healthcare system in the UAE should be approached from a top</w:t>
      </w:r>
      <w:r w:rsidR="00E353FB" w:rsidRPr="00FC6087">
        <w:rPr>
          <w:color w:val="000000" w:themeColor="text1"/>
        </w:rPr>
        <w:t>-</w:t>
      </w:r>
      <w:r w:rsidRPr="00FC6087">
        <w:rPr>
          <w:color w:val="000000" w:themeColor="text1"/>
        </w:rPr>
        <w:t>down or bottom</w:t>
      </w:r>
      <w:r w:rsidR="00E353FB" w:rsidRPr="00FC6087">
        <w:rPr>
          <w:color w:val="000000" w:themeColor="text1"/>
        </w:rPr>
        <w:t>-</w:t>
      </w:r>
      <w:r w:rsidRPr="00FC6087">
        <w:rPr>
          <w:color w:val="000000" w:themeColor="text1"/>
        </w:rPr>
        <w:t xml:space="preserve">up perspective. However, this </w:t>
      </w:r>
      <w:r w:rsidR="0045680E" w:rsidRPr="00FC6087">
        <w:rPr>
          <w:color w:val="000000" w:themeColor="text1"/>
        </w:rPr>
        <w:t xml:space="preserve">research </w:t>
      </w:r>
      <w:r w:rsidR="00E353FB" w:rsidRPr="00FC6087">
        <w:rPr>
          <w:color w:val="000000" w:themeColor="text1"/>
        </w:rPr>
        <w:t xml:space="preserve">has </w:t>
      </w:r>
      <w:r w:rsidRPr="00FC6087">
        <w:rPr>
          <w:color w:val="000000" w:themeColor="text1"/>
        </w:rPr>
        <w:t>demonstrate</w:t>
      </w:r>
      <w:r w:rsidR="00E353FB" w:rsidRPr="00FC6087">
        <w:rPr>
          <w:color w:val="000000" w:themeColor="text1"/>
        </w:rPr>
        <w:t>d</w:t>
      </w:r>
      <w:r w:rsidRPr="00FC6087">
        <w:rPr>
          <w:color w:val="000000" w:themeColor="text1"/>
        </w:rPr>
        <w:t xml:space="preserve"> that current practice has both top-down and bottom-up, as well as middle</w:t>
      </w:r>
      <w:r w:rsidR="00E353FB" w:rsidRPr="00FC6087">
        <w:rPr>
          <w:color w:val="000000" w:themeColor="text1"/>
        </w:rPr>
        <w:t>-</w:t>
      </w:r>
      <w:r w:rsidRPr="00FC6087">
        <w:rPr>
          <w:color w:val="000000" w:themeColor="text1"/>
        </w:rPr>
        <w:t>out</w:t>
      </w:r>
      <w:r w:rsidR="00E353FB" w:rsidRPr="00FC6087">
        <w:rPr>
          <w:color w:val="000000" w:themeColor="text1"/>
        </w:rPr>
        <w:t>,</w:t>
      </w:r>
      <w:r w:rsidRPr="00FC6087">
        <w:rPr>
          <w:color w:val="000000" w:themeColor="text1"/>
        </w:rPr>
        <w:t xml:space="preserve"> contributions, stemming from all involved stakeholder categories. Finally, although the results might differ in other contexts, the methodology can be applied to different contexts and countries, offering broad guidelines for healthcare participants’ involvement in the creation of e-healthcare.</w:t>
      </w:r>
    </w:p>
    <w:p w14:paraId="7D516C57" w14:textId="77777777" w:rsidR="00FD4D49" w:rsidRPr="00FC6087" w:rsidRDefault="00244BF2" w:rsidP="00FD4D49">
      <w:pPr>
        <w:pStyle w:val="Heading1"/>
        <w:rPr>
          <w:color w:val="000000" w:themeColor="text1"/>
        </w:rPr>
      </w:pPr>
      <w:bookmarkStart w:id="174" w:name="_Toc24447821"/>
      <w:r w:rsidRPr="00FC6087">
        <w:rPr>
          <w:color w:val="000000" w:themeColor="text1"/>
        </w:rPr>
        <w:t xml:space="preserve">7.3. </w:t>
      </w:r>
      <w:r w:rsidR="00FD4D49" w:rsidRPr="00FC6087">
        <w:rPr>
          <w:color w:val="000000" w:themeColor="text1"/>
        </w:rPr>
        <w:t>Recommendations</w:t>
      </w:r>
      <w:bookmarkEnd w:id="174"/>
    </w:p>
    <w:p w14:paraId="7D516C58" w14:textId="77777777" w:rsidR="00FD4D49" w:rsidRPr="00FC6087" w:rsidRDefault="00FD4D49" w:rsidP="00FD4D49">
      <w:pPr>
        <w:pStyle w:val="APAParagraph"/>
        <w:rPr>
          <w:color w:val="000000" w:themeColor="text1"/>
        </w:rPr>
      </w:pPr>
      <w:r w:rsidRPr="00FC6087">
        <w:rPr>
          <w:color w:val="000000" w:themeColor="text1"/>
        </w:rPr>
        <w:t>The increase in the healthcare provision of the UAE</w:t>
      </w:r>
      <w:r w:rsidR="00E353FB" w:rsidRPr="00FC6087">
        <w:rPr>
          <w:color w:val="000000" w:themeColor="text1"/>
        </w:rPr>
        <w:t>,</w:t>
      </w:r>
      <w:r w:rsidRPr="00FC6087">
        <w:rPr>
          <w:color w:val="000000" w:themeColor="text1"/>
        </w:rPr>
        <w:t xml:space="preserve"> driven by population growth, demographic shifts, problematic lifestyle habits, medical tourism, efforts to introduce universal health insurance, and increase</w:t>
      </w:r>
      <w:r w:rsidR="00C614B6" w:rsidRPr="00FC6087">
        <w:rPr>
          <w:color w:val="000000" w:themeColor="text1"/>
        </w:rPr>
        <w:t>d</w:t>
      </w:r>
      <w:r w:rsidRPr="00FC6087">
        <w:rPr>
          <w:color w:val="000000" w:themeColor="text1"/>
        </w:rPr>
        <w:t xml:space="preserve"> wealth, also increases the demand for higher-quality medical services. As the country is witnessing the world’s fastest-growing medical-tourism presence, the healthcare system is expected to undergo </w:t>
      </w:r>
      <w:r w:rsidR="00C614B6" w:rsidRPr="00FC6087">
        <w:rPr>
          <w:color w:val="000000" w:themeColor="text1"/>
        </w:rPr>
        <w:t>many</w:t>
      </w:r>
      <w:r w:rsidRPr="00FC6087">
        <w:rPr>
          <w:color w:val="000000" w:themeColor="text1"/>
        </w:rPr>
        <w:t xml:space="preserve"> changes to become more equitable, efficient, sustainable, and provide high-quality services, but only if HIT is implemented throughout the healthcare system, allowing for a seamless integration of all stakeholders.</w:t>
      </w:r>
    </w:p>
    <w:p w14:paraId="7D516C59" w14:textId="30D1307D" w:rsidR="00FD4D49" w:rsidRPr="00FC6087" w:rsidRDefault="00FD4D49" w:rsidP="001C550E">
      <w:pPr>
        <w:pStyle w:val="APAParagraph"/>
        <w:rPr>
          <w:color w:val="000000" w:themeColor="text1"/>
        </w:rPr>
      </w:pPr>
      <w:r w:rsidRPr="00FC6087">
        <w:rPr>
          <w:color w:val="000000" w:themeColor="text1"/>
        </w:rPr>
        <w:t xml:space="preserve">The proposed framework offers insights </w:t>
      </w:r>
      <w:r w:rsidR="00C614B6" w:rsidRPr="00FC6087">
        <w:rPr>
          <w:color w:val="000000" w:themeColor="text1"/>
        </w:rPr>
        <w:t xml:space="preserve">both </w:t>
      </w:r>
      <w:r w:rsidRPr="00FC6087">
        <w:rPr>
          <w:color w:val="000000" w:themeColor="text1"/>
        </w:rPr>
        <w:t xml:space="preserve">for researchers and policy experts and a roadmap for practitioners </w:t>
      </w:r>
      <w:r w:rsidR="00C614B6" w:rsidRPr="00FC6087">
        <w:rPr>
          <w:color w:val="000000" w:themeColor="text1"/>
        </w:rPr>
        <w:t>regarding</w:t>
      </w:r>
      <w:r w:rsidRPr="00FC6087">
        <w:rPr>
          <w:color w:val="000000" w:themeColor="text1"/>
        </w:rPr>
        <w:t xml:space="preserve"> the effective HIT implementation in the UAE and p</w:t>
      </w:r>
      <w:r w:rsidR="001C550E">
        <w:rPr>
          <w:color w:val="000000" w:themeColor="text1"/>
        </w:rPr>
        <w:t xml:space="preserve">erhaps other countries. </w:t>
      </w:r>
      <w:r w:rsidR="001C550E" w:rsidRPr="001C550E">
        <w:rPr>
          <w:color w:val="FF0000"/>
        </w:rPr>
        <w:t xml:space="preserve">From a managerial </w:t>
      </w:r>
      <w:r w:rsidRPr="001C550E">
        <w:rPr>
          <w:color w:val="FF0000"/>
        </w:rPr>
        <w:t>perspective, the identification of these motivators raises awareness o</w:t>
      </w:r>
      <w:r w:rsidR="00E81D84" w:rsidRPr="001C550E">
        <w:rPr>
          <w:color w:val="FF0000"/>
        </w:rPr>
        <w:t>f</w:t>
      </w:r>
      <w:r w:rsidRPr="001C550E">
        <w:rPr>
          <w:color w:val="FF0000"/>
        </w:rPr>
        <w:t xml:space="preserve"> how to improve the healthcare system in the UAE by organizing and directing initiatives to determine areas of opportunity within the sector. As such, policy</w:t>
      </w:r>
      <w:r w:rsidR="00E81D84" w:rsidRPr="001C550E">
        <w:rPr>
          <w:color w:val="FF0000"/>
        </w:rPr>
        <w:t>-</w:t>
      </w:r>
      <w:r w:rsidRPr="001C550E">
        <w:rPr>
          <w:color w:val="FF0000"/>
        </w:rPr>
        <w:t>makers, as well as</w:t>
      </w:r>
      <w:r w:rsidR="00A56AD9" w:rsidRPr="001C550E">
        <w:rPr>
          <w:color w:val="FF0000"/>
        </w:rPr>
        <w:t xml:space="preserve"> </w:t>
      </w:r>
      <w:r w:rsidRPr="001C550E">
        <w:rPr>
          <w:color w:val="FF0000"/>
        </w:rPr>
        <w:t>healthcare professionals should follow this framework to identify the motivators and barriers to HIT adoption and translate the implications of these results into practice.</w:t>
      </w:r>
    </w:p>
    <w:p w14:paraId="7D516C5A" w14:textId="7838700C" w:rsidR="00FD4D49" w:rsidRPr="00FC6087" w:rsidRDefault="00FD4D49" w:rsidP="00FD4D49">
      <w:pPr>
        <w:pStyle w:val="APAParagraph"/>
        <w:rPr>
          <w:color w:val="000000" w:themeColor="text1"/>
        </w:rPr>
      </w:pPr>
      <w:r w:rsidRPr="00FC6087">
        <w:rPr>
          <w:color w:val="000000" w:themeColor="text1"/>
        </w:rPr>
        <w:t xml:space="preserve">Furthermore, </w:t>
      </w:r>
      <w:r w:rsidR="00E81D84" w:rsidRPr="00FC6087">
        <w:rPr>
          <w:color w:val="000000" w:themeColor="text1"/>
        </w:rPr>
        <w:t>the proposed framework</w:t>
      </w:r>
      <w:r w:rsidRPr="00FC6087">
        <w:rPr>
          <w:color w:val="000000" w:themeColor="text1"/>
        </w:rPr>
        <w:t xml:space="preserve"> visually presents the ranking of all sub-factors. Such priority ranking can assist supply-chain practitioners in better allocating resources (e.g. budgeting, labor, time) for HIT implementation. As previously explained, the UAE hospital industry is experiencing pressure to provide high-quality services, especially given the country’s vision to achieve a world-class healthcare system. Hence, findings </w:t>
      </w:r>
      <w:r w:rsidR="0045680E" w:rsidRPr="00FC6087">
        <w:rPr>
          <w:color w:val="000000" w:themeColor="text1"/>
        </w:rPr>
        <w:t xml:space="preserve">of this research </w:t>
      </w:r>
      <w:r w:rsidR="005C4AD6" w:rsidRPr="00FC6087">
        <w:rPr>
          <w:color w:val="000000" w:themeColor="text1"/>
        </w:rPr>
        <w:t xml:space="preserve">will </w:t>
      </w:r>
      <w:r w:rsidRPr="00FC6087">
        <w:rPr>
          <w:color w:val="000000" w:themeColor="text1"/>
        </w:rPr>
        <w:t>help the public hospital sector achieve these objectives via HIT implementation.</w:t>
      </w:r>
      <w:r w:rsidR="001C550E">
        <w:rPr>
          <w:color w:val="000000" w:themeColor="text1"/>
        </w:rPr>
        <w:t xml:space="preserve"> </w:t>
      </w:r>
      <w:r w:rsidR="001C550E" w:rsidRPr="001C550E">
        <w:rPr>
          <w:color w:val="FF0000"/>
        </w:rPr>
        <w:t>On the same subject a point that can be raised is the demand for shorter hospital stays by the patients which can also increase disease prevention, a concept that has started to be popular in the western region of the world.</w:t>
      </w:r>
    </w:p>
    <w:p w14:paraId="7D516C5B" w14:textId="77777777" w:rsidR="00FD4D49" w:rsidRPr="00FC6087" w:rsidRDefault="005C4AD6" w:rsidP="00FD4D49">
      <w:pPr>
        <w:pStyle w:val="APAParagraph"/>
        <w:rPr>
          <w:color w:val="000000" w:themeColor="text1"/>
        </w:rPr>
      </w:pPr>
      <w:r w:rsidRPr="00FC6087">
        <w:rPr>
          <w:color w:val="000000" w:themeColor="text1"/>
        </w:rPr>
        <w:t>T</w:t>
      </w:r>
      <w:r w:rsidR="00FD4D49" w:rsidRPr="00FC6087">
        <w:rPr>
          <w:color w:val="000000" w:themeColor="text1"/>
        </w:rPr>
        <w:t xml:space="preserve">o meet the growing demand for healthcare within the UAE and increase its attractiveness as a medical tourism hub, the government launched UAE Vision 2021 (The United Arab Emirates Government, 2016), which seeks to transform the UAE into a world-class healthcare destination and include the setup of integrated IT systems and electronic data. However, these objectives can be achieved only if HIT is implemented in the healthcare system, thus allowing for a seamless integration of all stakeholders. To this end, the federal UAE government should also implement initiatives such as mobile applications for patient engagement, data analytics, and </w:t>
      </w:r>
      <w:r w:rsidR="00757048" w:rsidRPr="00FC6087">
        <w:rPr>
          <w:color w:val="000000" w:themeColor="text1"/>
        </w:rPr>
        <w:t xml:space="preserve">the </w:t>
      </w:r>
      <w:r w:rsidR="00FD4D49" w:rsidRPr="00FC6087">
        <w:rPr>
          <w:color w:val="000000" w:themeColor="text1"/>
        </w:rPr>
        <w:t>digitization of medical records</w:t>
      </w:r>
      <w:r w:rsidR="00757048" w:rsidRPr="00FC6087">
        <w:rPr>
          <w:color w:val="000000" w:themeColor="text1"/>
        </w:rPr>
        <w:t xml:space="preserve"> (EHRs)</w:t>
      </w:r>
      <w:r w:rsidR="00FD4D49" w:rsidRPr="00FC6087">
        <w:rPr>
          <w:color w:val="000000" w:themeColor="text1"/>
        </w:rPr>
        <w:t>.</w:t>
      </w:r>
    </w:p>
    <w:p w14:paraId="7D516C5C" w14:textId="6CD78FCB" w:rsidR="00FD4D49" w:rsidRPr="00FC6087" w:rsidRDefault="00FD4D49" w:rsidP="00FD4D49">
      <w:pPr>
        <w:pStyle w:val="APAParagraph"/>
        <w:rPr>
          <w:color w:val="000000" w:themeColor="text1"/>
        </w:rPr>
      </w:pPr>
      <w:r w:rsidRPr="00FC6087">
        <w:rPr>
          <w:color w:val="000000" w:themeColor="text1"/>
        </w:rPr>
        <w:t>The healthcare industry in the UAE is thus likely to experience an array of challenges in the process of becoming more equitable, efficient, and offer</w:t>
      </w:r>
      <w:r w:rsidR="00757048" w:rsidRPr="00FC6087">
        <w:rPr>
          <w:color w:val="000000" w:themeColor="text1"/>
        </w:rPr>
        <w:t>ing</w:t>
      </w:r>
      <w:r w:rsidRPr="00FC6087">
        <w:rPr>
          <w:color w:val="000000" w:themeColor="text1"/>
        </w:rPr>
        <w:t xml:space="preserve"> high-quality services, in line with the targets of the UAE Vision 2030 plan (The United Arab Emirates Government, 2016), whose goals can only be met if modern technologies are implemented throughout the healthcare system for a seamless integration of all stakeholders. The effects of the most common barriers to HIT acceptance, such as perceived lack of value for patients, reluctance to change, additional time needed to understand its functioning, implementation costs, absence of computer skills, system failure, no administrative support, and lack of trust in the EHR system reliability (</w:t>
      </w:r>
      <w:r w:rsidR="00E20966" w:rsidRPr="00FC6087">
        <w:rPr>
          <w:color w:val="000000" w:themeColor="text1"/>
        </w:rPr>
        <w:t>Ajami</w:t>
      </w:r>
      <w:r w:rsidR="005E7A62">
        <w:rPr>
          <w:color w:val="000000" w:themeColor="text1"/>
        </w:rPr>
        <w:t xml:space="preserve"> &amp; </w:t>
      </w:r>
      <w:r w:rsidR="00E20966" w:rsidRPr="00FC6087">
        <w:rPr>
          <w:color w:val="000000" w:themeColor="text1"/>
        </w:rPr>
        <w:t xml:space="preserve">Bagheri-Tadi, 2013; Alharthi et al., 2014; </w:t>
      </w:r>
      <w:r w:rsidRPr="00FC6087">
        <w:rPr>
          <w:color w:val="000000" w:themeColor="text1"/>
        </w:rPr>
        <w:t>Alquraini et al., 2007</w:t>
      </w:r>
      <w:r w:rsidR="00E20966" w:rsidRPr="00FC6087">
        <w:rPr>
          <w:color w:val="000000" w:themeColor="text1"/>
        </w:rPr>
        <w:t>; Hamid</w:t>
      </w:r>
      <w:r w:rsidR="005E7A62">
        <w:rPr>
          <w:color w:val="000000" w:themeColor="text1"/>
        </w:rPr>
        <w:t xml:space="preserve"> &amp; </w:t>
      </w:r>
      <w:r w:rsidR="00E20966" w:rsidRPr="00FC6087">
        <w:rPr>
          <w:color w:val="000000" w:themeColor="text1"/>
        </w:rPr>
        <w:t>Cline, 2015</w:t>
      </w:r>
      <w:r w:rsidRPr="00FC6087">
        <w:rPr>
          <w:color w:val="000000" w:themeColor="text1"/>
        </w:rPr>
        <w:t>; Miller et al., 2014</w:t>
      </w:r>
      <w:r w:rsidR="00E20966" w:rsidRPr="00FC6087">
        <w:rPr>
          <w:color w:val="000000" w:themeColor="text1"/>
        </w:rPr>
        <w:t>; Takian et al., 2012; Yan et al., 2012</w:t>
      </w:r>
      <w:r w:rsidRPr="00FC6087">
        <w:rPr>
          <w:color w:val="000000" w:themeColor="text1"/>
        </w:rPr>
        <w:t>), need to be carefully analyzed, as the resulting knowledge could substantially influence HIT adoption in medical facilities and improve service operation and planning.</w:t>
      </w:r>
    </w:p>
    <w:p w14:paraId="7D516C5D" w14:textId="77777777" w:rsidR="00FD4D49" w:rsidRDefault="00FD4D49" w:rsidP="00FD4D49">
      <w:pPr>
        <w:pStyle w:val="APAParagraph"/>
        <w:rPr>
          <w:color w:val="000000" w:themeColor="text1"/>
        </w:rPr>
      </w:pPr>
      <w:r w:rsidRPr="00FC6087">
        <w:rPr>
          <w:color w:val="000000" w:themeColor="text1"/>
        </w:rPr>
        <w:t xml:space="preserve">By understanding what successfully motivates and hinders HIT adoption in the UAE, we </w:t>
      </w:r>
      <w:r w:rsidR="00A42497" w:rsidRPr="00FC6087">
        <w:rPr>
          <w:color w:val="000000" w:themeColor="text1"/>
        </w:rPr>
        <w:t xml:space="preserve">must </w:t>
      </w:r>
      <w:r w:rsidRPr="00FC6087">
        <w:rPr>
          <w:color w:val="000000" w:themeColor="text1"/>
        </w:rPr>
        <w:t>better equip and educate policy</w:t>
      </w:r>
      <w:r w:rsidR="00A42497" w:rsidRPr="00FC6087">
        <w:rPr>
          <w:color w:val="000000" w:themeColor="text1"/>
        </w:rPr>
        <w:t>-</w:t>
      </w:r>
      <w:r w:rsidRPr="00FC6087">
        <w:rPr>
          <w:color w:val="000000" w:themeColor="text1"/>
        </w:rPr>
        <w:t xml:space="preserve">makers and </w:t>
      </w:r>
      <w:r w:rsidR="00A42497" w:rsidRPr="00FC6087">
        <w:rPr>
          <w:color w:val="000000" w:themeColor="text1"/>
        </w:rPr>
        <w:t xml:space="preserve">healthcare </w:t>
      </w:r>
      <w:r w:rsidRPr="00FC6087">
        <w:rPr>
          <w:color w:val="000000" w:themeColor="text1"/>
        </w:rPr>
        <w:t>providers and, through their example, help other countries and organizations make similar progress in implementing these useful technologies in healthcare.</w:t>
      </w:r>
    </w:p>
    <w:p w14:paraId="4E258C3C" w14:textId="1F7E71F9" w:rsidR="00E906F8" w:rsidRPr="00E906F8" w:rsidRDefault="00E906F8" w:rsidP="00FD4D49">
      <w:pPr>
        <w:pStyle w:val="APAParagraph"/>
        <w:rPr>
          <w:color w:val="FF0000"/>
        </w:rPr>
      </w:pPr>
      <w:r w:rsidRPr="00E906F8">
        <w:rPr>
          <w:color w:val="FF0000"/>
        </w:rPr>
        <w:t>In addition a comprehensive model can be introduced that includes both the motivators and barriers collected in this research. This integrated model could have a larger benefit presenting a wider image of the current situation to the key dec</w:t>
      </w:r>
      <w:r>
        <w:rPr>
          <w:color w:val="FF0000"/>
        </w:rPr>
        <w:t>is</w:t>
      </w:r>
      <w:r w:rsidRPr="00E906F8">
        <w:rPr>
          <w:color w:val="FF0000"/>
        </w:rPr>
        <w:t>ion makers of the healthcare sector</w:t>
      </w:r>
    </w:p>
    <w:p w14:paraId="7D516C5E" w14:textId="77777777" w:rsidR="00FD4D49" w:rsidRPr="00FC6087" w:rsidRDefault="00244BF2" w:rsidP="00FD4D49">
      <w:pPr>
        <w:pStyle w:val="Heading1"/>
        <w:rPr>
          <w:color w:val="000000" w:themeColor="text1"/>
        </w:rPr>
      </w:pPr>
      <w:bookmarkStart w:id="175" w:name="_Toc24447822"/>
      <w:r w:rsidRPr="00FC6087">
        <w:rPr>
          <w:color w:val="000000" w:themeColor="text1"/>
        </w:rPr>
        <w:t xml:space="preserve">7.4. </w:t>
      </w:r>
      <w:r w:rsidR="00FD4D49" w:rsidRPr="00FC6087">
        <w:rPr>
          <w:color w:val="000000" w:themeColor="text1"/>
        </w:rPr>
        <w:t xml:space="preserve">Limitations and </w:t>
      </w:r>
      <w:r w:rsidRPr="00FC6087">
        <w:rPr>
          <w:color w:val="000000" w:themeColor="text1"/>
        </w:rPr>
        <w:t>Future Research Directions</w:t>
      </w:r>
      <w:bookmarkEnd w:id="175"/>
    </w:p>
    <w:p w14:paraId="7D516C5F" w14:textId="77777777" w:rsidR="00FD4D49" w:rsidRPr="00FC6087" w:rsidRDefault="00FD4D49" w:rsidP="00FD4D49">
      <w:pPr>
        <w:pStyle w:val="APAParagraph"/>
        <w:rPr>
          <w:color w:val="000000" w:themeColor="text1"/>
        </w:rPr>
      </w:pPr>
      <w:r w:rsidRPr="00FC6087">
        <w:rPr>
          <w:color w:val="000000" w:themeColor="text1"/>
        </w:rPr>
        <w:t xml:space="preserve">A limitation of </w:t>
      </w:r>
      <w:r w:rsidR="000F5099" w:rsidRPr="00FC6087">
        <w:rPr>
          <w:color w:val="000000" w:themeColor="text1"/>
        </w:rPr>
        <w:t>the present research</w:t>
      </w:r>
      <w:r w:rsidRPr="00FC6087">
        <w:rPr>
          <w:color w:val="000000" w:themeColor="text1"/>
        </w:rPr>
        <w:t xml:space="preserve"> is that the results, in terms of the identified priorities for specific motivators, may vary as a result of experts’ judgments. As such, different results may be obtained for the same or similar factors based on the expert sample used. Therefore, future research should be directed towards investigating the effects of these motivators on HIT implementation in hospitals both in the UAE and globally, </w:t>
      </w:r>
      <w:r w:rsidR="00E837FA" w:rsidRPr="00FC6087">
        <w:rPr>
          <w:color w:val="000000" w:themeColor="text1"/>
        </w:rPr>
        <w:t xml:space="preserve">allowing </w:t>
      </w:r>
      <w:r w:rsidRPr="00FC6087">
        <w:rPr>
          <w:color w:val="000000" w:themeColor="text1"/>
        </w:rPr>
        <w:t xml:space="preserve">more elaborate conclusions </w:t>
      </w:r>
      <w:r w:rsidR="00E837FA" w:rsidRPr="00FC6087">
        <w:rPr>
          <w:color w:val="000000" w:themeColor="text1"/>
        </w:rPr>
        <w:t xml:space="preserve">to be </w:t>
      </w:r>
      <w:r w:rsidRPr="00FC6087">
        <w:rPr>
          <w:color w:val="000000" w:themeColor="text1"/>
        </w:rPr>
        <w:t>drawn based on extensive results.</w:t>
      </w:r>
    </w:p>
    <w:p w14:paraId="7D516C60" w14:textId="77777777" w:rsidR="00FD4D49" w:rsidRPr="00FC6087" w:rsidRDefault="00FD4D49" w:rsidP="00FD4D49">
      <w:pPr>
        <w:pStyle w:val="APAParagraph"/>
        <w:rPr>
          <w:color w:val="000000" w:themeColor="text1"/>
        </w:rPr>
      </w:pPr>
      <w:r w:rsidRPr="00FC6087">
        <w:rPr>
          <w:color w:val="000000" w:themeColor="text1"/>
        </w:rPr>
        <w:t xml:space="preserve">Further, the present </w:t>
      </w:r>
      <w:r w:rsidR="0045680E" w:rsidRPr="00FC6087">
        <w:rPr>
          <w:color w:val="000000" w:themeColor="text1"/>
        </w:rPr>
        <w:t xml:space="preserve">research </w:t>
      </w:r>
      <w:r w:rsidR="00E837FA" w:rsidRPr="00FC6087">
        <w:rPr>
          <w:color w:val="000000" w:themeColor="text1"/>
        </w:rPr>
        <w:t>wa</w:t>
      </w:r>
      <w:r w:rsidRPr="00FC6087">
        <w:rPr>
          <w:color w:val="000000" w:themeColor="text1"/>
        </w:rPr>
        <w:t xml:space="preserve">s geographically limited and only addressed HIT adoption from the perspective of stakeholders in the UAE. As such, it could be that these findings will not hold true in other nations, whether those be other Arab nations or nations outside of the Middle East. Thus, important social and cultural factors must be considered when attempting to apply these findings to other populations or regions. It must also be taken into consideration that other nations may not have the considerable financial resources of the UAE, and some may not even have the same degree of governmental support. These factors may have uniquely come together in the UAE. However, given the increased globalization of today’s societies, which is largely driven by technological innovations, it could be that these findings </w:t>
      </w:r>
      <w:r w:rsidR="00E837FA" w:rsidRPr="00FC6087">
        <w:rPr>
          <w:color w:val="000000" w:themeColor="text1"/>
        </w:rPr>
        <w:t>c</w:t>
      </w:r>
      <w:r w:rsidRPr="00FC6087">
        <w:rPr>
          <w:color w:val="000000" w:themeColor="text1"/>
        </w:rPr>
        <w:t>ould be effectively generalized and applied to other populations. Nonetheless, to fully address these concerns, similar studies should be conducted in various other nations and populations glob</w:t>
      </w:r>
      <w:r w:rsidR="00043C66" w:rsidRPr="00FC6087">
        <w:rPr>
          <w:color w:val="000000" w:themeColor="text1"/>
        </w:rPr>
        <w:t>ally</w:t>
      </w:r>
      <w:r w:rsidRPr="00FC6087">
        <w:rPr>
          <w:color w:val="000000" w:themeColor="text1"/>
        </w:rPr>
        <w:t>. In particular, it would be most effective and useful to study other nations making noteworthy gains in the HIT sector in order to understand what is working, but also in nations that are struggling in the healthcare sector in order to understand the most prominent barriers to struggling nations.</w:t>
      </w:r>
      <w:r w:rsidR="00A56AD9" w:rsidRPr="00FC6087">
        <w:rPr>
          <w:color w:val="000000" w:themeColor="text1"/>
        </w:rPr>
        <w:t xml:space="preserve"> </w:t>
      </w:r>
      <w:r w:rsidRPr="00FC6087">
        <w:rPr>
          <w:color w:val="000000" w:themeColor="text1"/>
        </w:rPr>
        <w:t xml:space="preserve">On a related note, one of the limitations of this exploratory study </w:t>
      </w:r>
      <w:r w:rsidR="00043C66" w:rsidRPr="00FC6087">
        <w:rPr>
          <w:color w:val="000000" w:themeColor="text1"/>
        </w:rPr>
        <w:t>wa</w:t>
      </w:r>
      <w:r w:rsidRPr="00FC6087">
        <w:rPr>
          <w:color w:val="000000" w:themeColor="text1"/>
        </w:rPr>
        <w:t xml:space="preserve">s the relatively limited number of UAE citizens. Future research can </w:t>
      </w:r>
      <w:r w:rsidR="003520DB" w:rsidRPr="00FC6087">
        <w:rPr>
          <w:color w:val="000000" w:themeColor="text1"/>
        </w:rPr>
        <w:t>study more closely</w:t>
      </w:r>
      <w:r w:rsidRPr="00FC6087">
        <w:rPr>
          <w:color w:val="000000" w:themeColor="text1"/>
        </w:rPr>
        <w:t xml:space="preserve"> the commonalities and differences in the responses from the stakeholder groups </w:t>
      </w:r>
      <w:r w:rsidR="00220A85" w:rsidRPr="00FC6087">
        <w:rPr>
          <w:color w:val="000000" w:themeColor="text1"/>
        </w:rPr>
        <w:t>and attempt to understand the reasons behind such patterns</w:t>
      </w:r>
      <w:r w:rsidRPr="00FC6087">
        <w:rPr>
          <w:color w:val="000000" w:themeColor="text1"/>
        </w:rPr>
        <w:t>.</w:t>
      </w:r>
    </w:p>
    <w:p w14:paraId="7D516C61" w14:textId="77777777" w:rsidR="00FD4D49" w:rsidRPr="00FC6087" w:rsidRDefault="00FD4D49" w:rsidP="00FD4D49">
      <w:pPr>
        <w:pStyle w:val="APAParagraph"/>
        <w:rPr>
          <w:color w:val="000000" w:themeColor="text1"/>
        </w:rPr>
      </w:pPr>
      <w:r w:rsidRPr="00FC6087">
        <w:rPr>
          <w:color w:val="000000" w:themeColor="text1"/>
        </w:rPr>
        <w:t xml:space="preserve">Additionally, there is no a general agreement on </w:t>
      </w:r>
      <w:r w:rsidR="00220A85" w:rsidRPr="00FC6087">
        <w:rPr>
          <w:color w:val="000000" w:themeColor="text1"/>
        </w:rPr>
        <w:t xml:space="preserve">the </w:t>
      </w:r>
      <w:r w:rsidRPr="00FC6087">
        <w:rPr>
          <w:color w:val="000000" w:themeColor="text1"/>
        </w:rPr>
        <w:t>definitions and understanding of terms and concepts related to HIT and the quality of healthcare</w:t>
      </w:r>
      <w:r w:rsidR="007563ED" w:rsidRPr="00FC6087">
        <w:rPr>
          <w:color w:val="000000" w:themeColor="text1"/>
        </w:rPr>
        <w:t>, while</w:t>
      </w:r>
      <w:r w:rsidRPr="00FC6087">
        <w:rPr>
          <w:color w:val="000000" w:themeColor="text1"/>
        </w:rPr>
        <w:t xml:space="preserve"> many studies in the field of HIT </w:t>
      </w:r>
      <w:r w:rsidR="007563ED" w:rsidRPr="00FC6087">
        <w:rPr>
          <w:color w:val="000000" w:themeColor="text1"/>
        </w:rPr>
        <w:t>have been</w:t>
      </w:r>
      <w:r w:rsidRPr="00FC6087">
        <w:rPr>
          <w:color w:val="000000" w:themeColor="text1"/>
        </w:rPr>
        <w:t xml:space="preserve"> qualitative, creating a significant need for greater clarification of the terms used in the field and for further quantitative studies on these issues. Thus, there is a general need for more research in this field to help clarify terms, increase our quantitative understanding of HIT, and to replicate the current findings. There is still much room for growth in this rather young field, and there is also much need for it, because the quality of healthcare—and, therefore, the quality of people’s lives—is </w:t>
      </w:r>
      <w:r w:rsidR="00FA75FD" w:rsidRPr="00FC6087">
        <w:rPr>
          <w:color w:val="000000" w:themeColor="text1"/>
        </w:rPr>
        <w:t>at stake</w:t>
      </w:r>
      <w:r w:rsidRPr="00FC6087">
        <w:rPr>
          <w:color w:val="000000" w:themeColor="text1"/>
        </w:rPr>
        <w:t>.</w:t>
      </w:r>
    </w:p>
    <w:p w14:paraId="7D516C62" w14:textId="77777777" w:rsidR="00FD4D49" w:rsidRPr="00FC6087" w:rsidRDefault="00FD4D49" w:rsidP="00FD4D49">
      <w:pPr>
        <w:pStyle w:val="APAParagraph"/>
        <w:rPr>
          <w:color w:val="000000" w:themeColor="text1"/>
        </w:rPr>
      </w:pPr>
      <w:r w:rsidRPr="00FC6087">
        <w:rPr>
          <w:color w:val="000000" w:themeColor="text1"/>
        </w:rPr>
        <w:t xml:space="preserve">An additional limitation of the present </w:t>
      </w:r>
      <w:r w:rsidR="0045680E" w:rsidRPr="00FC6087">
        <w:rPr>
          <w:color w:val="000000" w:themeColor="text1"/>
        </w:rPr>
        <w:t xml:space="preserve">research </w:t>
      </w:r>
      <w:r w:rsidRPr="00FC6087">
        <w:rPr>
          <w:color w:val="000000" w:themeColor="text1"/>
        </w:rPr>
        <w:t xml:space="preserve">concerns the stakeholder categories. While the present </w:t>
      </w:r>
      <w:r w:rsidR="0045680E" w:rsidRPr="00FC6087">
        <w:rPr>
          <w:color w:val="000000" w:themeColor="text1"/>
        </w:rPr>
        <w:t xml:space="preserve">research </w:t>
      </w:r>
      <w:r w:rsidRPr="00FC6087">
        <w:rPr>
          <w:color w:val="000000" w:themeColor="text1"/>
        </w:rPr>
        <w:t xml:space="preserve">is the first to examine all four stakeholder groups, which is theoretically noteworthy and practically important, it did not make comparisons between these groups to determine if, where, and how they differ in their perceptions of HIT motivators and barriers. Certain concerns might be more pressing </w:t>
      </w:r>
      <w:r w:rsidR="00B416FF" w:rsidRPr="00FC6087">
        <w:rPr>
          <w:color w:val="000000" w:themeColor="text1"/>
        </w:rPr>
        <w:t>for</w:t>
      </w:r>
      <w:r w:rsidRPr="00FC6087">
        <w:rPr>
          <w:color w:val="000000" w:themeColor="text1"/>
        </w:rPr>
        <w:t xml:space="preserve"> healthcare professionals (e.g. knowledge sharing, access to career development, organizational culture), while others may be of greater concern to patients (e.g. data security, privacy), and other to citizens (e.g. financial support) as they are the taxpayers. By understanding where and how these groups differ, we can offer more tailored suggestions, motivating </w:t>
      </w:r>
      <w:r w:rsidR="00A62A8E" w:rsidRPr="00FC6087">
        <w:rPr>
          <w:color w:val="000000" w:themeColor="text1"/>
        </w:rPr>
        <w:t>each</w:t>
      </w:r>
      <w:r w:rsidRPr="00FC6087">
        <w:rPr>
          <w:color w:val="000000" w:themeColor="text1"/>
        </w:rPr>
        <w:t xml:space="preserve"> group without wasting time or effort by trying to motivate another group who would</w:t>
      </w:r>
      <w:r w:rsidR="00A56AD9" w:rsidRPr="00FC6087">
        <w:rPr>
          <w:color w:val="000000" w:themeColor="text1"/>
        </w:rPr>
        <w:t xml:space="preserve"> </w:t>
      </w:r>
      <w:r w:rsidRPr="00FC6087">
        <w:rPr>
          <w:color w:val="000000" w:themeColor="text1"/>
        </w:rPr>
        <w:t>not be motivated by a specific measure. Furthermore, by understanding what common perspectives these groups share, we can similarly offer more effective suggestions, being able to address a particular barrier hindering all groups. Thus, more research is needed to address the nuances of the perspectives of each stakeholder group. This will be a substantial</w:t>
      </w:r>
      <w:r w:rsidR="00A62A8E" w:rsidRPr="00FC6087">
        <w:rPr>
          <w:color w:val="000000" w:themeColor="text1"/>
        </w:rPr>
        <w:t>, but valuable,</w:t>
      </w:r>
      <w:r w:rsidRPr="00FC6087">
        <w:rPr>
          <w:color w:val="000000" w:themeColor="text1"/>
        </w:rPr>
        <w:t xml:space="preserve"> undertaking, since it would require large numbers of participants.</w:t>
      </w:r>
    </w:p>
    <w:p w14:paraId="7D516C63" w14:textId="77777777" w:rsidR="005420AC" w:rsidRPr="00FC6087" w:rsidRDefault="00FD4D49" w:rsidP="008C696F">
      <w:pPr>
        <w:pStyle w:val="APAParagraph"/>
        <w:rPr>
          <w:color w:val="000000" w:themeColor="text1"/>
        </w:rPr>
      </w:pPr>
      <w:r w:rsidRPr="00FC6087">
        <w:rPr>
          <w:color w:val="000000" w:themeColor="text1"/>
        </w:rPr>
        <w:t xml:space="preserve">Given the substantial investment in technology required </w:t>
      </w:r>
      <w:r w:rsidR="00940BF4" w:rsidRPr="00FC6087">
        <w:rPr>
          <w:color w:val="000000" w:themeColor="text1"/>
        </w:rPr>
        <w:t>in healthcare</w:t>
      </w:r>
      <w:r w:rsidRPr="00FC6087">
        <w:rPr>
          <w:color w:val="000000" w:themeColor="text1"/>
        </w:rPr>
        <w:t>, additional research is needed to enable the full acceptance of new technologies. In sum</w:t>
      </w:r>
      <w:r w:rsidR="00940BF4" w:rsidRPr="00FC6087">
        <w:rPr>
          <w:color w:val="000000" w:themeColor="text1"/>
        </w:rPr>
        <w:t>mary</w:t>
      </w:r>
      <w:r w:rsidRPr="00FC6087">
        <w:rPr>
          <w:color w:val="000000" w:themeColor="text1"/>
        </w:rPr>
        <w:t xml:space="preserve">, despite the positive impact and extensively documented benefits of </w:t>
      </w:r>
      <w:r w:rsidR="00940BF4" w:rsidRPr="00FC6087">
        <w:rPr>
          <w:color w:val="000000" w:themeColor="text1"/>
        </w:rPr>
        <w:t>HITs</w:t>
      </w:r>
      <w:r w:rsidRPr="00FC6087">
        <w:rPr>
          <w:color w:val="000000" w:themeColor="text1"/>
        </w:rPr>
        <w:t xml:space="preserve"> for industry stakeholders, the adoption rate in the UAE is still limited and meets resistance from medical professionals. Although the UAE is allocating large resource amounts to increase HIT adoption rates, the public healthcare system is still far from enjoying optimal results because of the lack of preliminary research in the field (El-Hassan et al., 2017). </w:t>
      </w:r>
      <w:r w:rsidR="008C696F" w:rsidRPr="00FC6087">
        <w:rPr>
          <w:color w:val="000000" w:themeColor="text1"/>
        </w:rPr>
        <w:t>In summary</w:t>
      </w:r>
      <w:r w:rsidRPr="00FC6087">
        <w:rPr>
          <w:color w:val="000000" w:themeColor="text1"/>
        </w:rPr>
        <w:t xml:space="preserve">, </w:t>
      </w:r>
      <w:r w:rsidR="00940BF4" w:rsidRPr="00FC6087">
        <w:rPr>
          <w:color w:val="000000" w:themeColor="text1"/>
        </w:rPr>
        <w:t xml:space="preserve">future studies should </w:t>
      </w:r>
      <w:r w:rsidRPr="00FC6087">
        <w:rPr>
          <w:color w:val="000000" w:themeColor="text1"/>
        </w:rPr>
        <w:t>also seek to identify, categorize, and prioritize the barriers perceived by the various healthcare stakeholders to the adoption of new technologies</w:t>
      </w:r>
      <w:r w:rsidR="008C696F" w:rsidRPr="00FC6087">
        <w:rPr>
          <w:color w:val="000000" w:themeColor="text1"/>
        </w:rPr>
        <w:t xml:space="preserve"> in the following ways:</w:t>
      </w:r>
    </w:p>
    <w:p w14:paraId="7D516C64" w14:textId="77777777" w:rsidR="005420AC" w:rsidRPr="00FC6087" w:rsidRDefault="00206C1A" w:rsidP="001B25F7">
      <w:pPr>
        <w:pStyle w:val="APAParagraph"/>
        <w:numPr>
          <w:ilvl w:val="0"/>
          <w:numId w:val="29"/>
        </w:numPr>
        <w:rPr>
          <w:color w:val="000000" w:themeColor="text1"/>
        </w:rPr>
      </w:pPr>
      <w:r w:rsidRPr="00FC6087">
        <w:rPr>
          <w:color w:val="000000" w:themeColor="text1"/>
        </w:rPr>
        <w:t>I</w:t>
      </w:r>
      <w:r w:rsidR="001B25F7" w:rsidRPr="00FC6087">
        <w:rPr>
          <w:color w:val="000000" w:themeColor="text1"/>
        </w:rPr>
        <w:t>nvestigat</w:t>
      </w:r>
      <w:r w:rsidR="00E3045E" w:rsidRPr="00FC6087">
        <w:rPr>
          <w:color w:val="000000" w:themeColor="text1"/>
        </w:rPr>
        <w:t>e</w:t>
      </w:r>
      <w:r w:rsidR="001B25F7" w:rsidRPr="00FC6087">
        <w:rPr>
          <w:color w:val="000000" w:themeColor="text1"/>
        </w:rPr>
        <w:t xml:space="preserve"> the effects of </w:t>
      </w:r>
      <w:r w:rsidR="00BA026F" w:rsidRPr="00FC6087">
        <w:rPr>
          <w:color w:val="000000" w:themeColor="text1"/>
        </w:rPr>
        <w:t xml:space="preserve">these </w:t>
      </w:r>
      <w:r w:rsidR="001B25F7" w:rsidRPr="00FC6087">
        <w:rPr>
          <w:color w:val="000000" w:themeColor="text1"/>
        </w:rPr>
        <w:t>motivators on HIT implementation in hospitals both in the UAE and globally, allowing more elaborate conclusions to be drawn based on extensive results</w:t>
      </w:r>
      <w:r w:rsidR="00BA026F" w:rsidRPr="00FC6087">
        <w:rPr>
          <w:color w:val="000000" w:themeColor="text1"/>
        </w:rPr>
        <w:t>.</w:t>
      </w:r>
    </w:p>
    <w:p w14:paraId="7D516C65" w14:textId="77777777" w:rsidR="001B25F7" w:rsidRPr="00FC6087" w:rsidRDefault="00206C1A" w:rsidP="001B25F7">
      <w:pPr>
        <w:pStyle w:val="APAParagraph"/>
        <w:numPr>
          <w:ilvl w:val="0"/>
          <w:numId w:val="29"/>
        </w:numPr>
        <w:rPr>
          <w:color w:val="000000" w:themeColor="text1"/>
        </w:rPr>
      </w:pPr>
      <w:r w:rsidRPr="00FC6087">
        <w:rPr>
          <w:color w:val="000000" w:themeColor="text1"/>
        </w:rPr>
        <w:t xml:space="preserve">Conduct </w:t>
      </w:r>
      <w:r w:rsidR="001B25F7" w:rsidRPr="00FC6087">
        <w:rPr>
          <w:color w:val="000000" w:themeColor="text1"/>
        </w:rPr>
        <w:t>similar studies in various other nations and populations globally</w:t>
      </w:r>
      <w:r w:rsidRPr="00FC6087">
        <w:rPr>
          <w:color w:val="000000" w:themeColor="text1"/>
        </w:rPr>
        <w:t xml:space="preserve">, especially </w:t>
      </w:r>
      <w:r w:rsidR="001B25F7" w:rsidRPr="00FC6087">
        <w:rPr>
          <w:color w:val="000000" w:themeColor="text1"/>
        </w:rPr>
        <w:t>nations making noteworthy gains in the HIT sector</w:t>
      </w:r>
      <w:r w:rsidRPr="00FC6087">
        <w:rPr>
          <w:color w:val="000000" w:themeColor="text1"/>
        </w:rPr>
        <w:t>,</w:t>
      </w:r>
      <w:r w:rsidR="001B25F7" w:rsidRPr="00FC6087">
        <w:rPr>
          <w:color w:val="000000" w:themeColor="text1"/>
        </w:rPr>
        <w:t xml:space="preserve"> to understand what is working, </w:t>
      </w:r>
      <w:r w:rsidR="00D2676F" w:rsidRPr="00FC6087">
        <w:rPr>
          <w:color w:val="000000" w:themeColor="text1"/>
        </w:rPr>
        <w:t xml:space="preserve">as well as </w:t>
      </w:r>
      <w:r w:rsidR="001B25F7" w:rsidRPr="00FC6087">
        <w:rPr>
          <w:color w:val="000000" w:themeColor="text1"/>
        </w:rPr>
        <w:t>in nations that are struggling in the healthcare sector to understand the</w:t>
      </w:r>
      <w:r w:rsidR="00D2676F" w:rsidRPr="00FC6087">
        <w:rPr>
          <w:color w:val="000000" w:themeColor="text1"/>
        </w:rPr>
        <w:t>ir</w:t>
      </w:r>
      <w:r w:rsidR="001B25F7" w:rsidRPr="00FC6087">
        <w:rPr>
          <w:color w:val="000000" w:themeColor="text1"/>
        </w:rPr>
        <w:t xml:space="preserve"> most </w:t>
      </w:r>
      <w:r w:rsidR="00D2676F" w:rsidRPr="00FC6087">
        <w:rPr>
          <w:color w:val="000000" w:themeColor="text1"/>
        </w:rPr>
        <w:t>significant</w:t>
      </w:r>
      <w:r w:rsidR="001B25F7" w:rsidRPr="00FC6087">
        <w:rPr>
          <w:color w:val="000000" w:themeColor="text1"/>
        </w:rPr>
        <w:t xml:space="preserve"> barriers.</w:t>
      </w:r>
    </w:p>
    <w:p w14:paraId="7D516C66" w14:textId="77777777" w:rsidR="00E3045E" w:rsidRPr="00FC6087" w:rsidRDefault="00D2676F" w:rsidP="00790070">
      <w:pPr>
        <w:pStyle w:val="APAParagraph"/>
        <w:numPr>
          <w:ilvl w:val="0"/>
          <w:numId w:val="29"/>
        </w:numPr>
        <w:rPr>
          <w:color w:val="000000" w:themeColor="text1"/>
        </w:rPr>
      </w:pPr>
      <w:r w:rsidRPr="00FC6087">
        <w:rPr>
          <w:color w:val="000000" w:themeColor="text1"/>
        </w:rPr>
        <w:t>S</w:t>
      </w:r>
      <w:r w:rsidR="001B25F7" w:rsidRPr="00FC6087">
        <w:rPr>
          <w:color w:val="000000" w:themeColor="text1"/>
        </w:rPr>
        <w:t>tudy more closely the commonalities and differences in the responses from the stakeholder groups and attempt to understand the reasons behind such patterns</w:t>
      </w:r>
      <w:r w:rsidR="001177D4" w:rsidRPr="00FC6087">
        <w:rPr>
          <w:color w:val="000000" w:themeColor="text1"/>
        </w:rPr>
        <w:t xml:space="preserve"> by </w:t>
      </w:r>
      <w:r w:rsidR="000A75CA" w:rsidRPr="00FC6087">
        <w:rPr>
          <w:color w:val="000000" w:themeColor="text1"/>
        </w:rPr>
        <w:t>further</w:t>
      </w:r>
      <w:r w:rsidR="001B25F7" w:rsidRPr="00FC6087">
        <w:rPr>
          <w:color w:val="000000" w:themeColor="text1"/>
        </w:rPr>
        <w:t xml:space="preserve"> clarify</w:t>
      </w:r>
      <w:r w:rsidR="000A75CA" w:rsidRPr="00FC6087">
        <w:rPr>
          <w:color w:val="000000" w:themeColor="text1"/>
        </w:rPr>
        <w:t>ing</w:t>
      </w:r>
      <w:r w:rsidR="001B25F7" w:rsidRPr="00FC6087">
        <w:rPr>
          <w:color w:val="000000" w:themeColor="text1"/>
        </w:rPr>
        <w:t xml:space="preserve"> terms</w:t>
      </w:r>
      <w:r w:rsidR="000A75CA" w:rsidRPr="00FC6087">
        <w:rPr>
          <w:color w:val="000000" w:themeColor="text1"/>
        </w:rPr>
        <w:t xml:space="preserve"> and</w:t>
      </w:r>
      <w:r w:rsidR="001B25F7" w:rsidRPr="00FC6087">
        <w:rPr>
          <w:color w:val="000000" w:themeColor="text1"/>
        </w:rPr>
        <w:t xml:space="preserve"> increase our quantitative understanding of HIT.</w:t>
      </w:r>
    </w:p>
    <w:p w14:paraId="7D516C67" w14:textId="77777777" w:rsidR="00FD4D49" w:rsidRPr="00FC6087" w:rsidRDefault="00AF016C" w:rsidP="00FD4D49">
      <w:pPr>
        <w:pStyle w:val="Heading1"/>
        <w:rPr>
          <w:color w:val="000000" w:themeColor="text1"/>
        </w:rPr>
      </w:pPr>
      <w:bookmarkStart w:id="176" w:name="_Toc24447823"/>
      <w:r w:rsidRPr="00FC6087">
        <w:rPr>
          <w:color w:val="000000" w:themeColor="text1"/>
        </w:rPr>
        <w:t xml:space="preserve">7.5. </w:t>
      </w:r>
      <w:r w:rsidR="00FD4D49" w:rsidRPr="00FC6087">
        <w:rPr>
          <w:color w:val="000000" w:themeColor="text1"/>
        </w:rPr>
        <w:t>Conclusion</w:t>
      </w:r>
      <w:bookmarkEnd w:id="176"/>
    </w:p>
    <w:p w14:paraId="7D516C68" w14:textId="77777777" w:rsidR="00FD4D49" w:rsidRPr="00FC6087" w:rsidRDefault="00FD4D49" w:rsidP="00FD4D49">
      <w:pPr>
        <w:pStyle w:val="APAParagraph"/>
        <w:rPr>
          <w:color w:val="000000" w:themeColor="text1"/>
        </w:rPr>
      </w:pPr>
      <w:r w:rsidRPr="00FC6087">
        <w:rPr>
          <w:color w:val="000000" w:themeColor="text1"/>
        </w:rPr>
        <w:t xml:space="preserve">The UAE is a prime example </w:t>
      </w:r>
      <w:r w:rsidR="00940BF4" w:rsidRPr="00FC6087">
        <w:rPr>
          <w:color w:val="000000" w:themeColor="text1"/>
        </w:rPr>
        <w:t>o</w:t>
      </w:r>
      <w:r w:rsidRPr="00FC6087">
        <w:rPr>
          <w:color w:val="000000" w:themeColor="text1"/>
        </w:rPr>
        <w:t>f the implementation of innovative healthcare technologies for the populace. It has made considerable efforts to make healthcare accessible by creating conventions and implementing the most modern, innovative, state-of-the-art healthcare technologies available in the region. Even so, there is still room for improvement. Barriers that hinder the adoption of these technologies still exist, and individuals need to be motivated to adopt these n</w:t>
      </w:r>
      <w:r w:rsidR="00940BF4" w:rsidRPr="00FC6087">
        <w:rPr>
          <w:color w:val="000000" w:themeColor="text1"/>
        </w:rPr>
        <w:t>ew</w:t>
      </w:r>
      <w:r w:rsidRPr="00FC6087">
        <w:rPr>
          <w:color w:val="000000" w:themeColor="text1"/>
        </w:rPr>
        <w:t xml:space="preserve"> initiatives. This </w:t>
      </w:r>
      <w:r w:rsidR="00680E9A" w:rsidRPr="00FC6087">
        <w:rPr>
          <w:color w:val="000000" w:themeColor="text1"/>
        </w:rPr>
        <w:t>research</w:t>
      </w:r>
      <w:r w:rsidRPr="00FC6087">
        <w:rPr>
          <w:color w:val="000000" w:themeColor="text1"/>
        </w:rPr>
        <w:t>, through an in-depth, comprehensive quantitative analysis of the various motivators and barriers in the UAE</w:t>
      </w:r>
      <w:r w:rsidR="00940BF4" w:rsidRPr="00FC6087">
        <w:rPr>
          <w:color w:val="000000" w:themeColor="text1"/>
        </w:rPr>
        <w:t>,</w:t>
      </w:r>
      <w:r w:rsidRPr="00FC6087">
        <w:rPr>
          <w:color w:val="000000" w:themeColor="text1"/>
        </w:rPr>
        <w:t xml:space="preserve"> as reported by four key stakeholder groups (employees, patients, UAE citizens, and foresight experts), has helped understand what these barriers and motivators are and offered suggestions on how to use that knowledge to further improve the healthcare system in the UAE, as a prominent global example.</w:t>
      </w:r>
    </w:p>
    <w:p w14:paraId="7D516C69" w14:textId="77777777" w:rsidR="00FD4D49" w:rsidRPr="00FC6087" w:rsidRDefault="00FD4D49" w:rsidP="00FD4D49">
      <w:pPr>
        <w:pStyle w:val="APAParagraph"/>
        <w:rPr>
          <w:color w:val="000000" w:themeColor="text1"/>
        </w:rPr>
      </w:pPr>
      <w:r w:rsidRPr="00FC6087">
        <w:rPr>
          <w:color w:val="000000" w:themeColor="text1"/>
        </w:rPr>
        <w:t>The findings indicate that key barriers standing in the way of widespread HIT adoption are concerns over data security and long-term usability of the technologies and, to a less prominent degree, the financial considerations of implementing these technologies. Meanwhile, key motivators are a top-down, governmental vision and support for the initiatives and the utility of technologies for professional development. Taken together, these findings suggest that UAE’s Vision 2021 has likely been a key factor in their success in this sector</w:t>
      </w:r>
      <w:r w:rsidR="00AC79AA" w:rsidRPr="00FC6087">
        <w:rPr>
          <w:color w:val="000000" w:themeColor="text1"/>
        </w:rPr>
        <w:t xml:space="preserve">, further </w:t>
      </w:r>
      <w:r w:rsidRPr="00FC6087">
        <w:rPr>
          <w:color w:val="000000" w:themeColor="text1"/>
        </w:rPr>
        <w:t>suggest</w:t>
      </w:r>
      <w:r w:rsidR="00AC79AA" w:rsidRPr="00FC6087">
        <w:rPr>
          <w:color w:val="000000" w:themeColor="text1"/>
        </w:rPr>
        <w:t>ing</w:t>
      </w:r>
      <w:r w:rsidRPr="00FC6087">
        <w:rPr>
          <w:color w:val="000000" w:themeColor="text1"/>
        </w:rPr>
        <w:t xml:space="preserve"> that other nations </w:t>
      </w:r>
      <w:r w:rsidR="00AC79AA" w:rsidRPr="00FC6087">
        <w:rPr>
          <w:color w:val="000000" w:themeColor="text1"/>
        </w:rPr>
        <w:t xml:space="preserve">should </w:t>
      </w:r>
      <w:r w:rsidRPr="00FC6087">
        <w:rPr>
          <w:color w:val="000000" w:themeColor="text1"/>
        </w:rPr>
        <w:t xml:space="preserve">follow their lead. Additionally, based the present research, it is recommended that those </w:t>
      </w:r>
      <w:r w:rsidR="00AC79AA" w:rsidRPr="00FC6087">
        <w:rPr>
          <w:color w:val="000000" w:themeColor="text1"/>
        </w:rPr>
        <w:t>seeking</w:t>
      </w:r>
      <w:r w:rsidRPr="00FC6087">
        <w:rPr>
          <w:color w:val="000000" w:themeColor="text1"/>
        </w:rPr>
        <w:t xml:space="preserve"> to improve HIT adoption, which includes the UAE, would do well to invest their time and financial resources into developing and maintaining easy-to</w:t>
      </w:r>
      <w:r w:rsidR="00AC79AA" w:rsidRPr="00FC6087">
        <w:rPr>
          <w:color w:val="000000" w:themeColor="text1"/>
        </w:rPr>
        <w:t>-</w:t>
      </w:r>
      <w:r w:rsidRPr="00FC6087">
        <w:rPr>
          <w:color w:val="000000" w:themeColor="text1"/>
        </w:rPr>
        <w:t>use and highly secure technologies.</w:t>
      </w:r>
    </w:p>
    <w:p w14:paraId="7D516C6A" w14:textId="77777777" w:rsidR="00FD4D49" w:rsidRPr="00FC6087" w:rsidRDefault="00FD4D49" w:rsidP="00FD4D49">
      <w:pPr>
        <w:pStyle w:val="APAParagraph"/>
        <w:rPr>
          <w:color w:val="000000" w:themeColor="text1"/>
        </w:rPr>
      </w:pPr>
      <w:r w:rsidRPr="00FC6087">
        <w:rPr>
          <w:color w:val="000000" w:themeColor="text1"/>
        </w:rPr>
        <w:t xml:space="preserve">The results of the present </w:t>
      </w:r>
      <w:r w:rsidR="00680E9A" w:rsidRPr="00FC6087">
        <w:rPr>
          <w:color w:val="000000" w:themeColor="text1"/>
        </w:rPr>
        <w:t xml:space="preserve">research </w:t>
      </w:r>
      <w:r w:rsidRPr="00FC6087">
        <w:rPr>
          <w:color w:val="000000" w:themeColor="text1"/>
        </w:rPr>
        <w:t xml:space="preserve">are of </w:t>
      </w:r>
      <w:r w:rsidR="00AC79AA" w:rsidRPr="00FC6087">
        <w:rPr>
          <w:color w:val="000000" w:themeColor="text1"/>
        </w:rPr>
        <w:t xml:space="preserve">the </w:t>
      </w:r>
      <w:r w:rsidRPr="00FC6087">
        <w:rPr>
          <w:color w:val="000000" w:themeColor="text1"/>
        </w:rPr>
        <w:t>utmost importance to the policy</w:t>
      </w:r>
      <w:r w:rsidR="00AC79AA" w:rsidRPr="00FC6087">
        <w:rPr>
          <w:color w:val="000000" w:themeColor="text1"/>
        </w:rPr>
        <w:t>-</w:t>
      </w:r>
      <w:r w:rsidRPr="00FC6087">
        <w:rPr>
          <w:color w:val="000000" w:themeColor="text1"/>
        </w:rPr>
        <w:t>makers and health professionals that must address the issue of rising care cost</w:t>
      </w:r>
      <w:r w:rsidR="00AC79AA" w:rsidRPr="00FC6087">
        <w:rPr>
          <w:color w:val="000000" w:themeColor="text1"/>
        </w:rPr>
        <w:t>s</w:t>
      </w:r>
      <w:r w:rsidRPr="00FC6087">
        <w:rPr>
          <w:color w:val="000000" w:themeColor="text1"/>
        </w:rPr>
        <w:t xml:space="preserve"> and disjointed demographic changes in their attempts improve the quality of healthcare services delivered to patients via tech-based innovations. In particular, data</w:t>
      </w:r>
      <w:r w:rsidR="00AC79AA" w:rsidRPr="00FC6087">
        <w:rPr>
          <w:color w:val="000000" w:themeColor="text1"/>
        </w:rPr>
        <w:t>-</w:t>
      </w:r>
      <w:r w:rsidRPr="00FC6087">
        <w:rPr>
          <w:color w:val="000000" w:themeColor="text1"/>
        </w:rPr>
        <w:t>security concerns are not as strong deterrents as concerns about organization, policy, and the practicability and longevity of the proposed technologies. Despite the more obvious</w:t>
      </w:r>
      <w:r w:rsidR="00675EE0">
        <w:rPr>
          <w:color w:val="000000" w:themeColor="text1"/>
        </w:rPr>
        <w:t xml:space="preserve"> </w:t>
      </w:r>
      <w:r w:rsidRPr="00FC6087">
        <w:rPr>
          <w:color w:val="000000" w:themeColor="text1"/>
        </w:rPr>
        <w:t>documented benefits of HIT to all health stakeholders, the diffusion of technology in the UAE is still low—and even lower on most other Arab nations—and meets resistance from medical specialists. However, these findings suggest that effective avenues for enhancing the adoption of these technologies should be aimed less at convincing individuals of the security of the technologies</w:t>
      </w:r>
      <w:r w:rsidR="005C3D84" w:rsidRPr="00FC6087">
        <w:rPr>
          <w:color w:val="000000" w:themeColor="text1"/>
        </w:rPr>
        <w:t xml:space="preserve"> and more at </w:t>
      </w:r>
      <w:r w:rsidRPr="00FC6087">
        <w:rPr>
          <w:color w:val="000000" w:themeColor="text1"/>
        </w:rPr>
        <w:t>developing technologies that will be user</w:t>
      </w:r>
      <w:r w:rsidR="005C3D84" w:rsidRPr="00FC6087">
        <w:rPr>
          <w:color w:val="000000" w:themeColor="text1"/>
        </w:rPr>
        <w:t>-</w:t>
      </w:r>
      <w:r w:rsidRPr="00FC6087">
        <w:rPr>
          <w:color w:val="000000" w:themeColor="text1"/>
        </w:rPr>
        <w:t>friendly, training people to use these technologies, and ensuring that changes are implemented smoothly.</w:t>
      </w:r>
    </w:p>
    <w:p w14:paraId="7D516C6B" w14:textId="77777777" w:rsidR="00FD4D49" w:rsidRPr="00FC6087" w:rsidRDefault="00FD4D49" w:rsidP="00FD4D49">
      <w:pPr>
        <w:pStyle w:val="APAParagraph"/>
        <w:rPr>
          <w:color w:val="000000" w:themeColor="text1"/>
        </w:rPr>
      </w:pPr>
      <w:r w:rsidRPr="00FC6087">
        <w:rPr>
          <w:color w:val="000000" w:themeColor="text1"/>
        </w:rPr>
        <w:t xml:space="preserve">The UAE overall has </w:t>
      </w:r>
      <w:r w:rsidR="00FC7CC4" w:rsidRPr="00FC6087">
        <w:rPr>
          <w:color w:val="000000" w:themeColor="text1"/>
        </w:rPr>
        <w:t>proactively encouraged</w:t>
      </w:r>
      <w:r w:rsidRPr="00FC6087">
        <w:rPr>
          <w:color w:val="000000" w:themeColor="text1"/>
        </w:rPr>
        <w:t xml:space="preserve"> the implementation of innovative healthcare technology for the populace, as it has made considerable efforts to make healthcare accessible by rising above conventional ideologies and implementing the most modern, state-of-the-art healthcare technology available in the region. Although the present </w:t>
      </w:r>
      <w:r w:rsidR="00680E9A" w:rsidRPr="00FC6087">
        <w:rPr>
          <w:color w:val="000000" w:themeColor="text1"/>
        </w:rPr>
        <w:t xml:space="preserve">research </w:t>
      </w:r>
      <w:r w:rsidRPr="00FC6087">
        <w:rPr>
          <w:color w:val="000000" w:themeColor="text1"/>
        </w:rPr>
        <w:t xml:space="preserve">focused on stakeholders’ views, </w:t>
      </w:r>
      <w:r w:rsidR="00CD1CBD" w:rsidRPr="00FC6087">
        <w:rPr>
          <w:color w:val="000000" w:themeColor="text1"/>
        </w:rPr>
        <w:t xml:space="preserve">it is clear that </w:t>
      </w:r>
      <w:r w:rsidRPr="00FC6087">
        <w:rPr>
          <w:color w:val="000000" w:themeColor="text1"/>
        </w:rPr>
        <w:t xml:space="preserve">the </w:t>
      </w:r>
      <w:r w:rsidR="008E6244" w:rsidRPr="00FC6087">
        <w:rPr>
          <w:color w:val="000000" w:themeColor="text1"/>
        </w:rPr>
        <w:t xml:space="preserve">UAE </w:t>
      </w:r>
      <w:r w:rsidRPr="00FC6087">
        <w:rPr>
          <w:color w:val="000000" w:themeColor="text1"/>
        </w:rPr>
        <w:t xml:space="preserve">government has </w:t>
      </w:r>
      <w:r w:rsidR="00CD1CBD" w:rsidRPr="00FC6087">
        <w:rPr>
          <w:color w:val="000000" w:themeColor="text1"/>
        </w:rPr>
        <w:t xml:space="preserve">had a great deal of success in terms of promoting HIT adoption, </w:t>
      </w:r>
      <w:r w:rsidRPr="00FC6087">
        <w:rPr>
          <w:color w:val="000000" w:themeColor="text1"/>
        </w:rPr>
        <w:t>done remarkably well given the increasing wealth due to its position as the second-largest economy in the Arab world (after Saudi Arabia)</w:t>
      </w:r>
      <w:r w:rsidR="00964AF4" w:rsidRPr="00FC6087">
        <w:rPr>
          <w:color w:val="000000" w:themeColor="text1"/>
        </w:rPr>
        <w:t xml:space="preserve">, using of its wealth </w:t>
      </w:r>
      <w:r w:rsidR="00A12F2C" w:rsidRPr="00FC6087">
        <w:rPr>
          <w:color w:val="000000" w:themeColor="text1"/>
        </w:rPr>
        <w:t xml:space="preserve">as </w:t>
      </w:r>
      <w:r w:rsidR="00964AF4" w:rsidRPr="00FC6087">
        <w:rPr>
          <w:color w:val="000000" w:themeColor="text1"/>
        </w:rPr>
        <w:t>the second-largest economy in the Arab world (after Saudi Arabia)</w:t>
      </w:r>
      <w:r w:rsidRPr="00FC6087">
        <w:rPr>
          <w:color w:val="000000" w:themeColor="text1"/>
        </w:rPr>
        <w:t xml:space="preserve">. This attitude shows </w:t>
      </w:r>
      <w:r w:rsidR="00A12F2C" w:rsidRPr="00FC6087">
        <w:rPr>
          <w:color w:val="000000" w:themeColor="text1"/>
        </w:rPr>
        <w:t>a</w:t>
      </w:r>
      <w:r w:rsidRPr="00FC6087">
        <w:rPr>
          <w:color w:val="000000" w:themeColor="text1"/>
        </w:rPr>
        <w:t xml:space="preserve"> willingness to adopt new technologies and commit to HIT implementation.</w:t>
      </w:r>
    </w:p>
    <w:p w14:paraId="7D516C6C" w14:textId="77777777" w:rsidR="00DF10FA" w:rsidRPr="00FC6087" w:rsidRDefault="00FD4D49" w:rsidP="00FD4D49">
      <w:pPr>
        <w:pStyle w:val="APAParagraph"/>
        <w:rPr>
          <w:color w:val="000000" w:themeColor="text1"/>
        </w:rPr>
      </w:pPr>
      <w:r w:rsidRPr="00FC6087">
        <w:rPr>
          <w:color w:val="000000" w:themeColor="text1"/>
        </w:rPr>
        <w:t xml:space="preserve">As noted above, the domestic healthcare arena in the UAE </w:t>
      </w:r>
      <w:r w:rsidR="000F68AF" w:rsidRPr="00FC6087">
        <w:rPr>
          <w:color w:val="000000" w:themeColor="text1"/>
        </w:rPr>
        <w:t xml:space="preserve">is </w:t>
      </w:r>
      <w:r w:rsidRPr="00FC6087">
        <w:rPr>
          <w:color w:val="000000" w:themeColor="text1"/>
        </w:rPr>
        <w:t>fac</w:t>
      </w:r>
      <w:r w:rsidR="000F68AF" w:rsidRPr="00FC6087">
        <w:rPr>
          <w:color w:val="000000" w:themeColor="text1"/>
        </w:rPr>
        <w:t>ing</w:t>
      </w:r>
      <w:r w:rsidRPr="00FC6087">
        <w:rPr>
          <w:color w:val="000000" w:themeColor="text1"/>
        </w:rPr>
        <w:t xml:space="preserve"> increased pressure to improve the quality of delivered services, particularly in the context of the government plan to transform the UAE into a top global healthcare hub. Therefore, these findings can help the public healthcare sector fulfill this objective by removing the obstacles to HIT implementation and promoting the motivators </w:t>
      </w:r>
      <w:r w:rsidR="004377C8" w:rsidRPr="00FC6087">
        <w:rPr>
          <w:color w:val="000000" w:themeColor="text1"/>
        </w:rPr>
        <w:t xml:space="preserve">for its </w:t>
      </w:r>
      <w:r w:rsidRPr="00FC6087">
        <w:rPr>
          <w:color w:val="000000" w:themeColor="text1"/>
        </w:rPr>
        <w:t>adoption.</w:t>
      </w:r>
    </w:p>
    <w:p w14:paraId="7D516C6D" w14:textId="77777777" w:rsidR="00DF10FA" w:rsidRPr="00FC6087" w:rsidRDefault="00DF10FA">
      <w:pPr>
        <w:rPr>
          <w:color w:val="000000" w:themeColor="text1"/>
        </w:rPr>
      </w:pPr>
      <w:r w:rsidRPr="00FC6087">
        <w:rPr>
          <w:color w:val="000000" w:themeColor="text1"/>
        </w:rPr>
        <w:br w:type="page"/>
      </w:r>
    </w:p>
    <w:p w14:paraId="7D516C6E" w14:textId="77777777" w:rsidR="00122AE2" w:rsidRPr="00FC6087" w:rsidRDefault="00843ED0" w:rsidP="00122AE2">
      <w:pPr>
        <w:pStyle w:val="ChapterTitle"/>
      </w:pPr>
      <w:bookmarkStart w:id="177" w:name="_Toc24447824"/>
      <w:r w:rsidRPr="00FC6087">
        <w:t>BIBLIOGRAPHY</w:t>
      </w:r>
      <w:bookmarkEnd w:id="177"/>
    </w:p>
    <w:p w14:paraId="7D516C72" w14:textId="7A3D5829" w:rsidR="00841C9A" w:rsidRPr="00FC6087" w:rsidRDefault="00841C9A" w:rsidP="001200E8">
      <w:pPr>
        <w:pStyle w:val="APAReferences"/>
        <w:spacing w:line="480" w:lineRule="auto"/>
      </w:pPr>
      <w:r w:rsidRPr="00FC6087">
        <w:t>Abareshi, A.,</w:t>
      </w:r>
      <w:r w:rsidR="005E7A62">
        <w:t xml:space="preserve"> &amp; </w:t>
      </w:r>
      <w:r w:rsidRPr="00FC6087">
        <w:t xml:space="preserve">Molla, A. (2013). Greening logistics and its impact on environmental performance: An absorptive capacity perspective. </w:t>
      </w:r>
      <w:r w:rsidRPr="00790070">
        <w:rPr>
          <w:i/>
        </w:rPr>
        <w:t>International Journal of Logistics Research and Applications, 16</w:t>
      </w:r>
      <w:r w:rsidRPr="00FC6087">
        <w:t>, 209-226.</w:t>
      </w:r>
    </w:p>
    <w:p w14:paraId="7D516C73" w14:textId="3E4440CB" w:rsidR="00841C9A" w:rsidRPr="00FC6087" w:rsidRDefault="00841C9A" w:rsidP="001200E8">
      <w:pPr>
        <w:pStyle w:val="APAReferences"/>
        <w:spacing w:line="480" w:lineRule="auto"/>
      </w:pPr>
      <w:r w:rsidRPr="00FC6087">
        <w:t>Agarwal, R., Gao, G., DesRoches, C.,</w:t>
      </w:r>
      <w:r w:rsidR="005E7A62">
        <w:t xml:space="preserve"> &amp; </w:t>
      </w:r>
      <w:r w:rsidRPr="00FC6087">
        <w:t xml:space="preserve">Jha, A. K. (2010). Research commentary—The digital transformation of healthcare: Current status and the road ahead. </w:t>
      </w:r>
      <w:r w:rsidRPr="00FC6087">
        <w:rPr>
          <w:i/>
          <w:iCs/>
        </w:rPr>
        <w:t>Information Systems Research, 21</w:t>
      </w:r>
      <w:r w:rsidRPr="00FC6087">
        <w:t>, 796-809.</w:t>
      </w:r>
    </w:p>
    <w:p w14:paraId="7D516C74" w14:textId="47535E5F" w:rsidR="00841C9A" w:rsidRPr="00FC6087" w:rsidRDefault="00841C9A" w:rsidP="001200E8">
      <w:pPr>
        <w:pStyle w:val="APAReferences"/>
        <w:spacing w:line="480" w:lineRule="auto"/>
      </w:pPr>
      <w:r w:rsidRPr="00FC6087">
        <w:t>Aggelidis, V.,</w:t>
      </w:r>
      <w:r w:rsidR="005E7A62">
        <w:t xml:space="preserve"> &amp; </w:t>
      </w:r>
      <w:r w:rsidRPr="00FC6087">
        <w:t xml:space="preserve">Chatzoglou, V. (2009). Using a modified technology acceptance model in hospitals. </w:t>
      </w:r>
      <w:r w:rsidRPr="00FC6087">
        <w:rPr>
          <w:i/>
          <w:iCs/>
        </w:rPr>
        <w:t>International Journal of Medical Informatics, 78</w:t>
      </w:r>
      <w:r w:rsidRPr="00FC6087">
        <w:t>, 115-126.</w:t>
      </w:r>
    </w:p>
    <w:p w14:paraId="7D516C75" w14:textId="76BF6D24" w:rsidR="00841C9A" w:rsidRPr="00FC6087" w:rsidRDefault="00841C9A" w:rsidP="001200E8">
      <w:pPr>
        <w:pStyle w:val="APAReferences"/>
        <w:spacing w:line="480" w:lineRule="auto"/>
      </w:pPr>
      <w:r w:rsidRPr="00FC6087">
        <w:t>Ahlan, A.R.,</w:t>
      </w:r>
      <w:r w:rsidR="005E7A62">
        <w:t xml:space="preserve"> &amp; </w:t>
      </w:r>
      <w:r w:rsidRPr="00FC6087">
        <w:t>Ahmad, B.</w:t>
      </w:r>
      <w:r w:rsidR="00A750F4">
        <w:t xml:space="preserve"> </w:t>
      </w:r>
      <w:r w:rsidRPr="00FC6087">
        <w:t xml:space="preserve">I. (2014). User acceptance of health information technology (HIT) in developing countries: A conceptual model. </w:t>
      </w:r>
      <w:r w:rsidRPr="00FC6087">
        <w:rPr>
          <w:i/>
          <w:iCs/>
        </w:rPr>
        <w:t>Procedia Technology</w:t>
      </w:r>
      <w:r w:rsidRPr="00FC6087">
        <w:rPr>
          <w:i/>
        </w:rPr>
        <w:t>, 16</w:t>
      </w:r>
      <w:r w:rsidRPr="00FC6087">
        <w:t>, 1287-1296.</w:t>
      </w:r>
    </w:p>
    <w:p w14:paraId="7D516C76" w14:textId="241881E9" w:rsidR="00841C9A" w:rsidRPr="00FC6087" w:rsidRDefault="00841C9A" w:rsidP="001200E8">
      <w:pPr>
        <w:pStyle w:val="APAReferences"/>
        <w:spacing w:line="480" w:lineRule="auto"/>
      </w:pPr>
      <w:r w:rsidRPr="00FC6087">
        <w:t>Ahmad, M</w:t>
      </w:r>
      <w:r w:rsidR="00D62567" w:rsidRPr="00FC6087">
        <w:t>.</w:t>
      </w:r>
      <w:r w:rsidRPr="00FC6087">
        <w:t xml:space="preserve"> S., Bazmi, A. A., Bhutto, A. W., Shahzadi, K.,</w:t>
      </w:r>
      <w:r w:rsidR="005E7A62">
        <w:t xml:space="preserve"> &amp; </w:t>
      </w:r>
      <w:r w:rsidRPr="00FC6087">
        <w:t xml:space="preserve">Bukhari, N. (2016). Students’ responses to improve environmental sustainability through recycling: Quantitatively improving qualitative model. </w:t>
      </w:r>
      <w:r w:rsidRPr="00FC6087">
        <w:rPr>
          <w:i/>
          <w:iCs/>
        </w:rPr>
        <w:t>Applied Research in Quality of Life, 11</w:t>
      </w:r>
      <w:r w:rsidRPr="00FC6087">
        <w:t>, 253-270.</w:t>
      </w:r>
    </w:p>
    <w:p w14:paraId="7D516C77" w14:textId="08C04571" w:rsidR="00841C9A" w:rsidRPr="00FC6087" w:rsidRDefault="00841C9A" w:rsidP="001200E8">
      <w:pPr>
        <w:pStyle w:val="APAReferences"/>
        <w:spacing w:line="480" w:lineRule="auto"/>
      </w:pPr>
      <w:r w:rsidRPr="00FC6087">
        <w:t>Ahmadi, H., Nilashi, M., Shahmoradi, L.,</w:t>
      </w:r>
      <w:r w:rsidR="005E7A62">
        <w:t xml:space="preserve"> &amp; </w:t>
      </w:r>
      <w:r w:rsidRPr="00FC6087">
        <w:t xml:space="preserve">Ibrahim, O. (2017). Hospital </w:t>
      </w:r>
      <w:r w:rsidR="00D62567" w:rsidRPr="00FC6087">
        <w:t>i</w:t>
      </w:r>
      <w:r w:rsidRPr="00FC6087">
        <w:t xml:space="preserve">nformation </w:t>
      </w:r>
      <w:r w:rsidR="00D62567" w:rsidRPr="00FC6087">
        <w:t>s</w:t>
      </w:r>
      <w:r w:rsidRPr="00FC6087">
        <w:t xml:space="preserve">ystem adoption: Expert perspectives on an adoption framework for Malaysian public hospitals. </w:t>
      </w:r>
      <w:r w:rsidRPr="00FC6087">
        <w:rPr>
          <w:i/>
          <w:iCs/>
        </w:rPr>
        <w:t>Computers in Human Behavior, 67</w:t>
      </w:r>
      <w:r w:rsidRPr="00FC6087">
        <w:t>, 161-189.</w:t>
      </w:r>
    </w:p>
    <w:p w14:paraId="7D516C78" w14:textId="00A46EBC" w:rsidR="00841C9A" w:rsidRPr="00FC6087" w:rsidRDefault="00841C9A" w:rsidP="001200E8">
      <w:pPr>
        <w:pStyle w:val="APAReferences"/>
        <w:spacing w:line="480" w:lineRule="auto"/>
      </w:pPr>
      <w:r w:rsidRPr="00FC6087">
        <w:t>Ajami, S.,</w:t>
      </w:r>
      <w:r w:rsidR="005E7A62">
        <w:t xml:space="preserve"> &amp; </w:t>
      </w:r>
      <w:r w:rsidRPr="00FC6087">
        <w:t xml:space="preserve">Bagheri-Tadi, T. (2013). Barriers for adopting electronic health records (EHRs) by physicians. </w:t>
      </w:r>
      <w:r w:rsidRPr="00FC6087">
        <w:rPr>
          <w:i/>
          <w:iCs/>
        </w:rPr>
        <w:t>Acta Informatica Medica, 21</w:t>
      </w:r>
      <w:r w:rsidRPr="00FC6087">
        <w:t>, 129-134.</w:t>
      </w:r>
    </w:p>
    <w:p w14:paraId="7D516C79" w14:textId="4915623B" w:rsidR="00841C9A" w:rsidRPr="00FC6087" w:rsidRDefault="00841C9A" w:rsidP="001200E8">
      <w:pPr>
        <w:pStyle w:val="APAReferences"/>
        <w:spacing w:line="480" w:lineRule="auto"/>
      </w:pPr>
      <w:r w:rsidRPr="00FC6087">
        <w:t>Ajzen, I. (1985). From intentions to actions: A theory of planned behavior. In J. Kuhl</w:t>
      </w:r>
      <w:r w:rsidR="005E7A62">
        <w:t xml:space="preserve"> &amp; </w:t>
      </w:r>
      <w:r w:rsidRPr="00FC6087">
        <w:t xml:space="preserve">J. Beckmann (Eds.), </w:t>
      </w:r>
      <w:r w:rsidRPr="00FC6087">
        <w:rPr>
          <w:i/>
          <w:iCs/>
        </w:rPr>
        <w:t>Action control: From cognition to behavior</w:t>
      </w:r>
      <w:r w:rsidRPr="00FC6087">
        <w:t xml:space="preserve"> (pp. 11-39). New York, NY: Springer-Verlag.</w:t>
      </w:r>
    </w:p>
    <w:p w14:paraId="7D516C7A" w14:textId="3482A17A" w:rsidR="00841C9A" w:rsidRPr="00FC6087" w:rsidRDefault="00841C9A" w:rsidP="001200E8">
      <w:pPr>
        <w:pStyle w:val="APAReferences"/>
        <w:spacing w:line="480" w:lineRule="auto"/>
      </w:pPr>
      <w:r w:rsidRPr="00FC6087">
        <w:t>Al Alawi, S., Al Dhaheri, A., Al Baloushi, D., Al Shaheri, M.,</w:t>
      </w:r>
      <w:r w:rsidR="005E7A62">
        <w:t xml:space="preserve"> &amp; </w:t>
      </w:r>
      <w:r w:rsidRPr="00FC6087">
        <w:t xml:space="preserve">Prinsloo, E. A. M. (2014). Physician user satisfaction with an electronic medical records system in primary healthcare centers in Al Ain: A qualitative study. </w:t>
      </w:r>
      <w:r w:rsidRPr="00FC6087">
        <w:rPr>
          <w:i/>
          <w:iCs/>
        </w:rPr>
        <w:t>BMJ Open, 4</w:t>
      </w:r>
      <w:r w:rsidRPr="00FC6087">
        <w:t>, e005569.</w:t>
      </w:r>
    </w:p>
    <w:p w14:paraId="7D516C7B" w14:textId="468AFEFA" w:rsidR="00CC016E" w:rsidRDefault="00D6038F" w:rsidP="001200E8">
      <w:pPr>
        <w:pStyle w:val="APAReferences"/>
        <w:spacing w:line="480" w:lineRule="auto"/>
      </w:pPr>
      <w:r w:rsidRPr="00A1764C">
        <w:t>Alaiad, A., Zhou, L.,</w:t>
      </w:r>
      <w:r w:rsidR="005E7A62">
        <w:t xml:space="preserve"> &amp; </w:t>
      </w:r>
      <w:r>
        <w:t>Koru, G. (</w:t>
      </w:r>
      <w:r w:rsidRPr="00A1764C">
        <w:t>2013</w:t>
      </w:r>
      <w:r>
        <w:t>)</w:t>
      </w:r>
      <w:r w:rsidRPr="00A1764C">
        <w:t>. An Empirical Study of Home Healthcare Robots Adoption Using the UTUAT Model. Transactions of the International Conference on Health Information Technology Advancement, Center for Health Information Technology Advancement, Western Michigan University.</w:t>
      </w:r>
    </w:p>
    <w:p w14:paraId="7D516C7C" w14:textId="14763923" w:rsidR="00D6038F" w:rsidRPr="00A1764C" w:rsidRDefault="00D6038F" w:rsidP="001200E8">
      <w:pPr>
        <w:pStyle w:val="APAReferences"/>
        <w:spacing w:line="480" w:lineRule="auto"/>
      </w:pPr>
      <w:r w:rsidRPr="00A1764C">
        <w:t>AlAwadhi, S.,</w:t>
      </w:r>
      <w:r w:rsidR="005E7A62">
        <w:t xml:space="preserve"> &amp; </w:t>
      </w:r>
      <w:r>
        <w:t>Morris, A. (</w:t>
      </w:r>
      <w:r w:rsidRPr="00A1764C">
        <w:t>2008</w:t>
      </w:r>
      <w:r>
        <w:t>)</w:t>
      </w:r>
      <w:r w:rsidRPr="00A1764C">
        <w:t xml:space="preserve">. The Use of the UTAUT Model in the Adoption of E-government Services in Kuwait. </w:t>
      </w:r>
      <w:r w:rsidR="00E64F34" w:rsidRPr="00C0447D">
        <w:rPr>
          <w:i/>
        </w:rPr>
        <w:t>Proceedings of the 41st Annual Hawaii International Conference on System Sciences (HICSS 2008)</w:t>
      </w:r>
      <w:r w:rsidR="002F444D">
        <w:t xml:space="preserve">. Retrieved from </w:t>
      </w:r>
      <w:r w:rsidR="002F444D" w:rsidRPr="002F444D">
        <w:t xml:space="preserve"> https://ieeexplore.ieee.org/document/4438923</w:t>
      </w:r>
    </w:p>
    <w:p w14:paraId="7D516C7D" w14:textId="36535494" w:rsidR="00841C9A" w:rsidRPr="00FC6087" w:rsidRDefault="00841C9A" w:rsidP="001200E8">
      <w:pPr>
        <w:pStyle w:val="APAReferences"/>
        <w:spacing w:line="480" w:lineRule="auto"/>
      </w:pPr>
      <w:r w:rsidRPr="00FC6087">
        <w:t>Alharthi, H., Youssef, A., Radwan, S., Al-Muallim, S.,</w:t>
      </w:r>
      <w:r w:rsidR="005E7A62">
        <w:t xml:space="preserve"> &amp; </w:t>
      </w:r>
      <w:r w:rsidRPr="00FC6087">
        <w:t xml:space="preserve">Al-Tuwaileb, Z. (2014). Physician satisfaction with electronic medical records in a major Saudi Government hospital. </w:t>
      </w:r>
      <w:r w:rsidRPr="00FC6087">
        <w:rPr>
          <w:i/>
        </w:rPr>
        <w:t>Journal of Taibah University Medical Sciences, 9</w:t>
      </w:r>
      <w:r w:rsidRPr="00FC6087">
        <w:t>, 213-218.</w:t>
      </w:r>
    </w:p>
    <w:p w14:paraId="7D516C7E" w14:textId="769572E1" w:rsidR="00841C9A" w:rsidRPr="00FC6087" w:rsidRDefault="00841C9A" w:rsidP="001200E8">
      <w:pPr>
        <w:pStyle w:val="APAReferences"/>
        <w:spacing w:line="480" w:lineRule="auto"/>
      </w:pPr>
      <w:r w:rsidRPr="00FC6087">
        <w:t>Aljohani, A., Davis, P.,</w:t>
      </w:r>
      <w:r w:rsidR="005E7A62">
        <w:t xml:space="preserve"> &amp; </w:t>
      </w:r>
      <w:r w:rsidRPr="00FC6087">
        <w:t xml:space="preserve">Connoly, R. (2018). An investigation into the adoption of </w:t>
      </w:r>
      <w:r w:rsidR="00536D2C" w:rsidRPr="00FC6087">
        <w:t>h</w:t>
      </w:r>
      <w:r w:rsidRPr="00FC6087">
        <w:t xml:space="preserve">ealth </w:t>
      </w:r>
      <w:r w:rsidR="00536D2C" w:rsidRPr="00FC6087">
        <w:t>i</w:t>
      </w:r>
      <w:r w:rsidRPr="00FC6087">
        <w:t xml:space="preserve">nformation </w:t>
      </w:r>
      <w:r w:rsidR="00536D2C" w:rsidRPr="00FC6087">
        <w:t>t</w:t>
      </w:r>
      <w:r w:rsidRPr="00FC6087">
        <w:t>echnology (HIT): A case study in Saudi Arabian public hospitals</w:t>
      </w:r>
      <w:r w:rsidRPr="00FC6087">
        <w:rPr>
          <w:i/>
          <w:iCs/>
        </w:rPr>
        <w:t>. Journal of Fundamental and Applied Sciences, 10</w:t>
      </w:r>
      <w:r w:rsidRPr="00FC6087">
        <w:t>, 597-602.</w:t>
      </w:r>
    </w:p>
    <w:p w14:paraId="7D516C7F" w14:textId="097C4157" w:rsidR="00841C9A" w:rsidRPr="00FC6087" w:rsidRDefault="00841C9A" w:rsidP="001200E8">
      <w:pPr>
        <w:pStyle w:val="APAReferences"/>
        <w:spacing w:line="480" w:lineRule="auto"/>
      </w:pPr>
      <w:r w:rsidRPr="00FC6087">
        <w:t>Alkraiji, A., Jackson, T.,</w:t>
      </w:r>
      <w:r w:rsidR="005E7A62">
        <w:t xml:space="preserve"> &amp; </w:t>
      </w:r>
      <w:r w:rsidRPr="00FC6087">
        <w:t xml:space="preserve">Murray, I. (2011). Health data standards and adoption process: Preliminary findings of a qualitative study in Saudi Arabia. </w:t>
      </w:r>
      <w:r w:rsidRPr="00FC6087">
        <w:rPr>
          <w:i/>
          <w:iCs/>
        </w:rPr>
        <w:t>Health Data Standards, 28</w:t>
      </w:r>
      <w:r w:rsidRPr="00FC6087">
        <w:t>, 345-359.</w:t>
      </w:r>
    </w:p>
    <w:p w14:paraId="7D516C80" w14:textId="77777777" w:rsidR="00D6038F" w:rsidRPr="00A1764C" w:rsidRDefault="00D6038F" w:rsidP="001200E8">
      <w:pPr>
        <w:pStyle w:val="APAReferences"/>
        <w:spacing w:line="480" w:lineRule="auto"/>
      </w:pPr>
      <w:r w:rsidRPr="00A1764C">
        <w:t>Almubarak, S. (2017)</w:t>
      </w:r>
      <w:r>
        <w:t>.</w:t>
      </w:r>
      <w:r w:rsidRPr="00A1764C">
        <w:t xml:space="preserve"> Factors Influencing the Adoption of Cloud Computing by Saudi University Hospitals. </w:t>
      </w:r>
      <w:r w:rsidRPr="00A1764C">
        <w:rPr>
          <w:i/>
        </w:rPr>
        <w:t>International Journal of Advanced Computer Science and Applications</w:t>
      </w:r>
      <w:r w:rsidRPr="00A1764C">
        <w:t xml:space="preserve">, </w:t>
      </w:r>
      <w:r w:rsidRPr="00FB5FF8">
        <w:rPr>
          <w:i/>
        </w:rPr>
        <w:t>8(1),</w:t>
      </w:r>
      <w:r>
        <w:t xml:space="preserve"> </w:t>
      </w:r>
      <w:r w:rsidRPr="00A1764C">
        <w:t>41-48.</w:t>
      </w:r>
    </w:p>
    <w:p w14:paraId="7D516C81" w14:textId="035CBB6F" w:rsidR="00841C9A" w:rsidRPr="00FC6087" w:rsidRDefault="00841C9A" w:rsidP="001200E8">
      <w:pPr>
        <w:pStyle w:val="APAReferences"/>
        <w:spacing w:line="480" w:lineRule="auto"/>
      </w:pPr>
      <w:r w:rsidRPr="00FC6087">
        <w:t>Alquraini, H., Alheshem, A., Shah, M.,</w:t>
      </w:r>
      <w:r w:rsidR="005E7A62">
        <w:t xml:space="preserve"> &amp; </w:t>
      </w:r>
      <w:r w:rsidRPr="00FC6087">
        <w:t xml:space="preserve">Chowdhury, R. (2007) Factors influencing nurses’ attitudes towards the use of computerized health information systems in Kuwaiti hospitals. </w:t>
      </w:r>
      <w:r w:rsidRPr="00FC6087">
        <w:rPr>
          <w:i/>
        </w:rPr>
        <w:t>Journal of Advanced Nursing, 57</w:t>
      </w:r>
      <w:r w:rsidRPr="00FC6087">
        <w:t>, 375-381.</w:t>
      </w:r>
    </w:p>
    <w:p w14:paraId="7D516C82" w14:textId="0C91637B" w:rsidR="00841C9A" w:rsidRPr="00FC6087" w:rsidRDefault="00841C9A" w:rsidP="001200E8">
      <w:pPr>
        <w:pStyle w:val="APAReferences"/>
        <w:spacing w:line="480" w:lineRule="auto"/>
      </w:pPr>
      <w:r w:rsidRPr="00FC6087">
        <w:t>Alsadan, M., Metwally, A., Ali, A.</w:t>
      </w:r>
      <w:r w:rsidR="005E7A62">
        <w:t xml:space="preserve"> &amp; </w:t>
      </w:r>
      <w:r w:rsidRPr="00FC6087">
        <w:t xml:space="preserve">Jamal, A. (2015). Health information technology (HIT) in Arab countries: A systematic review study on HIT progress. </w:t>
      </w:r>
      <w:r w:rsidRPr="00FC6087">
        <w:rPr>
          <w:i/>
          <w:iCs/>
        </w:rPr>
        <w:t>Journal of Health Informatics in Developing Countries, 9</w:t>
      </w:r>
      <w:r w:rsidRPr="00FC6087">
        <w:t xml:space="preserve">, 32-49. </w:t>
      </w:r>
    </w:p>
    <w:p w14:paraId="7D516C83" w14:textId="15D7CBF7" w:rsidR="00841C9A" w:rsidRPr="00FC6087" w:rsidRDefault="00841C9A" w:rsidP="001200E8">
      <w:pPr>
        <w:pStyle w:val="APAReferences"/>
        <w:spacing w:line="480" w:lineRule="auto"/>
      </w:pPr>
      <w:r w:rsidRPr="00FC6087">
        <w:t>Altuwaijri M., Bahanshal A.,</w:t>
      </w:r>
      <w:r w:rsidR="005E7A62">
        <w:t xml:space="preserve"> &amp; </w:t>
      </w:r>
      <w:r w:rsidRPr="00FC6087">
        <w:t xml:space="preserve">Almehaid M. (2011). Implementation of computerized physician order entry in National Guard hospitals: Assessment of critical success factors. </w:t>
      </w:r>
      <w:r w:rsidRPr="00FC6087">
        <w:rPr>
          <w:i/>
          <w:iCs/>
        </w:rPr>
        <w:t>Journal of Family and Community Medicine, 18</w:t>
      </w:r>
      <w:r w:rsidRPr="00FC6087">
        <w:t xml:space="preserve">, 143-151. </w:t>
      </w:r>
    </w:p>
    <w:p w14:paraId="7D516C84" w14:textId="3B8561B2" w:rsidR="00841C9A" w:rsidRPr="00FC6087" w:rsidRDefault="007F45D6" w:rsidP="001200E8">
      <w:pPr>
        <w:pStyle w:val="APAReferences"/>
        <w:spacing w:line="480" w:lineRule="auto"/>
      </w:pPr>
      <w:r w:rsidRPr="00FC6087">
        <w:t>Andersen, P. D.,</w:t>
      </w:r>
      <w:r w:rsidR="005E7A62">
        <w:t xml:space="preserve"> &amp; </w:t>
      </w:r>
      <w:r w:rsidR="00841C9A" w:rsidRPr="00FC6087">
        <w:t>Rasmussen, B. (2014)</w:t>
      </w:r>
      <w:r w:rsidR="00F26B36" w:rsidRPr="00FC6087">
        <w:t xml:space="preserve">. </w:t>
      </w:r>
      <w:r w:rsidR="00841C9A" w:rsidRPr="00790070">
        <w:rPr>
          <w:i/>
        </w:rPr>
        <w:t>Introduction to foresight and foresight processes in practice: Note for the PhD course Strategic Foresight in Engineering</w:t>
      </w:r>
      <w:r w:rsidR="00F26B36" w:rsidRPr="00FC6087">
        <w:t>.</w:t>
      </w:r>
      <w:r w:rsidR="00F06847">
        <w:t xml:space="preserve"> </w:t>
      </w:r>
      <w:r w:rsidR="00803218" w:rsidRPr="00FC6087">
        <w:t xml:space="preserve">Copenhagen: </w:t>
      </w:r>
      <w:r w:rsidR="00841C9A" w:rsidRPr="00FC6087">
        <w:t>Department of Management Engineering, Technical University of Denmark.</w:t>
      </w:r>
      <w:r w:rsidR="00E70B5F" w:rsidRPr="00FC6087">
        <w:t xml:space="preserve"> Retrieved from http://orbit.dtu.dk/files/96941116/Introduction_to_foresight.pdf</w:t>
      </w:r>
    </w:p>
    <w:p w14:paraId="7D516C85" w14:textId="77777777" w:rsidR="007F45D6" w:rsidRPr="00FC6087" w:rsidRDefault="00841C9A" w:rsidP="001200E8">
      <w:pPr>
        <w:pStyle w:val="APAReferences"/>
        <w:spacing w:line="480" w:lineRule="auto"/>
      </w:pPr>
      <w:r w:rsidRPr="00FC6087">
        <w:t xml:space="preserve">Andersen, P. </w:t>
      </w:r>
      <w:r w:rsidR="00D6038F" w:rsidRPr="00FC6087">
        <w:t xml:space="preserve">D., </w:t>
      </w:r>
      <w:r w:rsidR="007F45D6" w:rsidRPr="00FC6087">
        <w:t xml:space="preserve">Borup, M., Borch, K., Kaivo-oja, J., Eerola, A., Finnbjörnsson, T., </w:t>
      </w:r>
      <w:r w:rsidR="00B768E2" w:rsidRPr="00FC6087">
        <w:t>et al.</w:t>
      </w:r>
      <w:r w:rsidR="007F45D6" w:rsidRPr="00FC6087">
        <w:t xml:space="preserve"> (2007). </w:t>
      </w:r>
      <w:r w:rsidR="007F45D6" w:rsidRPr="00790070">
        <w:rPr>
          <w:i/>
        </w:rPr>
        <w:t xml:space="preserve">Foresight in Nordic </w:t>
      </w:r>
      <w:r w:rsidR="007F45D6" w:rsidRPr="00FC6087">
        <w:rPr>
          <w:i/>
        </w:rPr>
        <w:t>i</w:t>
      </w:r>
      <w:r w:rsidR="007F45D6" w:rsidRPr="00790070">
        <w:rPr>
          <w:i/>
        </w:rPr>
        <w:t xml:space="preserve">nnovation </w:t>
      </w:r>
      <w:r w:rsidR="007F45D6" w:rsidRPr="00FC6087">
        <w:rPr>
          <w:i/>
        </w:rPr>
        <w:t>s</w:t>
      </w:r>
      <w:r w:rsidR="007F45D6" w:rsidRPr="00790070">
        <w:rPr>
          <w:i/>
        </w:rPr>
        <w:t>ystems</w:t>
      </w:r>
      <w:r w:rsidR="007F45D6" w:rsidRPr="00FC6087">
        <w:t xml:space="preserve">. </w:t>
      </w:r>
      <w:r w:rsidR="00ED05BB" w:rsidRPr="00FC6087">
        <w:t xml:space="preserve">Oslo: </w:t>
      </w:r>
      <w:r w:rsidR="007F45D6" w:rsidRPr="00FC6087">
        <w:t>Nordic Innovation Centre.</w:t>
      </w:r>
    </w:p>
    <w:p w14:paraId="7D516C86" w14:textId="28CB07A6" w:rsidR="00D6038F" w:rsidRDefault="00D6038F" w:rsidP="001200E8">
      <w:pPr>
        <w:pStyle w:val="APAReferences"/>
        <w:spacing w:line="480" w:lineRule="auto"/>
      </w:pPr>
      <w:r>
        <w:t>Angst, C.</w:t>
      </w:r>
      <w:r w:rsidR="00A750F4">
        <w:t xml:space="preserve"> </w:t>
      </w:r>
      <w:r>
        <w:t>M., Agarwal, R., Sambamurthy, V.</w:t>
      </w:r>
      <w:r w:rsidR="005E7A62">
        <w:t xml:space="preserve"> &amp; </w:t>
      </w:r>
      <w:r>
        <w:t xml:space="preserve">Kelley, K. (2010). Social contagion and information technology diffusion: the adoption of electronic medical records in U.S. hospitals. </w:t>
      </w:r>
      <w:r w:rsidRPr="009659E2">
        <w:rPr>
          <w:i/>
        </w:rPr>
        <w:t>Management Science,</w:t>
      </w:r>
      <w:r>
        <w:t xml:space="preserve"> 56(8), 1219–1241.</w:t>
      </w:r>
    </w:p>
    <w:p w14:paraId="7D516C87" w14:textId="7D8EF1A0" w:rsidR="00841C9A" w:rsidRPr="00FC6087" w:rsidRDefault="00841C9A" w:rsidP="001200E8">
      <w:pPr>
        <w:pStyle w:val="APAReferences"/>
        <w:spacing w:line="480" w:lineRule="auto"/>
      </w:pPr>
      <w:r w:rsidRPr="00FC6087">
        <w:t>Anwar, F., Shamim, A.,</w:t>
      </w:r>
      <w:r w:rsidR="005E7A62">
        <w:t xml:space="preserve"> &amp; </w:t>
      </w:r>
      <w:r w:rsidRPr="00FC6087">
        <w:t xml:space="preserve">Khan S. (2012). Barriers in adoption of health information technology in developing societies. </w:t>
      </w:r>
      <w:r w:rsidRPr="00FC6087">
        <w:rPr>
          <w:i/>
          <w:iCs/>
        </w:rPr>
        <w:t>International Journal of Advanced Computer Science, 2</w:t>
      </w:r>
      <w:r w:rsidRPr="00FC6087">
        <w:t xml:space="preserve">. </w:t>
      </w:r>
      <w:r w:rsidR="00D6038F" w:rsidRPr="00FC6087">
        <w:t xml:space="preserve">Retrieved from </w:t>
      </w:r>
      <w:hyperlink r:id="rId64" w:history="1">
        <w:r w:rsidR="00CC016E" w:rsidRPr="00854859">
          <w:rPr>
            <w:rStyle w:val="Hyperlink"/>
          </w:rPr>
          <w:t>http://dx.doi.org/10.14569/IJACSA.2011.020808</w:t>
        </w:r>
      </w:hyperlink>
    </w:p>
    <w:p w14:paraId="7D516C88" w14:textId="48B34FD1" w:rsidR="00D6038F" w:rsidRPr="00CC016E" w:rsidRDefault="00D6038F" w:rsidP="001200E8">
      <w:pPr>
        <w:pStyle w:val="APAReferences"/>
        <w:spacing w:line="480" w:lineRule="auto"/>
      </w:pPr>
      <w:r w:rsidRPr="00A1764C">
        <w:rPr>
          <w:shd w:val="clear" w:color="auto" w:fill="FFFFFF"/>
        </w:rPr>
        <w:t xml:space="preserve">Aswad, A. (2015). </w:t>
      </w:r>
      <w:r w:rsidRPr="00C0447D">
        <w:rPr>
          <w:i/>
          <w:shd w:val="clear" w:color="auto" w:fill="FFFFFF"/>
        </w:rPr>
        <w:t xml:space="preserve">Issues </w:t>
      </w:r>
      <w:r w:rsidR="006D7C41">
        <w:rPr>
          <w:i/>
          <w:shd w:val="clear" w:color="auto" w:fill="FFFFFF"/>
        </w:rPr>
        <w:t>c</w:t>
      </w:r>
      <w:r w:rsidRPr="00C0447D">
        <w:rPr>
          <w:i/>
          <w:shd w:val="clear" w:color="auto" w:fill="FFFFFF"/>
        </w:rPr>
        <w:t xml:space="preserve">oncerning the </w:t>
      </w:r>
      <w:r w:rsidR="006D7C41">
        <w:rPr>
          <w:i/>
          <w:shd w:val="clear" w:color="auto" w:fill="FFFFFF"/>
        </w:rPr>
        <w:t>a</w:t>
      </w:r>
      <w:r w:rsidRPr="00C0447D">
        <w:rPr>
          <w:i/>
          <w:shd w:val="clear" w:color="auto" w:fill="FFFFFF"/>
        </w:rPr>
        <w:t xml:space="preserve">doption and </w:t>
      </w:r>
      <w:r w:rsidR="006D7C41">
        <w:rPr>
          <w:i/>
          <w:shd w:val="clear" w:color="auto" w:fill="FFFFFF"/>
        </w:rPr>
        <w:t>u</w:t>
      </w:r>
      <w:r w:rsidRPr="00C0447D">
        <w:rPr>
          <w:i/>
          <w:shd w:val="clear" w:color="auto" w:fill="FFFFFF"/>
        </w:rPr>
        <w:t xml:space="preserve">sage of </w:t>
      </w:r>
      <w:r w:rsidR="006D7C41" w:rsidRPr="00A750F4">
        <w:rPr>
          <w:i/>
          <w:shd w:val="clear" w:color="auto" w:fill="FFFFFF"/>
        </w:rPr>
        <w:t xml:space="preserve">electronic medical records in </w:t>
      </w:r>
      <w:r w:rsidRPr="00C0447D">
        <w:rPr>
          <w:i/>
          <w:shd w:val="clear" w:color="auto" w:fill="FFFFFF"/>
        </w:rPr>
        <w:t xml:space="preserve">Ministry of Health </w:t>
      </w:r>
      <w:r w:rsidR="006D7C41">
        <w:rPr>
          <w:i/>
          <w:shd w:val="clear" w:color="auto" w:fill="FFFFFF"/>
        </w:rPr>
        <w:t>h</w:t>
      </w:r>
      <w:r w:rsidRPr="00C0447D">
        <w:rPr>
          <w:i/>
          <w:shd w:val="clear" w:color="auto" w:fill="FFFFFF"/>
        </w:rPr>
        <w:t>ospitals in Saudi Arabia</w:t>
      </w:r>
      <w:r w:rsidRPr="00A1764C">
        <w:rPr>
          <w:shd w:val="clear" w:color="auto" w:fill="FFFFFF"/>
        </w:rPr>
        <w:t xml:space="preserve">. </w:t>
      </w:r>
      <w:r w:rsidRPr="00FB5FF8">
        <w:rPr>
          <w:shd w:val="clear" w:color="auto" w:fill="FFFFFF"/>
        </w:rPr>
        <w:t>PhD thesis, University of Sheffield</w:t>
      </w:r>
      <w:r w:rsidR="006D7C41">
        <w:rPr>
          <w:shd w:val="clear" w:color="auto" w:fill="FFFFFF"/>
        </w:rPr>
        <w:t>, UK</w:t>
      </w:r>
      <w:r w:rsidRPr="00FB5FF8">
        <w:rPr>
          <w:shd w:val="clear" w:color="auto" w:fill="FFFFFF"/>
        </w:rPr>
        <w:t>. Retrieved from</w:t>
      </w:r>
      <w:r>
        <w:rPr>
          <w:rFonts w:ascii="Helvetica" w:hAnsi="Helvetica"/>
          <w:color w:val="000000"/>
          <w:sz w:val="17"/>
          <w:szCs w:val="17"/>
          <w:shd w:val="clear" w:color="auto" w:fill="FFFFFF"/>
        </w:rPr>
        <w:t xml:space="preserve"> </w:t>
      </w:r>
      <w:hyperlink r:id="rId65" w:history="1">
        <w:r w:rsidRPr="00FB5FF8">
          <w:rPr>
            <w:shd w:val="clear" w:color="auto" w:fill="FFFFFF"/>
          </w:rPr>
          <w:t>http://etheses.whiterose.ac.uk/9632/</w:t>
        </w:r>
      </w:hyperlink>
    </w:p>
    <w:p w14:paraId="7D516C89" w14:textId="77777777" w:rsidR="00841C9A" w:rsidRPr="00FC6087" w:rsidRDefault="00841C9A" w:rsidP="001200E8">
      <w:pPr>
        <w:pStyle w:val="APAReferences"/>
        <w:spacing w:line="480" w:lineRule="auto"/>
      </w:pPr>
      <w:r w:rsidRPr="00FC6087">
        <w:t xml:space="preserve">Atieno, O. (2009). An analysis of the strengths and limitation of qualitative and quantitative research paradigms. </w:t>
      </w:r>
      <w:r w:rsidRPr="00FC6087">
        <w:rPr>
          <w:i/>
          <w:iCs/>
        </w:rPr>
        <w:t>Problems of Education in the 21</w:t>
      </w:r>
      <w:r w:rsidR="00843ED0">
        <w:rPr>
          <w:i/>
          <w:iCs/>
        </w:rPr>
        <w:t>s</w:t>
      </w:r>
      <w:r w:rsidRPr="00FC6087">
        <w:rPr>
          <w:i/>
          <w:iCs/>
        </w:rPr>
        <w:t>t Century, 13</w:t>
      </w:r>
      <w:r w:rsidRPr="00FC6087">
        <w:t>, 13-18.</w:t>
      </w:r>
    </w:p>
    <w:p w14:paraId="7D516C8A" w14:textId="45F9FAC9" w:rsidR="00841C9A" w:rsidRPr="00FC6087" w:rsidRDefault="00841C9A" w:rsidP="001200E8">
      <w:pPr>
        <w:pStyle w:val="APAReferences"/>
        <w:spacing w:line="480" w:lineRule="auto"/>
      </w:pPr>
      <w:r w:rsidRPr="00FC6087">
        <w:t>Avgar, A. C., Litwin, A. S.,</w:t>
      </w:r>
      <w:r w:rsidR="005E7A62">
        <w:t xml:space="preserve"> &amp; </w:t>
      </w:r>
      <w:r w:rsidRPr="00FC6087">
        <w:t xml:space="preserve">Pronovost, P. J. (2012). Drivers and barriers in health IT adoption: A proposed framework. </w:t>
      </w:r>
      <w:r w:rsidRPr="00FC6087">
        <w:rPr>
          <w:i/>
          <w:iCs/>
        </w:rPr>
        <w:t>Applied Clinical Informatics,</w:t>
      </w:r>
      <w:r w:rsidR="00F06847">
        <w:rPr>
          <w:i/>
          <w:iCs/>
        </w:rPr>
        <w:t xml:space="preserve"> </w:t>
      </w:r>
      <w:r w:rsidRPr="00FC6087">
        <w:rPr>
          <w:i/>
          <w:iCs/>
        </w:rPr>
        <w:t>3</w:t>
      </w:r>
      <w:r w:rsidRPr="00FC6087">
        <w:t>, 488-500.</w:t>
      </w:r>
    </w:p>
    <w:p w14:paraId="7D516C8B" w14:textId="21C1CF6E" w:rsidR="00841C9A" w:rsidRPr="00FC6087" w:rsidRDefault="00841C9A" w:rsidP="001200E8">
      <w:pPr>
        <w:pStyle w:val="APAReferences"/>
        <w:spacing w:line="480" w:lineRule="auto"/>
      </w:pPr>
      <w:r w:rsidRPr="00FC6087">
        <w:t>Ayatollahi, H., Langarizadeh, M.,</w:t>
      </w:r>
      <w:r w:rsidR="005E7A62">
        <w:t xml:space="preserve"> &amp; </w:t>
      </w:r>
      <w:r w:rsidRPr="00FC6087">
        <w:t xml:space="preserve">Chenani, H. (2016). Confirmation of expectations and satisfaction with hospital information systems: A nursing perspective. </w:t>
      </w:r>
      <w:r w:rsidRPr="00FC6087">
        <w:rPr>
          <w:i/>
          <w:iCs/>
        </w:rPr>
        <w:t>Healthcare Informatics Research, 22</w:t>
      </w:r>
      <w:r w:rsidRPr="00FC6087">
        <w:t>, 326-332.</w:t>
      </w:r>
    </w:p>
    <w:p w14:paraId="7D516C8C" w14:textId="7FFFE086" w:rsidR="00841C9A" w:rsidRPr="00FC6087" w:rsidRDefault="00841C9A" w:rsidP="001200E8">
      <w:pPr>
        <w:pStyle w:val="APAReferences"/>
        <w:spacing w:line="480" w:lineRule="auto"/>
      </w:pPr>
      <w:r w:rsidRPr="00FC6087">
        <w:t>Bagozzi, R. P.,</w:t>
      </w:r>
      <w:r w:rsidR="005E7A62">
        <w:t xml:space="preserve"> &amp; </w:t>
      </w:r>
      <w:r w:rsidRPr="00FC6087">
        <w:t xml:space="preserve">Yi, Y. (1991). Multitrait–multimethod matrices in consumer research. </w:t>
      </w:r>
      <w:r w:rsidRPr="00790070">
        <w:rPr>
          <w:i/>
        </w:rPr>
        <w:t>Journal of Consumer Research, 17</w:t>
      </w:r>
      <w:r w:rsidRPr="00FC6087">
        <w:t>, 426</w:t>
      </w:r>
      <w:r w:rsidR="00201D0F" w:rsidRPr="00FC6087">
        <w:t>-</w:t>
      </w:r>
      <w:r w:rsidRPr="00FC6087">
        <w:t>439.</w:t>
      </w:r>
    </w:p>
    <w:p w14:paraId="7D516C8D" w14:textId="1A41B339" w:rsidR="00841C9A" w:rsidRPr="00FC6087" w:rsidRDefault="00841C9A" w:rsidP="001200E8">
      <w:pPr>
        <w:pStyle w:val="APAReferences"/>
        <w:spacing w:line="480" w:lineRule="auto"/>
      </w:pPr>
      <w:r w:rsidRPr="00FC6087">
        <w:t>Balta, D., Greger, V., Wolf, P.,</w:t>
      </w:r>
      <w:r w:rsidR="005E7A62">
        <w:t xml:space="preserve"> &amp; </w:t>
      </w:r>
      <w:r w:rsidRPr="00FC6087">
        <w:t xml:space="preserve">Krcmar, H. (2015). E-government stakeholder analysis and management based on stakeholder interactions and resource dependencies. </w:t>
      </w:r>
      <w:r w:rsidR="00AA177D" w:rsidRPr="00C0447D">
        <w:rPr>
          <w:i/>
        </w:rPr>
        <w:t>2015 48th Hawaii International Conference on System Sciences</w:t>
      </w:r>
      <w:r w:rsidRPr="00FC6087">
        <w:t>.</w:t>
      </w:r>
      <w:r w:rsidR="00F73C3F">
        <w:t xml:space="preserve"> Retrieved from </w:t>
      </w:r>
      <w:r w:rsidR="00F73C3F" w:rsidRPr="00F73C3F">
        <w:t>https://ieeexplore.ieee.org/document/7070109</w:t>
      </w:r>
    </w:p>
    <w:p w14:paraId="7D516C8E" w14:textId="46DE152D" w:rsidR="00841C9A" w:rsidRPr="00FC6087" w:rsidRDefault="00841C9A" w:rsidP="001200E8">
      <w:pPr>
        <w:pStyle w:val="APAReferences"/>
        <w:spacing w:line="480" w:lineRule="auto"/>
      </w:pPr>
      <w:r w:rsidRPr="00FC6087">
        <w:t>Bani-Issa, W., Yateem, N. A., Almakhzoomy, I.,</w:t>
      </w:r>
      <w:r w:rsidR="005E7A62">
        <w:t xml:space="preserve"> &amp; </w:t>
      </w:r>
      <w:r w:rsidRPr="00FC6087">
        <w:t xml:space="preserve">Ibrahim, A. (2016). Satisfaction of health-care providers with electronic health records and perceived barriers to its implementation in the United Arab </w:t>
      </w:r>
      <w:r w:rsidR="00A750F4" w:rsidRPr="00FC6087">
        <w:t>Emirates.</w:t>
      </w:r>
      <w:r w:rsidR="00A750F4" w:rsidRPr="00FC6087">
        <w:rPr>
          <w:i/>
        </w:rPr>
        <w:t xml:space="preserve"> International</w:t>
      </w:r>
      <w:r w:rsidRPr="00FC6087">
        <w:rPr>
          <w:i/>
        </w:rPr>
        <w:t xml:space="preserve"> Journal of Nursing Practice, 4</w:t>
      </w:r>
      <w:r w:rsidRPr="00FC6087">
        <w:t>, 408-416.</w:t>
      </w:r>
    </w:p>
    <w:p w14:paraId="7D516C8F" w14:textId="77777777" w:rsidR="00841C9A" w:rsidRPr="00FC6087" w:rsidRDefault="00841C9A" w:rsidP="001200E8">
      <w:pPr>
        <w:pStyle w:val="APAReferences"/>
        <w:spacing w:line="480" w:lineRule="auto"/>
      </w:pPr>
      <w:r w:rsidRPr="00FC6087">
        <w:t>Barzegar, R. (2012). From electronic learning to mobile learning: Theoretical principles. </w:t>
      </w:r>
      <w:r w:rsidRPr="00FC6087">
        <w:rPr>
          <w:i/>
          <w:iCs/>
        </w:rPr>
        <w:t>Interdisciplinary Journal of Virtual Learning in Medical Sciences, 3</w:t>
      </w:r>
      <w:r w:rsidRPr="00FC6087">
        <w:t>, 35-41.</w:t>
      </w:r>
    </w:p>
    <w:p w14:paraId="7D516C90" w14:textId="3C938BDA" w:rsidR="00841C9A" w:rsidRPr="00FC6087" w:rsidRDefault="00841C9A" w:rsidP="001200E8">
      <w:pPr>
        <w:pStyle w:val="APAReferences"/>
        <w:spacing w:line="480" w:lineRule="auto"/>
      </w:pPr>
      <w:r w:rsidRPr="00FC6087">
        <w:t>Bates, D.,</w:t>
      </w:r>
      <w:r w:rsidR="005E7A62">
        <w:t xml:space="preserve"> &amp; </w:t>
      </w:r>
      <w:r w:rsidRPr="00FC6087">
        <w:t xml:space="preserve">Gawande, A. (2003). Improving safety with information technology. </w:t>
      </w:r>
      <w:r w:rsidRPr="00FC6087">
        <w:rPr>
          <w:i/>
          <w:iCs/>
        </w:rPr>
        <w:t>The New England Journal of Medicine, 348</w:t>
      </w:r>
      <w:r w:rsidRPr="00FC6087">
        <w:t>, 2526-2534.</w:t>
      </w:r>
    </w:p>
    <w:p w14:paraId="7D516C91" w14:textId="6D06735F" w:rsidR="00841C9A" w:rsidRPr="00FC6087" w:rsidRDefault="00841C9A" w:rsidP="001200E8">
      <w:pPr>
        <w:pStyle w:val="APAReferences"/>
        <w:spacing w:line="480" w:lineRule="auto"/>
      </w:pPr>
      <w:r w:rsidRPr="00FC6087">
        <w:t>Baumgartner H,</w:t>
      </w:r>
      <w:r w:rsidR="005E7A62">
        <w:t xml:space="preserve"> &amp; </w:t>
      </w:r>
      <w:r w:rsidRPr="00FC6087">
        <w:t>Steenkamp</w:t>
      </w:r>
      <w:r w:rsidR="009E75F6" w:rsidRPr="00FC6087">
        <w:t>,</w:t>
      </w:r>
      <w:r w:rsidRPr="00FC6087">
        <w:t xml:space="preserve"> J</w:t>
      </w:r>
      <w:r w:rsidR="009E75F6" w:rsidRPr="00FC6087">
        <w:t xml:space="preserve">. </w:t>
      </w:r>
      <w:r w:rsidRPr="00FC6087">
        <w:t>B</w:t>
      </w:r>
      <w:r w:rsidR="009E75F6" w:rsidRPr="00FC6087">
        <w:t xml:space="preserve">. </w:t>
      </w:r>
      <w:r w:rsidRPr="00FC6087">
        <w:t>E</w:t>
      </w:r>
      <w:r w:rsidR="009E75F6" w:rsidRPr="00FC6087">
        <w:t xml:space="preserve">. </w:t>
      </w:r>
      <w:r w:rsidRPr="00FC6087">
        <w:t xml:space="preserve">M. </w:t>
      </w:r>
      <w:r w:rsidR="009E75F6" w:rsidRPr="00FC6087">
        <w:t>(</w:t>
      </w:r>
      <w:r w:rsidRPr="00FC6087">
        <w:t>2001</w:t>
      </w:r>
      <w:r w:rsidR="009E75F6" w:rsidRPr="00FC6087">
        <w:t>)</w:t>
      </w:r>
      <w:r w:rsidRPr="00FC6087">
        <w:t xml:space="preserve">. Response styles in marketing research: a cross-national investigation. </w:t>
      </w:r>
      <w:r w:rsidRPr="00790070">
        <w:rPr>
          <w:i/>
        </w:rPr>
        <w:t>Journal of Marketing Research, 38</w:t>
      </w:r>
      <w:r w:rsidRPr="00FC6087">
        <w:t>,143–56</w:t>
      </w:r>
    </w:p>
    <w:p w14:paraId="7D516C92" w14:textId="6AD26C02" w:rsidR="00D6038F" w:rsidRPr="00A1764C" w:rsidRDefault="00D6038F" w:rsidP="001200E8">
      <w:pPr>
        <w:pStyle w:val="APAReferences"/>
        <w:spacing w:line="480" w:lineRule="auto"/>
      </w:pPr>
      <w:r>
        <w:t>Bawack, R.</w:t>
      </w:r>
      <w:r w:rsidR="005E7A62">
        <w:t xml:space="preserve"> &amp; </w:t>
      </w:r>
      <w:r>
        <w:t>Kamdjoug, J. (</w:t>
      </w:r>
      <w:r w:rsidRPr="00A1764C">
        <w:t>2018</w:t>
      </w:r>
      <w:r>
        <w:t>)</w:t>
      </w:r>
      <w:r w:rsidRPr="00A1764C">
        <w:t>. Adequacy of UTAUT in clinician adoption of health information systems in developing countries: The case of Cameroon</w:t>
      </w:r>
      <w:r w:rsidRPr="00A1764C">
        <w:rPr>
          <w:i/>
        </w:rPr>
        <w:t>. International Journal of Medical Informatics,</w:t>
      </w:r>
      <w:r w:rsidRPr="00A1764C">
        <w:t xml:space="preserve"> </w:t>
      </w:r>
      <w:r w:rsidRPr="00EE1C3F">
        <w:rPr>
          <w:i/>
        </w:rPr>
        <w:t>109,</w:t>
      </w:r>
      <w:r w:rsidRPr="00A1764C">
        <w:t xml:space="preserve"> 15-22.</w:t>
      </w:r>
    </w:p>
    <w:p w14:paraId="7D516C93" w14:textId="31ECEC34" w:rsidR="00841C9A" w:rsidRPr="00FC6087" w:rsidRDefault="00841C9A" w:rsidP="001200E8">
      <w:pPr>
        <w:pStyle w:val="APAReferences"/>
        <w:spacing w:line="480" w:lineRule="auto"/>
      </w:pPr>
      <w:r w:rsidRPr="00FC6087">
        <w:t>Berger, G. (1959)</w:t>
      </w:r>
      <w:r w:rsidR="00B768E2" w:rsidRPr="00FC6087">
        <w:t xml:space="preserve">. </w:t>
      </w:r>
      <w:r w:rsidRPr="00FC6087">
        <w:t>L</w:t>
      </w:r>
      <w:r w:rsidR="00B768E2" w:rsidRPr="00FC6087">
        <w:t>’</w:t>
      </w:r>
      <w:r w:rsidRPr="00FC6087">
        <w:t xml:space="preserve">attitude prospective. In </w:t>
      </w:r>
      <w:r w:rsidR="00E728CA" w:rsidRPr="00FC6087">
        <w:t xml:space="preserve">G. </w:t>
      </w:r>
      <w:r w:rsidRPr="00FC6087">
        <w:t xml:space="preserve">Berger, </w:t>
      </w:r>
      <w:r w:rsidR="00E728CA" w:rsidRPr="00FC6087">
        <w:t>P</w:t>
      </w:r>
      <w:r w:rsidRPr="00FC6087">
        <w:t>. Massé,</w:t>
      </w:r>
      <w:r w:rsidR="005E7A62">
        <w:t xml:space="preserve"> &amp; </w:t>
      </w:r>
      <w:r w:rsidR="00E728CA" w:rsidRPr="00FC6087">
        <w:t>J</w:t>
      </w:r>
      <w:r w:rsidRPr="00FC6087">
        <w:t xml:space="preserve">. de Bourbon-Busset (Eds.), </w:t>
      </w:r>
      <w:r w:rsidRPr="00790070">
        <w:rPr>
          <w:i/>
        </w:rPr>
        <w:t xml:space="preserve">De la </w:t>
      </w:r>
      <w:r w:rsidR="00E728CA" w:rsidRPr="00FC6087">
        <w:rPr>
          <w:i/>
        </w:rPr>
        <w:t>p</w:t>
      </w:r>
      <w:r w:rsidRPr="00790070">
        <w:rPr>
          <w:i/>
        </w:rPr>
        <w:t>rospective</w:t>
      </w:r>
      <w:r w:rsidR="00993911" w:rsidRPr="00790070">
        <w:t xml:space="preserve"> (</w:t>
      </w:r>
      <w:r w:rsidR="00993911" w:rsidRPr="00FC6087">
        <w:t>pp. 16-32</w:t>
      </w:r>
      <w:r w:rsidR="00993911" w:rsidRPr="00790070">
        <w:t>)</w:t>
      </w:r>
      <w:r w:rsidRPr="00FC6087">
        <w:t xml:space="preserve">. </w:t>
      </w:r>
      <w:r w:rsidR="00E728CA" w:rsidRPr="00FC6087">
        <w:t xml:space="preserve">Paris: </w:t>
      </w:r>
      <w:r w:rsidRPr="00FC6087">
        <w:t>L</w:t>
      </w:r>
      <w:r w:rsidR="00E728CA" w:rsidRPr="00FC6087">
        <w:t>’</w:t>
      </w:r>
      <w:r w:rsidRPr="00FC6087">
        <w:t>Harmattan.</w:t>
      </w:r>
    </w:p>
    <w:p w14:paraId="7D516C94" w14:textId="0405ED8B" w:rsidR="00CC016E" w:rsidRDefault="00D6038F" w:rsidP="001200E8">
      <w:pPr>
        <w:pStyle w:val="APAReferences"/>
        <w:spacing w:line="480" w:lineRule="auto"/>
      </w:pPr>
      <w:r>
        <w:t>Bhattacherjee, A.,</w:t>
      </w:r>
      <w:r w:rsidR="005E7A62">
        <w:t xml:space="preserve"> &amp; </w:t>
      </w:r>
      <w:r>
        <w:t>Hikmet, N. (</w:t>
      </w:r>
      <w:r w:rsidRPr="00A1764C">
        <w:t>2008</w:t>
      </w:r>
      <w:r>
        <w:t>)</w:t>
      </w:r>
      <w:r w:rsidRPr="00A1764C">
        <w:t xml:space="preserve">. Re-conceptualizing organizational support and its effect on information technology usage: Evidence from the health care sector. </w:t>
      </w:r>
      <w:r w:rsidRPr="00A1764C">
        <w:rPr>
          <w:i/>
        </w:rPr>
        <w:t>The Journal of Computer and System Sciences</w:t>
      </w:r>
      <w:r w:rsidRPr="00A1764C">
        <w:t>, 48.</w:t>
      </w:r>
    </w:p>
    <w:p w14:paraId="7D516C95" w14:textId="69632DBD" w:rsidR="00D6038F" w:rsidRPr="00A1764C" w:rsidRDefault="00D6038F" w:rsidP="001200E8">
      <w:pPr>
        <w:pStyle w:val="APAReferences"/>
        <w:spacing w:line="480" w:lineRule="auto"/>
      </w:pPr>
      <w:r w:rsidRPr="00A1764C">
        <w:rPr>
          <w:shd w:val="clear" w:color="auto" w:fill="FFFFFF"/>
        </w:rPr>
        <w:t>Bjørn, P., Fitzgerald, B.,</w:t>
      </w:r>
      <w:r w:rsidR="005E7A62">
        <w:rPr>
          <w:shd w:val="clear" w:color="auto" w:fill="FFFFFF"/>
        </w:rPr>
        <w:t xml:space="preserve"> &amp; </w:t>
      </w:r>
      <w:r w:rsidRPr="00A1764C">
        <w:rPr>
          <w:shd w:val="clear" w:color="auto" w:fill="FFFFFF"/>
        </w:rPr>
        <w:t>Scopula, A. (2003).</w:t>
      </w:r>
      <w:r w:rsidR="00642F44">
        <w:rPr>
          <w:shd w:val="clear" w:color="auto" w:fill="FFFFFF"/>
        </w:rPr>
        <w:t xml:space="preserve"> </w:t>
      </w:r>
      <w:r w:rsidRPr="00A1764C">
        <w:rPr>
          <w:shd w:val="clear" w:color="auto" w:fill="FFFFFF"/>
        </w:rPr>
        <w:t xml:space="preserve">The role of social awareness in technology acceptance of groupware in virtual learning teams. </w:t>
      </w:r>
      <w:r w:rsidR="004E11AE" w:rsidRPr="00C0447D">
        <w:rPr>
          <w:i/>
          <w:shd w:val="clear" w:color="auto" w:fill="FFFFFF"/>
        </w:rPr>
        <w:t>Proceedings of the 26th Information Systems Research Seminar in Scandinavia : IRIS 26 - Scandinavian Approach to IS Research</w:t>
      </w:r>
      <w:r w:rsidR="004E11AE">
        <w:rPr>
          <w:shd w:val="clear" w:color="auto" w:fill="FFFFFF"/>
        </w:rPr>
        <w:t xml:space="preserve">. Retrieved from </w:t>
      </w:r>
      <w:r w:rsidR="004E11AE" w:rsidRPr="004E11AE">
        <w:rPr>
          <w:shd w:val="clear" w:color="auto" w:fill="FFFFFF"/>
        </w:rPr>
        <w:t>https://forskning.ruc.dk/en/publications/the-role-of-social-awareness-in-technology-acceptance-of-groupwar</w:t>
      </w:r>
    </w:p>
    <w:p w14:paraId="7D516C96" w14:textId="0991DB20" w:rsidR="00841C9A" w:rsidRPr="00FC6087" w:rsidRDefault="00841C9A" w:rsidP="001200E8">
      <w:pPr>
        <w:pStyle w:val="APAReferences"/>
        <w:spacing w:line="480" w:lineRule="auto"/>
      </w:pPr>
      <w:r w:rsidRPr="00FC6087">
        <w:t>Black, A., Car, J.,</w:t>
      </w:r>
      <w:r w:rsidR="005E7A62">
        <w:t xml:space="preserve"> &amp; </w:t>
      </w:r>
      <w:r w:rsidRPr="00FC6087">
        <w:t xml:space="preserve">Pagliari, C. (2011). The impact of eHealth on the quality and safety of health care: A systematic overview. </w:t>
      </w:r>
      <w:r w:rsidRPr="00FC6087">
        <w:rPr>
          <w:i/>
          <w:iCs/>
        </w:rPr>
        <w:t>PLoS Med, 8</w:t>
      </w:r>
      <w:r w:rsidRPr="00FC6087">
        <w:t>, e71238.</w:t>
      </w:r>
    </w:p>
    <w:p w14:paraId="7D516C97" w14:textId="77777777" w:rsidR="00841C9A" w:rsidRPr="00FC6087" w:rsidRDefault="00841C9A" w:rsidP="001200E8">
      <w:pPr>
        <w:pStyle w:val="APAReferences"/>
        <w:spacing w:line="480" w:lineRule="auto"/>
      </w:pPr>
      <w:r w:rsidRPr="00FC6087">
        <w:t>Blumenthal, D. (2010). Launching HITECH. </w:t>
      </w:r>
      <w:r w:rsidRPr="00FC6087">
        <w:rPr>
          <w:i/>
          <w:iCs/>
        </w:rPr>
        <w:t>The New England Journal of Medicine, 362</w:t>
      </w:r>
      <w:r w:rsidRPr="00FC6087">
        <w:t>, 382-385.</w:t>
      </w:r>
    </w:p>
    <w:p w14:paraId="7D516C98" w14:textId="799343C4" w:rsidR="00841C9A" w:rsidRPr="00FC6087" w:rsidRDefault="00841C9A" w:rsidP="001200E8">
      <w:pPr>
        <w:pStyle w:val="APAReferences"/>
        <w:spacing w:line="480" w:lineRule="auto"/>
      </w:pPr>
      <w:r w:rsidRPr="00FC6087">
        <w:t>Boomsma, A.,</w:t>
      </w:r>
      <w:r w:rsidR="005E7A62">
        <w:t xml:space="preserve"> &amp; </w:t>
      </w:r>
      <w:r w:rsidRPr="00FC6087">
        <w:t xml:space="preserve">Hoogland, J. J. (2001). The </w:t>
      </w:r>
      <w:r w:rsidR="004D2BAD" w:rsidRPr="00FC6087">
        <w:t>r</w:t>
      </w:r>
      <w:r w:rsidRPr="00FC6087">
        <w:t xml:space="preserve">obustness of LISREL </w:t>
      </w:r>
      <w:r w:rsidR="004D2BAD" w:rsidRPr="00FC6087">
        <w:t>m</w:t>
      </w:r>
      <w:r w:rsidRPr="00FC6087">
        <w:t xml:space="preserve">odeling </w:t>
      </w:r>
      <w:r w:rsidR="004D2BAD" w:rsidRPr="00FC6087">
        <w:t>r</w:t>
      </w:r>
      <w:r w:rsidRPr="00FC6087">
        <w:t>evisited. In R. Cudeck, S. du Toit,</w:t>
      </w:r>
      <w:r w:rsidR="005E7A62">
        <w:t xml:space="preserve"> &amp; </w:t>
      </w:r>
      <w:r w:rsidRPr="00FC6087">
        <w:t xml:space="preserve">D. Sörbom (Eds.), </w:t>
      </w:r>
      <w:r w:rsidRPr="00790070">
        <w:rPr>
          <w:i/>
        </w:rPr>
        <w:t xml:space="preserve">Structural </w:t>
      </w:r>
      <w:r w:rsidR="004D2BAD" w:rsidRPr="00FC6087">
        <w:rPr>
          <w:i/>
        </w:rPr>
        <w:t>e</w:t>
      </w:r>
      <w:r w:rsidRPr="00790070">
        <w:rPr>
          <w:i/>
        </w:rPr>
        <w:t xml:space="preserve">quation </w:t>
      </w:r>
      <w:r w:rsidR="004D2BAD" w:rsidRPr="00FC6087">
        <w:rPr>
          <w:i/>
        </w:rPr>
        <w:t>m</w:t>
      </w:r>
      <w:r w:rsidRPr="00790070">
        <w:rPr>
          <w:i/>
        </w:rPr>
        <w:t xml:space="preserve">odels: Present and </w:t>
      </w:r>
      <w:r w:rsidR="004D2BAD" w:rsidRPr="00FC6087">
        <w:rPr>
          <w:i/>
        </w:rPr>
        <w:t>f</w:t>
      </w:r>
      <w:r w:rsidRPr="00790070">
        <w:rPr>
          <w:i/>
        </w:rPr>
        <w:t xml:space="preserve">uture. A Festschrift in </w:t>
      </w:r>
      <w:r w:rsidR="004D2BAD" w:rsidRPr="00FC6087">
        <w:rPr>
          <w:i/>
        </w:rPr>
        <w:t>h</w:t>
      </w:r>
      <w:r w:rsidRPr="00790070">
        <w:rPr>
          <w:i/>
        </w:rPr>
        <w:t>onor of Karl Jöreskog</w:t>
      </w:r>
      <w:r w:rsidRPr="00FC6087">
        <w:t xml:space="preserve"> (pp. 139-168). Lincolnwood, IL: Scientific Software International.</w:t>
      </w:r>
    </w:p>
    <w:p w14:paraId="7D516C99" w14:textId="601CA2C0" w:rsidR="00841C9A" w:rsidRPr="00FC6087" w:rsidRDefault="00841C9A" w:rsidP="001200E8">
      <w:pPr>
        <w:pStyle w:val="APAReferences"/>
        <w:spacing w:line="480" w:lineRule="auto"/>
      </w:pPr>
      <w:r w:rsidRPr="00FC6087">
        <w:t>Boonstra, A.,</w:t>
      </w:r>
      <w:r w:rsidR="005E7A62">
        <w:t xml:space="preserve"> &amp; </w:t>
      </w:r>
      <w:r w:rsidRPr="00FC6087">
        <w:t xml:space="preserve">Broekhuis, M. (2010). Barriers to the acceptance of electronic medical records by physicians from systematic review to taxonomy and interventions. </w:t>
      </w:r>
      <w:r w:rsidRPr="00FC6087">
        <w:rPr>
          <w:i/>
          <w:iCs/>
        </w:rPr>
        <w:t>BMC Health Services Research, 10</w:t>
      </w:r>
      <w:r w:rsidRPr="00FC6087">
        <w:t>, 231-240.</w:t>
      </w:r>
    </w:p>
    <w:p w14:paraId="7D516C9A" w14:textId="3BE322FB" w:rsidR="00D6038F" w:rsidRPr="00A1764C" w:rsidRDefault="00D6038F" w:rsidP="001200E8">
      <w:pPr>
        <w:pStyle w:val="APAReferences"/>
        <w:spacing w:line="480" w:lineRule="auto"/>
      </w:pPr>
      <w:r w:rsidRPr="00A1764C">
        <w:t>Boontarig, W., Chutimaskul, W.,</w:t>
      </w:r>
      <w:r w:rsidR="005E7A62">
        <w:t xml:space="preserve"> &amp; </w:t>
      </w:r>
      <w:r>
        <w:t>Chongsuphajaisiddhi, V. (</w:t>
      </w:r>
      <w:r w:rsidRPr="00A1764C">
        <w:t>2012</w:t>
      </w:r>
      <w:r>
        <w:t>)</w:t>
      </w:r>
      <w:r w:rsidRPr="00A1764C">
        <w:t xml:space="preserve">. Factors influencing the Thai elderly intention to use smartphone for e-Health services. </w:t>
      </w:r>
      <w:r w:rsidRPr="00A1764C">
        <w:rPr>
          <w:i/>
        </w:rPr>
        <w:t>Science and Engineering Research,</w:t>
      </w:r>
      <w:r w:rsidRPr="00A1764C">
        <w:t xml:space="preserve"> 479–483.</w:t>
      </w:r>
    </w:p>
    <w:p w14:paraId="7D516C9B" w14:textId="77777777" w:rsidR="002D7986" w:rsidRPr="00FC6087" w:rsidRDefault="002D7986" w:rsidP="001200E8">
      <w:pPr>
        <w:pStyle w:val="APAReferences"/>
        <w:spacing w:line="480" w:lineRule="auto"/>
      </w:pPr>
      <w:r w:rsidRPr="00FC6087">
        <w:t xml:space="preserve">Bootz, J. (2010). Strategic foresight and organizational learning: Survey and critical analysis. </w:t>
      </w:r>
      <w:r w:rsidRPr="00FC6087">
        <w:rPr>
          <w:i/>
        </w:rPr>
        <w:t>Technological Forecasting and Social Change, 77</w:t>
      </w:r>
      <w:r w:rsidRPr="00FC6087">
        <w:t>, 1588-1594.</w:t>
      </w:r>
    </w:p>
    <w:p w14:paraId="7D516C9C" w14:textId="1BC09602" w:rsidR="00841C9A" w:rsidRPr="00FC6087" w:rsidRDefault="00841C9A" w:rsidP="001200E8">
      <w:pPr>
        <w:pStyle w:val="APAReferences"/>
        <w:spacing w:line="480" w:lineRule="auto"/>
      </w:pPr>
      <w:r w:rsidRPr="00FC6087">
        <w:t>Bramble, J.,</w:t>
      </w:r>
      <w:r w:rsidR="00A750F4">
        <w:t xml:space="preserve"> </w:t>
      </w:r>
      <w:r w:rsidRPr="00FC6087">
        <w:t>Siracuse, M., Galt, K.,</w:t>
      </w:r>
      <w:r w:rsidR="00A750F4">
        <w:t xml:space="preserve"> </w:t>
      </w:r>
      <w:r w:rsidRPr="00FC6087">
        <w:t>Rule, A., Bartholomew, E.</w:t>
      </w:r>
      <w:r w:rsidR="00D97E6F">
        <w:t>,</w:t>
      </w:r>
      <w:r w:rsidRPr="00FC6087">
        <w:t xml:space="preserve"> Clark, </w:t>
      </w:r>
      <w:r w:rsidR="00D97E6F">
        <w:t xml:space="preserve">K. </w:t>
      </w:r>
      <w:r w:rsidR="002D7986" w:rsidRPr="00FC6087">
        <w:t>et al.</w:t>
      </w:r>
      <w:r w:rsidRPr="00FC6087">
        <w:t xml:space="preserve"> (2008). Examining barriers to health information technology adoption. In G. T. Savage</w:t>
      </w:r>
      <w:r w:rsidR="005E7A62">
        <w:t xml:space="preserve"> &amp; </w:t>
      </w:r>
      <w:r w:rsidRPr="00FC6087">
        <w:t xml:space="preserve">E. W. Ford (Eds.), </w:t>
      </w:r>
      <w:r w:rsidRPr="00FC6087">
        <w:rPr>
          <w:i/>
        </w:rPr>
        <w:t xml:space="preserve">Advances in </w:t>
      </w:r>
      <w:r w:rsidR="002D7986" w:rsidRPr="00FC6087">
        <w:rPr>
          <w:i/>
        </w:rPr>
        <w:t>h</w:t>
      </w:r>
      <w:r w:rsidRPr="00FC6087">
        <w:rPr>
          <w:i/>
        </w:rPr>
        <w:t xml:space="preserve">ealthcare </w:t>
      </w:r>
      <w:r w:rsidR="002D7986" w:rsidRPr="00FC6087">
        <w:rPr>
          <w:i/>
        </w:rPr>
        <w:t>m</w:t>
      </w:r>
      <w:r w:rsidRPr="00FC6087">
        <w:rPr>
          <w:i/>
        </w:rPr>
        <w:t xml:space="preserve">anagement, Vol. 7: Patient </w:t>
      </w:r>
      <w:r w:rsidR="002D7986" w:rsidRPr="00FC6087">
        <w:rPr>
          <w:i/>
        </w:rPr>
        <w:t>s</w:t>
      </w:r>
      <w:r w:rsidRPr="00FC6087">
        <w:rPr>
          <w:i/>
        </w:rPr>
        <w:t xml:space="preserve">afety and </w:t>
      </w:r>
      <w:r w:rsidR="002D7986" w:rsidRPr="00FC6087">
        <w:rPr>
          <w:i/>
        </w:rPr>
        <w:t>h</w:t>
      </w:r>
      <w:r w:rsidRPr="00FC6087">
        <w:rPr>
          <w:i/>
        </w:rPr>
        <w:t xml:space="preserve">ealth </w:t>
      </w:r>
      <w:r w:rsidR="002D7986" w:rsidRPr="00FC6087">
        <w:rPr>
          <w:i/>
        </w:rPr>
        <w:t>c</w:t>
      </w:r>
      <w:r w:rsidRPr="00FC6087">
        <w:rPr>
          <w:i/>
        </w:rPr>
        <w:t xml:space="preserve">are </w:t>
      </w:r>
      <w:r w:rsidR="002D7986" w:rsidRPr="00FC6087">
        <w:rPr>
          <w:i/>
        </w:rPr>
        <w:t>m</w:t>
      </w:r>
      <w:r w:rsidRPr="00FC6087">
        <w:rPr>
          <w:i/>
        </w:rPr>
        <w:t>anagement</w:t>
      </w:r>
      <w:r w:rsidRPr="00FC6087">
        <w:t xml:space="preserve"> (pp. 191-209). Bingl</w:t>
      </w:r>
      <w:r w:rsidR="002D7986" w:rsidRPr="00FC6087">
        <w:t>e</w:t>
      </w:r>
      <w:r w:rsidRPr="00FC6087">
        <w:t>y, UK: Emerald Group Publishing Limited.</w:t>
      </w:r>
    </w:p>
    <w:p w14:paraId="7D516C9D" w14:textId="689C2414" w:rsidR="00D6038F" w:rsidRPr="00CC016E" w:rsidRDefault="00D6038F" w:rsidP="001200E8">
      <w:pPr>
        <w:pStyle w:val="APAReferences"/>
        <w:spacing w:line="480" w:lineRule="auto"/>
      </w:pPr>
      <w:r w:rsidRPr="00A1764C">
        <w:rPr>
          <w:rFonts w:eastAsia="Calibri"/>
          <w:shd w:val="clear" w:color="auto" w:fill="FFFFFF"/>
        </w:rPr>
        <w:t>Broadbent, J., Jacobs, K.,</w:t>
      </w:r>
      <w:r w:rsidR="005E7A62">
        <w:rPr>
          <w:rFonts w:eastAsia="Calibri"/>
          <w:shd w:val="clear" w:color="auto" w:fill="FFFFFF"/>
        </w:rPr>
        <w:t xml:space="preserve"> &amp; </w:t>
      </w:r>
      <w:r w:rsidRPr="00A1764C">
        <w:rPr>
          <w:rFonts w:eastAsia="Calibri"/>
          <w:shd w:val="clear" w:color="auto" w:fill="FFFFFF"/>
        </w:rPr>
        <w:t>Laughlin, R. (2001). Organizational resistance strategies to unwanted accounting and finance changes: the case of general medical practice in the UK. </w:t>
      </w:r>
      <w:r w:rsidRPr="00A1764C">
        <w:rPr>
          <w:rFonts w:eastAsia="Calibri"/>
          <w:i/>
          <w:iCs/>
          <w:shd w:val="clear" w:color="auto" w:fill="FFFFFF"/>
        </w:rPr>
        <w:t>Accounting, Auditing</w:t>
      </w:r>
      <w:r w:rsidR="005E7A62">
        <w:rPr>
          <w:rFonts w:eastAsia="Calibri"/>
          <w:i/>
          <w:iCs/>
          <w:shd w:val="clear" w:color="auto" w:fill="FFFFFF"/>
        </w:rPr>
        <w:t xml:space="preserve"> &amp; </w:t>
      </w:r>
      <w:r w:rsidRPr="00A1764C">
        <w:rPr>
          <w:rFonts w:eastAsia="Calibri"/>
          <w:i/>
          <w:iCs/>
          <w:shd w:val="clear" w:color="auto" w:fill="FFFFFF"/>
        </w:rPr>
        <w:t>Accountability Journal</w:t>
      </w:r>
      <w:r w:rsidRPr="00A1764C">
        <w:rPr>
          <w:rFonts w:eastAsia="Calibri"/>
          <w:shd w:val="clear" w:color="auto" w:fill="FFFFFF"/>
        </w:rPr>
        <w:t>, </w:t>
      </w:r>
      <w:r w:rsidRPr="00A1764C">
        <w:rPr>
          <w:rFonts w:eastAsia="Calibri"/>
          <w:i/>
          <w:iCs/>
          <w:shd w:val="clear" w:color="auto" w:fill="FFFFFF"/>
        </w:rPr>
        <w:t>14</w:t>
      </w:r>
      <w:r w:rsidRPr="00A1764C">
        <w:rPr>
          <w:rFonts w:eastAsia="Calibri"/>
          <w:shd w:val="clear" w:color="auto" w:fill="FFFFFF"/>
        </w:rPr>
        <w:t>(5), 565-586.</w:t>
      </w:r>
    </w:p>
    <w:p w14:paraId="7D516C9E" w14:textId="77777777" w:rsidR="00841C9A" w:rsidRPr="00FC6087" w:rsidRDefault="00841C9A" w:rsidP="001200E8">
      <w:pPr>
        <w:pStyle w:val="APAReferences"/>
        <w:spacing w:line="480" w:lineRule="auto"/>
      </w:pPr>
      <w:r w:rsidRPr="00FC6087">
        <w:t xml:space="preserve">Brown T. A. (2006). </w:t>
      </w:r>
      <w:r w:rsidRPr="00790070">
        <w:rPr>
          <w:i/>
        </w:rPr>
        <w:t>Confirmatory factor analysis for applied research</w:t>
      </w:r>
      <w:r w:rsidRPr="00FC6087">
        <w:t>. New York, NY: Guilford.</w:t>
      </w:r>
    </w:p>
    <w:p w14:paraId="7D516C9F" w14:textId="77777777" w:rsidR="00841C9A" w:rsidRPr="00FC6087" w:rsidRDefault="00841C9A" w:rsidP="001200E8">
      <w:pPr>
        <w:pStyle w:val="APAReferences"/>
        <w:spacing w:line="480" w:lineRule="auto"/>
      </w:pPr>
      <w:r w:rsidRPr="00FC6087">
        <w:t xml:space="preserve">Bryson, J. (1995). </w:t>
      </w:r>
      <w:r w:rsidRPr="00FC6087">
        <w:rPr>
          <w:i/>
          <w:iCs/>
        </w:rPr>
        <w:t>Strategic planning for public and non-profit organization</w:t>
      </w:r>
      <w:r w:rsidRPr="00FC6087">
        <w:t xml:space="preserve"> (</w:t>
      </w:r>
      <w:r w:rsidR="00506EFB" w:rsidRPr="00FC6087">
        <w:t>R</w:t>
      </w:r>
      <w:r w:rsidRPr="00FC6087">
        <w:t>ev</w:t>
      </w:r>
      <w:r w:rsidR="00506EFB" w:rsidRPr="00FC6087">
        <w:t>ised</w:t>
      </w:r>
      <w:r w:rsidRPr="00FC6087">
        <w:t xml:space="preserve"> ed.). San Francisco, CA: Jossey-Bass.</w:t>
      </w:r>
    </w:p>
    <w:p w14:paraId="7D516CA0" w14:textId="0911D9AB" w:rsidR="00841C9A" w:rsidRPr="00FC6087" w:rsidRDefault="00841C9A" w:rsidP="001200E8">
      <w:pPr>
        <w:pStyle w:val="APAReferences"/>
        <w:spacing w:line="480" w:lineRule="auto"/>
      </w:pPr>
      <w:r w:rsidRPr="00FC6087">
        <w:t>Buntin, M., Burke, M., Hoaglin, M.,</w:t>
      </w:r>
      <w:r w:rsidR="005E7A62">
        <w:t xml:space="preserve"> &amp; </w:t>
      </w:r>
      <w:r w:rsidRPr="00FC6087">
        <w:t>Blumenthal, D. (2011). The benefits of health information technology: A review of the recent literature shows predominantly positive results. </w:t>
      </w:r>
      <w:r w:rsidRPr="00FC6087">
        <w:rPr>
          <w:i/>
          <w:iCs/>
        </w:rPr>
        <w:t>Health Affairs, 30</w:t>
      </w:r>
      <w:r w:rsidRPr="00FC6087">
        <w:t xml:space="preserve">, 464-471. </w:t>
      </w:r>
    </w:p>
    <w:p w14:paraId="7D516CA1" w14:textId="7E0145A0" w:rsidR="00841C9A" w:rsidRPr="00FC6087" w:rsidRDefault="00841C9A" w:rsidP="001200E8">
      <w:pPr>
        <w:pStyle w:val="APAReferences"/>
        <w:spacing w:line="480" w:lineRule="auto"/>
      </w:pPr>
      <w:r w:rsidRPr="00FC6087">
        <w:t>Buntin, M., Jain, S.,</w:t>
      </w:r>
      <w:r w:rsidR="005E7A62">
        <w:t xml:space="preserve"> &amp; </w:t>
      </w:r>
      <w:r w:rsidRPr="00FC6087">
        <w:t xml:space="preserve">Blumenthal, D. (2010). Health information technology: Laying the infrastructure for national health reform. </w:t>
      </w:r>
      <w:r w:rsidRPr="00FC6087">
        <w:rPr>
          <w:i/>
          <w:iCs/>
        </w:rPr>
        <w:t>Health Affairs</w:t>
      </w:r>
      <w:r w:rsidRPr="00FC6087">
        <w:rPr>
          <w:i/>
        </w:rPr>
        <w:t>, 29</w:t>
      </w:r>
      <w:r w:rsidRPr="00FC6087">
        <w:t>, 1214-1219.</w:t>
      </w:r>
    </w:p>
    <w:p w14:paraId="7D516CA2" w14:textId="77777777" w:rsidR="00841C9A" w:rsidRPr="00FC6087" w:rsidRDefault="00841C9A" w:rsidP="001200E8">
      <w:pPr>
        <w:pStyle w:val="APAReferences"/>
        <w:spacing w:line="480" w:lineRule="auto"/>
      </w:pPr>
      <w:r w:rsidRPr="00FC6087">
        <w:t xml:space="preserve">Byrne, B. (2001). </w:t>
      </w:r>
      <w:r w:rsidRPr="00790070">
        <w:rPr>
          <w:i/>
        </w:rPr>
        <w:t>Structural equation modeling with AMOS: Basic concepts, applications, and programming</w:t>
      </w:r>
      <w:r w:rsidRPr="00FC6087">
        <w:t>. Mahwah, NJ: Lawrence Erlbaum Associates.</w:t>
      </w:r>
    </w:p>
    <w:p w14:paraId="7D516CA3" w14:textId="1D9AB062" w:rsidR="00841C9A" w:rsidRPr="00FC6087" w:rsidRDefault="00841C9A" w:rsidP="001200E8">
      <w:pPr>
        <w:pStyle w:val="APAReferences"/>
        <w:spacing w:line="480" w:lineRule="auto"/>
      </w:pPr>
      <w:r w:rsidRPr="00FC6087">
        <w:t>Campbell, D. T.,</w:t>
      </w:r>
      <w:r w:rsidR="005E7A62">
        <w:t xml:space="preserve"> &amp; </w:t>
      </w:r>
      <w:r w:rsidRPr="00FC6087">
        <w:t xml:space="preserve">Fiske, D. (1959). Convergent and discriminant validation by the multitrait–multimethod matrix. </w:t>
      </w:r>
      <w:r w:rsidRPr="00790070">
        <w:rPr>
          <w:i/>
        </w:rPr>
        <w:t>Psychological Bulletin, 56</w:t>
      </w:r>
      <w:r w:rsidRPr="00FC6087">
        <w:t>, 81</w:t>
      </w:r>
      <w:r w:rsidR="00506EFB" w:rsidRPr="00FC6087">
        <w:t>-</w:t>
      </w:r>
      <w:r w:rsidRPr="00FC6087">
        <w:t>105.</w:t>
      </w:r>
    </w:p>
    <w:p w14:paraId="7D516CA4" w14:textId="4B20E2BC" w:rsidR="00841C9A" w:rsidRPr="00FC6087" w:rsidRDefault="00841C9A" w:rsidP="001200E8">
      <w:pPr>
        <w:pStyle w:val="APAReferences"/>
        <w:spacing w:line="480" w:lineRule="auto"/>
      </w:pPr>
      <w:r w:rsidRPr="00FC6087">
        <w:t>Castellanos-Verdugo, M., Vega-Vázquez, M., Oviedo-García, M.,</w:t>
      </w:r>
      <w:r w:rsidR="005E7A62">
        <w:t xml:space="preserve"> &amp; </w:t>
      </w:r>
      <w:r w:rsidRPr="00FC6087">
        <w:t xml:space="preserve">Orgaz-Agüera, F. (2016). The relevance of psychological factors in the ecotourist experience satisfaction through ecotourist site perceived value. </w:t>
      </w:r>
      <w:r w:rsidRPr="00FC6087">
        <w:rPr>
          <w:i/>
          <w:iCs/>
        </w:rPr>
        <w:t>Journal of Cleaner Production, 124</w:t>
      </w:r>
      <w:r w:rsidRPr="00FC6087">
        <w:t>, 226-235.</w:t>
      </w:r>
    </w:p>
    <w:p w14:paraId="7D516CA5" w14:textId="0F8B8F0E" w:rsidR="00841C9A" w:rsidRPr="00FC6087" w:rsidRDefault="00841C9A" w:rsidP="001200E8">
      <w:pPr>
        <w:pStyle w:val="APAReferences"/>
        <w:spacing w:line="480" w:lineRule="auto"/>
      </w:pPr>
      <w:r w:rsidRPr="00FC6087">
        <w:t>Cegarra-Navarro, J., Cordoba-Pachon, J.,</w:t>
      </w:r>
      <w:r w:rsidR="005E7A62">
        <w:t xml:space="preserve"> &amp; </w:t>
      </w:r>
      <w:r w:rsidRPr="00FC6087">
        <w:t xml:space="preserve">Fernandez de Bobadilla, G. (2009). Creating environmental knowledge through ‘green communities’ in the Spanish pharmaceutical industry. </w:t>
      </w:r>
      <w:r w:rsidRPr="00FC6087">
        <w:rPr>
          <w:i/>
          <w:iCs/>
        </w:rPr>
        <w:t>Service Industries Journal,</w:t>
      </w:r>
      <w:r w:rsidR="008A42D1">
        <w:rPr>
          <w:i/>
          <w:iCs/>
        </w:rPr>
        <w:t xml:space="preserve"> </w:t>
      </w:r>
      <w:r w:rsidRPr="00FC6087">
        <w:rPr>
          <w:i/>
          <w:iCs/>
        </w:rPr>
        <w:t>29</w:t>
      </w:r>
      <w:r w:rsidRPr="00FC6087">
        <w:t>, 1745-1761.</w:t>
      </w:r>
    </w:p>
    <w:p w14:paraId="7D516CA6" w14:textId="7FB27D4A" w:rsidR="00D6038F" w:rsidRPr="00CC016E" w:rsidRDefault="00841C9A" w:rsidP="001200E8">
      <w:pPr>
        <w:pStyle w:val="APAReferences"/>
        <w:spacing w:line="480" w:lineRule="auto"/>
      </w:pPr>
      <w:r w:rsidRPr="00FC6087">
        <w:t xml:space="preserve">Center for Technology </w:t>
      </w:r>
      <w:r w:rsidR="00D6038F" w:rsidRPr="00A1764C">
        <w:rPr>
          <w:rFonts w:eastAsia="Times New Roman"/>
        </w:rPr>
        <w:t xml:space="preserve">and Aging. </w:t>
      </w:r>
      <w:r w:rsidR="00D6038F">
        <w:rPr>
          <w:rFonts w:eastAsia="Times New Roman"/>
        </w:rPr>
        <w:t>(</w:t>
      </w:r>
      <w:r w:rsidR="00D6038F" w:rsidRPr="00A1764C">
        <w:rPr>
          <w:rFonts w:eastAsia="Times New Roman"/>
        </w:rPr>
        <w:t>2009</w:t>
      </w:r>
      <w:r w:rsidR="00D6038F">
        <w:rPr>
          <w:rFonts w:eastAsia="Times New Roman"/>
        </w:rPr>
        <w:t>)</w:t>
      </w:r>
      <w:r w:rsidR="00D6038F" w:rsidRPr="00A1764C">
        <w:rPr>
          <w:rFonts w:eastAsia="Times New Roman"/>
        </w:rPr>
        <w:t xml:space="preserve">. Technologies for </w:t>
      </w:r>
      <w:r w:rsidR="00FF60C3" w:rsidRPr="00A1764C">
        <w:rPr>
          <w:rFonts w:eastAsia="Times New Roman"/>
        </w:rPr>
        <w:t xml:space="preserve">remote patient monitoring </w:t>
      </w:r>
      <w:r w:rsidR="00FF60C3" w:rsidRPr="00A1764C">
        <w:rPr>
          <w:rFonts w:eastAsia="Times New Roman"/>
          <w:noProof/>
        </w:rPr>
        <w:t>in</w:t>
      </w:r>
      <w:r w:rsidR="00FF60C3" w:rsidRPr="00A1764C">
        <w:rPr>
          <w:rFonts w:eastAsia="Times New Roman"/>
        </w:rPr>
        <w:t xml:space="preserve"> older adults</w:t>
      </w:r>
      <w:r w:rsidR="00D6038F" w:rsidRPr="00A1764C">
        <w:rPr>
          <w:rFonts w:eastAsia="Times New Roman"/>
        </w:rPr>
        <w:t xml:space="preserve">. Technical Report. </w:t>
      </w:r>
      <w:r w:rsidR="00375FE5">
        <w:rPr>
          <w:rFonts w:eastAsia="Times New Roman"/>
        </w:rPr>
        <w:t xml:space="preserve">Oakland, CA: </w:t>
      </w:r>
      <w:r w:rsidR="00D6038F" w:rsidRPr="00A1764C">
        <w:rPr>
          <w:rFonts w:eastAsia="Times New Roman"/>
        </w:rPr>
        <w:t xml:space="preserve">Center for Technology and Aging. </w:t>
      </w:r>
      <w:r w:rsidR="00D6038F">
        <w:rPr>
          <w:rFonts w:eastAsia="Times New Roman"/>
        </w:rPr>
        <w:t xml:space="preserve">Retrieved from </w:t>
      </w:r>
      <w:hyperlink r:id="rId66" w:history="1">
        <w:r w:rsidR="00D6038F" w:rsidRPr="00EE1C3F">
          <w:rPr>
            <w:rFonts w:eastAsia="Times New Roman"/>
          </w:rPr>
          <w:t>http://www.phi.org/uploads/application/files/mjr85izva3yk7v3ah3yqtf5bt1phgzywg67a7zlsv7xcy9h85w.pdf</w:t>
        </w:r>
      </w:hyperlink>
    </w:p>
    <w:p w14:paraId="7D516CA7" w14:textId="77777777" w:rsidR="00841C9A" w:rsidRPr="00FC6087" w:rsidRDefault="00D6038F" w:rsidP="001200E8">
      <w:pPr>
        <w:pStyle w:val="APAReferences"/>
        <w:spacing w:line="480" w:lineRule="auto"/>
      </w:pPr>
      <w:r w:rsidRPr="00FC6087">
        <w:t xml:space="preserve">Center for Technology </w:t>
      </w:r>
      <w:r w:rsidR="00841C9A" w:rsidRPr="00FC6087">
        <w:t xml:space="preserve">in Government (2000). </w:t>
      </w:r>
      <w:r w:rsidR="00841C9A" w:rsidRPr="00FC6087">
        <w:rPr>
          <w:i/>
          <w:iCs/>
        </w:rPr>
        <w:t>New York state central accounting system stakeholder needs analysis</w:t>
      </w:r>
      <w:r w:rsidR="00841C9A" w:rsidRPr="00FC6087">
        <w:t xml:space="preserve">. Albany, NY: </w:t>
      </w:r>
      <w:r w:rsidR="00CB14E6" w:rsidRPr="00FC6087">
        <w:t>Center for Technology in Government</w:t>
      </w:r>
      <w:r w:rsidR="00841C9A" w:rsidRPr="00FC6087">
        <w:t>.</w:t>
      </w:r>
    </w:p>
    <w:p w14:paraId="7D516CA8" w14:textId="77777777" w:rsidR="00841C9A" w:rsidRPr="00FC6087" w:rsidRDefault="00841C9A" w:rsidP="001200E8">
      <w:pPr>
        <w:pStyle w:val="APAReferences"/>
        <w:spacing w:line="480" w:lineRule="auto"/>
      </w:pPr>
      <w:r w:rsidRPr="00FC6087">
        <w:t xml:space="preserve">Chang, I. (2010). Stakeholder perspectives on electronic health record adoption in Taiwan. </w:t>
      </w:r>
      <w:r w:rsidRPr="00FC6087">
        <w:rPr>
          <w:i/>
          <w:iCs/>
        </w:rPr>
        <w:t>Management Review,</w:t>
      </w:r>
      <w:r w:rsidRPr="00FC6087">
        <w:rPr>
          <w:i/>
        </w:rPr>
        <w:t xml:space="preserve"> 15</w:t>
      </w:r>
      <w:r w:rsidRPr="00FC6087">
        <w:t xml:space="preserve">, 133-145. </w:t>
      </w:r>
    </w:p>
    <w:p w14:paraId="7D516CA9" w14:textId="0D700AAB" w:rsidR="00841C9A" w:rsidRPr="00FC6087" w:rsidRDefault="00841C9A" w:rsidP="001200E8">
      <w:pPr>
        <w:pStyle w:val="APAReferences"/>
        <w:spacing w:line="480" w:lineRule="auto"/>
      </w:pPr>
      <w:r w:rsidRPr="00FC6087">
        <w:t>Chang, I., Hwang, H.-G., Yen, D.C.,</w:t>
      </w:r>
      <w:r w:rsidR="005E7A62">
        <w:t xml:space="preserve"> &amp; </w:t>
      </w:r>
      <w:r w:rsidRPr="00FC6087">
        <w:t xml:space="preserve">Lian, J. (2006). Critical factors for adopting PACS in Taiwan: Views of radiology department directors. </w:t>
      </w:r>
      <w:r w:rsidRPr="00FC6087">
        <w:rPr>
          <w:i/>
          <w:iCs/>
        </w:rPr>
        <w:t>Decision Support Systems, 42</w:t>
      </w:r>
      <w:r w:rsidRPr="00FC6087">
        <w:t>, 1042-1053.</w:t>
      </w:r>
    </w:p>
    <w:p w14:paraId="7D516CAA" w14:textId="1CDE972F" w:rsidR="00CC016E" w:rsidRDefault="00D6038F" w:rsidP="001200E8">
      <w:pPr>
        <w:pStyle w:val="APAReferences"/>
        <w:spacing w:line="480" w:lineRule="auto"/>
      </w:pPr>
      <w:r w:rsidRPr="00A1764C">
        <w:t>Chang,</w:t>
      </w:r>
      <w:r w:rsidR="008A42D1">
        <w:t xml:space="preserve"> </w:t>
      </w:r>
      <w:r w:rsidRPr="00A1764C">
        <w:t>I., Hwang, H., Hung, W.,</w:t>
      </w:r>
      <w:r w:rsidR="005E7A62">
        <w:t xml:space="preserve"> &amp; </w:t>
      </w:r>
      <w:r>
        <w:t>Li, Y. (</w:t>
      </w:r>
      <w:r w:rsidRPr="00A1764C">
        <w:t>2007</w:t>
      </w:r>
      <w:r>
        <w:t>)</w:t>
      </w:r>
      <w:r w:rsidRPr="00A1764C">
        <w:t xml:space="preserve">. Physicians’ acceptance of pharmacokinetics-based clinical decision support systems. </w:t>
      </w:r>
      <w:r w:rsidRPr="00A1764C">
        <w:rPr>
          <w:i/>
        </w:rPr>
        <w:t>Expert Systems with Applications</w:t>
      </w:r>
      <w:r w:rsidRPr="00A1764C">
        <w:t xml:space="preserve">, </w:t>
      </w:r>
      <w:r w:rsidRPr="00FB5FF8">
        <w:rPr>
          <w:i/>
        </w:rPr>
        <w:t>33</w:t>
      </w:r>
      <w:r w:rsidRPr="00C0447D">
        <w:t>(2),</w:t>
      </w:r>
      <w:r w:rsidRPr="00A1764C">
        <w:t xml:space="preserve"> 296</w:t>
      </w:r>
      <w:r w:rsidR="008A42D1">
        <w:t>-</w:t>
      </w:r>
      <w:r w:rsidRPr="00A1764C">
        <w:t>303.</w:t>
      </w:r>
    </w:p>
    <w:p w14:paraId="7D516CAB" w14:textId="71888248" w:rsidR="00D6038F" w:rsidRPr="00A1764C" w:rsidRDefault="00D6038F" w:rsidP="001200E8">
      <w:pPr>
        <w:pStyle w:val="APAReferences"/>
        <w:spacing w:line="480" w:lineRule="auto"/>
      </w:pPr>
      <w:r w:rsidRPr="00A1764C">
        <w:t>Chau, P.,</w:t>
      </w:r>
      <w:r w:rsidR="005E7A62">
        <w:t xml:space="preserve"> &amp; </w:t>
      </w:r>
      <w:r>
        <w:t>Hu, P. (</w:t>
      </w:r>
      <w:r w:rsidRPr="00A1764C">
        <w:t>2002</w:t>
      </w:r>
      <w:r>
        <w:t>)</w:t>
      </w:r>
      <w:r w:rsidRPr="00A1764C">
        <w:t xml:space="preserve">. Investigating healthcare professionals’ decisions to accept telemedicine technology: An empirical test of competing theories. </w:t>
      </w:r>
      <w:r w:rsidRPr="00A1764C">
        <w:rPr>
          <w:i/>
        </w:rPr>
        <w:t>Information</w:t>
      </w:r>
      <w:r w:rsidR="005E7A62">
        <w:rPr>
          <w:i/>
        </w:rPr>
        <w:t xml:space="preserve"> &amp; </w:t>
      </w:r>
      <w:r w:rsidRPr="00A1764C">
        <w:rPr>
          <w:i/>
        </w:rPr>
        <w:t>Management</w:t>
      </w:r>
      <w:r w:rsidRPr="00A1764C">
        <w:t xml:space="preserve">, </w:t>
      </w:r>
      <w:r w:rsidRPr="00FB5FF8">
        <w:rPr>
          <w:i/>
        </w:rPr>
        <w:t>39(4),</w:t>
      </w:r>
      <w:r w:rsidRPr="00A1764C">
        <w:t xml:space="preserve"> 297–311.</w:t>
      </w:r>
    </w:p>
    <w:p w14:paraId="7D516CAC" w14:textId="77777777" w:rsidR="00841C9A" w:rsidRPr="00FC6087" w:rsidRDefault="00841C9A" w:rsidP="001200E8">
      <w:pPr>
        <w:pStyle w:val="APAReferences"/>
        <w:spacing w:line="480" w:lineRule="auto"/>
      </w:pPr>
      <w:r w:rsidRPr="00FC6087">
        <w:t>Chaudhry, B., Wang, J., Wu, S., Maglione, M., Mojica, W., Roth, E.,</w:t>
      </w:r>
      <w:r w:rsidR="00CB14E6" w:rsidRPr="00FC6087">
        <w:t xml:space="preserve"> et al.</w:t>
      </w:r>
      <w:r w:rsidRPr="00FC6087">
        <w:t xml:space="preserve"> (2006). Systematic review: Impact of health information technology on quality, efficiency, and costs of medical care. </w:t>
      </w:r>
      <w:r w:rsidRPr="00FC6087">
        <w:rPr>
          <w:i/>
          <w:iCs/>
        </w:rPr>
        <w:t>Annals of Internal Medicine, 144</w:t>
      </w:r>
      <w:r w:rsidRPr="00FC6087">
        <w:t>, 742-752.</w:t>
      </w:r>
    </w:p>
    <w:p w14:paraId="7D516CAD" w14:textId="5E1A048A" w:rsidR="00841C9A" w:rsidRPr="00FC6087" w:rsidRDefault="00841C9A" w:rsidP="001200E8">
      <w:pPr>
        <w:pStyle w:val="APAReferences"/>
        <w:spacing w:line="480" w:lineRule="auto"/>
      </w:pPr>
      <w:r w:rsidRPr="00FC6087">
        <w:t>Chen, I., Yang, K., Tang, F., Huang, C.,</w:t>
      </w:r>
      <w:r w:rsidR="005E7A62">
        <w:t xml:space="preserve"> &amp; </w:t>
      </w:r>
      <w:r w:rsidRPr="00FC6087">
        <w:t xml:space="preserve">Yu, S. (2008). Applying the technology acceptance model to explore public health nurses’ intentions towards web-based learning: A cross-sectional questionnaire survey. </w:t>
      </w:r>
      <w:r w:rsidRPr="00FC6087">
        <w:rPr>
          <w:i/>
          <w:iCs/>
        </w:rPr>
        <w:t>International Journal of Nursing Studies, 45</w:t>
      </w:r>
      <w:r w:rsidRPr="00FC6087">
        <w:t>, 869-878.</w:t>
      </w:r>
    </w:p>
    <w:p w14:paraId="7D516CAE" w14:textId="6B6C4BDE" w:rsidR="00D6038F" w:rsidRPr="00A1764C" w:rsidRDefault="00D6038F" w:rsidP="001200E8">
      <w:pPr>
        <w:pStyle w:val="APAReferences"/>
        <w:spacing w:line="480" w:lineRule="auto"/>
      </w:pPr>
      <w:r w:rsidRPr="00A1764C">
        <w:t>Cheng, D., Liu, G.,</w:t>
      </w:r>
      <w:r w:rsidR="005E7A62">
        <w:t xml:space="preserve"> &amp; </w:t>
      </w:r>
      <w:r>
        <w:t>Qian, C. (</w:t>
      </w:r>
      <w:r w:rsidRPr="00A1764C">
        <w:t>2008</w:t>
      </w:r>
      <w:r>
        <w:t>)</w:t>
      </w:r>
      <w:r w:rsidRPr="00A1764C">
        <w:t>. On determinants of user acceptance of internet banking: a theoretical framework and empirical study</w:t>
      </w:r>
      <w:r w:rsidRPr="00A1764C">
        <w:rPr>
          <w:i/>
        </w:rPr>
        <w:t>. 2008 IEEE Symposium on Advanced Management of Information for Globalized Enterprises (AMIGE)</w:t>
      </w:r>
      <w:r w:rsidRPr="00A1764C">
        <w:t>.</w:t>
      </w:r>
      <w:r w:rsidR="00C65393">
        <w:t xml:space="preserve"> Retrieved from </w:t>
      </w:r>
      <w:r w:rsidR="00C65393" w:rsidRPr="00C65393">
        <w:t>https://ieeexplore.ieee.org/document/4721462/</w:t>
      </w:r>
    </w:p>
    <w:p w14:paraId="7D516CAF" w14:textId="45FC5748" w:rsidR="00841C9A" w:rsidRPr="00FC6087" w:rsidRDefault="00841C9A" w:rsidP="001200E8">
      <w:pPr>
        <w:pStyle w:val="APAReferences"/>
        <w:spacing w:line="480" w:lineRule="auto"/>
      </w:pPr>
      <w:r w:rsidRPr="00FC6087">
        <w:t>Christodoulakis, C., Asgarian, A.,</w:t>
      </w:r>
      <w:r w:rsidR="005E7A62">
        <w:t xml:space="preserve"> &amp; </w:t>
      </w:r>
      <w:r w:rsidR="00991363" w:rsidRPr="00FC6087">
        <w:t>Easterbrook</w:t>
      </w:r>
      <w:r w:rsidRPr="00FC6087">
        <w:t xml:space="preserve">, S. (2017). Barriers to adoption of information technology in healthcare. </w:t>
      </w:r>
      <w:r w:rsidRPr="00790070">
        <w:rPr>
          <w:i/>
        </w:rPr>
        <w:t xml:space="preserve">Proceedings of the 27th Annual International Conference on Computer Science and Software Engineering </w:t>
      </w:r>
      <w:r w:rsidRPr="00FC6087">
        <w:rPr>
          <w:i/>
          <w:iCs/>
        </w:rPr>
        <w:t>CASCON</w:t>
      </w:r>
      <w:r w:rsidR="00C31C5E" w:rsidRPr="00FC6087">
        <w:rPr>
          <w:i/>
          <w:iCs/>
        </w:rPr>
        <w:t>’</w:t>
      </w:r>
      <w:r w:rsidRPr="00FC6087">
        <w:rPr>
          <w:i/>
          <w:iCs/>
        </w:rPr>
        <w:t>17</w:t>
      </w:r>
      <w:r w:rsidR="000100D7">
        <w:t xml:space="preserve">. Retrieved from </w:t>
      </w:r>
      <w:r w:rsidR="000100D7" w:rsidRPr="000100D7">
        <w:t>http://www.cs.toronto.edu/~christina/documents/ACM_CASCON2017.pdf</w:t>
      </w:r>
    </w:p>
    <w:p w14:paraId="7D516CB0" w14:textId="5A2C977A" w:rsidR="00841C9A" w:rsidRPr="00FC6087" w:rsidRDefault="00841C9A" w:rsidP="001200E8">
      <w:pPr>
        <w:pStyle w:val="APAReferences"/>
        <w:spacing w:line="480" w:lineRule="auto"/>
      </w:pPr>
      <w:r w:rsidRPr="00FC6087">
        <w:t>Chung, W., Chen, H.,</w:t>
      </w:r>
      <w:r w:rsidR="005E7A62">
        <w:t xml:space="preserve"> &amp; </w:t>
      </w:r>
      <w:r w:rsidRPr="00FC6087">
        <w:t xml:space="preserve">Reid, E. (2009). Business stakeholder analyzer: An experiment of classifying stakeholders on the web. </w:t>
      </w:r>
      <w:r w:rsidRPr="00FC6087">
        <w:rPr>
          <w:i/>
          <w:iCs/>
        </w:rPr>
        <w:t>Journal of the American Society for Information Science and Technology, 60</w:t>
      </w:r>
      <w:r w:rsidRPr="00FC6087">
        <w:t>, 59-74.</w:t>
      </w:r>
    </w:p>
    <w:p w14:paraId="7D516CB1" w14:textId="15C04386" w:rsidR="00841C9A" w:rsidRPr="00FC6087" w:rsidRDefault="00841C9A" w:rsidP="001200E8">
      <w:pPr>
        <w:pStyle w:val="APAReferences"/>
        <w:spacing w:line="480" w:lineRule="auto"/>
      </w:pPr>
      <w:r w:rsidRPr="00FC6087">
        <w:t>Churchill, G. A.</w:t>
      </w:r>
      <w:r w:rsidR="00736AD7">
        <w:t>,</w:t>
      </w:r>
      <w:r w:rsidR="005E7A62">
        <w:t xml:space="preserve"> &amp; </w:t>
      </w:r>
      <w:r w:rsidRPr="00FC6087">
        <w:t xml:space="preserve">Iacobucci, D. </w:t>
      </w:r>
      <w:r w:rsidR="001360A5">
        <w:t>(</w:t>
      </w:r>
      <w:r w:rsidRPr="00FC6087">
        <w:t>2002.</w:t>
      </w:r>
      <w:r w:rsidR="001360A5">
        <w:t>)</w:t>
      </w:r>
      <w:r w:rsidRPr="00FC6087">
        <w:t xml:space="preserve"> </w:t>
      </w:r>
      <w:r w:rsidRPr="00790070">
        <w:rPr>
          <w:i/>
        </w:rPr>
        <w:t>Marketing research: Methodological foundations</w:t>
      </w:r>
      <w:r w:rsidR="00C31C5E" w:rsidRPr="00FC6087">
        <w:t xml:space="preserve"> (</w:t>
      </w:r>
      <w:r w:rsidRPr="00FC6087">
        <w:t>8th ed</w:t>
      </w:r>
      <w:r w:rsidR="00C31C5E" w:rsidRPr="00FC6087">
        <w:t>)</w:t>
      </w:r>
      <w:r w:rsidRPr="00FC6087">
        <w:t>. Orlando</w:t>
      </w:r>
      <w:r w:rsidR="00C31C5E" w:rsidRPr="00FC6087">
        <w:t>, FL</w:t>
      </w:r>
      <w:r w:rsidRPr="00FC6087">
        <w:t>: Harcourt College Publishers.</w:t>
      </w:r>
    </w:p>
    <w:p w14:paraId="7D516CB2" w14:textId="54759EBC" w:rsidR="00CC016E" w:rsidRDefault="00D6038F" w:rsidP="001200E8">
      <w:pPr>
        <w:pStyle w:val="APAReferences"/>
        <w:spacing w:line="480" w:lineRule="auto"/>
      </w:pPr>
      <w:r w:rsidRPr="00A1764C">
        <w:t>Cimperman, M., Brencic, M.,</w:t>
      </w:r>
      <w:r w:rsidR="005E7A62">
        <w:t xml:space="preserve"> &amp; </w:t>
      </w:r>
      <w:r>
        <w:t>Trkman, P. (</w:t>
      </w:r>
      <w:r w:rsidRPr="00A1764C">
        <w:t>2016</w:t>
      </w:r>
      <w:r>
        <w:t>)</w:t>
      </w:r>
      <w:r w:rsidRPr="00A1764C">
        <w:t xml:space="preserve">. Analyzing older users’ home telehealth services acceptance behavior—applying an Extended UTAUT model. </w:t>
      </w:r>
      <w:r w:rsidRPr="00A1764C">
        <w:rPr>
          <w:i/>
        </w:rPr>
        <w:t>International Journal of Medical Informatics</w:t>
      </w:r>
      <w:r w:rsidRPr="00EE1C3F">
        <w:rPr>
          <w:i/>
        </w:rPr>
        <w:t>, 90,</w:t>
      </w:r>
      <w:r w:rsidRPr="00A1764C">
        <w:t xml:space="preserve"> 22-31.</w:t>
      </w:r>
    </w:p>
    <w:p w14:paraId="7D516CB3" w14:textId="77777777" w:rsidR="00D6038F" w:rsidRPr="00CC016E" w:rsidRDefault="00D6038F" w:rsidP="001200E8">
      <w:pPr>
        <w:pStyle w:val="APAReferences"/>
        <w:spacing w:line="480" w:lineRule="auto"/>
      </w:pPr>
      <w:r>
        <w:rPr>
          <w:shd w:val="clear" w:color="auto" w:fill="FFFFFF"/>
        </w:rPr>
        <w:t xml:space="preserve">Cortina, J.M. (1993). </w:t>
      </w:r>
      <w:r w:rsidRPr="00A1764C">
        <w:rPr>
          <w:shd w:val="clear" w:color="auto" w:fill="FFFFFF"/>
        </w:rPr>
        <w:t>What is coefficient alpha? An examination of theory and applications</w:t>
      </w:r>
      <w:r>
        <w:rPr>
          <w:shd w:val="clear" w:color="auto" w:fill="FFFFFF"/>
        </w:rPr>
        <w:t xml:space="preserve">. </w:t>
      </w:r>
      <w:r w:rsidRPr="00A1764C">
        <w:rPr>
          <w:i/>
          <w:shd w:val="clear" w:color="auto" w:fill="FFFFFF"/>
        </w:rPr>
        <w:t>Journal of Applied Psychology</w:t>
      </w:r>
      <w:r w:rsidRPr="00A1764C">
        <w:rPr>
          <w:shd w:val="clear" w:color="auto" w:fill="FFFFFF"/>
        </w:rPr>
        <w:t xml:space="preserve">, </w:t>
      </w:r>
      <w:r w:rsidRPr="00EE1C3F">
        <w:rPr>
          <w:i/>
          <w:shd w:val="clear" w:color="auto" w:fill="FFFFFF"/>
        </w:rPr>
        <w:t>78</w:t>
      </w:r>
      <w:r w:rsidRPr="00C0447D">
        <w:rPr>
          <w:shd w:val="clear" w:color="auto" w:fill="FFFFFF"/>
        </w:rPr>
        <w:t>(1),</w:t>
      </w:r>
      <w:r w:rsidRPr="00A1764C">
        <w:rPr>
          <w:shd w:val="clear" w:color="auto" w:fill="FFFFFF"/>
        </w:rPr>
        <w:t xml:space="preserve"> 98-104.</w:t>
      </w:r>
    </w:p>
    <w:p w14:paraId="7D516CB4" w14:textId="6A8E7BB1" w:rsidR="00841C9A" w:rsidRPr="00FC6087" w:rsidRDefault="00841C9A" w:rsidP="001200E8">
      <w:pPr>
        <w:pStyle w:val="APAReferences"/>
        <w:spacing w:line="480" w:lineRule="auto"/>
      </w:pPr>
      <w:r w:rsidRPr="00FC6087">
        <w:t>Cote, J. A.,</w:t>
      </w:r>
      <w:r w:rsidR="005E7A62">
        <w:t xml:space="preserve"> &amp; </w:t>
      </w:r>
      <w:r w:rsidRPr="00FC6087">
        <w:t xml:space="preserve">Buckley, R. (1988). Measurement error and theory testing in consumer research: An illustration of the importance of construct validation. </w:t>
      </w:r>
      <w:r w:rsidRPr="00790070">
        <w:rPr>
          <w:i/>
        </w:rPr>
        <w:t>Journal of Consumer Research, 14</w:t>
      </w:r>
      <w:r w:rsidRPr="00FC6087">
        <w:t>, 579</w:t>
      </w:r>
      <w:r w:rsidR="00C31C5E" w:rsidRPr="00FC6087">
        <w:t>-</w:t>
      </w:r>
      <w:r w:rsidRPr="00FC6087">
        <w:t>582.</w:t>
      </w:r>
    </w:p>
    <w:p w14:paraId="7D516CB5" w14:textId="1BEEA3B2" w:rsidR="00841C9A" w:rsidRPr="00FC6087" w:rsidRDefault="00841C9A" w:rsidP="001200E8">
      <w:pPr>
        <w:pStyle w:val="APAReferences"/>
        <w:spacing w:line="480" w:lineRule="auto"/>
      </w:pPr>
      <w:r w:rsidRPr="00FC6087">
        <w:t>Cresswell, K.,</w:t>
      </w:r>
      <w:r w:rsidR="005E7A62">
        <w:t xml:space="preserve"> &amp; </w:t>
      </w:r>
      <w:r w:rsidRPr="00FC6087">
        <w:t xml:space="preserve">Sheikh, A. (2013). Organizational issues in the implementation and adoption of health information technology innovations: An interpretative review. </w:t>
      </w:r>
      <w:r w:rsidRPr="00FC6087">
        <w:rPr>
          <w:i/>
          <w:iCs/>
        </w:rPr>
        <w:t>International Journal of Medical Informatics, 82</w:t>
      </w:r>
      <w:r w:rsidRPr="00FC6087">
        <w:t>, 73-86.</w:t>
      </w:r>
    </w:p>
    <w:p w14:paraId="7D516CB6" w14:textId="685649A4" w:rsidR="00BF12CE" w:rsidRPr="00FC6087" w:rsidRDefault="00BF12CE" w:rsidP="001200E8">
      <w:pPr>
        <w:pStyle w:val="APAReferences"/>
        <w:spacing w:line="480" w:lineRule="auto"/>
      </w:pPr>
      <w:r w:rsidRPr="00FC6087">
        <w:t>Cresswell, K.,</w:t>
      </w:r>
      <w:r w:rsidR="005E7A62">
        <w:t xml:space="preserve"> &amp; </w:t>
      </w:r>
      <w:r w:rsidRPr="00FC6087">
        <w:t xml:space="preserve">Sheikh, A. (2015). Health information technology in hospitals: Current issues and future trends. </w:t>
      </w:r>
      <w:r w:rsidRPr="00FC6087">
        <w:rPr>
          <w:i/>
          <w:iCs/>
        </w:rPr>
        <w:t>Future Hospital Journal, 2</w:t>
      </w:r>
      <w:r w:rsidRPr="00FC6087">
        <w:t>, 50-56.</w:t>
      </w:r>
    </w:p>
    <w:p w14:paraId="7D516CB7" w14:textId="1DDE72A4" w:rsidR="00CC016E" w:rsidRDefault="00D6038F" w:rsidP="001200E8">
      <w:pPr>
        <w:pStyle w:val="APAReferences"/>
        <w:spacing w:line="480" w:lineRule="auto"/>
      </w:pPr>
      <w:r w:rsidRPr="00A1764C">
        <w:t>Davidson, E.</w:t>
      </w:r>
      <w:r w:rsidR="005E7A62">
        <w:t xml:space="preserve"> &amp; </w:t>
      </w:r>
      <w:r w:rsidRPr="00A1764C">
        <w:t xml:space="preserve">Heslinga, D. </w:t>
      </w:r>
      <w:r>
        <w:t>(</w:t>
      </w:r>
      <w:r w:rsidRPr="00A1764C">
        <w:t>2007</w:t>
      </w:r>
      <w:r>
        <w:t xml:space="preserve">). </w:t>
      </w:r>
      <w:r w:rsidRPr="00A1764C">
        <w:t>Bridging the IT adoption gap for small physician practices: An action research stud</w:t>
      </w:r>
      <w:r>
        <w:t>y on electronic health records.</w:t>
      </w:r>
      <w:r w:rsidRPr="00A1764C">
        <w:t xml:space="preserve"> </w:t>
      </w:r>
      <w:r w:rsidRPr="00FB5FF8">
        <w:rPr>
          <w:i/>
        </w:rPr>
        <w:t>Information systems management, 24</w:t>
      </w:r>
      <w:r w:rsidRPr="00A1764C">
        <w:t>, 15-28.</w:t>
      </w:r>
    </w:p>
    <w:p w14:paraId="7D516CB8" w14:textId="77777777" w:rsidR="00D6038F" w:rsidRPr="00CC016E" w:rsidRDefault="00D6038F" w:rsidP="001200E8">
      <w:pPr>
        <w:pStyle w:val="APAReferences"/>
        <w:spacing w:line="480" w:lineRule="auto"/>
      </w:pPr>
      <w:r w:rsidRPr="00A1764C">
        <w:rPr>
          <w:shd w:val="clear" w:color="auto" w:fill="FFFFFF"/>
        </w:rPr>
        <w:t>Davis, F. (1986)</w:t>
      </w:r>
      <w:r>
        <w:rPr>
          <w:shd w:val="clear" w:color="auto" w:fill="FFFFFF"/>
        </w:rPr>
        <w:t>.</w:t>
      </w:r>
      <w:r w:rsidRPr="00A1764C">
        <w:rPr>
          <w:shd w:val="clear" w:color="auto" w:fill="FFFFFF"/>
        </w:rPr>
        <w:t xml:space="preserve"> </w:t>
      </w:r>
      <w:r w:rsidRPr="00A1764C">
        <w:rPr>
          <w:rStyle w:val="Emphasis"/>
          <w:shd w:val="clear" w:color="auto" w:fill="FFFFFF"/>
        </w:rPr>
        <w:t>A Technology Acceptance Model for empirically testing new end-user information systems:</w:t>
      </w:r>
      <w:r w:rsidRPr="00A1764C">
        <w:rPr>
          <w:shd w:val="clear" w:color="auto" w:fill="FFFFFF"/>
        </w:rPr>
        <w:t> Theory and results. Sloan School of Management, Massachusetts Institute of Technology, Boston.</w:t>
      </w:r>
    </w:p>
    <w:p w14:paraId="7D516CB9" w14:textId="5C097766" w:rsidR="00841C9A" w:rsidRPr="00FC6087" w:rsidRDefault="00841C9A" w:rsidP="001200E8">
      <w:pPr>
        <w:pStyle w:val="APAReferences"/>
        <w:spacing w:line="480" w:lineRule="auto"/>
      </w:pPr>
      <w:r w:rsidRPr="00FC6087">
        <w:t>Davis, F. D., Bagozzi, R. P.,</w:t>
      </w:r>
      <w:r w:rsidR="005E7A62">
        <w:t xml:space="preserve"> &amp; </w:t>
      </w:r>
      <w:r w:rsidRPr="00FC6087">
        <w:t xml:space="preserve">Warshaw, P. R. (1992). Extrinsic and intrinsic motivation to use computers in the workplace. </w:t>
      </w:r>
      <w:r w:rsidRPr="00FC6087">
        <w:rPr>
          <w:i/>
          <w:iCs/>
        </w:rPr>
        <w:t>Journal of Applied Social Psychology, 22</w:t>
      </w:r>
      <w:r w:rsidRPr="00FC6087">
        <w:t>, 1111-1132.</w:t>
      </w:r>
    </w:p>
    <w:p w14:paraId="7D516CBA" w14:textId="2B7AA354" w:rsidR="00841C9A" w:rsidRPr="00FC6087" w:rsidRDefault="00841C9A" w:rsidP="001200E8">
      <w:pPr>
        <w:pStyle w:val="APAReferences"/>
        <w:spacing w:line="480" w:lineRule="auto"/>
      </w:pPr>
      <w:r w:rsidRPr="00FC6087">
        <w:t>De Almeida, J., Farias, J.,</w:t>
      </w:r>
      <w:r w:rsidR="005E7A62">
        <w:t xml:space="preserve"> &amp; </w:t>
      </w:r>
      <w:r w:rsidRPr="00FC6087">
        <w:t>Carvalho, H. (2017)</w:t>
      </w:r>
      <w:r w:rsidR="00C31C5E" w:rsidRPr="00FC6087">
        <w:t>.</w:t>
      </w:r>
      <w:r w:rsidRPr="00FC6087">
        <w:t xml:space="preserve"> Drivers of the </w:t>
      </w:r>
      <w:r w:rsidR="00C31C5E" w:rsidRPr="00FC6087">
        <w:t>technology adoption in healthcare</w:t>
      </w:r>
      <w:r w:rsidRPr="00FC6087">
        <w:t xml:space="preserve">. </w:t>
      </w:r>
      <w:r w:rsidRPr="00790070">
        <w:rPr>
          <w:i/>
        </w:rPr>
        <w:t>Brazilian Business Review, 14</w:t>
      </w:r>
      <w:r w:rsidRPr="00FC6087">
        <w:t xml:space="preserve">(3), 336-351. </w:t>
      </w:r>
    </w:p>
    <w:p w14:paraId="7D516CBB" w14:textId="27A84DD6" w:rsidR="00841C9A" w:rsidRPr="00FC6087" w:rsidRDefault="00841C9A" w:rsidP="001200E8">
      <w:pPr>
        <w:pStyle w:val="APAReferences"/>
        <w:spacing w:line="480" w:lineRule="auto"/>
      </w:pPr>
      <w:r w:rsidRPr="00FC6087">
        <w:t>Deci, E.,</w:t>
      </w:r>
      <w:r w:rsidR="005E7A62">
        <w:t xml:space="preserve"> &amp; </w:t>
      </w:r>
      <w:r w:rsidRPr="00FC6087">
        <w:t xml:space="preserve">Ryan, M. (1980). The empirical exploration of intrinsic motivational processes. </w:t>
      </w:r>
      <w:r w:rsidRPr="00FC6087">
        <w:rPr>
          <w:i/>
        </w:rPr>
        <w:t>Advances in Experimental Social Psychology, 13</w:t>
      </w:r>
      <w:r w:rsidRPr="00FC6087">
        <w:t>, 39-80.</w:t>
      </w:r>
    </w:p>
    <w:p w14:paraId="7D516CBC" w14:textId="7CAD3A6C" w:rsidR="00D6038F" w:rsidRPr="00A1764C" w:rsidRDefault="00D6038F" w:rsidP="001200E8">
      <w:pPr>
        <w:pStyle w:val="APAReferences"/>
        <w:spacing w:line="480" w:lineRule="auto"/>
      </w:pPr>
      <w:r w:rsidRPr="00A1764C">
        <w:t>DesRoches, C., Campbell, D.,</w:t>
      </w:r>
      <w:r w:rsidR="005E7A62">
        <w:t xml:space="preserve"> &amp; </w:t>
      </w:r>
      <w:r w:rsidRPr="00A1764C">
        <w:t>Rao, S. (2008)</w:t>
      </w:r>
      <w:r>
        <w:t>.</w:t>
      </w:r>
      <w:r w:rsidRPr="00A1764C">
        <w:t xml:space="preserve"> Electronic health records in ambulatory care: A national survey of physicians. </w:t>
      </w:r>
      <w:r w:rsidR="00697E47" w:rsidRPr="00C0447D">
        <w:rPr>
          <w:i/>
        </w:rPr>
        <w:t xml:space="preserve">The </w:t>
      </w:r>
      <w:r w:rsidRPr="00A1764C">
        <w:rPr>
          <w:i/>
        </w:rPr>
        <w:t>New Engl</w:t>
      </w:r>
      <w:r w:rsidR="00697E47">
        <w:rPr>
          <w:i/>
        </w:rPr>
        <w:t>and Journal of Medicine</w:t>
      </w:r>
      <w:r w:rsidRPr="00C0447D">
        <w:rPr>
          <w:i/>
        </w:rPr>
        <w:t>,</w:t>
      </w:r>
      <w:r w:rsidRPr="00A1764C">
        <w:rPr>
          <w:i/>
        </w:rPr>
        <w:t xml:space="preserve"> 359</w:t>
      </w:r>
      <w:r w:rsidRPr="00A1764C">
        <w:t>(1), 50-60.</w:t>
      </w:r>
    </w:p>
    <w:p w14:paraId="7D516CBD" w14:textId="4472ED30" w:rsidR="00841C9A" w:rsidRPr="00FC6087" w:rsidRDefault="00841C9A" w:rsidP="001200E8">
      <w:pPr>
        <w:pStyle w:val="APAReferences"/>
        <w:spacing w:line="480" w:lineRule="auto"/>
      </w:pPr>
      <w:r w:rsidRPr="00FC6087">
        <w:t>Devaraj, S.,</w:t>
      </w:r>
      <w:r w:rsidR="005E7A62">
        <w:t xml:space="preserve"> &amp; </w:t>
      </w:r>
      <w:r w:rsidRPr="00FC6087">
        <w:t>Kohli, R. (2000). Information technology payoff in the health-care industry: A longitudinal study.</w:t>
      </w:r>
      <w:r w:rsidRPr="00FC6087">
        <w:rPr>
          <w:i/>
          <w:iCs/>
        </w:rPr>
        <w:t xml:space="preserve"> Journal of Management Information Systems</w:t>
      </w:r>
      <w:r w:rsidRPr="00FC6087">
        <w:rPr>
          <w:i/>
        </w:rPr>
        <w:t>, 16</w:t>
      </w:r>
      <w:r w:rsidRPr="00FC6087">
        <w:t>, 41-67.</w:t>
      </w:r>
    </w:p>
    <w:p w14:paraId="7D516CBE" w14:textId="4647985A" w:rsidR="00841C9A" w:rsidRPr="00FC6087" w:rsidRDefault="00841C9A" w:rsidP="001200E8">
      <w:pPr>
        <w:pStyle w:val="APAReferences"/>
        <w:spacing w:line="480" w:lineRule="auto"/>
      </w:pPr>
      <w:r w:rsidRPr="00FC6087">
        <w:t>Donaldson, T.,</w:t>
      </w:r>
      <w:r w:rsidR="005E7A62">
        <w:t xml:space="preserve"> &amp; </w:t>
      </w:r>
      <w:r w:rsidRPr="00FC6087">
        <w:t>Preston, L.</w:t>
      </w:r>
      <w:r w:rsidR="00D97E6F">
        <w:t xml:space="preserve"> </w:t>
      </w:r>
      <w:r w:rsidRPr="00FC6087">
        <w:t xml:space="preserve">E. (1995). The stakeholder theory of the corporation: Concepts, evidence and implications. </w:t>
      </w:r>
      <w:r w:rsidRPr="00FC6087">
        <w:rPr>
          <w:i/>
          <w:iCs/>
        </w:rPr>
        <w:t>Academy of Management Review, 20</w:t>
      </w:r>
      <w:r w:rsidRPr="00FC6087">
        <w:t>, 65-91.</w:t>
      </w:r>
    </w:p>
    <w:p w14:paraId="7D516CBF" w14:textId="22E6747F" w:rsidR="00841C9A" w:rsidRPr="00FC6087" w:rsidRDefault="00841C9A" w:rsidP="001200E8">
      <w:pPr>
        <w:pStyle w:val="APAReferences"/>
        <w:spacing w:line="480" w:lineRule="auto"/>
      </w:pPr>
      <w:r w:rsidRPr="00FC6087">
        <w:t>Dwivedi, Y., Rana, N., Jeyaraj, A., Clement, M.,</w:t>
      </w:r>
      <w:r w:rsidR="005E7A62">
        <w:t xml:space="preserve"> &amp; </w:t>
      </w:r>
      <w:r w:rsidRPr="00FC6087">
        <w:t xml:space="preserve">Williams, M. (2017). Re-examining the </w:t>
      </w:r>
      <w:r w:rsidR="00C31C5E" w:rsidRPr="00FC6087">
        <w:t xml:space="preserve">unified theory of acceptance and use of technology </w:t>
      </w:r>
      <w:r w:rsidRPr="00FC6087">
        <w:t xml:space="preserve">(UTAUT): Towards a </w:t>
      </w:r>
      <w:r w:rsidR="00C31C5E" w:rsidRPr="00FC6087">
        <w:t>revised theoretical model</w:t>
      </w:r>
      <w:r w:rsidRPr="00FC6087">
        <w:t xml:space="preserve">. </w:t>
      </w:r>
      <w:r w:rsidRPr="00790070">
        <w:rPr>
          <w:i/>
        </w:rPr>
        <w:t>Information Systems Frontiers,</w:t>
      </w:r>
      <w:r w:rsidRPr="00FC6087">
        <w:t xml:space="preserve"> 1-16. </w:t>
      </w:r>
      <w:r w:rsidR="00E41112" w:rsidRPr="00FC6087">
        <w:t>Retrieved from https://doi.org/10.1007/s10796-017-9774-y</w:t>
      </w:r>
    </w:p>
    <w:p w14:paraId="7D516CC0" w14:textId="74F639AA" w:rsidR="00841C9A" w:rsidRPr="00FC6087" w:rsidRDefault="00841C9A" w:rsidP="001200E8">
      <w:pPr>
        <w:pStyle w:val="APAReferences"/>
        <w:spacing w:line="480" w:lineRule="auto"/>
      </w:pPr>
      <w:r w:rsidRPr="00FC6087">
        <w:t>Earnest, M., Ross, S., Wittevrongel, L., Moore, L.,</w:t>
      </w:r>
      <w:r w:rsidR="005E7A62">
        <w:t xml:space="preserve"> &amp; </w:t>
      </w:r>
      <w:r w:rsidRPr="00FC6087">
        <w:t xml:space="preserve">Lin, C. (2004) Use of a patient-accessible electronic medical record in a practice for congestive heart failure: Patient and physician experiences. </w:t>
      </w:r>
      <w:r w:rsidRPr="00FC6087">
        <w:rPr>
          <w:i/>
        </w:rPr>
        <w:t>Journal of the American Medical Informatics Association, 11</w:t>
      </w:r>
      <w:r w:rsidRPr="00FC6087">
        <w:t>, 410-417.</w:t>
      </w:r>
    </w:p>
    <w:p w14:paraId="7D516CC1" w14:textId="39988ACE" w:rsidR="00841C9A" w:rsidRPr="00FC6087" w:rsidRDefault="00841C9A" w:rsidP="001200E8">
      <w:pPr>
        <w:pStyle w:val="APAReferences"/>
        <w:spacing w:line="480" w:lineRule="auto"/>
      </w:pPr>
      <w:r w:rsidRPr="00FC6087">
        <w:t>Ebrahim, Z.,</w:t>
      </w:r>
      <w:r w:rsidR="005E7A62">
        <w:t xml:space="preserve"> &amp; </w:t>
      </w:r>
      <w:r w:rsidRPr="00FC6087">
        <w:t xml:space="preserve">Irani, Z. (2005). E-government adoption: Architecture and barriers. </w:t>
      </w:r>
      <w:r w:rsidRPr="00FC6087">
        <w:rPr>
          <w:i/>
          <w:iCs/>
        </w:rPr>
        <w:t>Business Process Management Journal, 11</w:t>
      </w:r>
      <w:r w:rsidRPr="00FC6087">
        <w:t>, 589-611.</w:t>
      </w:r>
    </w:p>
    <w:p w14:paraId="7D516CC2" w14:textId="66BAAC47" w:rsidR="00841C9A" w:rsidRPr="00FC6087" w:rsidRDefault="00841C9A" w:rsidP="001200E8">
      <w:pPr>
        <w:pStyle w:val="APAReferences"/>
        <w:spacing w:line="480" w:lineRule="auto"/>
      </w:pPr>
      <w:r w:rsidRPr="00FC6087">
        <w:t>Ehteshami, A., Peyman, R., Nahid, T.,</w:t>
      </w:r>
      <w:r w:rsidR="005E7A62">
        <w:t xml:space="preserve"> &amp; </w:t>
      </w:r>
      <w:r w:rsidRPr="00FC6087">
        <w:t xml:space="preserve">Mahtab, K. (2013). The role of health information technology in reducing preventable medical errors and improving patient safety. </w:t>
      </w:r>
      <w:r w:rsidRPr="00FC6087">
        <w:rPr>
          <w:i/>
          <w:iCs/>
        </w:rPr>
        <w:t>International Journal of Health Systems</w:t>
      </w:r>
      <w:r w:rsidR="005E7A62">
        <w:rPr>
          <w:i/>
          <w:iCs/>
        </w:rPr>
        <w:t xml:space="preserve"> &amp; </w:t>
      </w:r>
      <w:r w:rsidRPr="00FC6087">
        <w:rPr>
          <w:i/>
          <w:iCs/>
        </w:rPr>
        <w:t>Disaster Management, 1</w:t>
      </w:r>
      <w:r w:rsidRPr="00FC6087">
        <w:t>, 195-199.</w:t>
      </w:r>
    </w:p>
    <w:p w14:paraId="02DECEF0" w14:textId="3CAA7088" w:rsidR="00382A8C" w:rsidRDefault="00382A8C" w:rsidP="00382A8C">
      <w:pPr>
        <w:pStyle w:val="APAReferences"/>
        <w:spacing w:line="480" w:lineRule="auto"/>
      </w:pPr>
      <w:r>
        <w:t>Eckstein, D., Goellner, M., Blome, C. and Henke, M. (2015), “The performance impact of supply chain agility and supply chain adaptability: the moderating effect of product complexity”, International Journal of Production Research, Vol. 53 No. 10, pp. 3028-3046.</w:t>
      </w:r>
    </w:p>
    <w:p w14:paraId="7D516CC3" w14:textId="55D70AD5" w:rsidR="00CC016E" w:rsidRDefault="00D6038F" w:rsidP="001200E8">
      <w:pPr>
        <w:pStyle w:val="APAReferences"/>
        <w:spacing w:line="480" w:lineRule="auto"/>
      </w:pPr>
      <w:r w:rsidRPr="00A1764C">
        <w:t>El-Hassan, O., Sharif, A., Al Redha, M.,</w:t>
      </w:r>
      <w:r w:rsidR="005E7A62">
        <w:t xml:space="preserve"> &amp; </w:t>
      </w:r>
      <w:r w:rsidRPr="00A1764C">
        <w:t xml:space="preserve">Blair, I. </w:t>
      </w:r>
      <w:r>
        <w:t>(</w:t>
      </w:r>
      <w:r w:rsidRPr="00A1764C">
        <w:t>2017</w:t>
      </w:r>
      <w:r>
        <w:t>)</w:t>
      </w:r>
      <w:r w:rsidRPr="00A1764C">
        <w:t xml:space="preserve">. Tracking the implementation of electronic medical records in Dubai, United Arab Emirates, using an adoption benchmarking tool. </w:t>
      </w:r>
      <w:r w:rsidR="00C34054" w:rsidRPr="00C0447D">
        <w:rPr>
          <w:i/>
        </w:rPr>
        <w:t xml:space="preserve">Studies in Health Technology and Informatics, </w:t>
      </w:r>
      <w:r w:rsidR="00BE7842" w:rsidRPr="00C0447D">
        <w:rPr>
          <w:i/>
        </w:rPr>
        <w:t>245</w:t>
      </w:r>
      <w:r w:rsidR="00C34054">
        <w:t xml:space="preserve">, </w:t>
      </w:r>
      <w:r w:rsidR="00BE7842" w:rsidRPr="00BE7842">
        <w:t>64-68.</w:t>
      </w:r>
      <w:r w:rsidRPr="00A1764C">
        <w:t xml:space="preserve"> </w:t>
      </w:r>
    </w:p>
    <w:p w14:paraId="7D516CC4" w14:textId="46C117EC" w:rsidR="00D6038F" w:rsidRPr="00A1764C" w:rsidRDefault="00D6038F" w:rsidP="001200E8">
      <w:pPr>
        <w:pStyle w:val="APAReferences"/>
        <w:spacing w:line="480" w:lineRule="auto"/>
      </w:pPr>
      <w:r w:rsidRPr="00A1764C">
        <w:t>Elms, H., Berman</w:t>
      </w:r>
      <w:r w:rsidR="00D35E1E">
        <w:t>,</w:t>
      </w:r>
      <w:r w:rsidR="00D35E1E" w:rsidRPr="00D35E1E">
        <w:t xml:space="preserve"> </w:t>
      </w:r>
      <w:r w:rsidR="00D35E1E" w:rsidRPr="00A1764C">
        <w:t>S..</w:t>
      </w:r>
      <w:r w:rsidR="00D35E1E">
        <w:t>,</w:t>
      </w:r>
      <w:r w:rsidR="005E7A62">
        <w:t xml:space="preserve"> &amp; </w:t>
      </w:r>
      <w:r w:rsidRPr="00A1764C">
        <w:t>Wicks</w:t>
      </w:r>
      <w:r w:rsidR="00D35E1E">
        <w:t>,</w:t>
      </w:r>
      <w:r w:rsidR="00D35E1E" w:rsidRPr="00D35E1E">
        <w:t xml:space="preserve"> </w:t>
      </w:r>
      <w:r w:rsidR="00D35E1E" w:rsidRPr="00A1764C">
        <w:t>A.</w:t>
      </w:r>
      <w:r w:rsidR="00D35E1E">
        <w:t xml:space="preserve"> </w:t>
      </w:r>
      <w:r w:rsidR="00D35E1E" w:rsidRPr="00A1764C">
        <w:t>C.</w:t>
      </w:r>
      <w:r w:rsidRPr="00A1764C">
        <w:t xml:space="preserve"> </w:t>
      </w:r>
      <w:r>
        <w:t>(</w:t>
      </w:r>
      <w:r w:rsidRPr="00A1764C">
        <w:t>2002</w:t>
      </w:r>
      <w:r>
        <w:t>)</w:t>
      </w:r>
      <w:r w:rsidRPr="00A1764C">
        <w:t xml:space="preserve">. Ethics and </w:t>
      </w:r>
      <w:r w:rsidR="00D35E1E">
        <w:t>i</w:t>
      </w:r>
      <w:r w:rsidRPr="00A1764C">
        <w:t xml:space="preserve">ncentives: An </w:t>
      </w:r>
      <w:r w:rsidR="00D35E1E" w:rsidRPr="00A1764C">
        <w:t>evaluation and development of stakeholder theory in the health care industry</w:t>
      </w:r>
      <w:r w:rsidRPr="00A1764C">
        <w:t>.</w:t>
      </w:r>
      <w:r>
        <w:t xml:space="preserve"> </w:t>
      </w:r>
      <w:r w:rsidRPr="00A1764C">
        <w:rPr>
          <w:i/>
        </w:rPr>
        <w:t>Business Ethics Quarterly,</w:t>
      </w:r>
      <w:r w:rsidRPr="00A1764C">
        <w:t xml:space="preserve"> </w:t>
      </w:r>
      <w:r w:rsidRPr="00FB5FF8">
        <w:rPr>
          <w:i/>
        </w:rPr>
        <w:t>12</w:t>
      </w:r>
      <w:r w:rsidRPr="00C0447D">
        <w:t>(4),</w:t>
      </w:r>
      <w:r>
        <w:t xml:space="preserve"> </w:t>
      </w:r>
      <w:r w:rsidRPr="00A1764C">
        <w:t>413</w:t>
      </w:r>
      <w:r w:rsidR="00D35E1E">
        <w:t>-</w:t>
      </w:r>
      <w:r w:rsidRPr="00A1764C">
        <w:t>432</w:t>
      </w:r>
      <w:r w:rsidR="00D35E1E">
        <w:t>.</w:t>
      </w:r>
    </w:p>
    <w:p w14:paraId="7D516CC5" w14:textId="77777777" w:rsidR="00841C9A" w:rsidRPr="00FC6087" w:rsidRDefault="00841C9A" w:rsidP="001200E8">
      <w:pPr>
        <w:pStyle w:val="APAReferences"/>
        <w:spacing w:line="480" w:lineRule="auto"/>
      </w:pPr>
      <w:r w:rsidRPr="00FC6087">
        <w:t>Emani, S., Yamin, C., Peters, E., Karson, A., Lipsitz, S., Wald, J.,</w:t>
      </w:r>
      <w:r w:rsidR="005B4B25" w:rsidRPr="00FC6087">
        <w:t xml:space="preserve"> et al.</w:t>
      </w:r>
      <w:r w:rsidRPr="00FC6087">
        <w:t xml:space="preserve"> (2012). Patient perceptions of a personal health record: A test of the </w:t>
      </w:r>
      <w:r w:rsidR="005B4B25" w:rsidRPr="00FC6087">
        <w:t>diffusion of innovation model</w:t>
      </w:r>
      <w:r w:rsidRPr="00FC6087">
        <w:t xml:space="preserve">. </w:t>
      </w:r>
      <w:r w:rsidRPr="00FC6087">
        <w:rPr>
          <w:i/>
          <w:iCs/>
        </w:rPr>
        <w:t>Journal of Medical Internet Research, 14</w:t>
      </w:r>
      <w:r w:rsidRPr="00FC6087">
        <w:t>, e150.</w:t>
      </w:r>
    </w:p>
    <w:p w14:paraId="7D516CC6" w14:textId="3B0DDC9A" w:rsidR="00841C9A" w:rsidRPr="00FC6087" w:rsidRDefault="00841C9A" w:rsidP="001200E8">
      <w:pPr>
        <w:pStyle w:val="APAReferences"/>
        <w:spacing w:line="480" w:lineRule="auto"/>
      </w:pPr>
      <w:r w:rsidRPr="00FC6087">
        <w:t>Farsi, M.,</w:t>
      </w:r>
      <w:r w:rsidR="005E7A62">
        <w:t xml:space="preserve"> &amp; </w:t>
      </w:r>
      <w:r w:rsidRPr="00FC6087">
        <w:t>West, D. (2006). Use of electronic medical records in Oman and physician satisfaction</w:t>
      </w:r>
      <w:r w:rsidRPr="00FC6087">
        <w:rPr>
          <w:i/>
          <w:iCs/>
        </w:rPr>
        <w:t>. </w:t>
      </w:r>
      <w:r w:rsidRPr="00FC6087">
        <w:rPr>
          <w:i/>
        </w:rPr>
        <w:t>Journal of Medical Systems, 30</w:t>
      </w:r>
      <w:r w:rsidRPr="00FC6087">
        <w:t>, 17-22.</w:t>
      </w:r>
    </w:p>
    <w:p w14:paraId="7D516CC7" w14:textId="6406DED9" w:rsidR="00D6038F" w:rsidRPr="00CC016E" w:rsidRDefault="00F771A1" w:rsidP="001200E8">
      <w:pPr>
        <w:pStyle w:val="APAReferences"/>
        <w:spacing w:line="480" w:lineRule="auto"/>
      </w:pPr>
      <w:hyperlink r:id="rId67" w:history="1">
        <w:r w:rsidR="00D6038F" w:rsidRPr="00A1764C">
          <w:t>Farzandipur</w:t>
        </w:r>
      </w:hyperlink>
      <w:r w:rsidR="00D6038F" w:rsidRPr="00A1764C">
        <w:t>, M., Jeddi, F.,</w:t>
      </w:r>
      <w:r w:rsidR="005E7A62">
        <w:t xml:space="preserve"> &amp; </w:t>
      </w:r>
      <w:r w:rsidR="00D6038F" w:rsidRPr="00A1764C">
        <w:t>Azimi, E. (2016)</w:t>
      </w:r>
      <w:r w:rsidR="00D6038F">
        <w:t>.</w:t>
      </w:r>
      <w:r w:rsidR="00D6038F" w:rsidRPr="00A1764C">
        <w:t xml:space="preserve"> Factors </w:t>
      </w:r>
      <w:r w:rsidR="00C34054" w:rsidRPr="00A1764C">
        <w:t>affecting successful implementation of hospital information systems</w:t>
      </w:r>
      <w:r w:rsidR="00D6038F" w:rsidRPr="00A1764C">
        <w:t xml:space="preserve">. </w:t>
      </w:r>
      <w:r w:rsidR="00D6038F" w:rsidRPr="00A1764C">
        <w:rPr>
          <w:i/>
        </w:rPr>
        <w:t xml:space="preserve">ACTA </w:t>
      </w:r>
      <w:r w:rsidR="00C34054">
        <w:rPr>
          <w:i/>
        </w:rPr>
        <w:t>I</w:t>
      </w:r>
      <w:r w:rsidR="00D6038F" w:rsidRPr="00A1764C">
        <w:rPr>
          <w:i/>
        </w:rPr>
        <w:t>nformatica</w:t>
      </w:r>
      <w:r w:rsidR="00473018">
        <w:rPr>
          <w:i/>
        </w:rPr>
        <w:t xml:space="preserve"> </w:t>
      </w:r>
      <w:r w:rsidR="00D6038F" w:rsidRPr="00A1764C">
        <w:rPr>
          <w:i/>
        </w:rPr>
        <w:t>Medica-Journal of Academy of Medical Scie</w:t>
      </w:r>
      <w:r w:rsidR="00D6038F">
        <w:rPr>
          <w:i/>
        </w:rPr>
        <w:t>nces of Bosnia and Herzegovina, 24</w:t>
      </w:r>
      <w:r w:rsidR="00D6038F" w:rsidRPr="00C0447D">
        <w:t>(1),</w:t>
      </w:r>
      <w:r w:rsidR="00D6038F">
        <w:rPr>
          <w:i/>
        </w:rPr>
        <w:t xml:space="preserve"> </w:t>
      </w:r>
      <w:r w:rsidR="00D6038F" w:rsidRPr="00FB5FF8">
        <w:t>51</w:t>
      </w:r>
      <w:r w:rsidR="00C34054">
        <w:t>-</w:t>
      </w:r>
      <w:r w:rsidR="00D6038F" w:rsidRPr="00FB5FF8">
        <w:t>55.</w:t>
      </w:r>
    </w:p>
    <w:p w14:paraId="7D516CC8" w14:textId="423F0594" w:rsidR="00841C9A" w:rsidRPr="00FC6087" w:rsidRDefault="00841C9A" w:rsidP="001200E8">
      <w:pPr>
        <w:pStyle w:val="APAReferences"/>
        <w:spacing w:line="480" w:lineRule="auto"/>
      </w:pPr>
      <w:r w:rsidRPr="00FC6087">
        <w:t>Fedorowicz, J., Gogan, J.,</w:t>
      </w:r>
      <w:r w:rsidR="005E7A62">
        <w:t xml:space="preserve"> &amp; </w:t>
      </w:r>
      <w:r w:rsidRPr="00FC6087">
        <w:t xml:space="preserve">Culnan, M. (2010). Barriers to inter-organizational information sharing in eGovernment: A stakeholder analysis. </w:t>
      </w:r>
      <w:r w:rsidRPr="00FC6087">
        <w:rPr>
          <w:i/>
          <w:iCs/>
        </w:rPr>
        <w:t>The Information Society, 26</w:t>
      </w:r>
      <w:r w:rsidRPr="00FC6087">
        <w:t xml:space="preserve">, 315-329. </w:t>
      </w:r>
    </w:p>
    <w:p w14:paraId="7D516CC9" w14:textId="16FAD2C3" w:rsidR="00841C9A" w:rsidRPr="00FC6087" w:rsidRDefault="00841C9A" w:rsidP="001200E8">
      <w:pPr>
        <w:pStyle w:val="APAReferences"/>
        <w:spacing w:line="480" w:lineRule="auto"/>
      </w:pPr>
      <w:r w:rsidRPr="00FC6087">
        <w:t>Fishbein, M.,</w:t>
      </w:r>
      <w:r w:rsidR="005E7A62">
        <w:t xml:space="preserve"> &amp; </w:t>
      </w:r>
      <w:r w:rsidRPr="00FC6087">
        <w:t xml:space="preserve">Ajzen, I. (1975). </w:t>
      </w:r>
      <w:r w:rsidRPr="00790070">
        <w:rPr>
          <w:i/>
        </w:rPr>
        <w:t>Belief, attitude, intention and behavior: An introduction to theory and research</w:t>
      </w:r>
      <w:r w:rsidRPr="00FC6087">
        <w:t>. Reading, MA: Addison-Wesley.</w:t>
      </w:r>
    </w:p>
    <w:p w14:paraId="7D516CCA" w14:textId="7DA97127" w:rsidR="00841C9A" w:rsidRPr="00FC6087" w:rsidRDefault="00841C9A" w:rsidP="001200E8">
      <w:pPr>
        <w:pStyle w:val="APAReferences"/>
        <w:spacing w:line="480" w:lineRule="auto"/>
      </w:pPr>
      <w:r w:rsidRPr="00FC6087">
        <w:t>Fisher, J.,</w:t>
      </w:r>
      <w:r w:rsidR="005E7A62">
        <w:t xml:space="preserve"> &amp; </w:t>
      </w:r>
      <w:r w:rsidRPr="00FC6087">
        <w:t xml:space="preserve">Clayton, M. (2012). Who gives a tweet: Assessing patients’ interest in the use of social media for health care. </w:t>
      </w:r>
      <w:r w:rsidRPr="00FC6087">
        <w:rPr>
          <w:i/>
          <w:iCs/>
        </w:rPr>
        <w:t>Worldviews on Evidence-Based Nursing, 9</w:t>
      </w:r>
      <w:r w:rsidRPr="00FC6087">
        <w:t>, 100-108.</w:t>
      </w:r>
    </w:p>
    <w:p w14:paraId="7D516CCB" w14:textId="3C6549B6" w:rsidR="00841C9A" w:rsidRPr="00FC6087" w:rsidRDefault="00841C9A" w:rsidP="001200E8">
      <w:pPr>
        <w:pStyle w:val="APAReferences"/>
        <w:spacing w:line="480" w:lineRule="auto"/>
      </w:pPr>
      <w:r w:rsidRPr="00FC6087">
        <w:t>Flak, L.,</w:t>
      </w:r>
      <w:r w:rsidR="005E7A62">
        <w:t xml:space="preserve"> &amp; </w:t>
      </w:r>
      <w:r w:rsidRPr="00FC6087">
        <w:t xml:space="preserve">Rose, J. (2005). Stakeholder governance: Adapting stakeholder theory to e-government. </w:t>
      </w:r>
      <w:r w:rsidRPr="00FC6087">
        <w:rPr>
          <w:i/>
          <w:iCs/>
        </w:rPr>
        <w:t>Communications of the Association for Information Systems, 16</w:t>
      </w:r>
      <w:r w:rsidRPr="00FC6087">
        <w:t>, 1-46.</w:t>
      </w:r>
    </w:p>
    <w:p w14:paraId="7D516CCC" w14:textId="1CA8B30B" w:rsidR="00841C9A" w:rsidRPr="00FC6087" w:rsidRDefault="00841C9A" w:rsidP="001200E8">
      <w:pPr>
        <w:pStyle w:val="APAReferences"/>
        <w:spacing w:line="480" w:lineRule="auto"/>
      </w:pPr>
      <w:r w:rsidRPr="00FC6087">
        <w:t>Fontaine, C., Haarman, A.,</w:t>
      </w:r>
      <w:r w:rsidR="005E7A62">
        <w:t xml:space="preserve"> &amp; </w:t>
      </w:r>
      <w:r w:rsidRPr="00FC6087">
        <w:t xml:space="preserve">Schmid, S. (2006). </w:t>
      </w:r>
      <w:r w:rsidRPr="00FC6087">
        <w:rPr>
          <w:i/>
        </w:rPr>
        <w:t>The stakeholder theory</w:t>
      </w:r>
      <w:r w:rsidRPr="00FC6087">
        <w:t xml:space="preserve">. </w:t>
      </w:r>
      <w:r w:rsidR="00320131" w:rsidRPr="00FC6087">
        <w:t>Research Paper. Bordeaux, France: Edalys Dévelopment Durable et Responsabilité d’Enterprise</w:t>
      </w:r>
      <w:r w:rsidRPr="00FC6087">
        <w:t>. Retrieved from https://pdfs.semanticscholar.org/606a/828294dafd62aeda92a77bd7e5d0a39af56f.pdf</w:t>
      </w:r>
    </w:p>
    <w:p w14:paraId="7D516CCD" w14:textId="593AE11D" w:rsidR="00841C9A" w:rsidRPr="00FC6087" w:rsidRDefault="00841C9A" w:rsidP="001200E8">
      <w:pPr>
        <w:pStyle w:val="APAReferences"/>
        <w:spacing w:line="480" w:lineRule="auto"/>
      </w:pPr>
      <w:r w:rsidRPr="00FC6087">
        <w:t>Ford, E., Menachemi, N.,</w:t>
      </w:r>
      <w:r w:rsidR="005E7A62">
        <w:t xml:space="preserve"> &amp; </w:t>
      </w:r>
      <w:r w:rsidRPr="00FC6087">
        <w:t>Phillips, M.(2006). Predicting the adoption of electronic health records by physicians: When will health care be paperless</w:t>
      </w:r>
      <w:r w:rsidRPr="00FC6087">
        <w:rPr>
          <w:i/>
          <w:iCs/>
        </w:rPr>
        <w:t>?</w:t>
      </w:r>
      <w:r w:rsidR="00C34054">
        <w:rPr>
          <w:i/>
          <w:iCs/>
        </w:rPr>
        <w:t xml:space="preserve"> </w:t>
      </w:r>
      <w:r w:rsidRPr="00FC6087">
        <w:rPr>
          <w:i/>
        </w:rPr>
        <w:t>Journal of the American Medical Informatics Association, 13</w:t>
      </w:r>
      <w:r w:rsidRPr="00FC6087">
        <w:t>, 106-112.</w:t>
      </w:r>
    </w:p>
    <w:p w14:paraId="7D516CCE" w14:textId="77777777" w:rsidR="00841C9A" w:rsidRPr="00FC6087" w:rsidRDefault="00841C9A" w:rsidP="001200E8">
      <w:pPr>
        <w:pStyle w:val="APAReferences"/>
        <w:spacing w:line="480" w:lineRule="auto"/>
      </w:pPr>
      <w:r w:rsidRPr="00FC6087">
        <w:t xml:space="preserve">Fox, J. (2008). </w:t>
      </w:r>
      <w:r w:rsidRPr="00FC6087">
        <w:rPr>
          <w:i/>
          <w:iCs/>
        </w:rPr>
        <w:t>An introduction to structural equation modeling</w:t>
      </w:r>
      <w:r w:rsidRPr="00FC6087">
        <w:t xml:space="preserve">. </w:t>
      </w:r>
      <w:r w:rsidR="008B2B5D" w:rsidRPr="00FC6087">
        <w:t xml:space="preserve">Rio de Janeiro: Programa de Computação Científica, FIOCRUZ. </w:t>
      </w:r>
      <w:r w:rsidRPr="00FC6087">
        <w:t>Retrieved from https://socialsciences.mcmaster.ca/jfox/Courses/Brazil-2008/SEMs-notes.pdf</w:t>
      </w:r>
    </w:p>
    <w:p w14:paraId="7D516CCF" w14:textId="77777777" w:rsidR="008B2B5D" w:rsidRPr="00FC6087" w:rsidRDefault="008B2B5D" w:rsidP="001200E8">
      <w:pPr>
        <w:pStyle w:val="APAReferences"/>
        <w:spacing w:line="480" w:lineRule="auto"/>
      </w:pPr>
      <w:r w:rsidRPr="00FC6087">
        <w:t>Freeman, R. E. (1984). Strategic management: A stakeholder approach. Boston, MA: Pitman.</w:t>
      </w:r>
    </w:p>
    <w:p w14:paraId="7D516CD0" w14:textId="55B8951A" w:rsidR="00841C9A" w:rsidRPr="00FC6087" w:rsidRDefault="00841C9A" w:rsidP="001200E8">
      <w:pPr>
        <w:pStyle w:val="APAReferences"/>
        <w:spacing w:line="480" w:lineRule="auto"/>
      </w:pPr>
      <w:r w:rsidRPr="00FC6087">
        <w:t>Freeman, R. E., Harrison, J. S., Wicks, A. C., Parmar, B. L.,</w:t>
      </w:r>
      <w:r w:rsidR="005E7A62">
        <w:t xml:space="preserve"> &amp; </w:t>
      </w:r>
      <w:r w:rsidRPr="00FC6087">
        <w:t xml:space="preserve">de Colle, S. (2010). </w:t>
      </w:r>
      <w:r w:rsidRPr="00FC6087">
        <w:rPr>
          <w:i/>
          <w:iCs/>
        </w:rPr>
        <w:t>Stakeholder theory: The state of the art</w:t>
      </w:r>
      <w:r w:rsidRPr="00FC6087">
        <w:t>. Cambridge, UK: Cambridge University Press.</w:t>
      </w:r>
    </w:p>
    <w:p w14:paraId="7D516CD1" w14:textId="2113684A" w:rsidR="00841C9A" w:rsidRPr="00FC6087" w:rsidRDefault="00841C9A" w:rsidP="001200E8">
      <w:pPr>
        <w:pStyle w:val="APAReferences"/>
        <w:spacing w:line="480" w:lineRule="auto"/>
      </w:pPr>
      <w:r w:rsidRPr="00FC6087">
        <w:t>Freeman, R. E., Rusconi, R., Signori, S.,</w:t>
      </w:r>
      <w:r w:rsidR="005E7A62">
        <w:t xml:space="preserve"> &amp; </w:t>
      </w:r>
      <w:r w:rsidRPr="00FC6087">
        <w:t xml:space="preserve">Strudler, A. (2012) Stakeholder theory(ies): Ethical ideas and managerial action. </w:t>
      </w:r>
      <w:r w:rsidRPr="00FC6087">
        <w:rPr>
          <w:i/>
        </w:rPr>
        <w:t>Journal of Business Ethics, 1091</w:t>
      </w:r>
      <w:r w:rsidRPr="00FC6087">
        <w:t>, 1-2.</w:t>
      </w:r>
    </w:p>
    <w:p w14:paraId="7D516CD2" w14:textId="6176518D" w:rsidR="00841C9A" w:rsidRPr="00FC6087" w:rsidRDefault="00841C9A" w:rsidP="001200E8">
      <w:pPr>
        <w:pStyle w:val="APAReferences"/>
        <w:spacing w:line="480" w:lineRule="auto"/>
      </w:pPr>
      <w:r w:rsidRPr="00FC6087">
        <w:t>Friedman, A. L.,</w:t>
      </w:r>
      <w:r w:rsidR="005E7A62">
        <w:t xml:space="preserve"> &amp; </w:t>
      </w:r>
      <w:r w:rsidRPr="00FC6087">
        <w:t xml:space="preserve">Miles, S. (2006). </w:t>
      </w:r>
      <w:r w:rsidRPr="00FC6087">
        <w:rPr>
          <w:i/>
          <w:iCs/>
        </w:rPr>
        <w:t>Stakeholders: Theory and practice</w:t>
      </w:r>
      <w:r w:rsidRPr="00FC6087">
        <w:t>. Oxford, UK: Oxford University Press.</w:t>
      </w:r>
    </w:p>
    <w:p w14:paraId="7D516CD3" w14:textId="77777777" w:rsidR="00CC016E" w:rsidRDefault="00D6038F" w:rsidP="001200E8">
      <w:pPr>
        <w:pStyle w:val="APAReferences"/>
        <w:spacing w:line="480" w:lineRule="auto"/>
      </w:pPr>
      <w:r w:rsidRPr="00A1764C">
        <w:t xml:space="preserve">Frooman, J. (1999). Stakeholder influence strategies. </w:t>
      </w:r>
      <w:r w:rsidRPr="00A1764C">
        <w:rPr>
          <w:i/>
        </w:rPr>
        <w:t>Academy of Management Review, 24</w:t>
      </w:r>
      <w:r w:rsidRPr="00A1764C">
        <w:t>, 191-205.</w:t>
      </w:r>
    </w:p>
    <w:p w14:paraId="7D516CD4" w14:textId="37BC32C6" w:rsidR="00D6038F" w:rsidRPr="00A1764C" w:rsidRDefault="00D6038F" w:rsidP="001200E8">
      <w:pPr>
        <w:pStyle w:val="APAReferences"/>
        <w:spacing w:line="480" w:lineRule="auto"/>
      </w:pPr>
      <w:r w:rsidRPr="00A1764C">
        <w:t>Gagnon, M., Asua, J.,</w:t>
      </w:r>
      <w:r w:rsidR="005E7A62">
        <w:t xml:space="preserve"> &amp; </w:t>
      </w:r>
      <w:r>
        <w:t>Emparanza, J. (</w:t>
      </w:r>
      <w:r w:rsidRPr="00A1764C">
        <w:t>2012</w:t>
      </w:r>
      <w:r>
        <w:t>)</w:t>
      </w:r>
      <w:r w:rsidRPr="00A1764C">
        <w:t xml:space="preserve">. Using a </w:t>
      </w:r>
      <w:r w:rsidR="00EE52DD" w:rsidRPr="00A1764C">
        <w:t>modified technology acceptance model to evaluate healthcare professionals’ adoption of a new telemonitoring system</w:t>
      </w:r>
      <w:r w:rsidRPr="00A1764C">
        <w:t xml:space="preserve">. </w:t>
      </w:r>
      <w:r w:rsidR="00A0382F" w:rsidRPr="00A1764C">
        <w:rPr>
          <w:i/>
        </w:rPr>
        <w:t>Telemedicine and e-Health</w:t>
      </w:r>
      <w:r w:rsidR="00A0382F" w:rsidRPr="00C0447D">
        <w:rPr>
          <w:i/>
        </w:rPr>
        <w:t>, 18</w:t>
      </w:r>
      <w:r w:rsidR="00A0382F" w:rsidRPr="00A0382F">
        <w:t>(1):54-</w:t>
      </w:r>
      <w:r w:rsidR="00A0382F">
        <w:t>5</w:t>
      </w:r>
      <w:r w:rsidR="00A0382F" w:rsidRPr="00A0382F">
        <w:t>9.</w:t>
      </w:r>
    </w:p>
    <w:p w14:paraId="7D516CD5" w14:textId="77777777" w:rsidR="00841C9A" w:rsidRPr="00FC6087" w:rsidRDefault="00841C9A" w:rsidP="001200E8">
      <w:pPr>
        <w:pStyle w:val="APAReferences"/>
        <w:spacing w:line="480" w:lineRule="auto"/>
      </w:pPr>
      <w:r w:rsidRPr="00FC6087">
        <w:t>Gagnon, M., Simonyan, D., Ghandour, E., Godin, G., Labrecque, M., Ouimet, M.</w:t>
      </w:r>
      <w:r w:rsidR="0042175F" w:rsidRPr="00FC6087">
        <w:t>, et al.</w:t>
      </w:r>
      <w:r w:rsidRPr="00FC6087">
        <w:t xml:space="preserve"> (2016). Factors influencing electronic health record adoption by physicians: A multilevel analysis. </w:t>
      </w:r>
      <w:r w:rsidRPr="00FC6087">
        <w:rPr>
          <w:i/>
          <w:iCs/>
        </w:rPr>
        <w:t>International Journal of Information Management</w:t>
      </w:r>
      <w:r w:rsidRPr="00FC6087">
        <w:rPr>
          <w:i/>
        </w:rPr>
        <w:t>, 36</w:t>
      </w:r>
      <w:r w:rsidRPr="00FC6087">
        <w:t>, 258-70.</w:t>
      </w:r>
    </w:p>
    <w:p w14:paraId="7D516CD6" w14:textId="36587CE1" w:rsidR="00841C9A" w:rsidRPr="00FC6087" w:rsidRDefault="00841C9A" w:rsidP="001200E8">
      <w:pPr>
        <w:pStyle w:val="APAReferences"/>
        <w:spacing w:line="480" w:lineRule="auto"/>
      </w:pPr>
      <w:r w:rsidRPr="00FC6087">
        <w:t>Gary, J.,</w:t>
      </w:r>
      <w:r w:rsidR="005E7A62">
        <w:t xml:space="preserve"> &amp; </w:t>
      </w:r>
      <w:r w:rsidRPr="00FC6087">
        <w:t>von der Gracht, H. (2015)</w:t>
      </w:r>
      <w:r w:rsidR="0042175F" w:rsidRPr="00FC6087">
        <w:t xml:space="preserve">. </w:t>
      </w:r>
      <w:r w:rsidRPr="00FC6087">
        <w:t>The future of foresight professionals: Results from a global Delphi study</w:t>
      </w:r>
      <w:r w:rsidR="0042175F" w:rsidRPr="00FC6087">
        <w:t>.</w:t>
      </w:r>
      <w:r w:rsidR="00A0382F">
        <w:t xml:space="preserve"> </w:t>
      </w:r>
      <w:r w:rsidRPr="00790070">
        <w:rPr>
          <w:i/>
        </w:rPr>
        <w:t>Futures, 71</w:t>
      </w:r>
      <w:r w:rsidRPr="00FC6087">
        <w:t>, 132</w:t>
      </w:r>
      <w:r w:rsidR="0042175F" w:rsidRPr="00FC6087">
        <w:t>-</w:t>
      </w:r>
      <w:r w:rsidRPr="00FC6087">
        <w:t xml:space="preserve">145. </w:t>
      </w:r>
    </w:p>
    <w:p w14:paraId="7D516CD7" w14:textId="6EC40382" w:rsidR="00D6038F" w:rsidRDefault="00D6038F" w:rsidP="001200E8">
      <w:pPr>
        <w:pStyle w:val="APAReferences"/>
        <w:spacing w:line="480" w:lineRule="auto"/>
      </w:pPr>
      <w:r w:rsidRPr="00CC016E">
        <w:t>Gattiker, T. F.</w:t>
      </w:r>
      <w:r w:rsidR="005E7A62">
        <w:t xml:space="preserve"> &amp; </w:t>
      </w:r>
      <w:r w:rsidRPr="00CC016E">
        <w:t xml:space="preserve">Goodhue, D. L. 2005. What happens after ERP implementation: understanding the impact of interdependence and differentiation on plant-level outcomes. </w:t>
      </w:r>
      <w:r w:rsidRPr="00CC016E">
        <w:rPr>
          <w:i/>
        </w:rPr>
        <w:t>MIS Quarterly</w:t>
      </w:r>
      <w:r w:rsidRPr="00CC016E">
        <w:t>, 559-585.</w:t>
      </w:r>
    </w:p>
    <w:p w14:paraId="7D516CD8" w14:textId="352A226F" w:rsidR="00841C9A" w:rsidRPr="00FC6087" w:rsidRDefault="00841C9A" w:rsidP="001200E8">
      <w:pPr>
        <w:pStyle w:val="APAReferences"/>
        <w:spacing w:line="480" w:lineRule="auto"/>
      </w:pPr>
      <w:r w:rsidRPr="00FC6087">
        <w:t>Ghazisaeidi, M., Ahmadi, M., Sadoughi, F.,</w:t>
      </w:r>
      <w:r w:rsidR="005E7A62">
        <w:t xml:space="preserve"> &amp; </w:t>
      </w:r>
      <w:r w:rsidRPr="00FC6087">
        <w:t xml:space="preserve">Safdari, R. (2014). A roadmap to pre-implementation of electronic health record: the key step to success. </w:t>
      </w:r>
      <w:r w:rsidRPr="00FC6087">
        <w:rPr>
          <w:i/>
          <w:iCs/>
        </w:rPr>
        <w:t>Acta Informatica Medica</w:t>
      </w:r>
      <w:r w:rsidRPr="00FC6087">
        <w:rPr>
          <w:i/>
        </w:rPr>
        <w:t>, 22</w:t>
      </w:r>
      <w:r w:rsidRPr="00FC6087">
        <w:t>, 133-8.</w:t>
      </w:r>
    </w:p>
    <w:p w14:paraId="7D516CD9" w14:textId="6F18B57A" w:rsidR="00841C9A" w:rsidRPr="00FC6087" w:rsidRDefault="00841C9A" w:rsidP="001200E8">
      <w:pPr>
        <w:pStyle w:val="APAReferences"/>
        <w:spacing w:line="480" w:lineRule="auto"/>
      </w:pPr>
      <w:r w:rsidRPr="00FC6087">
        <w:t>Gimenez, C.,</w:t>
      </w:r>
      <w:r w:rsidR="005E7A62">
        <w:t xml:space="preserve"> &amp; </w:t>
      </w:r>
      <w:r w:rsidRPr="00FC6087">
        <w:t xml:space="preserve">Sierra, V. (2013). Sustainable supply chains: Governance mechanisms to greening suppliers. </w:t>
      </w:r>
      <w:r w:rsidRPr="00FC6087">
        <w:rPr>
          <w:i/>
          <w:iCs/>
        </w:rPr>
        <w:t>Journal of Business Ethics, 116</w:t>
      </w:r>
      <w:r w:rsidRPr="00FC6087">
        <w:t>, 189-203.</w:t>
      </w:r>
    </w:p>
    <w:p w14:paraId="7D516CDA" w14:textId="49F49565" w:rsidR="00841C9A" w:rsidRPr="00FC6087" w:rsidRDefault="00841C9A" w:rsidP="001200E8">
      <w:pPr>
        <w:pStyle w:val="APAReferences"/>
        <w:spacing w:line="480" w:lineRule="auto"/>
      </w:pPr>
      <w:r w:rsidRPr="00FC6087">
        <w:t>Goldstein, D., Phelan, R., Wilson, R., Ross-White, A., Van Den Kerkhof, E., Penning, J.</w:t>
      </w:r>
      <w:r w:rsidR="002E369F">
        <w:t xml:space="preserve"> et al.</w:t>
      </w:r>
      <w:r w:rsidRPr="00FC6087">
        <w:t xml:space="preserve"> (2014). Brief review: Adoption of electronic medical records to enhance acute pain management. </w:t>
      </w:r>
      <w:r w:rsidRPr="00FC6087">
        <w:rPr>
          <w:i/>
        </w:rPr>
        <w:t>Canadian Journal of Anesthesia, 61</w:t>
      </w:r>
      <w:r w:rsidRPr="00FC6087">
        <w:t>, 164-79.</w:t>
      </w:r>
    </w:p>
    <w:p w14:paraId="7D516CDB" w14:textId="075074E4" w:rsidR="00841C9A" w:rsidRPr="00FC6087" w:rsidRDefault="00841C9A" w:rsidP="001200E8">
      <w:pPr>
        <w:pStyle w:val="APAReferences"/>
        <w:spacing w:line="480" w:lineRule="auto"/>
      </w:pPr>
      <w:r w:rsidRPr="00FC6087">
        <w:t>González-Rodríguez, M., Díaz-Fernández, M.,</w:t>
      </w:r>
      <w:r w:rsidR="005E7A62">
        <w:t xml:space="preserve"> &amp; </w:t>
      </w:r>
      <w:r w:rsidRPr="00FC6087">
        <w:t>Simonetti, B. (2015). The social, economic and environmental dimensions of corporate social responsibility: The role played by consumers and potential entrepreneurs.</w:t>
      </w:r>
      <w:r w:rsidRPr="00FC6087">
        <w:rPr>
          <w:i/>
          <w:iCs/>
        </w:rPr>
        <w:t xml:space="preserve"> International Business Review, 24</w:t>
      </w:r>
      <w:r w:rsidRPr="00FC6087">
        <w:t>, 836-848.</w:t>
      </w:r>
    </w:p>
    <w:p w14:paraId="7D516CDC" w14:textId="1E5305B5" w:rsidR="00841C9A" w:rsidRPr="00FC6087" w:rsidRDefault="00841C9A" w:rsidP="001200E8">
      <w:pPr>
        <w:pStyle w:val="APAReferences"/>
        <w:spacing w:line="480" w:lineRule="auto"/>
      </w:pPr>
      <w:r w:rsidRPr="00FC6087">
        <w:t>Gour, N.,</w:t>
      </w:r>
      <w:r w:rsidR="005E7A62">
        <w:t xml:space="preserve"> &amp; </w:t>
      </w:r>
      <w:r w:rsidRPr="00FC6087">
        <w:t xml:space="preserve">Srivastava, D. (2010). Knowledge of computer among healthcare professionals of India: A key toward e-health. </w:t>
      </w:r>
      <w:r w:rsidRPr="00FC6087">
        <w:rPr>
          <w:i/>
          <w:iCs/>
        </w:rPr>
        <w:t>Telemedicine and e-Health, 16</w:t>
      </w:r>
      <w:r w:rsidRPr="00FC6087">
        <w:t>, 957-962.</w:t>
      </w:r>
    </w:p>
    <w:p w14:paraId="7D516CDD" w14:textId="58A0C633" w:rsidR="00841C9A" w:rsidRPr="00FC6087" w:rsidRDefault="00841C9A" w:rsidP="001200E8">
      <w:pPr>
        <w:pStyle w:val="APAReferences"/>
        <w:spacing w:line="480" w:lineRule="auto"/>
      </w:pPr>
      <w:r w:rsidRPr="00FC6087">
        <w:t>Greaves, F.,</w:t>
      </w:r>
      <w:r w:rsidR="005E7A62">
        <w:t xml:space="preserve"> &amp; </w:t>
      </w:r>
      <w:r w:rsidRPr="00FC6087">
        <w:t>Rozenblum, R. (2017). Social and consumer informatics. In A. Sheikh, D. Bates, A. Wright,</w:t>
      </w:r>
      <w:r w:rsidR="005E7A62">
        <w:t xml:space="preserve"> &amp; </w:t>
      </w:r>
      <w:r w:rsidRPr="00FC6087">
        <w:t>K</w:t>
      </w:r>
      <w:r w:rsidR="002E369F">
        <w:t>.</w:t>
      </w:r>
      <w:r w:rsidRPr="00FC6087">
        <w:t xml:space="preserve"> Cresswell (Eds.), </w:t>
      </w:r>
      <w:r w:rsidRPr="00FC6087">
        <w:rPr>
          <w:i/>
          <w:iCs/>
        </w:rPr>
        <w:t>Key advances in clinical informatics transforming health care through health information technology</w:t>
      </w:r>
      <w:r w:rsidRPr="00FC6087">
        <w:t xml:space="preserve"> (pp. 257-278). London, UK: Elsevier. </w:t>
      </w:r>
    </w:p>
    <w:p w14:paraId="7D516CDE" w14:textId="77777777" w:rsidR="00CC016E" w:rsidRDefault="00D6038F" w:rsidP="001200E8">
      <w:pPr>
        <w:pStyle w:val="APAReferences"/>
        <w:spacing w:line="480" w:lineRule="auto"/>
      </w:pPr>
      <w:r>
        <w:t>Gulf Base (2018).</w:t>
      </w:r>
      <w:r w:rsidRPr="00A1764C">
        <w:t xml:space="preserve"> UAE world’s faste</w:t>
      </w:r>
      <w:r>
        <w:t xml:space="preserve">st growing medical tourism hub. Retrieved from </w:t>
      </w:r>
      <w:hyperlink r:id="rId68" w:history="1">
        <w:r w:rsidR="00CC016E" w:rsidRPr="00854859">
          <w:rPr>
            <w:rStyle w:val="Hyperlink"/>
          </w:rPr>
          <w:t>www.gulfbase.com/news/uae-world-s-fastest-growing-medical-tourism-hub/303483</w:t>
        </w:r>
      </w:hyperlink>
    </w:p>
    <w:p w14:paraId="7D516CDF" w14:textId="29C7EFA5" w:rsidR="00D6038F" w:rsidRPr="00A1764C" w:rsidRDefault="00D6038F" w:rsidP="001200E8">
      <w:pPr>
        <w:pStyle w:val="APAReferences"/>
        <w:spacing w:line="480" w:lineRule="auto"/>
      </w:pPr>
      <w:r>
        <w:t>Gururajan, R.</w:t>
      </w:r>
      <w:r w:rsidR="005E7A62">
        <w:t xml:space="preserve"> &amp; </w:t>
      </w:r>
      <w:r w:rsidRPr="00A1764C">
        <w:t xml:space="preserve">Hafeez-Baig, A. </w:t>
      </w:r>
      <w:r>
        <w:t>(</w:t>
      </w:r>
      <w:r w:rsidRPr="00A1764C">
        <w:t>2014</w:t>
      </w:r>
      <w:r>
        <w:t>)</w:t>
      </w:r>
      <w:r w:rsidRPr="00A1764C">
        <w:t xml:space="preserve">. An empirical study to determine factors that motivate and limit the implementation of ICT in healthcare environments. </w:t>
      </w:r>
      <w:r w:rsidRPr="00FB5FF8">
        <w:rPr>
          <w:i/>
        </w:rPr>
        <w:t>BMC Medical Informatics</w:t>
      </w:r>
      <w:r w:rsidR="005E7A62">
        <w:rPr>
          <w:i/>
        </w:rPr>
        <w:t xml:space="preserve"> &amp; </w:t>
      </w:r>
      <w:r w:rsidRPr="00FB5FF8">
        <w:rPr>
          <w:i/>
        </w:rPr>
        <w:t>Decision Making, 14</w:t>
      </w:r>
      <w:r w:rsidRPr="00C0447D">
        <w:t>(98</w:t>
      </w:r>
      <w:r w:rsidRPr="00D97E6F">
        <w:t>)</w:t>
      </w:r>
      <w:r w:rsidR="0039449D">
        <w:t xml:space="preserve">. Retrieved from </w:t>
      </w:r>
      <w:r w:rsidRPr="00FB5FF8">
        <w:t>http://dx.doi.org/10.1186/1472-6947-14-98</w:t>
      </w:r>
    </w:p>
    <w:p w14:paraId="7D516CE0" w14:textId="1C148D98" w:rsidR="00841C9A" w:rsidRPr="00FC6087" w:rsidRDefault="00841C9A" w:rsidP="001200E8">
      <w:pPr>
        <w:pStyle w:val="APAReferences"/>
        <w:spacing w:line="480" w:lineRule="auto"/>
      </w:pPr>
      <w:r w:rsidRPr="00FC6087">
        <w:t>Hair, J., Black, W., Babin, B.,</w:t>
      </w:r>
      <w:r w:rsidR="005E7A62">
        <w:t xml:space="preserve"> &amp; </w:t>
      </w:r>
      <w:r w:rsidRPr="00FC6087">
        <w:t xml:space="preserve">Anderson, R. (2010). </w:t>
      </w:r>
      <w:r w:rsidRPr="00FC6087">
        <w:rPr>
          <w:i/>
          <w:iCs/>
        </w:rPr>
        <w:t>Multivariate data analysis</w:t>
      </w:r>
      <w:r w:rsidRPr="00FC6087">
        <w:t xml:space="preserve"> (7th ed.). Upper Saddle River, NJ: Prentice-Hall.</w:t>
      </w:r>
    </w:p>
    <w:p w14:paraId="7D516CE1" w14:textId="683FDD8A" w:rsidR="00841C9A" w:rsidRPr="00FC6087" w:rsidRDefault="00841C9A" w:rsidP="001200E8">
      <w:pPr>
        <w:pStyle w:val="APAReferences"/>
        <w:spacing w:line="480" w:lineRule="auto"/>
      </w:pPr>
      <w:r w:rsidRPr="00FC6087">
        <w:t>Hair, J., Black, W., Babin, B., Anderson, R.,</w:t>
      </w:r>
      <w:r w:rsidR="005E7A62">
        <w:t xml:space="preserve"> &amp; </w:t>
      </w:r>
      <w:r w:rsidRPr="00FC6087">
        <w:t xml:space="preserve">Tatham, R. (2006). </w:t>
      </w:r>
      <w:r w:rsidRPr="00790070">
        <w:rPr>
          <w:i/>
        </w:rPr>
        <w:t>Multivariate data analysis</w:t>
      </w:r>
      <w:r w:rsidRPr="00FC6087">
        <w:t xml:space="preserve"> (6th ed.). Upper</w:t>
      </w:r>
      <w:r w:rsidR="00991363">
        <w:t xml:space="preserve"> S</w:t>
      </w:r>
      <w:r w:rsidRPr="00FC6087">
        <w:t>addle River, NJ: Pearson Prentice</w:t>
      </w:r>
      <w:r w:rsidR="0042175F" w:rsidRPr="00FC6087">
        <w:t>-</w:t>
      </w:r>
      <w:r w:rsidRPr="00FC6087">
        <w:t>Hall.</w:t>
      </w:r>
    </w:p>
    <w:p w14:paraId="7D516CE2" w14:textId="14DA8F37" w:rsidR="00841C9A" w:rsidRPr="00FC6087" w:rsidRDefault="00841C9A" w:rsidP="001200E8">
      <w:pPr>
        <w:pStyle w:val="APAReferences"/>
        <w:spacing w:line="480" w:lineRule="auto"/>
      </w:pPr>
      <w:r w:rsidRPr="00FC6087">
        <w:t>Hair, J., Hult, G., Ringle, C.,</w:t>
      </w:r>
      <w:r w:rsidR="005E7A62">
        <w:t xml:space="preserve"> &amp; </w:t>
      </w:r>
      <w:r w:rsidRPr="00FC6087">
        <w:t xml:space="preserve">Sarstedt, M. (2016). </w:t>
      </w:r>
      <w:r w:rsidRPr="00FC6087">
        <w:rPr>
          <w:i/>
          <w:iCs/>
        </w:rPr>
        <w:t xml:space="preserve">A Primer on </w:t>
      </w:r>
      <w:r w:rsidR="0042175F" w:rsidRPr="00FC6087">
        <w:rPr>
          <w:i/>
          <w:iCs/>
        </w:rPr>
        <w:t xml:space="preserve">partial least squares structural equation modeling </w:t>
      </w:r>
      <w:r w:rsidRPr="00FC6087">
        <w:rPr>
          <w:i/>
          <w:iCs/>
        </w:rPr>
        <w:t>(PLS-SEM)</w:t>
      </w:r>
      <w:r w:rsidRPr="00FC6087">
        <w:t>. Thousand Oaks, CA: Sage.</w:t>
      </w:r>
    </w:p>
    <w:p w14:paraId="7D516CE3" w14:textId="4C696617" w:rsidR="00841C9A" w:rsidRPr="00FC6087" w:rsidRDefault="00841C9A" w:rsidP="001200E8">
      <w:pPr>
        <w:pStyle w:val="APAReferences"/>
        <w:spacing w:line="480" w:lineRule="auto"/>
      </w:pPr>
      <w:r w:rsidRPr="00FC6087">
        <w:t>Hamid, F.,</w:t>
      </w:r>
      <w:r w:rsidR="005E7A62">
        <w:t xml:space="preserve"> &amp; </w:t>
      </w:r>
      <w:r w:rsidRPr="00FC6087">
        <w:t xml:space="preserve">Cline, T. (2015). Providers’ acceptance factors and their perceived barriers to electronic health record (EHR) adoption. </w:t>
      </w:r>
      <w:r w:rsidRPr="00FC6087">
        <w:rPr>
          <w:i/>
          <w:iCs/>
        </w:rPr>
        <w:t>Online Journal of Nursing Informatics,</w:t>
      </w:r>
      <w:r w:rsidR="00D97687">
        <w:rPr>
          <w:i/>
          <w:iCs/>
        </w:rPr>
        <w:t xml:space="preserve"> </w:t>
      </w:r>
      <w:r w:rsidRPr="00FC6087">
        <w:rPr>
          <w:i/>
        </w:rPr>
        <w:t>1</w:t>
      </w:r>
      <w:r w:rsidR="00F27C8B" w:rsidRPr="00FC6087">
        <w:rPr>
          <w:i/>
        </w:rPr>
        <w:t>9</w:t>
      </w:r>
      <w:r w:rsidRPr="00FC6087">
        <w:t xml:space="preserve">. </w:t>
      </w:r>
      <w:r w:rsidR="00D6038F" w:rsidRPr="00FC6087">
        <w:t xml:space="preserve">Retrieved from </w:t>
      </w:r>
      <w:r w:rsidR="00D6038F" w:rsidRPr="00C206E2">
        <w:t>https://www.researchgate.net/publication/286168455_Providers'_acceptance_factors_and_their_perceived_barriers_to_Electronic_Health_Record_EHR_Adoption</w:t>
      </w:r>
    </w:p>
    <w:p w14:paraId="7D516CE4" w14:textId="71396269" w:rsidR="00841C9A" w:rsidRPr="00FC6087" w:rsidRDefault="00841C9A" w:rsidP="001200E8">
      <w:pPr>
        <w:pStyle w:val="APAReferences"/>
        <w:spacing w:line="480" w:lineRule="auto"/>
      </w:pPr>
      <w:r w:rsidRPr="00FC6087">
        <w:t>Hatz, M. H. M., Schreyögg, J., Torbica, A., Boriani, G.,</w:t>
      </w:r>
      <w:r w:rsidR="005E7A62">
        <w:t xml:space="preserve"> &amp; </w:t>
      </w:r>
      <w:r w:rsidRPr="00FC6087">
        <w:t xml:space="preserve">Blankart, C. R. B. (2017). Adoption </w:t>
      </w:r>
      <w:r w:rsidR="00D97687" w:rsidRPr="00FC6087">
        <w:t>decisions for medical devices in the field of cardiology</w:t>
      </w:r>
      <w:r w:rsidRPr="00FC6087">
        <w:t xml:space="preserve">: Results from a European </w:t>
      </w:r>
      <w:r w:rsidR="00D97687">
        <w:t>s</w:t>
      </w:r>
      <w:r w:rsidRPr="00FC6087">
        <w:t xml:space="preserve">urvey. </w:t>
      </w:r>
      <w:r w:rsidRPr="00C0447D">
        <w:rPr>
          <w:i/>
        </w:rPr>
        <w:t xml:space="preserve">Health </w:t>
      </w:r>
      <w:r w:rsidR="00D97687" w:rsidRPr="00C0447D">
        <w:rPr>
          <w:i/>
        </w:rPr>
        <w:t>E</w:t>
      </w:r>
      <w:r w:rsidRPr="00C0447D">
        <w:rPr>
          <w:i/>
        </w:rPr>
        <w:t>conomics, 26</w:t>
      </w:r>
      <w:r w:rsidR="00D97687">
        <w:t>(</w:t>
      </w:r>
      <w:r w:rsidRPr="00FC6087">
        <w:t>1</w:t>
      </w:r>
      <w:r w:rsidR="00D97687">
        <w:t>)</w:t>
      </w:r>
      <w:r w:rsidRPr="00FC6087">
        <w:t>, 124</w:t>
      </w:r>
      <w:r w:rsidR="00D97687">
        <w:t>-</w:t>
      </w:r>
      <w:r w:rsidRPr="00FC6087">
        <w:t xml:space="preserve">144. </w:t>
      </w:r>
    </w:p>
    <w:p w14:paraId="7D516CE5" w14:textId="0103F6BD" w:rsidR="00841C9A" w:rsidRPr="00FC6087" w:rsidRDefault="00841C9A" w:rsidP="001200E8">
      <w:pPr>
        <w:pStyle w:val="APAReferences"/>
        <w:spacing w:line="480" w:lineRule="auto"/>
      </w:pPr>
      <w:r w:rsidRPr="00FC6087">
        <w:t>Hayajneh, Y.,</w:t>
      </w:r>
      <w:r w:rsidR="005E7A62">
        <w:t xml:space="preserve"> &amp; </w:t>
      </w:r>
      <w:r w:rsidRPr="00FC6087">
        <w:t>Zaghloul, A. (2012). Barriers to the adoption of health information technology in Arab countries’ hospitals: Practitioners’ perspective. In J. Mantas, S. K. Andersen, M. C. Mazzoleni, B. Blobel, S. Quaglini,</w:t>
      </w:r>
      <w:r w:rsidR="005E7A62">
        <w:t xml:space="preserve"> &amp; </w:t>
      </w:r>
      <w:r w:rsidRPr="00FC6087">
        <w:t xml:space="preserve">A. Moen (Eds.), </w:t>
      </w:r>
      <w:r w:rsidRPr="00FC6087">
        <w:rPr>
          <w:i/>
          <w:iCs/>
        </w:rPr>
        <w:t>24th International Conference of the European Federation for Medical Informatics Quality of Life through Quality of Information</w:t>
      </w:r>
      <w:r w:rsidRPr="00FC6087">
        <w:t xml:space="preserve"> (pp. 26-29). Amsterdam, Netherlands: IOS Press.</w:t>
      </w:r>
    </w:p>
    <w:p w14:paraId="7D516CE6" w14:textId="61D88551" w:rsidR="00841C9A" w:rsidRPr="00FC6087" w:rsidRDefault="00841C9A" w:rsidP="001200E8">
      <w:pPr>
        <w:pStyle w:val="APAReferences"/>
        <w:spacing w:line="480" w:lineRule="auto"/>
      </w:pPr>
      <w:r w:rsidRPr="00FC6087">
        <w:t>Heisey-Grove D., Danehy, L., Consolazio, M., Lynch, K.,</w:t>
      </w:r>
      <w:r w:rsidR="005E7A62">
        <w:t xml:space="preserve"> &amp; </w:t>
      </w:r>
      <w:r w:rsidRPr="00FC6087">
        <w:t xml:space="preserve">Mostashari, F. (2014). A national study of challenges to electronic health record adoption and meaningful use. </w:t>
      </w:r>
      <w:r w:rsidRPr="00FC6087">
        <w:rPr>
          <w:i/>
          <w:iCs/>
        </w:rPr>
        <w:t>Medical Care</w:t>
      </w:r>
      <w:r w:rsidRPr="00FC6087">
        <w:rPr>
          <w:i/>
        </w:rPr>
        <w:t>, 52</w:t>
      </w:r>
      <w:r w:rsidRPr="00FC6087">
        <w:t>, 144-148.</w:t>
      </w:r>
    </w:p>
    <w:p w14:paraId="7D516CE7" w14:textId="574D28A4" w:rsidR="00841C9A" w:rsidRPr="00FC6087" w:rsidRDefault="00841C9A" w:rsidP="001200E8">
      <w:pPr>
        <w:pStyle w:val="APAReferences"/>
        <w:spacing w:line="480" w:lineRule="auto"/>
      </w:pPr>
      <w:r w:rsidRPr="00FC6087">
        <w:t>Heisey-Grove, D.,</w:t>
      </w:r>
      <w:r w:rsidR="005E7A62">
        <w:t xml:space="preserve"> &amp; </w:t>
      </w:r>
      <w:r w:rsidRPr="00FC6087">
        <w:t xml:space="preserve">Patel, V. (2014). Physician motivations for adoption of electronic health records. </w:t>
      </w:r>
      <w:r w:rsidRPr="00FC6087">
        <w:rPr>
          <w:i/>
          <w:iCs/>
        </w:rPr>
        <w:t>ONC Data Brief</w:t>
      </w:r>
      <w:r w:rsidRPr="00FC6087">
        <w:rPr>
          <w:i/>
        </w:rPr>
        <w:t>, 10</w:t>
      </w:r>
      <w:r w:rsidRPr="00FC6087">
        <w:t>, 1-10.</w:t>
      </w:r>
    </w:p>
    <w:p w14:paraId="7D516CE8" w14:textId="4EEC38AE" w:rsidR="00D6038F" w:rsidRPr="00A1764C" w:rsidRDefault="00D6038F" w:rsidP="001200E8">
      <w:pPr>
        <w:pStyle w:val="APAReferences"/>
        <w:spacing w:line="480" w:lineRule="auto"/>
      </w:pPr>
      <w:r w:rsidRPr="00A1764C">
        <w:t>Hennington, A.,</w:t>
      </w:r>
      <w:r w:rsidR="005E7A62">
        <w:t xml:space="preserve"> &amp; </w:t>
      </w:r>
      <w:r>
        <w:t>Janz, B. (</w:t>
      </w:r>
      <w:r w:rsidRPr="00A1764C">
        <w:t>2007</w:t>
      </w:r>
      <w:r>
        <w:t>)</w:t>
      </w:r>
      <w:r w:rsidRPr="00A1764C">
        <w:t xml:space="preserve">. Information systems and healthcare XVI: physician adoption of electronic medical records: applying the UTAUT model in a healthcare context. </w:t>
      </w:r>
      <w:hyperlink r:id="rId69" w:history="1">
        <w:r w:rsidRPr="00A1764C">
          <w:rPr>
            <w:i/>
          </w:rPr>
          <w:t xml:space="preserve">Communications of the Association for Information Systems, </w:t>
        </w:r>
      </w:hyperlink>
      <w:r w:rsidRPr="00A1764C">
        <w:t>19.</w:t>
      </w:r>
    </w:p>
    <w:p w14:paraId="7D516CE9" w14:textId="3E0F8431" w:rsidR="00841C9A" w:rsidRPr="00FC6087" w:rsidRDefault="00841C9A" w:rsidP="001200E8">
      <w:pPr>
        <w:pStyle w:val="APAReferences"/>
        <w:spacing w:line="480" w:lineRule="auto"/>
      </w:pPr>
      <w:r w:rsidRPr="00FC6087">
        <w:t>Hines, A.,</w:t>
      </w:r>
      <w:r w:rsidR="005E7A62">
        <w:t xml:space="preserve"> &amp; </w:t>
      </w:r>
      <w:r w:rsidRPr="00FC6087">
        <w:t>Gold, J. (2013)</w:t>
      </w:r>
      <w:r w:rsidR="00657A0C" w:rsidRPr="00FC6087">
        <w:t xml:space="preserve">. </w:t>
      </w:r>
      <w:r w:rsidRPr="00FC6087">
        <w:t xml:space="preserve">Professionalizing foresight: Why do it, where it stands, and what needs to be done. </w:t>
      </w:r>
      <w:r w:rsidRPr="00790070">
        <w:rPr>
          <w:i/>
        </w:rPr>
        <w:t>Journal of Futures Studies, 17</w:t>
      </w:r>
      <w:r w:rsidRPr="00FC6087">
        <w:t>, 35</w:t>
      </w:r>
      <w:r w:rsidR="00657A0C" w:rsidRPr="00FC6087">
        <w:t>-</w:t>
      </w:r>
      <w:r w:rsidRPr="00FC6087">
        <w:t>54.</w:t>
      </w:r>
    </w:p>
    <w:p w14:paraId="7D516CEA" w14:textId="77777777" w:rsidR="00841C9A" w:rsidRPr="00FC6087" w:rsidRDefault="00841C9A" w:rsidP="001200E8">
      <w:pPr>
        <w:pStyle w:val="APAReferences"/>
        <w:spacing w:line="480" w:lineRule="auto"/>
      </w:pPr>
      <w:r w:rsidRPr="00FC6087">
        <w:t>Holden, R. (2011). What stands in the way of technology-mediated patient safety improvements? A study of facilitators and barriers to physicians’ use of electronic health records</w:t>
      </w:r>
      <w:r w:rsidRPr="00FC6087">
        <w:rPr>
          <w:i/>
          <w:iCs/>
        </w:rPr>
        <w:t>. Journal of Patient Safety, 7</w:t>
      </w:r>
      <w:r w:rsidRPr="00FC6087">
        <w:t>, 193-203.</w:t>
      </w:r>
    </w:p>
    <w:p w14:paraId="7D516CEB" w14:textId="7E78E58D" w:rsidR="00CC016E" w:rsidRDefault="00D6038F" w:rsidP="001200E8">
      <w:pPr>
        <w:pStyle w:val="APAReferences"/>
        <w:spacing w:line="480" w:lineRule="auto"/>
      </w:pPr>
      <w:r w:rsidRPr="00A1764C">
        <w:t>Holtz, B.,</w:t>
      </w:r>
      <w:r w:rsidR="005E7A62">
        <w:t xml:space="preserve"> &amp; </w:t>
      </w:r>
      <w:r>
        <w:t>Krein, S. (</w:t>
      </w:r>
      <w:r w:rsidRPr="00A1764C">
        <w:t>2011</w:t>
      </w:r>
      <w:r>
        <w:t>)</w:t>
      </w:r>
      <w:r w:rsidRPr="00A1764C">
        <w:t xml:space="preserve">. Understanding nurse perceptions of a newly implemented electronic medical record system. </w:t>
      </w:r>
      <w:hyperlink r:id="rId70" w:history="1">
        <w:r w:rsidRPr="00EE1C3F">
          <w:rPr>
            <w:i/>
          </w:rPr>
          <w:t xml:space="preserve"> Journal of Technology in Human Services,</w:t>
        </w:r>
      </w:hyperlink>
      <w:r w:rsidRPr="00EE1C3F">
        <w:rPr>
          <w:i/>
        </w:rPr>
        <w:t xml:space="preserve"> 29,</w:t>
      </w:r>
      <w:r w:rsidRPr="00A1764C">
        <w:t xml:space="preserve"> 247–262.</w:t>
      </w:r>
    </w:p>
    <w:p w14:paraId="7D516CEC" w14:textId="71D25E9D" w:rsidR="00841C9A" w:rsidRPr="00FC6087" w:rsidRDefault="00841C9A" w:rsidP="001200E8">
      <w:pPr>
        <w:pStyle w:val="APAReferences"/>
        <w:spacing w:line="480" w:lineRule="auto"/>
      </w:pPr>
      <w:r w:rsidRPr="00FC6087">
        <w:t>Hoque, M.,</w:t>
      </w:r>
      <w:r w:rsidR="005E7A62">
        <w:t xml:space="preserve"> &amp; </w:t>
      </w:r>
      <w:r w:rsidRPr="00FC6087">
        <w:t xml:space="preserve">Bao, Y. (2015). Cultural influence on adoption and use of e-health: Evidence in Bangladesh. </w:t>
      </w:r>
      <w:r w:rsidRPr="00FC6087">
        <w:rPr>
          <w:i/>
          <w:iCs/>
        </w:rPr>
        <w:t>Telemedicine Journal of E-Health, 21</w:t>
      </w:r>
      <w:r w:rsidRPr="00FC6087">
        <w:t>, 845-851.</w:t>
      </w:r>
    </w:p>
    <w:p w14:paraId="7D516CED" w14:textId="649AF3ED" w:rsidR="00841C9A" w:rsidRPr="00FC6087" w:rsidRDefault="00841C9A" w:rsidP="001200E8">
      <w:pPr>
        <w:pStyle w:val="APAReferences"/>
        <w:spacing w:line="480" w:lineRule="auto"/>
      </w:pPr>
      <w:r w:rsidRPr="00FC6087">
        <w:t>Hoque, R.,</w:t>
      </w:r>
      <w:r w:rsidR="005E7A62">
        <w:t xml:space="preserve"> &amp; </w:t>
      </w:r>
      <w:r w:rsidRPr="00FC6087">
        <w:t xml:space="preserve">Sorwar, G. (2017). Understanding factors influencing the adoption of mHealth by the elderly: An extension of the UTAUT model. </w:t>
      </w:r>
      <w:r w:rsidRPr="00FC6087">
        <w:rPr>
          <w:i/>
          <w:iCs/>
        </w:rPr>
        <w:t>International Journal of Medical Informatics, 101</w:t>
      </w:r>
      <w:r w:rsidRPr="00FC6087">
        <w:t>, 75-84.</w:t>
      </w:r>
    </w:p>
    <w:p w14:paraId="7D516CEE" w14:textId="088E6841" w:rsidR="00CC016E" w:rsidRDefault="00D6038F" w:rsidP="001200E8">
      <w:pPr>
        <w:pStyle w:val="APAReferences"/>
        <w:spacing w:line="480" w:lineRule="auto"/>
      </w:pPr>
      <w:r w:rsidRPr="00A1764C">
        <w:t>Hossain, A., Quaresma, R.,</w:t>
      </w:r>
      <w:r w:rsidR="005E7A62">
        <w:t xml:space="preserve"> &amp; </w:t>
      </w:r>
      <w:r>
        <w:t>Rahman, H. (</w:t>
      </w:r>
      <w:r w:rsidRPr="00A1764C">
        <w:t>2019</w:t>
      </w:r>
      <w:r>
        <w:t>)</w:t>
      </w:r>
      <w:r w:rsidRPr="00A1764C">
        <w:t>. Investigating factors influencing the physicians’ adoption of electronic health record (EHR) in healthcare system of Bangladesh: An empirical study</w:t>
      </w:r>
      <w:r w:rsidRPr="00A1764C">
        <w:rPr>
          <w:i/>
        </w:rPr>
        <w:t>. International Journal of Information Management</w:t>
      </w:r>
      <w:r w:rsidRPr="00A1764C">
        <w:t xml:space="preserve">, </w:t>
      </w:r>
      <w:r w:rsidRPr="00FB5FF8">
        <w:rPr>
          <w:i/>
        </w:rPr>
        <w:t>44,</w:t>
      </w:r>
      <w:r w:rsidRPr="00A1764C">
        <w:t xml:space="preserve"> 76-87.</w:t>
      </w:r>
    </w:p>
    <w:p w14:paraId="7D516CEF" w14:textId="748FC82E" w:rsidR="00D6038F" w:rsidRPr="00A1764C" w:rsidRDefault="00D6038F" w:rsidP="001200E8">
      <w:pPr>
        <w:pStyle w:val="APAReferences"/>
        <w:spacing w:line="480" w:lineRule="auto"/>
      </w:pPr>
      <w:r>
        <w:t>Hoyle, R.</w:t>
      </w:r>
      <w:r w:rsidR="004611B3">
        <w:t xml:space="preserve"> </w:t>
      </w:r>
      <w:r>
        <w:t>H. (2000). Confirmatory factor analysis.</w:t>
      </w:r>
      <w:r w:rsidRPr="00A1764C">
        <w:t xml:space="preserve"> In</w:t>
      </w:r>
      <w:r>
        <w:t xml:space="preserve"> Tinsley,</w:t>
      </w:r>
      <w:r w:rsidR="004611B3">
        <w:t xml:space="preserve"> </w:t>
      </w:r>
      <w:r>
        <w:t>H.</w:t>
      </w:r>
      <w:r w:rsidR="005E7A62">
        <w:t xml:space="preserve"> &amp; </w:t>
      </w:r>
      <w:r>
        <w:t>Brown, S</w:t>
      </w:r>
      <w:r w:rsidRPr="00A1764C">
        <w:t xml:space="preserve">. (Eds), </w:t>
      </w:r>
      <w:r w:rsidRPr="00A1764C">
        <w:rPr>
          <w:i/>
          <w:iCs/>
        </w:rPr>
        <w:t>Applied Multivariate Statistics and Mathematical Modeling</w:t>
      </w:r>
      <w:r w:rsidRPr="00A1764C">
        <w:t>, Academic Press, San Diego, CA, 465-497.</w:t>
      </w:r>
    </w:p>
    <w:p w14:paraId="7D516CF0" w14:textId="024E5375" w:rsidR="00841C9A" w:rsidRPr="00FC6087" w:rsidRDefault="00841C9A" w:rsidP="001200E8">
      <w:pPr>
        <w:pStyle w:val="APAReferences"/>
        <w:spacing w:line="480" w:lineRule="auto"/>
      </w:pPr>
      <w:r w:rsidRPr="00FC6087">
        <w:t>Hu, L.,</w:t>
      </w:r>
      <w:r w:rsidR="005E7A62">
        <w:t xml:space="preserve"> &amp; </w:t>
      </w:r>
      <w:r w:rsidRPr="00FC6087">
        <w:t xml:space="preserve">Bentler, P. M. (1999). Cutoff criteria for fit indices in covariance structure analysis: Conventional criteria versus new alternatives. </w:t>
      </w:r>
      <w:r w:rsidRPr="00FC6087">
        <w:rPr>
          <w:i/>
          <w:iCs/>
        </w:rPr>
        <w:t>Structural Equation Modelling</w:t>
      </w:r>
      <w:r w:rsidRPr="00FC6087">
        <w:t xml:space="preserve">, </w:t>
      </w:r>
      <w:r w:rsidRPr="00FC6087">
        <w:rPr>
          <w:i/>
          <w:iCs/>
        </w:rPr>
        <w:t>6</w:t>
      </w:r>
      <w:r w:rsidRPr="00FC6087">
        <w:t>, 1-55.</w:t>
      </w:r>
    </w:p>
    <w:p w14:paraId="7D516CF1" w14:textId="7F4C04A9" w:rsidR="00841C9A" w:rsidRPr="00FC6087" w:rsidRDefault="00841C9A" w:rsidP="001200E8">
      <w:pPr>
        <w:pStyle w:val="APAReferences"/>
        <w:spacing w:line="480" w:lineRule="auto"/>
      </w:pPr>
      <w:r w:rsidRPr="00FC6087">
        <w:t>Hung S., Tsai, J.,</w:t>
      </w:r>
      <w:r w:rsidR="005E7A62">
        <w:t xml:space="preserve"> &amp; </w:t>
      </w:r>
      <w:r w:rsidRPr="00FC6087">
        <w:t xml:space="preserve">Chuang, C. (2014). Investigating primary health care nurses' intention to use information technology: An empirical study in Taiwan. </w:t>
      </w:r>
      <w:r w:rsidRPr="00790070">
        <w:rPr>
          <w:i/>
        </w:rPr>
        <w:t>Decision Support Systems</w:t>
      </w:r>
      <w:r w:rsidR="00B5036E" w:rsidRPr="00FC6087">
        <w:rPr>
          <w:i/>
        </w:rPr>
        <w:t>,</w:t>
      </w:r>
      <w:r w:rsidRPr="00790070">
        <w:rPr>
          <w:i/>
        </w:rPr>
        <w:t xml:space="preserve"> 57</w:t>
      </w:r>
      <w:r w:rsidRPr="00FC6087">
        <w:t>, 331-342.</w:t>
      </w:r>
    </w:p>
    <w:p w14:paraId="7D516CF2" w14:textId="3CFE52A2" w:rsidR="00841C9A" w:rsidRPr="00FC6087" w:rsidRDefault="00841C9A" w:rsidP="001200E8">
      <w:pPr>
        <w:pStyle w:val="APAReferences"/>
        <w:spacing w:line="480" w:lineRule="auto"/>
      </w:pPr>
      <w:r w:rsidRPr="00FC6087">
        <w:t>Hung, S., Hung, W., Tsai, T.,</w:t>
      </w:r>
      <w:r w:rsidR="005E7A62">
        <w:t xml:space="preserve"> &amp; </w:t>
      </w:r>
      <w:r w:rsidRPr="00FC6087">
        <w:t xml:space="preserve">Jiang, S. (2010). Critical drivers of hospital adoption on CRM system: Organizational and information system perspectives. </w:t>
      </w:r>
      <w:r w:rsidRPr="00FC6087">
        <w:rPr>
          <w:i/>
          <w:iCs/>
        </w:rPr>
        <w:t>Decision Support Systems, 48</w:t>
      </w:r>
      <w:r w:rsidRPr="00FC6087">
        <w:t xml:space="preserve">, 592-603. </w:t>
      </w:r>
    </w:p>
    <w:p w14:paraId="7D516CF3" w14:textId="46B91691" w:rsidR="00841C9A" w:rsidRPr="00FC6087" w:rsidRDefault="00841C9A" w:rsidP="001200E8">
      <w:pPr>
        <w:pStyle w:val="APAReferences"/>
        <w:spacing w:line="480" w:lineRule="auto"/>
      </w:pPr>
      <w:r w:rsidRPr="00FC6087">
        <w:t>Hussain, N., Rigoni, U.,</w:t>
      </w:r>
      <w:r w:rsidR="005E7A62">
        <w:t xml:space="preserve"> &amp; </w:t>
      </w:r>
      <w:r w:rsidRPr="00FC6087">
        <w:t>Cavezzali, E. (2018). Does it pay to be sustainable? Looking inside the black box of the relationship between sustainability performance and financial performance. </w:t>
      </w:r>
      <w:r w:rsidRPr="00FC6087">
        <w:rPr>
          <w:i/>
          <w:iCs/>
        </w:rPr>
        <w:t>Corporate Social Responsibility and Environmental Management</w:t>
      </w:r>
      <w:r w:rsidRPr="00FC6087">
        <w:rPr>
          <w:i/>
        </w:rPr>
        <w:t>,</w:t>
      </w:r>
      <w:r w:rsidR="004611B3">
        <w:rPr>
          <w:i/>
        </w:rPr>
        <w:t xml:space="preserve"> </w:t>
      </w:r>
      <w:r w:rsidRPr="00FC6087">
        <w:rPr>
          <w:i/>
        </w:rPr>
        <w:t>25</w:t>
      </w:r>
      <w:r w:rsidRPr="00FC6087">
        <w:t>, 1198-1211.</w:t>
      </w:r>
    </w:p>
    <w:p w14:paraId="7D516CF4" w14:textId="25A2F931" w:rsidR="00D6038F" w:rsidRPr="00A1764C" w:rsidRDefault="00F771A1" w:rsidP="001200E8">
      <w:pPr>
        <w:pStyle w:val="APAReferences"/>
        <w:spacing w:line="480" w:lineRule="auto"/>
      </w:pPr>
      <w:hyperlink r:id="rId71" w:history="1">
        <w:r w:rsidR="00D6038F" w:rsidRPr="00A1764C">
          <w:t>Ifinedo</w:t>
        </w:r>
      </w:hyperlink>
      <w:r w:rsidR="00D6038F" w:rsidRPr="00A1764C">
        <w:t>, P.</w:t>
      </w:r>
      <w:r w:rsidR="00D6038F">
        <w:t xml:space="preserve"> (</w:t>
      </w:r>
      <w:r w:rsidR="00D6038F" w:rsidRPr="00A1764C">
        <w:t>2012</w:t>
      </w:r>
      <w:r w:rsidR="00D6038F">
        <w:t>)</w:t>
      </w:r>
      <w:r w:rsidR="00D6038F" w:rsidRPr="00A1764C">
        <w:t xml:space="preserve">. Technology </w:t>
      </w:r>
      <w:r w:rsidR="00F3002E" w:rsidRPr="00A1764C">
        <w:t xml:space="preserve">acceptance by health professionals </w:t>
      </w:r>
      <w:r w:rsidR="00D6038F" w:rsidRPr="00A1764C">
        <w:t xml:space="preserve">in Canada: An </w:t>
      </w:r>
      <w:r w:rsidR="00F3002E" w:rsidRPr="00A1764C">
        <w:t xml:space="preserve">analysis with a modified </w:t>
      </w:r>
      <w:r w:rsidR="00D6038F" w:rsidRPr="00A1764C">
        <w:t xml:space="preserve">UTAUT </w:t>
      </w:r>
      <w:r w:rsidR="00F3002E">
        <w:t>m</w:t>
      </w:r>
      <w:r w:rsidR="00D6038F" w:rsidRPr="00A1764C">
        <w:t xml:space="preserve">odel. </w:t>
      </w:r>
      <w:hyperlink r:id="rId72" w:history="1">
        <w:r w:rsidR="00D6038F" w:rsidRPr="00C0447D">
          <w:rPr>
            <w:i/>
          </w:rPr>
          <w:t>2012 45th Hawaii International Conference on System Sciences</w:t>
        </w:r>
      </w:hyperlink>
      <w:r w:rsidR="00D6038F" w:rsidRPr="00A1764C">
        <w:t>.</w:t>
      </w:r>
      <w:r w:rsidR="001A493F">
        <w:t xml:space="preserve"> Retrieved from </w:t>
      </w:r>
      <w:r w:rsidR="001A493F" w:rsidRPr="001A493F">
        <w:t>https://ieeexplore.ieee.org/document/6149181</w:t>
      </w:r>
    </w:p>
    <w:p w14:paraId="7D516CF5" w14:textId="77777777" w:rsidR="00841C9A" w:rsidRPr="00FC6087" w:rsidRDefault="00841C9A" w:rsidP="001200E8">
      <w:pPr>
        <w:pStyle w:val="APAReferences"/>
        <w:spacing w:line="480" w:lineRule="auto"/>
      </w:pPr>
      <w:r w:rsidRPr="00FC6087">
        <w:t>Ingebrigtsen, T., Georgiou, A., Williams, R., Magrabi, F., Hordern, A., Prgomet, M.,</w:t>
      </w:r>
      <w:r w:rsidR="00B5036E" w:rsidRPr="00FC6087">
        <w:t xml:space="preserve"> et al.</w:t>
      </w:r>
      <w:r w:rsidRPr="00FC6087">
        <w:t xml:space="preserve"> (2014). The impact of clinical leadership on health information technology adoption: Systematic review. </w:t>
      </w:r>
      <w:r w:rsidRPr="00FC6087">
        <w:rPr>
          <w:i/>
          <w:iCs/>
        </w:rPr>
        <w:t>International Journal of Medical Informatics, 83</w:t>
      </w:r>
      <w:r w:rsidRPr="00FC6087">
        <w:t>, 393-405.</w:t>
      </w:r>
    </w:p>
    <w:p w14:paraId="7D516CF6" w14:textId="77777777" w:rsidR="00841C9A" w:rsidRPr="00FC6087" w:rsidRDefault="00841C9A" w:rsidP="001200E8">
      <w:pPr>
        <w:pStyle w:val="APAReferences"/>
        <w:spacing w:line="480" w:lineRule="auto"/>
      </w:pPr>
      <w:r w:rsidRPr="00FC6087">
        <w:t xml:space="preserve">Institute for the Future (2016). </w:t>
      </w:r>
      <w:r w:rsidRPr="00FC6087">
        <w:rPr>
          <w:i/>
          <w:iCs/>
        </w:rPr>
        <w:t>Future health index: The capacity to care</w:t>
      </w:r>
      <w:r w:rsidRPr="00FC6087">
        <w:t xml:space="preserve">. Palo Alto, CA: </w:t>
      </w:r>
      <w:r w:rsidR="00B5036E" w:rsidRPr="00FC6087">
        <w:t>Institute for the Future</w:t>
      </w:r>
      <w:r w:rsidRPr="00FC6087">
        <w:t>.</w:t>
      </w:r>
    </w:p>
    <w:p w14:paraId="7D516CF7" w14:textId="14E24665" w:rsidR="00841C9A" w:rsidRPr="00FC6087" w:rsidRDefault="00841C9A" w:rsidP="001200E8">
      <w:pPr>
        <w:pStyle w:val="APAReferences"/>
        <w:spacing w:line="480" w:lineRule="auto"/>
      </w:pPr>
      <w:r w:rsidRPr="00FC6087">
        <w:t>Islam, S.,</w:t>
      </w:r>
      <w:r w:rsidR="005E7A62">
        <w:t xml:space="preserve"> &amp; </w:t>
      </w:r>
      <w:r w:rsidRPr="00FC6087">
        <w:t>Gronlund, A. (2007)</w:t>
      </w:r>
      <w:r w:rsidR="00FF760A" w:rsidRPr="00FC6087">
        <w:t>.</w:t>
      </w:r>
      <w:r w:rsidRPr="00FC6087">
        <w:t xml:space="preserve"> Agriculture </w:t>
      </w:r>
      <w:r w:rsidR="00B5036E" w:rsidRPr="00FC6087">
        <w:t xml:space="preserve">market information e-service </w:t>
      </w:r>
      <w:r w:rsidRPr="00FC6087">
        <w:t xml:space="preserve">in Bangladesh: A </w:t>
      </w:r>
      <w:r w:rsidR="00B5036E" w:rsidRPr="00FC6087">
        <w:t>stakeholder-oriented case analysis</w:t>
      </w:r>
      <w:r w:rsidRPr="00FC6087">
        <w:t xml:space="preserve">. In </w:t>
      </w:r>
      <w:r w:rsidR="00B5036E" w:rsidRPr="00FC6087">
        <w:t xml:space="preserve">M. </w:t>
      </w:r>
      <w:r w:rsidRPr="00FC6087">
        <w:t xml:space="preserve">Wimmer, </w:t>
      </w:r>
      <w:r w:rsidR="00B5036E" w:rsidRPr="00FC6087">
        <w:t xml:space="preserve">H. J. </w:t>
      </w:r>
      <w:r w:rsidRPr="00FC6087">
        <w:t>Scholl,</w:t>
      </w:r>
      <w:r w:rsidR="005E7A62">
        <w:t xml:space="preserve"> &amp; </w:t>
      </w:r>
      <w:r w:rsidR="00B5036E" w:rsidRPr="00FC6087">
        <w:t xml:space="preserve">A. </w:t>
      </w:r>
      <w:r w:rsidRPr="00FC6087">
        <w:t>Grönlund (Eds.)</w:t>
      </w:r>
      <w:r w:rsidR="00B5036E" w:rsidRPr="00FC6087">
        <w:t>,</w:t>
      </w:r>
      <w:r w:rsidR="00D6038F">
        <w:t xml:space="preserve"> </w:t>
      </w:r>
      <w:r w:rsidRPr="00FC6087">
        <w:rPr>
          <w:i/>
        </w:rPr>
        <w:t>EGOV 07 6</w:t>
      </w:r>
      <w:r w:rsidRPr="00FC6087">
        <w:rPr>
          <w:i/>
          <w:vertAlign w:val="superscript"/>
        </w:rPr>
        <w:t>th</w:t>
      </w:r>
      <w:r w:rsidRPr="00FC6087">
        <w:rPr>
          <w:i/>
        </w:rPr>
        <w:t xml:space="preserve"> International Conference</w:t>
      </w:r>
      <w:r w:rsidRPr="00FC6087">
        <w:t>.</w:t>
      </w:r>
      <w:r w:rsidR="00D6038F" w:rsidRPr="00FC6087">
        <w:t xml:space="preserve"> </w:t>
      </w:r>
      <w:r w:rsidR="00D6038F" w:rsidRPr="00C206E2">
        <w:t xml:space="preserve">Lecture Notes in Computer Science, </w:t>
      </w:r>
      <w:r w:rsidR="00D6038F">
        <w:t xml:space="preserve">Vol. </w:t>
      </w:r>
      <w:r w:rsidR="00D6038F" w:rsidRPr="00C206E2">
        <w:t>4656.</w:t>
      </w:r>
      <w:r w:rsidRPr="00FC6087">
        <w:t xml:space="preserve"> </w:t>
      </w:r>
      <w:r w:rsidR="00745C3E">
        <w:t xml:space="preserve">Berlin: </w:t>
      </w:r>
      <w:r w:rsidR="00D6038F" w:rsidRPr="00C206E2">
        <w:t>Springer</w:t>
      </w:r>
      <w:r w:rsidR="00D6038F">
        <w:t>.</w:t>
      </w:r>
    </w:p>
    <w:p w14:paraId="7D516CF8" w14:textId="77777777" w:rsidR="00D6038F" w:rsidRPr="00A1764C" w:rsidRDefault="00D6038F" w:rsidP="001200E8">
      <w:pPr>
        <w:pStyle w:val="APAReferences"/>
        <w:spacing w:line="480" w:lineRule="auto"/>
      </w:pPr>
      <w:r>
        <w:t>Jewer, J. (</w:t>
      </w:r>
      <w:r w:rsidRPr="00A1764C">
        <w:t>2018</w:t>
      </w:r>
      <w:r>
        <w:t>)</w:t>
      </w:r>
      <w:r w:rsidRPr="00A1764C">
        <w:t xml:space="preserve">. Patients’ intention to use online postings of ED wait times: A modified UTAUT model. </w:t>
      </w:r>
      <w:r w:rsidRPr="00A1764C">
        <w:rPr>
          <w:i/>
        </w:rPr>
        <w:t>International Journal of Medical Informatics</w:t>
      </w:r>
      <w:r w:rsidRPr="00A1764C">
        <w:t xml:space="preserve">, </w:t>
      </w:r>
      <w:r w:rsidRPr="00FB5FF8">
        <w:rPr>
          <w:i/>
        </w:rPr>
        <w:t>112</w:t>
      </w:r>
      <w:r w:rsidRPr="00A1764C">
        <w:t xml:space="preserve">, 34-39. </w:t>
      </w:r>
    </w:p>
    <w:p w14:paraId="7D516CF9" w14:textId="7FDC070F" w:rsidR="00841C9A" w:rsidRPr="00FC6087" w:rsidRDefault="00841C9A" w:rsidP="001200E8">
      <w:pPr>
        <w:pStyle w:val="APAReferences"/>
        <w:spacing w:line="480" w:lineRule="auto"/>
      </w:pPr>
      <w:r w:rsidRPr="00FC6087">
        <w:t>Jha, A., Bates, D., Jenter, C., Orav, E., Zheng, J.,</w:t>
      </w:r>
      <w:r w:rsidR="005E7A62">
        <w:t xml:space="preserve"> &amp; </w:t>
      </w:r>
      <w:r w:rsidRPr="00FC6087">
        <w:t xml:space="preserve">Cleary, P. (2009) Electronic health records: Use, barriers and satisfaction among physicians who care for black and Hispanic patients. </w:t>
      </w:r>
      <w:r w:rsidRPr="00FC6087">
        <w:rPr>
          <w:i/>
          <w:iCs/>
        </w:rPr>
        <w:t xml:space="preserve">Journal of Evaluation in Clinical Practice, </w:t>
      </w:r>
      <w:r w:rsidRPr="00FC6087">
        <w:rPr>
          <w:i/>
        </w:rPr>
        <w:t>15</w:t>
      </w:r>
      <w:r w:rsidRPr="00FC6087">
        <w:t>, 158-163.</w:t>
      </w:r>
    </w:p>
    <w:p w14:paraId="7D516CFA" w14:textId="6BCDA498" w:rsidR="00841C9A" w:rsidRPr="00FC6087" w:rsidRDefault="00841C9A" w:rsidP="001200E8">
      <w:pPr>
        <w:pStyle w:val="APAReferences"/>
        <w:spacing w:line="480" w:lineRule="auto"/>
      </w:pPr>
      <w:r w:rsidRPr="00FC6087">
        <w:t>Jha, A., Doolan, B.,</w:t>
      </w:r>
      <w:r w:rsidR="005E7A62">
        <w:t xml:space="preserve"> &amp; </w:t>
      </w:r>
      <w:r w:rsidRPr="00FC6087">
        <w:t xml:space="preserve">Grand, D. (2008). The use of health information technology in seven nations. </w:t>
      </w:r>
      <w:r w:rsidRPr="00FC6087">
        <w:rPr>
          <w:i/>
          <w:iCs/>
        </w:rPr>
        <w:t>International Journal of Medical Informatics, 77</w:t>
      </w:r>
      <w:r w:rsidRPr="00FC6087">
        <w:t xml:space="preserve">, 848-854. </w:t>
      </w:r>
    </w:p>
    <w:p w14:paraId="7D516CFB" w14:textId="2015877F" w:rsidR="00841C9A" w:rsidRPr="00FC6087" w:rsidRDefault="00841C9A" w:rsidP="001200E8">
      <w:pPr>
        <w:pStyle w:val="APAReferences"/>
        <w:spacing w:line="480" w:lineRule="auto"/>
      </w:pPr>
      <w:r w:rsidRPr="00FC6087">
        <w:t>Jung, S.,</w:t>
      </w:r>
      <w:r w:rsidR="005E7A62">
        <w:t xml:space="preserve"> &amp; </w:t>
      </w:r>
      <w:r w:rsidRPr="00FC6087">
        <w:t xml:space="preserve">Lee, S. (2011). Exploratory factor analysis for small samples. </w:t>
      </w:r>
      <w:r w:rsidRPr="00790070">
        <w:rPr>
          <w:i/>
        </w:rPr>
        <w:t>Behavior Research Methods</w:t>
      </w:r>
      <w:r w:rsidR="00422819" w:rsidRPr="00FC6087">
        <w:rPr>
          <w:i/>
        </w:rPr>
        <w:t>,</w:t>
      </w:r>
      <w:r w:rsidRPr="00790070">
        <w:rPr>
          <w:i/>
        </w:rPr>
        <w:t xml:space="preserve"> 43</w:t>
      </w:r>
      <w:r w:rsidRPr="00FC6087">
        <w:t xml:space="preserve">(3), 701-709. </w:t>
      </w:r>
    </w:p>
    <w:p w14:paraId="7D516CFC" w14:textId="10793F5D" w:rsidR="00D6038F" w:rsidRPr="00A1764C" w:rsidRDefault="00D6038F" w:rsidP="001200E8">
      <w:pPr>
        <w:pStyle w:val="APAReferences"/>
        <w:spacing w:line="480" w:lineRule="auto"/>
      </w:pPr>
      <w:r w:rsidRPr="00A1764C">
        <w:t>Kalavani, A., Kzerani, M.,</w:t>
      </w:r>
      <w:r w:rsidR="005E7A62">
        <w:t xml:space="preserve"> &amp; </w:t>
      </w:r>
      <w:r>
        <w:t>Shekofteh, M. (</w:t>
      </w:r>
      <w:r w:rsidRPr="00A1764C">
        <w:t>2018</w:t>
      </w:r>
      <w:r>
        <w:t>)</w:t>
      </w:r>
      <w:r w:rsidRPr="00A1764C">
        <w:t xml:space="preserve">. Acceptance of evidence based medicine (EBM) databases by Iranian medical residents using unified theory of acceptance and use of technology (UTAUT). </w:t>
      </w:r>
      <w:r w:rsidRPr="00A1764C">
        <w:rPr>
          <w:i/>
        </w:rPr>
        <w:t>Health Policy and Technology</w:t>
      </w:r>
      <w:r w:rsidRPr="00A1764C">
        <w:t xml:space="preserve"> </w:t>
      </w:r>
      <w:r w:rsidRPr="00FB5FF8">
        <w:rPr>
          <w:i/>
        </w:rPr>
        <w:t>7,</w:t>
      </w:r>
      <w:r w:rsidRPr="00A1764C">
        <w:t xml:space="preserve"> 287–292.</w:t>
      </w:r>
    </w:p>
    <w:p w14:paraId="7D516CFD" w14:textId="71A7D27B" w:rsidR="00841C9A" w:rsidRPr="00FC6087" w:rsidRDefault="00841C9A" w:rsidP="001200E8">
      <w:pPr>
        <w:pStyle w:val="APAReferences"/>
        <w:spacing w:line="480" w:lineRule="auto"/>
      </w:pPr>
      <w:r w:rsidRPr="00FC6087">
        <w:t>Kamal, M., Weerakkody, V.,</w:t>
      </w:r>
      <w:r w:rsidR="005E7A62">
        <w:t xml:space="preserve"> &amp; </w:t>
      </w:r>
      <w:r w:rsidRPr="00FC6087">
        <w:t xml:space="preserve">Irani, Z. (2011). Analyzing the role of stakeholders in the adoption of technology integration solutions in UK local government: An exploratory study. </w:t>
      </w:r>
      <w:r w:rsidRPr="00FC6087">
        <w:rPr>
          <w:i/>
          <w:iCs/>
        </w:rPr>
        <w:t>Government Information Quarterly, 28</w:t>
      </w:r>
      <w:r w:rsidRPr="00FC6087">
        <w:t>, 200-210.</w:t>
      </w:r>
    </w:p>
    <w:p w14:paraId="7D516CFE" w14:textId="77777777" w:rsidR="00CC016E" w:rsidRDefault="00D6038F" w:rsidP="001200E8">
      <w:pPr>
        <w:pStyle w:val="APAReferences"/>
        <w:spacing w:line="480" w:lineRule="auto"/>
      </w:pPr>
      <w:r>
        <w:t xml:space="preserve">Kamhawi, E. (2008). Enterprise resource-planning systems adoption in Bahrain: motives, benefits, and barriers. </w:t>
      </w:r>
      <w:r w:rsidRPr="009659E2">
        <w:rPr>
          <w:i/>
        </w:rPr>
        <w:t>Journal of Enterprise Information Management</w:t>
      </w:r>
      <w:r w:rsidRPr="00D97E6F">
        <w:rPr>
          <w:i/>
        </w:rPr>
        <w:t>,</w:t>
      </w:r>
      <w:r w:rsidRPr="00C0447D">
        <w:rPr>
          <w:i/>
        </w:rPr>
        <w:t xml:space="preserve"> 21</w:t>
      </w:r>
      <w:r>
        <w:t>(3), 310-334.</w:t>
      </w:r>
    </w:p>
    <w:p w14:paraId="7D516CFF" w14:textId="226CD21A" w:rsidR="00D6038F" w:rsidRPr="00A1764C" w:rsidRDefault="00D6038F" w:rsidP="001200E8">
      <w:pPr>
        <w:pStyle w:val="APAReferences"/>
        <w:spacing w:line="480" w:lineRule="auto"/>
      </w:pPr>
      <w:r w:rsidRPr="00EE1C3F">
        <w:t>Karuri, J.</w:t>
      </w:r>
      <w:r w:rsidR="00473018">
        <w:t xml:space="preserve"> </w:t>
      </w:r>
      <w:r w:rsidRPr="00EE1C3F">
        <w:t xml:space="preserve">W. (2015). </w:t>
      </w:r>
      <w:r w:rsidRPr="00C0447D">
        <w:rPr>
          <w:i/>
        </w:rPr>
        <w:t xml:space="preserve">Determinants of </w:t>
      </w:r>
      <w:r w:rsidR="00745C3E" w:rsidRPr="00C0447D">
        <w:rPr>
          <w:i/>
        </w:rPr>
        <w:t>a</w:t>
      </w:r>
      <w:r w:rsidRPr="00C0447D">
        <w:rPr>
          <w:i/>
        </w:rPr>
        <w:t xml:space="preserve">cceptance and </w:t>
      </w:r>
      <w:r w:rsidR="00745C3E" w:rsidRPr="00C0447D">
        <w:rPr>
          <w:i/>
        </w:rPr>
        <w:t>u</w:t>
      </w:r>
      <w:r w:rsidRPr="00C0447D">
        <w:rPr>
          <w:i/>
        </w:rPr>
        <w:t xml:space="preserve">se of </w:t>
      </w:r>
      <w:r w:rsidR="00745C3E" w:rsidRPr="00C0447D">
        <w:rPr>
          <w:i/>
        </w:rPr>
        <w:t>r</w:t>
      </w:r>
      <w:r w:rsidRPr="00C0447D">
        <w:rPr>
          <w:i/>
        </w:rPr>
        <w:t xml:space="preserve">outine HIS in </w:t>
      </w:r>
      <w:r w:rsidR="00745C3E" w:rsidRPr="00C0447D">
        <w:rPr>
          <w:i/>
        </w:rPr>
        <w:t>d</w:t>
      </w:r>
      <w:r w:rsidRPr="00C0447D">
        <w:rPr>
          <w:i/>
        </w:rPr>
        <w:t xml:space="preserve">eveloping </w:t>
      </w:r>
      <w:r w:rsidR="00745C3E" w:rsidRPr="00C0447D">
        <w:rPr>
          <w:i/>
        </w:rPr>
        <w:t>c</w:t>
      </w:r>
      <w:r w:rsidRPr="00C0447D">
        <w:rPr>
          <w:i/>
        </w:rPr>
        <w:t xml:space="preserve">ountries: The </w:t>
      </w:r>
      <w:r w:rsidR="00745C3E" w:rsidRPr="00C0447D">
        <w:rPr>
          <w:i/>
        </w:rPr>
        <w:t>c</w:t>
      </w:r>
      <w:r w:rsidRPr="00C0447D">
        <w:rPr>
          <w:i/>
        </w:rPr>
        <w:t>ase of DHIS2 in Kenya</w:t>
      </w:r>
      <w:r w:rsidRPr="00EE1C3F">
        <w:t xml:space="preserve">. </w:t>
      </w:r>
      <w:r w:rsidR="00D55431">
        <w:t xml:space="preserve">Doctoral thesis, </w:t>
      </w:r>
      <w:r w:rsidRPr="00A1764C">
        <w:t>School of Computing and Informatics, University of Nairobi</w:t>
      </w:r>
      <w:r w:rsidR="00D55431">
        <w:t xml:space="preserve">, </w:t>
      </w:r>
      <w:r w:rsidR="00D55431" w:rsidRPr="00A1764C">
        <w:t>Nairobi</w:t>
      </w:r>
      <w:r w:rsidRPr="00A1764C">
        <w:t>.</w:t>
      </w:r>
    </w:p>
    <w:p w14:paraId="7D516D00" w14:textId="0ECA33AD" w:rsidR="00841C9A" w:rsidRPr="00FC6087" w:rsidRDefault="00841C9A" w:rsidP="001200E8">
      <w:pPr>
        <w:pStyle w:val="APAReferences"/>
        <w:spacing w:line="480" w:lineRule="auto"/>
      </w:pPr>
      <w:r w:rsidRPr="00FC6087">
        <w:t>Kaye, R., Kokia, E., Shalev, V., Idar, D.,</w:t>
      </w:r>
      <w:r w:rsidR="005E7A62">
        <w:t xml:space="preserve"> &amp; </w:t>
      </w:r>
      <w:r w:rsidRPr="00FC6087">
        <w:t xml:space="preserve">Chinitx, D. (2010). Barriers and success factors in health information technology: A practitioner’s perspective. </w:t>
      </w:r>
      <w:r w:rsidRPr="00FC6087">
        <w:rPr>
          <w:i/>
          <w:iCs/>
        </w:rPr>
        <w:t>Journal of Management</w:t>
      </w:r>
      <w:r w:rsidR="005E7A62">
        <w:rPr>
          <w:i/>
          <w:iCs/>
        </w:rPr>
        <w:t xml:space="preserve"> &amp; </w:t>
      </w:r>
      <w:r w:rsidRPr="00FC6087">
        <w:rPr>
          <w:i/>
          <w:iCs/>
        </w:rPr>
        <w:t>Marketing in Healthcare,</w:t>
      </w:r>
      <w:r w:rsidR="009252D0">
        <w:rPr>
          <w:i/>
          <w:iCs/>
        </w:rPr>
        <w:t xml:space="preserve"> </w:t>
      </w:r>
      <w:r w:rsidRPr="00FC6087">
        <w:rPr>
          <w:i/>
          <w:iCs/>
        </w:rPr>
        <w:t>3</w:t>
      </w:r>
      <w:r w:rsidRPr="00FC6087">
        <w:t>, 163-175.</w:t>
      </w:r>
    </w:p>
    <w:p w14:paraId="7D516D01" w14:textId="0B4FCDA6" w:rsidR="00841C9A" w:rsidRPr="00FC6087" w:rsidRDefault="00841C9A" w:rsidP="001200E8">
      <w:pPr>
        <w:pStyle w:val="APAReferences"/>
        <w:spacing w:line="480" w:lineRule="auto"/>
      </w:pPr>
      <w:r w:rsidRPr="00FC6087">
        <w:t>Khalid, A.,</w:t>
      </w:r>
      <w:r w:rsidR="005E7A62">
        <w:t xml:space="preserve"> &amp; </w:t>
      </w:r>
      <w:r w:rsidRPr="00FC6087">
        <w:t>Ahmad, H. (2011). The promise of the services sector: A United Arab Emirates perspective case study</w:t>
      </w:r>
      <w:r w:rsidRPr="00FC6087">
        <w:rPr>
          <w:i/>
          <w:iCs/>
        </w:rPr>
        <w:t>. American Journal of Social and Management Sciences, 2</w:t>
      </w:r>
      <w:r w:rsidRPr="00FC6087">
        <w:t>, 34-40.</w:t>
      </w:r>
    </w:p>
    <w:p w14:paraId="7D516D02" w14:textId="77777777" w:rsidR="00841C9A" w:rsidRPr="00FC6087" w:rsidRDefault="00841C9A" w:rsidP="001200E8">
      <w:pPr>
        <w:pStyle w:val="APAReferences"/>
        <w:spacing w:line="480" w:lineRule="auto"/>
      </w:pPr>
      <w:r w:rsidRPr="00FC6087">
        <w:t xml:space="preserve">Khalifa, M. (2013). Barriers to health information systems and electronic medical records implementation: A field study of Saudi Arabian hospitals. </w:t>
      </w:r>
      <w:r w:rsidRPr="00FC6087">
        <w:rPr>
          <w:i/>
          <w:iCs/>
        </w:rPr>
        <w:t>Procedia Computer Science, 21</w:t>
      </w:r>
      <w:r w:rsidRPr="00FC6087">
        <w:t>, 335-342.</w:t>
      </w:r>
    </w:p>
    <w:p w14:paraId="7D516D03" w14:textId="7E2D2572" w:rsidR="00841C9A" w:rsidRPr="00FC6087" w:rsidRDefault="00841C9A" w:rsidP="001200E8">
      <w:pPr>
        <w:pStyle w:val="APAReferences"/>
        <w:spacing w:line="480" w:lineRule="auto"/>
      </w:pPr>
      <w:r w:rsidRPr="00FC6087">
        <w:t>Khoja, S., Durrani, H.,</w:t>
      </w:r>
      <w:r w:rsidR="005E7A62">
        <w:t xml:space="preserve"> &amp; </w:t>
      </w:r>
      <w:r w:rsidRPr="00FC6087">
        <w:t xml:space="preserve">Fahim, A. (2012). Scope of policy issues in eHealth: Results from a structured review. </w:t>
      </w:r>
      <w:r w:rsidRPr="00FC6087">
        <w:rPr>
          <w:i/>
          <w:iCs/>
        </w:rPr>
        <w:t>Journal of Medical Internet Research,</w:t>
      </w:r>
      <w:r w:rsidR="009252D0">
        <w:rPr>
          <w:i/>
          <w:iCs/>
        </w:rPr>
        <w:t xml:space="preserve"> </w:t>
      </w:r>
      <w:r w:rsidRPr="00FC6087">
        <w:rPr>
          <w:i/>
          <w:iCs/>
        </w:rPr>
        <w:t>14</w:t>
      </w:r>
      <w:r w:rsidRPr="00FC6087">
        <w:t>, 1-26.</w:t>
      </w:r>
    </w:p>
    <w:p w14:paraId="7D516D04" w14:textId="0A4F8932" w:rsidR="00841C9A" w:rsidRPr="00FC6087" w:rsidRDefault="00841C9A" w:rsidP="001200E8">
      <w:pPr>
        <w:pStyle w:val="APAReferences"/>
        <w:spacing w:line="480" w:lineRule="auto"/>
      </w:pPr>
      <w:r w:rsidRPr="00FC6087">
        <w:t>Kijsanayotin, B., Pannarunothai, S.,</w:t>
      </w:r>
      <w:r w:rsidR="005E7A62">
        <w:t xml:space="preserve"> &amp; </w:t>
      </w:r>
      <w:r w:rsidRPr="00FC6087">
        <w:t xml:space="preserve">Speedie, S. (2009). Factors influencing health information technology adoption in Thailand’s community health centers: Applying the UTAUT model. </w:t>
      </w:r>
      <w:r w:rsidRPr="00FC6087">
        <w:rPr>
          <w:i/>
          <w:iCs/>
        </w:rPr>
        <w:t>International Journal of Medical Informatics, 78</w:t>
      </w:r>
      <w:r w:rsidRPr="00FC6087">
        <w:t>, 404-416.</w:t>
      </w:r>
    </w:p>
    <w:p w14:paraId="7D516D05" w14:textId="77777777" w:rsidR="00841C9A" w:rsidRPr="00FC6087" w:rsidRDefault="00841C9A" w:rsidP="001200E8">
      <w:pPr>
        <w:pStyle w:val="APAReferences"/>
        <w:spacing w:line="480" w:lineRule="auto"/>
      </w:pPr>
      <w:r w:rsidRPr="00FC6087">
        <w:t xml:space="preserve">Kline, R. B. (1998). </w:t>
      </w:r>
      <w:r w:rsidRPr="00790070">
        <w:rPr>
          <w:i/>
        </w:rPr>
        <w:t xml:space="preserve">Principles and </w:t>
      </w:r>
      <w:r w:rsidR="00422819" w:rsidRPr="00FC6087">
        <w:rPr>
          <w:i/>
        </w:rPr>
        <w:t>practice of structural equation modeling</w:t>
      </w:r>
      <w:r w:rsidRPr="00FC6087">
        <w:t>. New York</w:t>
      </w:r>
      <w:r w:rsidR="00422819" w:rsidRPr="00FC6087">
        <w:t>, NY</w:t>
      </w:r>
      <w:r w:rsidRPr="00FC6087">
        <w:t>: The Guilford Press.</w:t>
      </w:r>
    </w:p>
    <w:p w14:paraId="7D516D06" w14:textId="73E34229" w:rsidR="00CC016E" w:rsidRDefault="00D6038F" w:rsidP="001200E8">
      <w:pPr>
        <w:pStyle w:val="APAReferences"/>
        <w:spacing w:line="480" w:lineRule="auto"/>
      </w:pPr>
      <w:r>
        <w:t>Kline, R.</w:t>
      </w:r>
      <w:r w:rsidR="00D55431">
        <w:t xml:space="preserve"> </w:t>
      </w:r>
      <w:r>
        <w:t>B. (2005).</w:t>
      </w:r>
      <w:r w:rsidRPr="00A1764C">
        <w:t xml:space="preserve"> </w:t>
      </w:r>
      <w:r w:rsidRPr="00A1764C">
        <w:rPr>
          <w:i/>
        </w:rPr>
        <w:t xml:space="preserve">Principles and </w:t>
      </w:r>
      <w:r w:rsidR="00D55431" w:rsidRPr="00A1764C">
        <w:rPr>
          <w:i/>
        </w:rPr>
        <w:t>practice of structural equation modeling</w:t>
      </w:r>
      <w:r w:rsidRPr="00A1764C">
        <w:t xml:space="preserve"> </w:t>
      </w:r>
      <w:r w:rsidR="002662E4">
        <w:t>(</w:t>
      </w:r>
      <w:r w:rsidRPr="00A1764C">
        <w:t>2nd ed.</w:t>
      </w:r>
      <w:r w:rsidR="002662E4">
        <w:t>).</w:t>
      </w:r>
      <w:r w:rsidR="002662E4" w:rsidRPr="002662E4">
        <w:t xml:space="preserve"> </w:t>
      </w:r>
      <w:r w:rsidR="002662E4" w:rsidRPr="00FC6087">
        <w:t>New York, NY: The Guilford Press</w:t>
      </w:r>
      <w:r w:rsidRPr="00A1764C">
        <w:t>.</w:t>
      </w:r>
    </w:p>
    <w:p w14:paraId="7D516D07" w14:textId="121081FB" w:rsidR="00D6038F" w:rsidRPr="00A1764C" w:rsidRDefault="00D6038F" w:rsidP="001200E8">
      <w:pPr>
        <w:pStyle w:val="APAReferences"/>
        <w:spacing w:line="480" w:lineRule="auto"/>
      </w:pPr>
      <w:r w:rsidRPr="00A1764C">
        <w:t>Kline, R.</w:t>
      </w:r>
      <w:r w:rsidR="00D55431">
        <w:t xml:space="preserve"> </w:t>
      </w:r>
      <w:r w:rsidRPr="00A1764C">
        <w:t>B. (2</w:t>
      </w:r>
      <w:r>
        <w:t>011).</w:t>
      </w:r>
      <w:r w:rsidRPr="00A1764C">
        <w:t xml:space="preserve"> </w:t>
      </w:r>
      <w:r w:rsidRPr="00A1764C">
        <w:rPr>
          <w:i/>
        </w:rPr>
        <w:t xml:space="preserve">Principles and </w:t>
      </w:r>
      <w:r w:rsidR="00D55431" w:rsidRPr="00A1764C">
        <w:rPr>
          <w:i/>
        </w:rPr>
        <w:t>practice of structural equation modeling</w:t>
      </w:r>
      <w:r w:rsidRPr="00A1764C">
        <w:t xml:space="preserve"> </w:t>
      </w:r>
      <w:r w:rsidR="002662E4">
        <w:t>(</w:t>
      </w:r>
      <w:r w:rsidRPr="00A1764C">
        <w:t>3rd ed.</w:t>
      </w:r>
      <w:r w:rsidR="002662E4">
        <w:t>).</w:t>
      </w:r>
      <w:r w:rsidR="002662E4" w:rsidRPr="002662E4">
        <w:t xml:space="preserve"> </w:t>
      </w:r>
      <w:r w:rsidR="002662E4" w:rsidRPr="00FC6087">
        <w:t>New York, NY: The Guilford Press</w:t>
      </w:r>
      <w:r w:rsidRPr="00A1764C">
        <w:t>.</w:t>
      </w:r>
    </w:p>
    <w:p w14:paraId="7D516D08" w14:textId="4410C3A0" w:rsidR="00841C9A" w:rsidRPr="00FC6087" w:rsidRDefault="00841C9A" w:rsidP="001200E8">
      <w:pPr>
        <w:pStyle w:val="APAReferences"/>
        <w:spacing w:line="480" w:lineRule="auto"/>
      </w:pPr>
      <w:r w:rsidRPr="00FC6087">
        <w:t>Kochan, C. G., Pourreza, S., Tran, H.,</w:t>
      </w:r>
      <w:r w:rsidR="005E7A62">
        <w:t xml:space="preserve"> &amp; </w:t>
      </w:r>
      <w:r w:rsidRPr="00FC6087">
        <w:t xml:space="preserve">Prybutok, V. (2016). Determinants and logistics of e-waste recycling. </w:t>
      </w:r>
      <w:r w:rsidRPr="00FC6087">
        <w:rPr>
          <w:i/>
          <w:iCs/>
        </w:rPr>
        <w:t>The International Journal of Logistics Management, 27</w:t>
      </w:r>
      <w:r w:rsidRPr="00FC6087">
        <w:t>, 52-70.</w:t>
      </w:r>
    </w:p>
    <w:p w14:paraId="7D516D09" w14:textId="4DB03D77" w:rsidR="00841C9A" w:rsidRPr="00FC6087" w:rsidRDefault="00841C9A" w:rsidP="001200E8">
      <w:pPr>
        <w:pStyle w:val="APAReferences"/>
        <w:spacing w:line="480" w:lineRule="auto"/>
      </w:pPr>
      <w:r w:rsidRPr="00FC6087">
        <w:t>Kohli, R.,</w:t>
      </w:r>
      <w:r w:rsidR="005E7A62">
        <w:t xml:space="preserve"> &amp; </w:t>
      </w:r>
      <w:r w:rsidRPr="00FC6087">
        <w:t xml:space="preserve">Tan, S. (2016). Electronic health records: How can IS researchers contribute to transforming healthcare? </w:t>
      </w:r>
      <w:r w:rsidRPr="00FC6087">
        <w:rPr>
          <w:i/>
          <w:iCs/>
        </w:rPr>
        <w:t>MIS Quarterly</w:t>
      </w:r>
      <w:r w:rsidRPr="00FC6087">
        <w:rPr>
          <w:i/>
        </w:rPr>
        <w:t>, 40</w:t>
      </w:r>
      <w:r w:rsidRPr="00FC6087">
        <w:t>, 553-573.</w:t>
      </w:r>
    </w:p>
    <w:p w14:paraId="7D516D0A" w14:textId="1FDF6E63" w:rsidR="00841C9A" w:rsidRPr="00FC6087" w:rsidRDefault="00841C9A" w:rsidP="001200E8">
      <w:pPr>
        <w:pStyle w:val="APAReferences"/>
        <w:spacing w:line="480" w:lineRule="auto"/>
      </w:pPr>
      <w:r w:rsidRPr="00FC6087">
        <w:t>Kruse, S.,</w:t>
      </w:r>
      <w:r w:rsidR="005E7A62">
        <w:t xml:space="preserve"> &amp; </w:t>
      </w:r>
      <w:r w:rsidRPr="00FC6087">
        <w:t xml:space="preserve">Beane, A. (2018). Health information technology continues to show positive effect on medical outcomes: Systematic review. </w:t>
      </w:r>
      <w:r w:rsidRPr="00FC6087">
        <w:rPr>
          <w:i/>
          <w:iCs/>
        </w:rPr>
        <w:t>Journal of Medical Internet Resources, 20</w:t>
      </w:r>
      <w:r w:rsidRPr="00FC6087">
        <w:t>, e41.</w:t>
      </w:r>
    </w:p>
    <w:p w14:paraId="7D516D0B" w14:textId="6C3534B7" w:rsidR="00841C9A" w:rsidRPr="00FC6087" w:rsidRDefault="00841C9A" w:rsidP="001200E8">
      <w:pPr>
        <w:pStyle w:val="APAReferences"/>
        <w:spacing w:line="480" w:lineRule="auto"/>
      </w:pPr>
      <w:r w:rsidRPr="00FC6087">
        <w:t>Kruse, S., DeeShazo, J., Kim, F.,</w:t>
      </w:r>
      <w:r w:rsidR="005E7A62">
        <w:t xml:space="preserve"> &amp; </w:t>
      </w:r>
      <w:r w:rsidRPr="00FC6087">
        <w:t>Fulton, L. (2014). Factors associated with adoption of health information technology: A conceptual model based on a systematic review.</w:t>
      </w:r>
      <w:r w:rsidRPr="00FC6087">
        <w:rPr>
          <w:i/>
          <w:iCs/>
        </w:rPr>
        <w:t xml:space="preserve"> JMIR Medical Informatics</w:t>
      </w:r>
      <w:r w:rsidRPr="00FC6087">
        <w:rPr>
          <w:i/>
        </w:rPr>
        <w:t>, 2</w:t>
      </w:r>
      <w:r w:rsidRPr="00FC6087">
        <w:t xml:space="preserve">, e9. </w:t>
      </w:r>
    </w:p>
    <w:p w14:paraId="7D516D0C" w14:textId="3063D708" w:rsidR="00D6038F" w:rsidRDefault="00D6038F" w:rsidP="001200E8">
      <w:pPr>
        <w:pStyle w:val="APAReferences"/>
        <w:spacing w:line="480" w:lineRule="auto"/>
      </w:pPr>
      <w:r>
        <w:t>Kumar, V., Rahman, Z.</w:t>
      </w:r>
      <w:r w:rsidR="005E7A62">
        <w:t xml:space="preserve"> &amp; </w:t>
      </w:r>
      <w:r>
        <w:t xml:space="preserve">Kazmi, A. (2016). Assessing the Influence of Stakeholders on Sustainability Marketing Strategy of Indian Companies. </w:t>
      </w:r>
      <w:r w:rsidRPr="009659E2">
        <w:rPr>
          <w:i/>
        </w:rPr>
        <w:t>SAGE Open</w:t>
      </w:r>
      <w:r>
        <w:t>, 1-19.</w:t>
      </w:r>
    </w:p>
    <w:p w14:paraId="7D516D0D" w14:textId="77777777" w:rsidR="00841C9A" w:rsidRPr="00FC6087" w:rsidRDefault="00841C9A" w:rsidP="001200E8">
      <w:pPr>
        <w:pStyle w:val="APAReferences"/>
        <w:spacing w:line="480" w:lineRule="auto"/>
      </w:pPr>
      <w:r w:rsidRPr="00FC6087">
        <w:t xml:space="preserve">Kundi, G. M. (2010). </w:t>
      </w:r>
      <w:r w:rsidRPr="00FC6087">
        <w:rPr>
          <w:i/>
          <w:iCs/>
        </w:rPr>
        <w:t>E-business in Pakistan: Opportunities and threats</w:t>
      </w:r>
      <w:r w:rsidRPr="00FC6087">
        <w:t xml:space="preserve">. </w:t>
      </w:r>
      <w:r w:rsidR="00257456" w:rsidRPr="00FC6087">
        <w:t xml:space="preserve">Riga, </w:t>
      </w:r>
      <w:r w:rsidRPr="00FC6087">
        <w:t>Lambert Academic Publishing.</w:t>
      </w:r>
    </w:p>
    <w:p w14:paraId="7D516D0E" w14:textId="77777777" w:rsidR="00841C9A" w:rsidRPr="00FC6087" w:rsidRDefault="00841C9A" w:rsidP="001200E8">
      <w:pPr>
        <w:pStyle w:val="APAReferences"/>
        <w:spacing w:line="480" w:lineRule="auto"/>
      </w:pPr>
      <w:r w:rsidRPr="00FC6087">
        <w:t xml:space="preserve">Kura, K. (2016). Linking environmentally specific transformational leadership and environmental concern to green behavior at work. </w:t>
      </w:r>
      <w:r w:rsidRPr="00FC6087">
        <w:rPr>
          <w:i/>
          <w:iCs/>
        </w:rPr>
        <w:t>Global Business Review, 17</w:t>
      </w:r>
      <w:r w:rsidRPr="00FC6087">
        <w:t xml:space="preserve">, 1S-14S. </w:t>
      </w:r>
    </w:p>
    <w:p w14:paraId="7D516D0F" w14:textId="4AC75D4C" w:rsidR="00841C9A" w:rsidRPr="00FC6087" w:rsidRDefault="00841C9A" w:rsidP="001200E8">
      <w:pPr>
        <w:pStyle w:val="APAReferences"/>
        <w:spacing w:line="480" w:lineRule="auto"/>
      </w:pPr>
      <w:r w:rsidRPr="00FC6087">
        <w:t>Laerum, H., Ellingesen, G.,</w:t>
      </w:r>
      <w:r w:rsidR="005E7A62">
        <w:t xml:space="preserve"> &amp; </w:t>
      </w:r>
      <w:r w:rsidRPr="00FC6087">
        <w:t>Faxvaag, A. (2001). Doctors’ use of electronic medical records systems in hospitals: Cross sectional survey.</w:t>
      </w:r>
      <w:r w:rsidRPr="00FC6087">
        <w:rPr>
          <w:i/>
          <w:iCs/>
        </w:rPr>
        <w:t xml:space="preserve"> The BMJ, </w:t>
      </w:r>
      <w:r w:rsidRPr="00FC6087">
        <w:rPr>
          <w:i/>
        </w:rPr>
        <w:t>323</w:t>
      </w:r>
      <w:r w:rsidRPr="00FC6087">
        <w:t>, 1344-1348.</w:t>
      </w:r>
    </w:p>
    <w:p w14:paraId="7D516D10" w14:textId="55E0534D" w:rsidR="00841C9A" w:rsidRPr="00FC6087" w:rsidRDefault="00841C9A" w:rsidP="001200E8">
      <w:pPr>
        <w:pStyle w:val="APAReferences"/>
        <w:spacing w:line="480" w:lineRule="auto"/>
      </w:pPr>
      <w:r w:rsidRPr="00FC6087">
        <w:t>Lai, H., Lin, I.,</w:t>
      </w:r>
      <w:r w:rsidR="005E7A62">
        <w:t xml:space="preserve"> &amp; </w:t>
      </w:r>
      <w:r w:rsidRPr="00FC6087">
        <w:t>Tseng, L. (2014). High-</w:t>
      </w:r>
      <w:r w:rsidR="00084AF8" w:rsidRPr="00FC6087">
        <w:t xml:space="preserve">level managers’ considerations for </w:t>
      </w:r>
      <w:r w:rsidRPr="00FC6087">
        <w:t xml:space="preserve">RFID </w:t>
      </w:r>
      <w:r w:rsidR="00084AF8" w:rsidRPr="00FC6087">
        <w:t>a</w:t>
      </w:r>
      <w:r w:rsidRPr="00FC6087">
        <w:t xml:space="preserve">doption in </w:t>
      </w:r>
      <w:r w:rsidR="00084AF8" w:rsidRPr="00FC6087">
        <w:t>h</w:t>
      </w:r>
      <w:r w:rsidRPr="00FC6087">
        <w:t xml:space="preserve">ospitals: An </w:t>
      </w:r>
      <w:r w:rsidR="00084AF8" w:rsidRPr="00FC6087">
        <w:t>e</w:t>
      </w:r>
      <w:r w:rsidRPr="00FC6087">
        <w:t xml:space="preserve">mpirical </w:t>
      </w:r>
      <w:r w:rsidR="00084AF8" w:rsidRPr="00FC6087">
        <w:t>s</w:t>
      </w:r>
      <w:r w:rsidRPr="00FC6087">
        <w:t xml:space="preserve">tudy in Taiwan. </w:t>
      </w:r>
      <w:r w:rsidRPr="00790070">
        <w:rPr>
          <w:i/>
        </w:rPr>
        <w:t>Journal of Medical Systems, 38</w:t>
      </w:r>
      <w:r w:rsidRPr="00FC6087">
        <w:t>(2), 1-17.</w:t>
      </w:r>
    </w:p>
    <w:p w14:paraId="7D516D11" w14:textId="2249D894" w:rsidR="00841C9A" w:rsidRPr="00FC6087" w:rsidRDefault="00841C9A" w:rsidP="001200E8">
      <w:pPr>
        <w:pStyle w:val="APAReferences"/>
        <w:spacing w:line="480" w:lineRule="auto"/>
      </w:pPr>
      <w:r w:rsidRPr="00FC6087">
        <w:t>Lambooij, M.,</w:t>
      </w:r>
      <w:r w:rsidR="005E7A62">
        <w:t xml:space="preserve"> &amp; </w:t>
      </w:r>
      <w:r w:rsidRPr="00FC6087">
        <w:t xml:space="preserve">Hummel, M. (2013). Differentiating innovation priorities among stakeholder in hospital care. </w:t>
      </w:r>
      <w:r w:rsidRPr="00FC6087">
        <w:rPr>
          <w:i/>
          <w:iCs/>
        </w:rPr>
        <w:t>BMC Medical Informatics and Decision Making, 13</w:t>
      </w:r>
      <w:r w:rsidR="00E370BC" w:rsidRPr="00FC6087">
        <w:t xml:space="preserve">. Retrieved from </w:t>
      </w:r>
      <w:r w:rsidRPr="00FC6087">
        <w:t>.</w:t>
      </w:r>
      <w:r w:rsidR="00E370BC" w:rsidRPr="00FC6087">
        <w:t xml:space="preserve"> https://doi.org/10.1186/1472-6947-13-91</w:t>
      </w:r>
    </w:p>
    <w:p w14:paraId="7D516D12" w14:textId="16C514C8" w:rsidR="00841C9A" w:rsidRPr="00FC6087" w:rsidRDefault="00841C9A" w:rsidP="001200E8">
      <w:pPr>
        <w:pStyle w:val="APAReferences"/>
        <w:spacing w:line="480" w:lineRule="auto"/>
      </w:pPr>
      <w:r w:rsidRPr="00FC6087">
        <w:t>Lapointe, L., Mignerat, M.,</w:t>
      </w:r>
      <w:r w:rsidR="005E7A62">
        <w:t xml:space="preserve"> &amp; </w:t>
      </w:r>
      <w:r w:rsidRPr="00FC6087">
        <w:t xml:space="preserve">Vogel, I. (2011). The IT productivity paradox in health: A stakeholder’s perspective. </w:t>
      </w:r>
      <w:r w:rsidRPr="00FC6087">
        <w:rPr>
          <w:i/>
          <w:iCs/>
        </w:rPr>
        <w:t>International Journal of Medical Informatics, 80</w:t>
      </w:r>
      <w:r w:rsidRPr="00FC6087">
        <w:t>, 102-115.</w:t>
      </w:r>
    </w:p>
    <w:p w14:paraId="7D516D13" w14:textId="5A247843" w:rsidR="00CC016E" w:rsidRDefault="00D6038F" w:rsidP="001200E8">
      <w:pPr>
        <w:pStyle w:val="APAReferences"/>
        <w:spacing w:line="480" w:lineRule="auto"/>
      </w:pPr>
      <w:r w:rsidRPr="00A1764C">
        <w:t>Lean, O., Zailani, S</w:t>
      </w:r>
      <w:r>
        <w:t>., Ramayah, T.,</w:t>
      </w:r>
      <w:r w:rsidR="005E7A62">
        <w:t xml:space="preserve"> &amp; </w:t>
      </w:r>
      <w:r>
        <w:t>Fernando, Y. (</w:t>
      </w:r>
      <w:r w:rsidRPr="00A1764C">
        <w:t>2009</w:t>
      </w:r>
      <w:r>
        <w:t>)</w:t>
      </w:r>
      <w:r w:rsidRPr="00A1764C">
        <w:t>. Factors influencing intention to use e-government services among citizens in Malaysia</w:t>
      </w:r>
      <w:r w:rsidRPr="00A1764C">
        <w:rPr>
          <w:i/>
        </w:rPr>
        <w:t>. International Journal of Information Management,</w:t>
      </w:r>
      <w:r w:rsidRPr="00A1764C">
        <w:t xml:space="preserve"> </w:t>
      </w:r>
      <w:r w:rsidRPr="00FB5FF8">
        <w:rPr>
          <w:i/>
        </w:rPr>
        <w:t>29(6),</w:t>
      </w:r>
      <w:r w:rsidRPr="00A1764C">
        <w:t xml:space="preserve"> 458–475. </w:t>
      </w:r>
    </w:p>
    <w:p w14:paraId="7D516D14" w14:textId="62789A07" w:rsidR="00D6038F" w:rsidRPr="00A1764C" w:rsidRDefault="00D6038F" w:rsidP="001200E8">
      <w:pPr>
        <w:pStyle w:val="APAReferences"/>
        <w:spacing w:line="480" w:lineRule="auto"/>
      </w:pPr>
      <w:r w:rsidRPr="00A1764C">
        <w:t>Ledesm</w:t>
      </w:r>
      <w:r>
        <w:t>a, A., McCulloh, C., Wieck, H.,</w:t>
      </w:r>
      <w:r w:rsidR="005E7A62">
        <w:t xml:space="preserve"> &amp; </w:t>
      </w:r>
      <w:r w:rsidRPr="00A1764C">
        <w:t xml:space="preserve">Yang, M. </w:t>
      </w:r>
      <w:r>
        <w:t>(</w:t>
      </w:r>
      <w:r w:rsidRPr="00A1764C">
        <w:t>2014</w:t>
      </w:r>
      <w:r>
        <w:t>)</w:t>
      </w:r>
      <w:r w:rsidRPr="00A1764C">
        <w:t xml:space="preserve">. Health </w:t>
      </w:r>
      <w:r w:rsidR="009D6377">
        <w:t>c</w:t>
      </w:r>
      <w:r w:rsidRPr="00A1764C">
        <w:t xml:space="preserve">are </w:t>
      </w:r>
      <w:r w:rsidR="009D6377">
        <w:t>s</w:t>
      </w:r>
      <w:r w:rsidRPr="00A1764C">
        <w:t xml:space="preserve">ector </w:t>
      </w:r>
      <w:r w:rsidR="009D6377">
        <w:t>o</w:t>
      </w:r>
      <w:r w:rsidRPr="00A1764C">
        <w:t xml:space="preserve">verview. </w:t>
      </w:r>
      <w:r>
        <w:t xml:space="preserve">Retrieved from </w:t>
      </w:r>
      <w:r w:rsidRPr="00FB5FF8">
        <w:t>https://s3.wp.wsu.edu/uploads/sites/606/2015/02/SectorOverview_HC_Spring2014.pdf</w:t>
      </w:r>
    </w:p>
    <w:p w14:paraId="7D516D15" w14:textId="07401872" w:rsidR="00841C9A" w:rsidRPr="00FC6087" w:rsidRDefault="00841C9A" w:rsidP="001200E8">
      <w:pPr>
        <w:pStyle w:val="APAReferences"/>
        <w:spacing w:line="480" w:lineRule="auto"/>
      </w:pPr>
      <w:r w:rsidRPr="00FC6087">
        <w:t>Lee, J., McCullough, J.,</w:t>
      </w:r>
      <w:r w:rsidR="005E7A62">
        <w:t xml:space="preserve"> &amp; </w:t>
      </w:r>
      <w:r w:rsidRPr="00FC6087">
        <w:t xml:space="preserve">Town, R. (2013). The impact of health information technology on hospital productivity. </w:t>
      </w:r>
      <w:r w:rsidRPr="00FC6087">
        <w:rPr>
          <w:i/>
          <w:iCs/>
        </w:rPr>
        <w:t>RAND Journal of Economics, 44</w:t>
      </w:r>
      <w:r w:rsidRPr="00FC6087">
        <w:t>, 545-568.</w:t>
      </w:r>
    </w:p>
    <w:p w14:paraId="7D516D16" w14:textId="2580D0AA" w:rsidR="00841C9A" w:rsidRPr="00FC6087" w:rsidRDefault="00841C9A" w:rsidP="001200E8">
      <w:pPr>
        <w:pStyle w:val="APAReferences"/>
        <w:spacing w:line="480" w:lineRule="auto"/>
      </w:pPr>
      <w:r w:rsidRPr="00FC6087">
        <w:t>Li, L.,</w:t>
      </w:r>
      <w:r w:rsidR="005E7A62">
        <w:t xml:space="preserve"> &amp; </w:t>
      </w:r>
      <w:r w:rsidRPr="00FC6087">
        <w:t xml:space="preserve">Collier, D. (2000). The role of technology and quality on hospital financial performance: An exploratory analysis. </w:t>
      </w:r>
      <w:r w:rsidRPr="00FC6087">
        <w:rPr>
          <w:i/>
          <w:iCs/>
        </w:rPr>
        <w:t>International Journal of Service Industry Management, 11</w:t>
      </w:r>
      <w:r w:rsidRPr="00FC6087">
        <w:t>, 202-224.</w:t>
      </w:r>
    </w:p>
    <w:p w14:paraId="7D516D17" w14:textId="171E22E2" w:rsidR="00841C9A" w:rsidRPr="00FC6087" w:rsidRDefault="00841C9A" w:rsidP="001200E8">
      <w:pPr>
        <w:pStyle w:val="APAReferences"/>
        <w:spacing w:line="480" w:lineRule="auto"/>
      </w:pPr>
      <w:r w:rsidRPr="00FC6087">
        <w:t>Liddell, A., Adshead, S.,</w:t>
      </w:r>
      <w:r w:rsidR="005E7A62">
        <w:t xml:space="preserve"> &amp; </w:t>
      </w:r>
      <w:r w:rsidRPr="00FC6087">
        <w:t xml:space="preserve">Burgess, E. (2008). </w:t>
      </w:r>
      <w:r w:rsidRPr="00FC6087">
        <w:rPr>
          <w:i/>
          <w:iCs/>
        </w:rPr>
        <w:t>Technology in the NHS: Transforming the patient’s experience of care</w:t>
      </w:r>
      <w:r w:rsidRPr="00FC6087">
        <w:t>. London, UK: The King’s Fund.</w:t>
      </w:r>
    </w:p>
    <w:p w14:paraId="7D516D18" w14:textId="47B9F9CD" w:rsidR="00CC016E" w:rsidRDefault="00D6038F" w:rsidP="001200E8">
      <w:pPr>
        <w:pStyle w:val="APAReferences"/>
        <w:spacing w:line="480" w:lineRule="auto"/>
      </w:pPr>
      <w:r w:rsidRPr="00A1764C">
        <w:t>Liébana-Cabanillas, F., Mari</w:t>
      </w:r>
      <w:r>
        <w:t>nković, V.,</w:t>
      </w:r>
      <w:r w:rsidR="005E7A62">
        <w:t xml:space="preserve"> &amp; </w:t>
      </w:r>
      <w:r>
        <w:t>Kalinić, Z. (</w:t>
      </w:r>
      <w:r w:rsidRPr="00A1764C">
        <w:t>2017</w:t>
      </w:r>
      <w:r>
        <w:t>)</w:t>
      </w:r>
      <w:r w:rsidRPr="00A1764C">
        <w:t xml:space="preserve">. A SEM-neural network approach for predicting antecedents of m-commerce acceptance. </w:t>
      </w:r>
      <w:r w:rsidRPr="00A1764C">
        <w:rPr>
          <w:i/>
        </w:rPr>
        <w:t>International Journal of Information Management</w:t>
      </w:r>
      <w:r w:rsidRPr="00A1764C">
        <w:t xml:space="preserve">, </w:t>
      </w:r>
      <w:r w:rsidRPr="00FB5FF8">
        <w:rPr>
          <w:i/>
        </w:rPr>
        <w:t>37</w:t>
      </w:r>
      <w:r w:rsidRPr="00C0447D">
        <w:t>(2),</w:t>
      </w:r>
      <w:r w:rsidRPr="00A1764C">
        <w:t xml:space="preserve"> 14</w:t>
      </w:r>
      <w:r w:rsidR="009D6377">
        <w:t>-</w:t>
      </w:r>
      <w:r w:rsidRPr="00A1764C">
        <w:t xml:space="preserve">24. </w:t>
      </w:r>
    </w:p>
    <w:p w14:paraId="7D516D19" w14:textId="41EE2840" w:rsidR="00CC016E" w:rsidRDefault="00D6038F" w:rsidP="001200E8">
      <w:pPr>
        <w:pStyle w:val="APAReferences"/>
        <w:spacing w:line="480" w:lineRule="auto"/>
      </w:pPr>
      <w:r>
        <w:t>Lin, C.,</w:t>
      </w:r>
      <w:r w:rsidR="005E7A62">
        <w:t xml:space="preserve"> &amp; </w:t>
      </w:r>
      <w:r>
        <w:t>Anol, P. (</w:t>
      </w:r>
      <w:r w:rsidRPr="00A1764C">
        <w:t>2008</w:t>
      </w:r>
      <w:r>
        <w:t>)</w:t>
      </w:r>
      <w:r w:rsidRPr="00A1764C">
        <w:t xml:space="preserve">. Learning online social support: an investigation of network information technology based on UTAUT. </w:t>
      </w:r>
      <w:r w:rsidRPr="00A1764C">
        <w:rPr>
          <w:i/>
        </w:rPr>
        <w:t>CyberPsychology</w:t>
      </w:r>
      <w:r w:rsidR="005E7A62">
        <w:rPr>
          <w:i/>
        </w:rPr>
        <w:t xml:space="preserve"> &amp; </w:t>
      </w:r>
      <w:r w:rsidRPr="00A1764C">
        <w:rPr>
          <w:i/>
        </w:rPr>
        <w:t>Behavior</w:t>
      </w:r>
      <w:r w:rsidRPr="00A1764C">
        <w:t xml:space="preserve">, </w:t>
      </w:r>
      <w:r w:rsidRPr="00FB5FF8">
        <w:rPr>
          <w:i/>
        </w:rPr>
        <w:t>11,</w:t>
      </w:r>
      <w:r w:rsidRPr="00A1764C">
        <w:t xml:space="preserve"> 268–272.</w:t>
      </w:r>
    </w:p>
    <w:p w14:paraId="7D516D1A" w14:textId="77777777" w:rsidR="00841C9A" w:rsidRPr="00FC6087" w:rsidRDefault="00841C9A" w:rsidP="001200E8">
      <w:pPr>
        <w:pStyle w:val="APAReferences"/>
        <w:spacing w:line="480" w:lineRule="auto"/>
      </w:pPr>
      <w:r w:rsidRPr="00FC6087">
        <w:t xml:space="preserve">Lluch, M. (2011). Healthcare professionals’ organizational barriers to health information technologies—A literature review. </w:t>
      </w:r>
      <w:r w:rsidRPr="00FC6087">
        <w:rPr>
          <w:i/>
          <w:iCs/>
        </w:rPr>
        <w:t>International Journal of Medical Informatics</w:t>
      </w:r>
      <w:r w:rsidRPr="00FC6087">
        <w:rPr>
          <w:i/>
        </w:rPr>
        <w:t>, 80</w:t>
      </w:r>
      <w:r w:rsidRPr="00FC6087">
        <w:t>, 849-862.</w:t>
      </w:r>
    </w:p>
    <w:p w14:paraId="7D516D1B" w14:textId="77777777" w:rsidR="00841C9A" w:rsidRPr="00FC6087" w:rsidRDefault="00841C9A" w:rsidP="001200E8">
      <w:pPr>
        <w:pStyle w:val="APAReferences"/>
        <w:spacing w:line="480" w:lineRule="auto"/>
      </w:pPr>
      <w:r w:rsidRPr="00FC6087">
        <w:t xml:space="preserve">Loehlin, J. C. (1998). </w:t>
      </w:r>
      <w:r w:rsidRPr="00790070">
        <w:rPr>
          <w:i/>
        </w:rPr>
        <w:t>Latent variable models: An introduction to factor, path, and structural analysis</w:t>
      </w:r>
      <w:r w:rsidRPr="00FC6087">
        <w:t>. Mahwah, NJ: Lawrence Erlbaum Associates</w:t>
      </w:r>
      <w:r w:rsidR="00E370BC" w:rsidRPr="00FC6087">
        <w:t>.</w:t>
      </w:r>
    </w:p>
    <w:p w14:paraId="7D516D1C" w14:textId="7A85F3D9" w:rsidR="00841C9A" w:rsidRPr="00FC6087" w:rsidRDefault="00841C9A" w:rsidP="001200E8">
      <w:pPr>
        <w:pStyle w:val="APAReferences"/>
        <w:spacing w:line="480" w:lineRule="auto"/>
      </w:pPr>
      <w:r w:rsidRPr="00FC6087">
        <w:t xml:space="preserve">Lucas, H. (2015). New technology and illness self-management: Potential relevance for resource-poor populations in Asia. </w:t>
      </w:r>
      <w:r w:rsidRPr="00FC6087">
        <w:rPr>
          <w:i/>
          <w:iCs/>
        </w:rPr>
        <w:t>Social Science</w:t>
      </w:r>
      <w:r w:rsidR="005E7A62">
        <w:rPr>
          <w:i/>
          <w:iCs/>
        </w:rPr>
        <w:t xml:space="preserve"> &amp; </w:t>
      </w:r>
      <w:r w:rsidRPr="00FC6087">
        <w:rPr>
          <w:i/>
          <w:iCs/>
        </w:rPr>
        <w:t>Medicine</w:t>
      </w:r>
      <w:r w:rsidRPr="00FC6087">
        <w:rPr>
          <w:i/>
        </w:rPr>
        <w:t>, 145</w:t>
      </w:r>
      <w:r w:rsidRPr="00FC6087">
        <w:t>, 145-153.</w:t>
      </w:r>
    </w:p>
    <w:p w14:paraId="7D516D1D" w14:textId="402CBA21" w:rsidR="00841C9A" w:rsidRPr="00FC6087" w:rsidRDefault="00841C9A" w:rsidP="001200E8">
      <w:pPr>
        <w:pStyle w:val="APAReferences"/>
        <w:spacing w:line="480" w:lineRule="auto"/>
      </w:pPr>
      <w:r w:rsidRPr="00FC6087">
        <w:t>Ludwick, D.,</w:t>
      </w:r>
      <w:r w:rsidR="005E7A62">
        <w:t xml:space="preserve"> &amp; </w:t>
      </w:r>
      <w:r w:rsidRPr="00FC6087">
        <w:t xml:space="preserve">Doucette, J. (2009). Primary care physicians’ experience with electronic medical records: Barriers to implementation in a fee-for-service environment. </w:t>
      </w:r>
      <w:r w:rsidRPr="00FC6087">
        <w:rPr>
          <w:i/>
          <w:iCs/>
        </w:rPr>
        <w:t>International Journal of Telemedicine and Applications, 56</w:t>
      </w:r>
      <w:r w:rsidRPr="00FC6087">
        <w:t xml:space="preserve">, 40-47. </w:t>
      </w:r>
    </w:p>
    <w:p w14:paraId="7D516D1E" w14:textId="77777777" w:rsidR="00841C9A" w:rsidRPr="00FC6087" w:rsidRDefault="00841C9A" w:rsidP="001200E8">
      <w:pPr>
        <w:pStyle w:val="APAReferences"/>
        <w:spacing w:line="480" w:lineRule="auto"/>
      </w:pPr>
      <w:r w:rsidRPr="00FC6087">
        <w:t xml:space="preserve">Lupton, D. (2014). Beyond techno-utopia: Critical approaches to digital health technologies. </w:t>
      </w:r>
      <w:r w:rsidRPr="00FC6087">
        <w:rPr>
          <w:i/>
          <w:iCs/>
        </w:rPr>
        <w:t>Societies</w:t>
      </w:r>
      <w:r w:rsidRPr="00FC6087">
        <w:rPr>
          <w:i/>
        </w:rPr>
        <w:t>, 4</w:t>
      </w:r>
      <w:r w:rsidRPr="00FC6087">
        <w:t>, 706-711.</w:t>
      </w:r>
    </w:p>
    <w:p w14:paraId="7D516D1F" w14:textId="1F535E0D" w:rsidR="00841C9A" w:rsidRPr="00FC6087" w:rsidRDefault="00841C9A" w:rsidP="001200E8">
      <w:pPr>
        <w:pStyle w:val="APAReferences"/>
        <w:spacing w:line="480" w:lineRule="auto"/>
      </w:pPr>
      <w:r w:rsidRPr="00FC6087">
        <w:t>MacCallum, R. C., Widaman, K. F., Zhang, S.,</w:t>
      </w:r>
      <w:r w:rsidR="005E7A62">
        <w:t xml:space="preserve"> &amp; </w:t>
      </w:r>
      <w:r w:rsidRPr="00FC6087">
        <w:t xml:space="preserve">Hong, S. (1999). Sample size in factor analysis. </w:t>
      </w:r>
      <w:r w:rsidRPr="00790070">
        <w:rPr>
          <w:i/>
        </w:rPr>
        <w:t>Psychological Methods, 4</w:t>
      </w:r>
      <w:r w:rsidRPr="00FC6087">
        <w:t>, 84</w:t>
      </w:r>
      <w:r w:rsidR="00E370BC" w:rsidRPr="00FC6087">
        <w:t>-</w:t>
      </w:r>
      <w:r w:rsidRPr="00FC6087">
        <w:t>89.</w:t>
      </w:r>
    </w:p>
    <w:p w14:paraId="7D516D20" w14:textId="640E6D05" w:rsidR="00841C9A" w:rsidRPr="00FC6087" w:rsidRDefault="00841C9A" w:rsidP="001200E8">
      <w:pPr>
        <w:pStyle w:val="APAReferences"/>
        <w:spacing w:line="480" w:lineRule="auto"/>
      </w:pPr>
      <w:r w:rsidRPr="00FC6087">
        <w:t>MacKenzie, S. B.,</w:t>
      </w:r>
      <w:r w:rsidR="005E7A62">
        <w:t xml:space="preserve"> &amp; </w:t>
      </w:r>
      <w:r w:rsidRPr="00FC6087">
        <w:t xml:space="preserve">Podsakoff, P. M. (2012). Common </w:t>
      </w:r>
      <w:r w:rsidR="00E370BC" w:rsidRPr="00FC6087">
        <w:t>method bias in marketing</w:t>
      </w:r>
      <w:r w:rsidRPr="00FC6087">
        <w:t xml:space="preserve">: Causes, </w:t>
      </w:r>
      <w:r w:rsidR="00E370BC" w:rsidRPr="00FC6087">
        <w:t>mechanisms, and procedural remedies</w:t>
      </w:r>
      <w:r w:rsidRPr="00FC6087">
        <w:t xml:space="preserve">. </w:t>
      </w:r>
      <w:r w:rsidRPr="00790070">
        <w:rPr>
          <w:i/>
        </w:rPr>
        <w:t>Journal of Retailing, 88</w:t>
      </w:r>
      <w:r w:rsidRPr="00FC6087">
        <w:t>(4), 542-555.</w:t>
      </w:r>
    </w:p>
    <w:p w14:paraId="7D516D21" w14:textId="30DFAAD0" w:rsidR="00841C9A" w:rsidRPr="00FC6087" w:rsidRDefault="00841C9A" w:rsidP="001200E8">
      <w:pPr>
        <w:pStyle w:val="APAReferences"/>
        <w:spacing w:line="480" w:lineRule="auto"/>
      </w:pPr>
      <w:r w:rsidRPr="00FC6087">
        <w:t>MacKenzie, S. B., Podsakoff, P. M.,</w:t>
      </w:r>
      <w:r w:rsidR="005E7A62">
        <w:t xml:space="preserve"> &amp; </w:t>
      </w:r>
      <w:r w:rsidRPr="00FC6087">
        <w:t xml:space="preserve">Podsakoff, N. P. (2011). Construct measurement and validation procedures in MIS and behavioral research: Integrating new and existing techniques. </w:t>
      </w:r>
      <w:r w:rsidRPr="00FC6087">
        <w:rPr>
          <w:i/>
          <w:iCs/>
        </w:rPr>
        <w:t>Management Information Systems Quarterly</w:t>
      </w:r>
      <w:r w:rsidRPr="00FC6087">
        <w:t xml:space="preserve">, </w:t>
      </w:r>
      <w:r w:rsidRPr="00FC6087">
        <w:rPr>
          <w:i/>
          <w:iCs/>
        </w:rPr>
        <w:t>35</w:t>
      </w:r>
      <w:r w:rsidRPr="00FC6087">
        <w:t>, 293-334.</w:t>
      </w:r>
    </w:p>
    <w:p w14:paraId="7D516D22" w14:textId="3DF5607D" w:rsidR="00D6038F" w:rsidRPr="00A1764C" w:rsidRDefault="00D6038F" w:rsidP="001200E8">
      <w:pPr>
        <w:pStyle w:val="APAReferences"/>
        <w:spacing w:line="480" w:lineRule="auto"/>
      </w:pPr>
      <w:r w:rsidRPr="00A1764C">
        <w:t>Maillet, E., Mathieu, L.,</w:t>
      </w:r>
      <w:r w:rsidR="005E7A62">
        <w:t xml:space="preserve"> &amp; </w:t>
      </w:r>
      <w:r>
        <w:t>Sicotte, C. (</w:t>
      </w:r>
      <w:r w:rsidRPr="00A1764C">
        <w:t>2015</w:t>
      </w:r>
      <w:r>
        <w:t>)</w:t>
      </w:r>
      <w:r w:rsidRPr="00A1764C">
        <w:t xml:space="preserve">. Modeling factors explaining the acceptance, actual use and satisfaction of nurses using an Electronic Patient Record in acute care settings: An extension of the UTAUT. </w:t>
      </w:r>
      <w:r w:rsidRPr="00A1764C">
        <w:rPr>
          <w:i/>
        </w:rPr>
        <w:t>International Journal of Medical Informatics</w:t>
      </w:r>
      <w:r w:rsidRPr="00EE1C3F">
        <w:t xml:space="preserve">, </w:t>
      </w:r>
      <w:r w:rsidRPr="001D47EC">
        <w:rPr>
          <w:i/>
        </w:rPr>
        <w:t>84</w:t>
      </w:r>
      <w:r w:rsidRPr="00EE1C3F">
        <w:t>,</w:t>
      </w:r>
      <w:r w:rsidRPr="00A1764C">
        <w:t xml:space="preserve"> 36-47.</w:t>
      </w:r>
    </w:p>
    <w:p w14:paraId="7D516D23" w14:textId="626495AE" w:rsidR="00841C9A" w:rsidRPr="00FC6087" w:rsidRDefault="00841C9A" w:rsidP="001200E8">
      <w:pPr>
        <w:pStyle w:val="APAReferences"/>
        <w:spacing w:line="480" w:lineRule="auto"/>
      </w:pPr>
      <w:r w:rsidRPr="00FC6087">
        <w:t xml:space="preserve">Mardani, A., Streimikiene, D., Zavadskas, K., Cavallaro, F., Nilashi, M., Jusoh, A., </w:t>
      </w:r>
      <w:r w:rsidR="00E370BC" w:rsidRPr="00FC6087">
        <w:t>et al.</w:t>
      </w:r>
      <w:r w:rsidRPr="00FC6087">
        <w:t xml:space="preserve"> (2017). Application of structural equation modeling (SEM) to solve environmental sustainability problems: A comprehensive review and meta-analysis.</w:t>
      </w:r>
      <w:r w:rsidRPr="00FC6087">
        <w:rPr>
          <w:i/>
          <w:iCs/>
        </w:rPr>
        <w:t xml:space="preserve"> Sustainability, 9</w:t>
      </w:r>
      <w:r w:rsidR="00701842" w:rsidRPr="00FC6087">
        <w:t>.</w:t>
      </w:r>
      <w:r w:rsidR="00B6349B">
        <w:t xml:space="preserve"> </w:t>
      </w:r>
      <w:r w:rsidR="00701842" w:rsidRPr="00FC6087">
        <w:t>Retrieved from https://doi.org/10.3390/su9101814</w:t>
      </w:r>
    </w:p>
    <w:p w14:paraId="7D516D24" w14:textId="0FC091C2" w:rsidR="00841C9A" w:rsidRPr="00FC6087" w:rsidRDefault="00841C9A" w:rsidP="001200E8">
      <w:pPr>
        <w:pStyle w:val="APAReferences"/>
        <w:spacing w:line="480" w:lineRule="auto"/>
      </w:pPr>
      <w:r w:rsidRPr="00FC6087">
        <w:t>Marsan, J.,</w:t>
      </w:r>
      <w:r w:rsidR="005E7A62">
        <w:t xml:space="preserve"> &amp; </w:t>
      </w:r>
      <w:r w:rsidRPr="00FC6087">
        <w:t xml:space="preserve">Pare, G. (2013). Antecedents of open source software adoption in health care organizations: A qualitative survey of experts in Canada. </w:t>
      </w:r>
      <w:r w:rsidRPr="00790070">
        <w:rPr>
          <w:i/>
        </w:rPr>
        <w:t>International Journal of Medical Informatics</w:t>
      </w:r>
      <w:r w:rsidR="00701842" w:rsidRPr="00FC6087">
        <w:rPr>
          <w:i/>
        </w:rPr>
        <w:t>,</w:t>
      </w:r>
      <w:r w:rsidRPr="00790070">
        <w:rPr>
          <w:i/>
        </w:rPr>
        <w:t xml:space="preserve"> 82</w:t>
      </w:r>
      <w:r w:rsidRPr="00FC6087">
        <w:t>(8), 731-741.</w:t>
      </w:r>
    </w:p>
    <w:p w14:paraId="7D516D25" w14:textId="44B0FF98" w:rsidR="00841C9A" w:rsidRPr="00FC6087" w:rsidRDefault="00841C9A" w:rsidP="001200E8">
      <w:pPr>
        <w:pStyle w:val="APAReferences"/>
        <w:spacing w:line="480" w:lineRule="auto"/>
      </w:pPr>
      <w:r w:rsidRPr="00FC6087">
        <w:t>Marsh, H. W., Hau, K.-T., Balla, J. R.,</w:t>
      </w:r>
      <w:r w:rsidR="005E7A62">
        <w:t xml:space="preserve"> &amp; </w:t>
      </w:r>
      <w:r w:rsidRPr="00FC6087">
        <w:t xml:space="preserve">Grayson, D. (1998). Is more ever too much? The number of indicators per factor in confirmatory factor analysis. </w:t>
      </w:r>
      <w:r w:rsidRPr="00790070">
        <w:rPr>
          <w:i/>
        </w:rPr>
        <w:t>Multivariate Behavioral Research, 33</w:t>
      </w:r>
      <w:r w:rsidRPr="00FC6087">
        <w:t>, 181</w:t>
      </w:r>
      <w:r w:rsidR="00B6349B">
        <w:t>-</w:t>
      </w:r>
      <w:r w:rsidRPr="00FC6087">
        <w:t>220.</w:t>
      </w:r>
    </w:p>
    <w:p w14:paraId="7D516D26" w14:textId="554A470E" w:rsidR="00D6038F" w:rsidRPr="00A1764C" w:rsidRDefault="00D6038F" w:rsidP="001200E8">
      <w:pPr>
        <w:pStyle w:val="APAReferences"/>
        <w:spacing w:line="480" w:lineRule="auto"/>
      </w:pPr>
      <w:r w:rsidRPr="00A1764C">
        <w:t>Martins, C., Oliveira, T.,</w:t>
      </w:r>
      <w:r w:rsidR="005E7A62">
        <w:t xml:space="preserve"> &amp; </w:t>
      </w:r>
      <w:r w:rsidRPr="00A1764C">
        <w:t>Popovič, A., 2014. Understanding the Internet banking adoption: A unified theory of acceptance and use of technology and perceived risk application</w:t>
      </w:r>
      <w:r w:rsidRPr="00A1764C">
        <w:rPr>
          <w:i/>
        </w:rPr>
        <w:t xml:space="preserve">. International Journal of Information Management, </w:t>
      </w:r>
      <w:r w:rsidRPr="00FB5FF8">
        <w:rPr>
          <w:i/>
        </w:rPr>
        <w:t>34</w:t>
      </w:r>
      <w:r w:rsidRPr="00C0447D">
        <w:t>(1),</w:t>
      </w:r>
      <w:r w:rsidRPr="00D97E6F">
        <w:t xml:space="preserve"> </w:t>
      </w:r>
      <w:r w:rsidRPr="00A1764C">
        <w:t>1</w:t>
      </w:r>
      <w:r w:rsidR="00B6349B">
        <w:t>-</w:t>
      </w:r>
      <w:r w:rsidRPr="00A1764C">
        <w:t>13.</w:t>
      </w:r>
    </w:p>
    <w:p w14:paraId="7D516D27" w14:textId="77777777" w:rsidR="00841C9A" w:rsidRPr="00FC6087" w:rsidRDefault="00841C9A" w:rsidP="001200E8">
      <w:pPr>
        <w:pStyle w:val="APAReferences"/>
        <w:spacing w:line="480" w:lineRule="auto"/>
      </w:pPr>
      <w:r w:rsidRPr="00FC6087">
        <w:t xml:space="preserve">Matsunaga, M. (2010). How to factor-analyze your data right: Do’s, don’ts, and how-to’s. </w:t>
      </w:r>
      <w:r w:rsidRPr="00FC6087">
        <w:rPr>
          <w:i/>
          <w:iCs/>
        </w:rPr>
        <w:t>International Journal of Psychological Research, 3</w:t>
      </w:r>
      <w:r w:rsidRPr="00FC6087">
        <w:t>, 97-110.</w:t>
      </w:r>
    </w:p>
    <w:p w14:paraId="7D516D28" w14:textId="0AE124F4" w:rsidR="00841C9A" w:rsidRPr="00FC6087" w:rsidRDefault="00841C9A" w:rsidP="001200E8">
      <w:pPr>
        <w:pStyle w:val="APAReferences"/>
        <w:spacing w:line="480" w:lineRule="auto"/>
      </w:pPr>
      <w:r w:rsidRPr="00FC6087">
        <w:t>McClellan, S.</w:t>
      </w:r>
      <w:r w:rsidR="0063752D">
        <w:t xml:space="preserve"> </w:t>
      </w:r>
      <w:r w:rsidRPr="00FC6087">
        <w:t>R., Casalino, L.</w:t>
      </w:r>
      <w:r w:rsidR="0063752D">
        <w:t xml:space="preserve"> </w:t>
      </w:r>
      <w:r w:rsidRPr="00FC6087">
        <w:t>P., Shortell, S.</w:t>
      </w:r>
      <w:r w:rsidR="0063752D">
        <w:t xml:space="preserve"> </w:t>
      </w:r>
      <w:r w:rsidRPr="00FC6087">
        <w:t>M.,</w:t>
      </w:r>
      <w:r w:rsidR="005E7A62">
        <w:t xml:space="preserve"> &amp; </w:t>
      </w:r>
      <w:r w:rsidRPr="00FC6087">
        <w:t>Rittenhouse, D.</w:t>
      </w:r>
      <w:r w:rsidR="0063752D">
        <w:t xml:space="preserve"> </w:t>
      </w:r>
      <w:r w:rsidRPr="00FC6087">
        <w:t xml:space="preserve">R. (2013). When does adoption of health information technology by physician practices lead to use by physicians within the practice? </w:t>
      </w:r>
      <w:r w:rsidRPr="00FC6087">
        <w:rPr>
          <w:i/>
          <w:iCs/>
        </w:rPr>
        <w:t>Journal of the American Medical Informatics Association</w:t>
      </w:r>
      <w:r w:rsidRPr="00FC6087">
        <w:rPr>
          <w:i/>
        </w:rPr>
        <w:t>, 20</w:t>
      </w:r>
      <w:r w:rsidRPr="00FC6087">
        <w:t>, e26-e32.</w:t>
      </w:r>
    </w:p>
    <w:p w14:paraId="7D516D29" w14:textId="08B8E402" w:rsidR="00841C9A" w:rsidRPr="00FC6087" w:rsidRDefault="00841C9A" w:rsidP="001200E8">
      <w:pPr>
        <w:pStyle w:val="APAReferences"/>
        <w:spacing w:line="480" w:lineRule="auto"/>
      </w:pPr>
      <w:r w:rsidRPr="00FC6087">
        <w:t>McLeod, A., Carpenter, D.,</w:t>
      </w:r>
      <w:r w:rsidR="005E7A62">
        <w:t xml:space="preserve"> &amp; </w:t>
      </w:r>
      <w:r w:rsidRPr="00FC6087">
        <w:t xml:space="preserve">Clark, D. (2008). Measuring success in inter-organizational information systems: A case study. </w:t>
      </w:r>
      <w:r w:rsidRPr="00FC6087">
        <w:rPr>
          <w:i/>
          <w:iCs/>
        </w:rPr>
        <w:t>Communications of the Association for Information Systems</w:t>
      </w:r>
      <w:r w:rsidRPr="00FC6087">
        <w:t>,</w:t>
      </w:r>
      <w:r w:rsidRPr="00FC6087">
        <w:rPr>
          <w:i/>
          <w:iCs/>
        </w:rPr>
        <w:t xml:space="preserve"> 34</w:t>
      </w:r>
      <w:r w:rsidRPr="00FC6087">
        <w:t>, 617-634.</w:t>
      </w:r>
    </w:p>
    <w:p w14:paraId="7D516D2A" w14:textId="77777777" w:rsidR="00841C9A" w:rsidRPr="00FC6087" w:rsidRDefault="00841C9A" w:rsidP="001200E8">
      <w:pPr>
        <w:pStyle w:val="APAReferences"/>
        <w:spacing w:line="480" w:lineRule="auto"/>
      </w:pPr>
      <w:r w:rsidRPr="00FC6087">
        <w:t xml:space="preserve">Meinert, D. (2004). Resistance to electronic medical records (EMRs): A </w:t>
      </w:r>
      <w:r w:rsidR="00701842" w:rsidRPr="00FC6087">
        <w:t>b</w:t>
      </w:r>
      <w:r w:rsidRPr="00FC6087">
        <w:t>arrier to improved quality of care. </w:t>
      </w:r>
      <w:r w:rsidRPr="00FC6087">
        <w:rPr>
          <w:i/>
        </w:rPr>
        <w:t>Informing Science: International Journal of an Emerging Transdiscipline, 2</w:t>
      </w:r>
      <w:r w:rsidRPr="00FC6087">
        <w:t>, 493-504.</w:t>
      </w:r>
    </w:p>
    <w:p w14:paraId="7D516D2B" w14:textId="4E2C4BEA" w:rsidR="00841C9A" w:rsidRPr="00FC6087" w:rsidRDefault="00841C9A" w:rsidP="001200E8">
      <w:pPr>
        <w:pStyle w:val="APAReferences"/>
        <w:spacing w:line="480" w:lineRule="auto"/>
      </w:pPr>
      <w:r w:rsidRPr="00FC6087">
        <w:t>Mello, M., Chandra, A., Gawanda, A.,</w:t>
      </w:r>
      <w:r w:rsidR="005E7A62">
        <w:t xml:space="preserve"> &amp; </w:t>
      </w:r>
      <w:r w:rsidRPr="00FC6087">
        <w:t xml:space="preserve">Studdert, D. (2010). National costs of the medical liability system. </w:t>
      </w:r>
      <w:r w:rsidRPr="00FC6087">
        <w:rPr>
          <w:i/>
          <w:iCs/>
        </w:rPr>
        <w:t>Health Affairs, 29</w:t>
      </w:r>
      <w:r w:rsidRPr="00FC6087">
        <w:t>, 1569-1577.</w:t>
      </w:r>
    </w:p>
    <w:p w14:paraId="7D516D2C" w14:textId="31A35E97" w:rsidR="00841C9A" w:rsidRPr="00FC6087" w:rsidRDefault="00841C9A" w:rsidP="001200E8">
      <w:pPr>
        <w:pStyle w:val="APAReferences"/>
        <w:spacing w:line="480" w:lineRule="auto"/>
      </w:pPr>
      <w:r w:rsidRPr="00FC6087">
        <w:t>Melville, N., Kraemer, K.,</w:t>
      </w:r>
      <w:r w:rsidR="005E7A62">
        <w:t xml:space="preserve"> &amp; </w:t>
      </w:r>
      <w:r w:rsidRPr="00FC6087">
        <w:t xml:space="preserve">Gurbaxani, V. (2004). Review: Information technology and organizational performance: An integrative model of IT business value. </w:t>
      </w:r>
      <w:r w:rsidRPr="00FC6087">
        <w:rPr>
          <w:i/>
          <w:iCs/>
        </w:rPr>
        <w:t>Management Information Systems Quarterly, 28</w:t>
      </w:r>
      <w:r w:rsidRPr="00FC6087">
        <w:t>, 283-322.</w:t>
      </w:r>
    </w:p>
    <w:p w14:paraId="7D516D2D" w14:textId="6E949B46" w:rsidR="00CC016E" w:rsidRDefault="00D6038F" w:rsidP="001200E8">
      <w:pPr>
        <w:pStyle w:val="APAReferences"/>
        <w:spacing w:line="480" w:lineRule="auto"/>
      </w:pPr>
      <w:r w:rsidRPr="00A1764C">
        <w:t>Menachemi, N., Langley, A.,</w:t>
      </w:r>
      <w:r w:rsidR="005E7A62">
        <w:t xml:space="preserve"> &amp; </w:t>
      </w:r>
      <w:r w:rsidRPr="00A1764C">
        <w:t>Brooks, R. (2007)</w:t>
      </w:r>
      <w:r>
        <w:t>.</w:t>
      </w:r>
      <w:r w:rsidRPr="00A1764C">
        <w:t xml:space="preserve"> The</w:t>
      </w:r>
      <w:r>
        <w:t xml:space="preserve"> </w:t>
      </w:r>
      <w:r w:rsidRPr="00A1764C">
        <w:t xml:space="preserve">use of information technologies among rural and urban physicians in Florida. </w:t>
      </w:r>
      <w:r w:rsidR="004B1E5E" w:rsidRPr="00C0447D">
        <w:rPr>
          <w:i/>
        </w:rPr>
        <w:t>Journal of Medical Systems</w:t>
      </w:r>
      <w:r w:rsidRPr="00C0447D">
        <w:rPr>
          <w:i/>
        </w:rPr>
        <w:t>,</w:t>
      </w:r>
      <w:r w:rsidRPr="00A1764C">
        <w:t xml:space="preserve"> </w:t>
      </w:r>
      <w:r w:rsidRPr="00A1764C">
        <w:rPr>
          <w:i/>
        </w:rPr>
        <w:t>31</w:t>
      </w:r>
      <w:r w:rsidRPr="00A1764C">
        <w:t>(6), 483</w:t>
      </w:r>
      <w:r w:rsidR="004B1E5E">
        <w:t>-</w:t>
      </w:r>
      <w:r w:rsidRPr="00A1764C">
        <w:t>488.</w:t>
      </w:r>
    </w:p>
    <w:p w14:paraId="7D516D2E" w14:textId="4EF88202" w:rsidR="00D6038F" w:rsidRPr="00A1764C" w:rsidRDefault="00D6038F" w:rsidP="001200E8">
      <w:pPr>
        <w:pStyle w:val="APAReferences"/>
        <w:spacing w:line="480" w:lineRule="auto"/>
      </w:pPr>
      <w:r>
        <w:t>Miles, J.,</w:t>
      </w:r>
      <w:r w:rsidR="005E7A62">
        <w:t xml:space="preserve"> &amp; </w:t>
      </w:r>
      <w:r>
        <w:t xml:space="preserve">Shevlin, M. (2007). </w:t>
      </w:r>
      <w:r w:rsidRPr="00A1764C">
        <w:t>A time and place for incremental fit indices</w:t>
      </w:r>
      <w:r>
        <w:t xml:space="preserve">. </w:t>
      </w:r>
      <w:r w:rsidRPr="00A1764C">
        <w:rPr>
          <w:i/>
          <w:iCs/>
        </w:rPr>
        <w:t>Personality and Individual Difference</w:t>
      </w:r>
      <w:r w:rsidRPr="00A1764C">
        <w:t xml:space="preserve">, </w:t>
      </w:r>
      <w:r w:rsidRPr="00EE1C3F">
        <w:rPr>
          <w:i/>
          <w:iCs/>
        </w:rPr>
        <w:t>42(5),</w:t>
      </w:r>
      <w:r w:rsidRPr="00A1764C">
        <w:t xml:space="preserve"> 869-874.</w:t>
      </w:r>
    </w:p>
    <w:p w14:paraId="7D516D2F" w14:textId="3E446F26" w:rsidR="00841C9A" w:rsidRPr="00FC6087" w:rsidRDefault="00841C9A" w:rsidP="001200E8">
      <w:pPr>
        <w:pStyle w:val="APAReferences"/>
        <w:spacing w:line="480" w:lineRule="auto"/>
      </w:pPr>
      <w:r w:rsidRPr="00FC6087">
        <w:t>Miller, L., Stimely, M., Matheny, P., Pope, M., McAtee, R.,</w:t>
      </w:r>
      <w:r w:rsidR="005E7A62">
        <w:t xml:space="preserve"> &amp; </w:t>
      </w:r>
      <w:r w:rsidRPr="00FC6087">
        <w:t xml:space="preserve">Miller, K. (2014). Novice nurse preparedness to effectively use electronic health records in acute care settings: critical informatics knowledge and skill gaps. </w:t>
      </w:r>
      <w:r w:rsidRPr="00FC6087">
        <w:rPr>
          <w:i/>
          <w:iCs/>
        </w:rPr>
        <w:t>Online Journal of Nursing Informatics</w:t>
      </w:r>
      <w:r w:rsidRPr="00FC6087">
        <w:rPr>
          <w:i/>
        </w:rPr>
        <w:t xml:space="preserve">, </w:t>
      </w:r>
      <w:r w:rsidR="00D6038F" w:rsidRPr="00FC6087">
        <w:rPr>
          <w:i/>
        </w:rPr>
        <w:t>18</w:t>
      </w:r>
      <w:r w:rsidR="00FE5581">
        <w:t>(</w:t>
      </w:r>
      <w:r w:rsidR="00D6038F">
        <w:t>2</w:t>
      </w:r>
      <w:r w:rsidR="00FE5581">
        <w:t>).</w:t>
      </w:r>
      <w:r w:rsidR="00D6038F">
        <w:t xml:space="preserve"> </w:t>
      </w:r>
      <w:r w:rsidR="00D6038F" w:rsidRPr="00FC6087">
        <w:t xml:space="preserve">Retrieved from </w:t>
      </w:r>
      <w:r w:rsidR="00D6038F" w:rsidRPr="009659E2">
        <w:t>https://www.himss.org/novice-nurse-preparedness-effectively-use-electronic-health-records-acute-care-settings-critical</w:t>
      </w:r>
    </w:p>
    <w:p w14:paraId="7D516D30" w14:textId="5A454C10" w:rsidR="00841C9A" w:rsidRPr="00FC6087" w:rsidRDefault="00841C9A" w:rsidP="001200E8">
      <w:pPr>
        <w:pStyle w:val="APAReferences"/>
        <w:spacing w:line="480" w:lineRule="auto"/>
      </w:pPr>
      <w:r w:rsidRPr="00FC6087">
        <w:t>Miller, R.,</w:t>
      </w:r>
      <w:r w:rsidR="005E7A62">
        <w:t xml:space="preserve"> &amp; </w:t>
      </w:r>
      <w:r w:rsidRPr="00FC6087">
        <w:t>Sim, I.(2004). Physicians’ use of electronic medical records: Barriers and solutions. </w:t>
      </w:r>
      <w:r w:rsidRPr="00FC6087">
        <w:rPr>
          <w:i/>
        </w:rPr>
        <w:t>Health Affairs, 23</w:t>
      </w:r>
      <w:r w:rsidRPr="00FC6087">
        <w:t>, 116-126.</w:t>
      </w:r>
    </w:p>
    <w:p w14:paraId="7D516D31" w14:textId="2EF33E29" w:rsidR="00841C9A" w:rsidRPr="00FC6087" w:rsidRDefault="00841C9A" w:rsidP="001200E8">
      <w:pPr>
        <w:pStyle w:val="APAReferences"/>
        <w:spacing w:line="480" w:lineRule="auto"/>
      </w:pPr>
      <w:r w:rsidRPr="00FC6087">
        <w:t>Mishra, A.,</w:t>
      </w:r>
      <w:r w:rsidR="005E7A62">
        <w:t xml:space="preserve"> &amp; </w:t>
      </w:r>
      <w:r w:rsidRPr="00FC6087">
        <w:t>Dwivedi, Y. K. (2012). Stakeholder theory and applications in information systems. In Y. K. Dwivedi, M. R. Wade,</w:t>
      </w:r>
      <w:r w:rsidR="005E7A62">
        <w:t xml:space="preserve"> &amp; </w:t>
      </w:r>
      <w:r w:rsidRPr="00FC6087">
        <w:t xml:space="preserve">S. L. Schneberger (Eds.), </w:t>
      </w:r>
      <w:r w:rsidRPr="00FC6087">
        <w:rPr>
          <w:i/>
          <w:iCs/>
        </w:rPr>
        <w:t xml:space="preserve">Information system theory: Explaining and predicting our digital society </w:t>
      </w:r>
      <w:r w:rsidRPr="00FC6087">
        <w:t>(pp. 471-488). New York, NY: Springer.</w:t>
      </w:r>
    </w:p>
    <w:p w14:paraId="7D516D32" w14:textId="5313DA34" w:rsidR="00841C9A" w:rsidRPr="00FC6087" w:rsidRDefault="00841C9A" w:rsidP="001200E8">
      <w:pPr>
        <w:pStyle w:val="APAReferences"/>
        <w:spacing w:line="480" w:lineRule="auto"/>
      </w:pPr>
      <w:r w:rsidRPr="00FC6087">
        <w:t>Mishra, A.,</w:t>
      </w:r>
      <w:r w:rsidR="005E7A62">
        <w:t xml:space="preserve"> &amp; </w:t>
      </w:r>
      <w:r w:rsidRPr="00FC6087">
        <w:t xml:space="preserve">Mishra, D. (2013). Applications of stakeholder theory in information systems and technology. </w:t>
      </w:r>
      <w:r w:rsidRPr="00FC6087">
        <w:rPr>
          <w:i/>
          <w:iCs/>
        </w:rPr>
        <w:t>Inzinerine Ekonomika-Engineering Economics</w:t>
      </w:r>
      <w:r w:rsidRPr="00FC6087">
        <w:rPr>
          <w:i/>
        </w:rPr>
        <w:t>, 243</w:t>
      </w:r>
      <w:r w:rsidRPr="00FC6087">
        <w:t>, 254-266.</w:t>
      </w:r>
    </w:p>
    <w:p w14:paraId="7D516D33" w14:textId="68BA79EF" w:rsidR="00841C9A" w:rsidRPr="00FC6087" w:rsidRDefault="00841C9A" w:rsidP="001200E8">
      <w:pPr>
        <w:pStyle w:val="APAReferences"/>
        <w:spacing w:line="480" w:lineRule="auto"/>
      </w:pPr>
      <w:r w:rsidRPr="00FC6087">
        <w:t>Morrison, Z., Robertson, A.,</w:t>
      </w:r>
      <w:r w:rsidR="005E7A62">
        <w:t xml:space="preserve"> &amp; </w:t>
      </w:r>
      <w:r w:rsidRPr="00FC6087">
        <w:t xml:space="preserve">Cresswell, K. (2011). Understanding contrasting approaches to nationwide implementations of electronic health record systems: England, the USA and Australia. </w:t>
      </w:r>
      <w:r w:rsidRPr="00FC6087">
        <w:rPr>
          <w:i/>
          <w:iCs/>
        </w:rPr>
        <w:t>Journal of Healthcare Engineering, 2</w:t>
      </w:r>
      <w:r w:rsidRPr="00FC6087">
        <w:t xml:space="preserve">, 25-41. </w:t>
      </w:r>
    </w:p>
    <w:p w14:paraId="6426825B" w14:textId="77777777" w:rsidR="00421E90" w:rsidRPr="00FC6087" w:rsidRDefault="00421E90" w:rsidP="001200E8">
      <w:pPr>
        <w:pStyle w:val="APAReferences"/>
        <w:spacing w:line="480" w:lineRule="auto"/>
      </w:pPr>
      <w:r w:rsidRPr="00FC6087">
        <w:t xml:space="preserve">(The) National Institute of Standards and Technology (2012). </w:t>
      </w:r>
      <w:r w:rsidRPr="00FC6087">
        <w:rPr>
          <w:i/>
          <w:iCs/>
        </w:rPr>
        <w:t>Guidelines on security and privacy in public cloud computing</w:t>
      </w:r>
      <w:r w:rsidRPr="00FC6087">
        <w:rPr>
          <w:iCs/>
        </w:rPr>
        <w:t>.</w:t>
      </w:r>
      <w:r w:rsidRPr="00FC6087">
        <w:t xml:space="preserve"> Gaithersberg, MD: The National Institute of Standards and Technology.</w:t>
      </w:r>
    </w:p>
    <w:p w14:paraId="7D516D34" w14:textId="73A265E6" w:rsidR="00841C9A" w:rsidRPr="00FC6087" w:rsidRDefault="00841C9A" w:rsidP="001200E8">
      <w:pPr>
        <w:pStyle w:val="APAReferences"/>
        <w:spacing w:line="480" w:lineRule="auto"/>
      </w:pPr>
      <w:r w:rsidRPr="00FC6087">
        <w:t>Negash, S., Musa, P., Vogel, D.,</w:t>
      </w:r>
      <w:r w:rsidR="005E7A62">
        <w:t xml:space="preserve"> &amp; </w:t>
      </w:r>
      <w:r w:rsidRPr="00FC6087">
        <w:t xml:space="preserve">Sahay, S. (2018). Healthcare information technology for development: Improvements in people’s lives through innovations in the uses of technologies. </w:t>
      </w:r>
      <w:r w:rsidRPr="00FC6087">
        <w:rPr>
          <w:i/>
          <w:iCs/>
        </w:rPr>
        <w:t>Information Technology for Development, 24</w:t>
      </w:r>
      <w:r w:rsidRPr="00FC6087">
        <w:t>, 189-197.</w:t>
      </w:r>
    </w:p>
    <w:p w14:paraId="7D516D35" w14:textId="6CFB688F" w:rsidR="00D6038F" w:rsidRPr="00A1764C" w:rsidRDefault="00D6038F" w:rsidP="001200E8">
      <w:pPr>
        <w:pStyle w:val="APAReferences"/>
        <w:spacing w:line="480" w:lineRule="auto"/>
      </w:pPr>
      <w:r w:rsidRPr="00A1764C">
        <w:t>Nuq, P.,</w:t>
      </w:r>
      <w:r w:rsidR="005E7A62">
        <w:t xml:space="preserve"> &amp; </w:t>
      </w:r>
      <w:r>
        <w:t>Aubert, B. (</w:t>
      </w:r>
      <w:r w:rsidRPr="00A1764C">
        <w:t>2013</w:t>
      </w:r>
      <w:r>
        <w:t>)</w:t>
      </w:r>
      <w:r w:rsidRPr="00A1764C">
        <w:t>. Towards a better understanding of the intention to use eHealth services by medical professionals: the case of developing countries</w:t>
      </w:r>
      <w:r w:rsidRPr="00A1764C">
        <w:rPr>
          <w:i/>
        </w:rPr>
        <w:t>. International Journal of Healthcare Managemen</w:t>
      </w:r>
      <w:r w:rsidRPr="00A1764C">
        <w:t xml:space="preserve">t, </w:t>
      </w:r>
      <w:r w:rsidRPr="00FB5FF8">
        <w:rPr>
          <w:i/>
        </w:rPr>
        <w:t>6</w:t>
      </w:r>
      <w:r w:rsidRPr="00C0447D">
        <w:t>(4),</w:t>
      </w:r>
      <w:r w:rsidRPr="00A1764C">
        <w:t xml:space="preserve"> 217</w:t>
      </w:r>
      <w:r w:rsidR="00FE5581">
        <w:t>-</w:t>
      </w:r>
      <w:r w:rsidRPr="00A1764C">
        <w:t>236.</w:t>
      </w:r>
    </w:p>
    <w:p w14:paraId="7D516D36" w14:textId="77777777" w:rsidR="00841C9A" w:rsidRPr="00FC6087" w:rsidRDefault="00841C9A" w:rsidP="001200E8">
      <w:pPr>
        <w:pStyle w:val="APAReferences"/>
        <w:spacing w:line="480" w:lineRule="auto"/>
      </w:pPr>
      <w:r w:rsidRPr="00FC6087">
        <w:t>O’Dowd, E. (2017, Feb</w:t>
      </w:r>
      <w:r w:rsidR="009E28C2" w:rsidRPr="00FC6087">
        <w:t>ruary</w:t>
      </w:r>
      <w:r w:rsidRPr="00FC6087">
        <w:t xml:space="preserve"> 13). Healthcare information systems growing in HIT infrastructure. </w:t>
      </w:r>
      <w:r w:rsidRPr="00FC6087">
        <w:rPr>
          <w:i/>
          <w:iCs/>
        </w:rPr>
        <w:t>HIT Infrastructure</w:t>
      </w:r>
      <w:r w:rsidRPr="00FC6087">
        <w:t>. Retrieved from https://hitinfrastructure.com/news/healthcare-information-systems-growing-in-hit-infrastructure</w:t>
      </w:r>
    </w:p>
    <w:p w14:paraId="7D516D37" w14:textId="77777777" w:rsidR="00841C9A" w:rsidRPr="00FC6087" w:rsidRDefault="00841C9A" w:rsidP="001200E8">
      <w:pPr>
        <w:pStyle w:val="APAReferences"/>
        <w:spacing w:line="480" w:lineRule="auto"/>
      </w:pPr>
      <w:r w:rsidRPr="00FC6087">
        <w:t>Oh, S., Cha, J., Ji, M., Kang, H., Kim, S., Heo, E.,</w:t>
      </w:r>
      <w:r w:rsidR="009E28C2" w:rsidRPr="00FC6087">
        <w:t xml:space="preserve"> et al.</w:t>
      </w:r>
      <w:r w:rsidRPr="00FC6087">
        <w:t xml:space="preserve"> (2015). Architecture design of healthcare software-as-a-service platform for cloud-based clinical decision support service. </w:t>
      </w:r>
      <w:r w:rsidRPr="00FC6087">
        <w:rPr>
          <w:i/>
          <w:iCs/>
        </w:rPr>
        <w:t>Healthcare Informatics Research</w:t>
      </w:r>
      <w:r w:rsidRPr="00FC6087">
        <w:rPr>
          <w:i/>
        </w:rPr>
        <w:t>, 21</w:t>
      </w:r>
      <w:r w:rsidRPr="00FC6087">
        <w:t>, 102-110.</w:t>
      </w:r>
    </w:p>
    <w:p w14:paraId="7D516D38" w14:textId="55076B17" w:rsidR="00841C9A" w:rsidRPr="00FC6087" w:rsidRDefault="00841C9A" w:rsidP="001200E8">
      <w:pPr>
        <w:pStyle w:val="APAReferences"/>
        <w:spacing w:line="480" w:lineRule="auto"/>
      </w:pPr>
      <w:r w:rsidRPr="00FC6087">
        <w:t>Ojo, A., Janowski. T.,</w:t>
      </w:r>
      <w:r w:rsidR="005E7A62">
        <w:t xml:space="preserve"> &amp; </w:t>
      </w:r>
      <w:r w:rsidRPr="00FC6087">
        <w:t xml:space="preserve">Estrevez, E. (2007). Determining progress towards e-government: What are the core indicators? </w:t>
      </w:r>
      <w:r w:rsidR="00B2164D" w:rsidRPr="00C0447D">
        <w:rPr>
          <w:i/>
        </w:rPr>
        <w:t>5th European Conference on e-Government</w:t>
      </w:r>
      <w:r w:rsidR="00C856DC">
        <w:t>,</w:t>
      </w:r>
      <w:r w:rsidR="00B2164D" w:rsidRPr="00B2164D">
        <w:t xml:space="preserve"> University of Antwerp, Belgium, 16-17 June</w:t>
      </w:r>
      <w:r w:rsidR="00C856DC">
        <w:t xml:space="preserve">, </w:t>
      </w:r>
      <w:r w:rsidRPr="00FC6087">
        <w:t>313-322.</w:t>
      </w:r>
    </w:p>
    <w:p w14:paraId="7D516D39" w14:textId="40B6516C" w:rsidR="00CC016E" w:rsidRDefault="00D6038F" w:rsidP="001200E8">
      <w:pPr>
        <w:pStyle w:val="APAReferences"/>
        <w:spacing w:line="480" w:lineRule="auto"/>
      </w:pPr>
      <w:r>
        <w:t>Oliver, D.,</w:t>
      </w:r>
      <w:r w:rsidR="005E7A62">
        <w:t xml:space="preserve"> &amp; </w:t>
      </w:r>
      <w:r>
        <w:t xml:space="preserve">Romm, C. (2002). Justifying enterprise resource planning adoption. </w:t>
      </w:r>
      <w:r w:rsidRPr="009659E2">
        <w:rPr>
          <w:i/>
        </w:rPr>
        <w:t>Journal of Information Technology, 17,</w:t>
      </w:r>
      <w:r>
        <w:t xml:space="preserve"> 199–213.</w:t>
      </w:r>
    </w:p>
    <w:p w14:paraId="7D516D3A" w14:textId="22041AF3" w:rsidR="00D6038F" w:rsidRPr="00A1764C" w:rsidRDefault="00D6038F" w:rsidP="001200E8">
      <w:pPr>
        <w:pStyle w:val="APAReferences"/>
        <w:spacing w:line="480" w:lineRule="auto"/>
      </w:pPr>
      <w:r w:rsidRPr="00A1764C">
        <w:t>Organization for Economic Co-operation and Development (OECD)</w:t>
      </w:r>
      <w:r>
        <w:t xml:space="preserve"> </w:t>
      </w:r>
      <w:r w:rsidRPr="00A1764C">
        <w:t>(2007)</w:t>
      </w:r>
      <w:r>
        <w:t xml:space="preserve">. </w:t>
      </w:r>
      <w:r w:rsidRPr="00A1764C">
        <w:t xml:space="preserve">Innovation and </w:t>
      </w:r>
      <w:r w:rsidR="00C856DC">
        <w:t>g</w:t>
      </w:r>
      <w:r w:rsidRPr="00A1764C">
        <w:t xml:space="preserve">rowth: Rationale for an </w:t>
      </w:r>
      <w:r w:rsidR="00C856DC">
        <w:t>i</w:t>
      </w:r>
      <w:r w:rsidRPr="00A1764C">
        <w:t xml:space="preserve">nnovation </w:t>
      </w:r>
      <w:r w:rsidR="00C856DC">
        <w:t>s</w:t>
      </w:r>
      <w:r w:rsidRPr="00A1764C">
        <w:t>trategy</w:t>
      </w:r>
      <w:r>
        <w:t xml:space="preserve">. Retrieved from </w:t>
      </w:r>
      <w:hyperlink r:id="rId73" w:history="1">
        <w:r w:rsidRPr="00A1764C">
          <w:t>http://ict-industry-reports.com.au/wp-content/uploads/sites/4/2013/10/2007-Innovation-Growth-Rationale-for-Innovation-Strategy-OECD-Sept-2007.pdf</w:t>
        </w:r>
      </w:hyperlink>
    </w:p>
    <w:p w14:paraId="7D516D3B" w14:textId="5022EBAB" w:rsidR="00841C9A" w:rsidRPr="00FC6087" w:rsidRDefault="00841C9A" w:rsidP="001200E8">
      <w:pPr>
        <w:pStyle w:val="APAReferences"/>
        <w:spacing w:line="480" w:lineRule="auto"/>
      </w:pPr>
      <w:r w:rsidRPr="00FC6087">
        <w:t>Osborne, D.,</w:t>
      </w:r>
      <w:r w:rsidR="005E7A62">
        <w:t xml:space="preserve"> &amp; </w:t>
      </w:r>
      <w:r w:rsidRPr="00FC6087">
        <w:t xml:space="preserve">Gaebler, T. (1993). </w:t>
      </w:r>
      <w:r w:rsidRPr="00790070">
        <w:rPr>
          <w:i/>
        </w:rPr>
        <w:t>Reinventing government: How the entrepreneurial spirit is transforming the public sector from schoolhouse to statehouse, City Hall to the Pentagon</w:t>
      </w:r>
      <w:r w:rsidRPr="00FC6087">
        <w:t>. New York, NY: Plume.</w:t>
      </w:r>
    </w:p>
    <w:p w14:paraId="7D516D3C" w14:textId="6D0F3EDD" w:rsidR="00D6038F" w:rsidRPr="00CC016E" w:rsidRDefault="00D6038F" w:rsidP="001200E8">
      <w:pPr>
        <w:pStyle w:val="APAReferences"/>
        <w:spacing w:line="480" w:lineRule="auto"/>
      </w:pPr>
      <w:r w:rsidRPr="00A1764C">
        <w:rPr>
          <w:rFonts w:eastAsia="Calibri"/>
        </w:rPr>
        <w:t xml:space="preserve">Pagliari, C. (2007). Design and evaluation in eHealth: challenges and implications for an interdisciplinary field. </w:t>
      </w:r>
      <w:r w:rsidRPr="00A1764C">
        <w:rPr>
          <w:rFonts w:eastAsia="Calibri"/>
          <w:i/>
          <w:iCs/>
        </w:rPr>
        <w:t xml:space="preserve">Journal of </w:t>
      </w:r>
      <w:r w:rsidR="00C856DC">
        <w:rPr>
          <w:rFonts w:eastAsia="Calibri"/>
          <w:i/>
          <w:iCs/>
        </w:rPr>
        <w:t>M</w:t>
      </w:r>
      <w:r w:rsidRPr="00A1764C">
        <w:rPr>
          <w:rFonts w:eastAsia="Calibri"/>
          <w:i/>
          <w:iCs/>
        </w:rPr>
        <w:t xml:space="preserve">edical Internet </w:t>
      </w:r>
      <w:r w:rsidR="00C856DC">
        <w:rPr>
          <w:rFonts w:eastAsia="Calibri"/>
          <w:i/>
          <w:iCs/>
        </w:rPr>
        <w:t>R</w:t>
      </w:r>
      <w:r w:rsidRPr="00A1764C">
        <w:rPr>
          <w:rFonts w:eastAsia="Calibri"/>
          <w:i/>
          <w:iCs/>
        </w:rPr>
        <w:t>esearch</w:t>
      </w:r>
      <w:r w:rsidRPr="00A1764C">
        <w:rPr>
          <w:rFonts w:eastAsia="Calibri"/>
        </w:rPr>
        <w:t xml:space="preserve">, </w:t>
      </w:r>
      <w:r w:rsidRPr="00A1764C">
        <w:rPr>
          <w:rFonts w:eastAsia="Calibri"/>
          <w:i/>
          <w:iCs/>
        </w:rPr>
        <w:t>9</w:t>
      </w:r>
      <w:r w:rsidRPr="00A1764C">
        <w:rPr>
          <w:rFonts w:eastAsia="Calibri"/>
        </w:rPr>
        <w:t>(2).</w:t>
      </w:r>
      <w:r w:rsidR="00EF1A65">
        <w:rPr>
          <w:rFonts w:eastAsia="Calibri"/>
        </w:rPr>
        <w:t xml:space="preserve"> Retrieved from </w:t>
      </w:r>
      <w:r w:rsidR="00EF1A65" w:rsidRPr="00EF1A65">
        <w:rPr>
          <w:rFonts w:eastAsia="Calibri"/>
        </w:rPr>
        <w:t>https://www.jmir.org/2007/2/e15/</w:t>
      </w:r>
    </w:p>
    <w:p w14:paraId="7D516D3D" w14:textId="0CE36C6D" w:rsidR="00841C9A" w:rsidRPr="00FC6087" w:rsidRDefault="00841C9A" w:rsidP="001200E8">
      <w:pPr>
        <w:pStyle w:val="APAReferences"/>
        <w:spacing w:line="480" w:lineRule="auto"/>
      </w:pPr>
      <w:r w:rsidRPr="00FC6087">
        <w:t>Palvia, P., Lowe, K., Nemati, H.,</w:t>
      </w:r>
      <w:r w:rsidR="005E7A62">
        <w:t xml:space="preserve"> &amp; </w:t>
      </w:r>
      <w:r w:rsidRPr="00FC6087">
        <w:t xml:space="preserve">Jacks, T. (2012). Information technology issues in healthcare: Hospital CEO and CIO perspectives. </w:t>
      </w:r>
      <w:r w:rsidRPr="00790070">
        <w:rPr>
          <w:i/>
        </w:rPr>
        <w:t>Communications of the Association for Information Systems, 30</w:t>
      </w:r>
      <w:r w:rsidRPr="00FC6087">
        <w:t>(2), 293-312.</w:t>
      </w:r>
    </w:p>
    <w:p w14:paraId="7D516D3E" w14:textId="741E4C9A" w:rsidR="00841C9A" w:rsidRPr="00FC6087" w:rsidRDefault="00841C9A" w:rsidP="001200E8">
      <w:pPr>
        <w:pStyle w:val="APAReferences"/>
        <w:spacing w:line="480" w:lineRule="auto"/>
      </w:pPr>
      <w:r w:rsidRPr="00FC6087">
        <w:t>Papazafeiropoulou, A., Pouloudi, A.,</w:t>
      </w:r>
      <w:r w:rsidR="005E7A62">
        <w:t xml:space="preserve"> &amp; </w:t>
      </w:r>
      <w:r w:rsidRPr="00FC6087">
        <w:t xml:space="preserve">Curie, W. (2001). Applying the stakeholder concept to electronic commerce: Extending previous research to guide government policy makers. </w:t>
      </w:r>
      <w:r w:rsidRPr="00FC6087">
        <w:rPr>
          <w:i/>
          <w:iCs/>
        </w:rPr>
        <w:t>Proceedings of the 34th Hawaii International Conference on System Sciences</w:t>
      </w:r>
      <w:r w:rsidRPr="00FC6087">
        <w:t>.</w:t>
      </w:r>
    </w:p>
    <w:p w14:paraId="7D516D3F" w14:textId="53997EDC" w:rsidR="00841C9A" w:rsidRPr="00FC6087" w:rsidRDefault="00841C9A" w:rsidP="001200E8">
      <w:pPr>
        <w:pStyle w:val="APAReferences"/>
        <w:spacing w:line="480" w:lineRule="auto"/>
      </w:pPr>
      <w:r w:rsidRPr="00FC6087">
        <w:t>Paul, R. J., Ezz, I.,</w:t>
      </w:r>
      <w:r w:rsidR="005E7A62">
        <w:t xml:space="preserve"> &amp; </w:t>
      </w:r>
      <w:r w:rsidRPr="00FC6087">
        <w:t xml:space="preserve">Kuljis, J. (2012). Healthcare information systems: A patient-user perspective. </w:t>
      </w:r>
      <w:r w:rsidRPr="00790070">
        <w:rPr>
          <w:i/>
        </w:rPr>
        <w:t>Health Systems, 1</w:t>
      </w:r>
      <w:r w:rsidRPr="00FC6087">
        <w:t>(2), 85-95.</w:t>
      </w:r>
    </w:p>
    <w:p w14:paraId="7D516D40" w14:textId="0FE79F05" w:rsidR="00841C9A" w:rsidRPr="00FC6087" w:rsidRDefault="00841C9A" w:rsidP="001200E8">
      <w:pPr>
        <w:pStyle w:val="APAReferences"/>
        <w:spacing w:line="480" w:lineRule="auto"/>
      </w:pPr>
      <w:r w:rsidRPr="00FC6087">
        <w:t>Petty, R.,</w:t>
      </w:r>
      <w:r w:rsidR="005E7A62">
        <w:t xml:space="preserve"> &amp; </w:t>
      </w:r>
      <w:r w:rsidRPr="00FC6087">
        <w:t xml:space="preserve">Cacioppo, J. (1986). </w:t>
      </w:r>
      <w:r w:rsidRPr="00790070">
        <w:rPr>
          <w:i/>
        </w:rPr>
        <w:t>Communication and persuasion: Central and peripheral routes to attitude change</w:t>
      </w:r>
      <w:r w:rsidRPr="00FC6087">
        <w:t>. New York, NY: Springer-Verlag.</w:t>
      </w:r>
    </w:p>
    <w:p w14:paraId="7D516D41" w14:textId="09C41BCE" w:rsidR="00841C9A" w:rsidRPr="00FC6087" w:rsidRDefault="00841C9A" w:rsidP="001200E8">
      <w:pPr>
        <w:pStyle w:val="APAReferences"/>
        <w:spacing w:line="480" w:lineRule="auto"/>
      </w:pPr>
      <w:r w:rsidRPr="00FC6087">
        <w:t>Phichitchaisopa, N.,</w:t>
      </w:r>
      <w:r w:rsidR="005E7A62">
        <w:t xml:space="preserve"> &amp; </w:t>
      </w:r>
      <w:r w:rsidRPr="00FC6087">
        <w:t xml:space="preserve">Naenna. T. (2013). Factors affecting the adoption of healthcare information technology. </w:t>
      </w:r>
      <w:r w:rsidRPr="00FC6087">
        <w:rPr>
          <w:i/>
          <w:iCs/>
        </w:rPr>
        <w:t>EXCLI Journal, 12</w:t>
      </w:r>
      <w:r w:rsidRPr="00FC6087">
        <w:t>, 413-436.</w:t>
      </w:r>
    </w:p>
    <w:p w14:paraId="7D516D42" w14:textId="124C37C1" w:rsidR="00D6038F" w:rsidRPr="00A1764C" w:rsidRDefault="00D6038F" w:rsidP="001200E8">
      <w:pPr>
        <w:pStyle w:val="APAReferences"/>
        <w:spacing w:line="480" w:lineRule="auto"/>
      </w:pPr>
      <w:r w:rsidRPr="00A1764C">
        <w:t>Poba-Nzaou, P., Uwizeyemungu, S., Raymond, L.,</w:t>
      </w:r>
      <w:r w:rsidR="005E7A62">
        <w:t xml:space="preserve"> &amp; </w:t>
      </w:r>
      <w:r w:rsidRPr="00A1764C">
        <w:t>Pare, G. (2012)</w:t>
      </w:r>
      <w:r>
        <w:t>.</w:t>
      </w:r>
      <w:r w:rsidRPr="00A1764C">
        <w:t xml:space="preserve"> Motivations </w:t>
      </w:r>
      <w:r w:rsidR="0056021C">
        <w:t>u</w:t>
      </w:r>
      <w:r w:rsidRPr="00A1764C">
        <w:t xml:space="preserve">nderlying the </w:t>
      </w:r>
      <w:r w:rsidR="0056021C">
        <w:t>a</w:t>
      </w:r>
      <w:r w:rsidRPr="00A1764C">
        <w:t xml:space="preserve">doption of ERP </w:t>
      </w:r>
      <w:r w:rsidR="0056021C" w:rsidRPr="00A1764C">
        <w:t>systems in healthcare organizations</w:t>
      </w:r>
      <w:r w:rsidRPr="00A1764C">
        <w:t xml:space="preserve">: An </w:t>
      </w:r>
      <w:r w:rsidR="0056021C">
        <w:t>a</w:t>
      </w:r>
      <w:r w:rsidRPr="00A1764C">
        <w:t>nalysis from “</w:t>
      </w:r>
      <w:r w:rsidR="0056021C">
        <w:t>s</w:t>
      </w:r>
      <w:r w:rsidRPr="00A1764C">
        <w:t xml:space="preserve">uccess </w:t>
      </w:r>
      <w:r w:rsidR="0056021C">
        <w:t>s</w:t>
      </w:r>
      <w:r w:rsidRPr="00A1764C">
        <w:t xml:space="preserve">tories”. </w:t>
      </w:r>
      <w:r w:rsidRPr="00C0447D">
        <w:rPr>
          <w:i/>
        </w:rPr>
        <w:t>2012 45th Hawaii International Conference on System Sciences</w:t>
      </w:r>
      <w:r w:rsidRPr="00A1764C">
        <w:t>.</w:t>
      </w:r>
    </w:p>
    <w:p w14:paraId="7D516D43" w14:textId="06C05926" w:rsidR="00841C9A" w:rsidRPr="00FC6087" w:rsidRDefault="00841C9A" w:rsidP="001200E8">
      <w:pPr>
        <w:pStyle w:val="APAReferences"/>
        <w:spacing w:line="480" w:lineRule="auto"/>
      </w:pPr>
      <w:r w:rsidRPr="00FC6087">
        <w:t>Podsakoff, P.</w:t>
      </w:r>
      <w:r w:rsidR="0063752D">
        <w:t xml:space="preserve"> </w:t>
      </w:r>
      <w:r w:rsidRPr="00FC6087">
        <w:t>M., MacKenzie, S.</w:t>
      </w:r>
      <w:r w:rsidR="0063752D">
        <w:t xml:space="preserve"> </w:t>
      </w:r>
      <w:r w:rsidRPr="00FC6087">
        <w:t>M., Lee, J.,</w:t>
      </w:r>
      <w:r w:rsidR="005E7A62">
        <w:t xml:space="preserve"> &amp; </w:t>
      </w:r>
      <w:r w:rsidRPr="00FC6087">
        <w:t>Podsakoff, N.</w:t>
      </w:r>
      <w:r w:rsidR="0063752D">
        <w:t xml:space="preserve"> </w:t>
      </w:r>
      <w:r w:rsidRPr="00FC6087">
        <w:t xml:space="preserve">P. (2003). Common method variance in behavioral research: A critical review of the literature and recommended remedies. </w:t>
      </w:r>
      <w:r w:rsidRPr="00790070">
        <w:rPr>
          <w:i/>
        </w:rPr>
        <w:t>Journal of Applied Psychology, 88</w:t>
      </w:r>
      <w:r w:rsidRPr="00FC6087">
        <w:t>, 879-903.</w:t>
      </w:r>
    </w:p>
    <w:p w14:paraId="7D516D44" w14:textId="1C28B051" w:rsidR="00841C9A" w:rsidRPr="00FC6087" w:rsidRDefault="00841C9A" w:rsidP="001200E8">
      <w:pPr>
        <w:pStyle w:val="APAReferences"/>
        <w:spacing w:line="480" w:lineRule="auto"/>
      </w:pPr>
      <w:r w:rsidRPr="00FC6087">
        <w:t xml:space="preserve">Poku, B. (2017). </w:t>
      </w:r>
      <w:r w:rsidRPr="00790070">
        <w:rPr>
          <w:iCs/>
        </w:rPr>
        <w:t>Promote adoption of clinical systems by health care organizations in the UAE</w:t>
      </w:r>
      <w:r w:rsidR="001B5B2F" w:rsidRPr="00FC6087">
        <w:rPr>
          <w:iCs/>
        </w:rPr>
        <w:t>.</w:t>
      </w:r>
      <w:r w:rsidR="0063752D">
        <w:rPr>
          <w:iCs/>
        </w:rPr>
        <w:t xml:space="preserve"> </w:t>
      </w:r>
      <w:r w:rsidR="001B5B2F" w:rsidRPr="00790070">
        <w:rPr>
          <w:i/>
        </w:rPr>
        <w:t>AHIMA World C</w:t>
      </w:r>
      <w:r w:rsidR="00007206" w:rsidRPr="00790070">
        <w:rPr>
          <w:i/>
        </w:rPr>
        <w:t>o</w:t>
      </w:r>
      <w:r w:rsidR="001B5B2F" w:rsidRPr="00790070">
        <w:rPr>
          <w:i/>
        </w:rPr>
        <w:t>ngress</w:t>
      </w:r>
      <w:r w:rsidR="00007206" w:rsidRPr="00790070">
        <w:rPr>
          <w:i/>
        </w:rPr>
        <w:t>: AWC Middle East Healthcare Information Summit</w:t>
      </w:r>
      <w:r w:rsidR="00007206" w:rsidRPr="00FC6087">
        <w:t>.</w:t>
      </w:r>
      <w:r w:rsidRPr="00FC6087">
        <w:t xml:space="preserve"> Retrieved from https://www.awc.world/wp-content/uploads/2017/11/Dr.%20Benjamin%20Poku%20-%202017%20AWC%20ME%20HI%20Summit%20PPT-10-19-17c(1).pdf </w:t>
      </w:r>
    </w:p>
    <w:p w14:paraId="7D516D45" w14:textId="11E7D86D" w:rsidR="00D6038F" w:rsidRPr="00A1764C" w:rsidRDefault="00D6038F" w:rsidP="001200E8">
      <w:pPr>
        <w:pStyle w:val="APAReferences"/>
        <w:spacing w:line="480" w:lineRule="auto"/>
      </w:pPr>
      <w:r w:rsidRPr="00A1764C">
        <w:t>Poon, E., Jha, A., Christino, M., Honour, M., Fernandopulle, R., Middleton, B.,</w:t>
      </w:r>
      <w:r w:rsidR="005E7A62">
        <w:t xml:space="preserve"> &amp; </w:t>
      </w:r>
      <w:r w:rsidRPr="00A1764C">
        <w:t xml:space="preserve">Kaushal, R. (2006). Assessing the level of healthcare information technology adoption in the United States: A snapshot. </w:t>
      </w:r>
      <w:r w:rsidRPr="00A1764C">
        <w:rPr>
          <w:i/>
        </w:rPr>
        <w:t>BMC Medical Informatics and Decision Making</w:t>
      </w:r>
      <w:r w:rsidRPr="001D47EC">
        <w:rPr>
          <w:i/>
        </w:rPr>
        <w:t>, 6,</w:t>
      </w:r>
      <w:r>
        <w:t xml:space="preserve"> </w:t>
      </w:r>
      <w:r w:rsidRPr="00A1764C">
        <w:t>1–9.</w:t>
      </w:r>
    </w:p>
    <w:p w14:paraId="7D516D46" w14:textId="7F39C3E6" w:rsidR="00841C9A" w:rsidRPr="00FC6087" w:rsidRDefault="00841C9A" w:rsidP="001200E8">
      <w:pPr>
        <w:pStyle w:val="APAReferences"/>
        <w:spacing w:line="480" w:lineRule="auto"/>
      </w:pPr>
      <w:r w:rsidRPr="00FC6087">
        <w:t>Pouloudi, E., Currie, W.,</w:t>
      </w:r>
      <w:r w:rsidR="005E7A62">
        <w:t xml:space="preserve"> &amp; </w:t>
      </w:r>
      <w:r w:rsidRPr="00FC6087">
        <w:t xml:space="preserve">Whitley, E. (2016). Entangled stakeholder roles and perceptions in health information systems: A longitudinal study of the UK NHS N3 </w:t>
      </w:r>
      <w:r w:rsidR="00007206" w:rsidRPr="00FC6087">
        <w:t>n</w:t>
      </w:r>
      <w:r w:rsidRPr="00FC6087">
        <w:t xml:space="preserve">etwork. </w:t>
      </w:r>
      <w:r w:rsidRPr="00FC6087">
        <w:rPr>
          <w:i/>
          <w:iCs/>
        </w:rPr>
        <w:t>Journal of the Association for Information Systems, 17</w:t>
      </w:r>
      <w:r w:rsidRPr="00FC6087">
        <w:t>, 107-161.</w:t>
      </w:r>
    </w:p>
    <w:p w14:paraId="7D516D47" w14:textId="4F6BE36F" w:rsidR="00D6038F" w:rsidRPr="00A1764C" w:rsidRDefault="00D6038F" w:rsidP="001200E8">
      <w:pPr>
        <w:pStyle w:val="APAReferences"/>
        <w:spacing w:line="480" w:lineRule="auto"/>
      </w:pPr>
      <w:r>
        <w:t>PwC</w:t>
      </w:r>
      <w:r w:rsidR="00D5039C">
        <w:t xml:space="preserve"> [</w:t>
      </w:r>
      <w:r w:rsidR="00D5039C" w:rsidRPr="00A1764C">
        <w:t>PricewaterhouseCoopers</w:t>
      </w:r>
      <w:r w:rsidR="00D5039C">
        <w:t>]</w:t>
      </w:r>
      <w:r>
        <w:t xml:space="preserve"> (</w:t>
      </w:r>
      <w:r w:rsidRPr="00A1764C">
        <w:t>2013</w:t>
      </w:r>
      <w:r>
        <w:t>)</w:t>
      </w:r>
      <w:r w:rsidRPr="00A1764C">
        <w:t xml:space="preserve">. Transformative </w:t>
      </w:r>
      <w:r w:rsidR="00D5039C">
        <w:t>p</w:t>
      </w:r>
      <w:r w:rsidRPr="00A1764C">
        <w:t xml:space="preserve">ower of </w:t>
      </w:r>
      <w:r w:rsidR="00D5039C">
        <w:t>s</w:t>
      </w:r>
      <w:r w:rsidRPr="00A1764C">
        <w:t xml:space="preserve">ervice </w:t>
      </w:r>
      <w:r w:rsidR="00D5039C">
        <w:t>i</w:t>
      </w:r>
      <w:r w:rsidRPr="00A1764C">
        <w:t>nnovation</w:t>
      </w:r>
      <w:r w:rsidR="00D5039C">
        <w:t>:</w:t>
      </w:r>
      <w:r w:rsidRPr="00A1764C">
        <w:t xml:space="preserve"> Call for </w:t>
      </w:r>
      <w:r w:rsidR="00D5039C" w:rsidRPr="00A1764C">
        <w:t xml:space="preserve">action on new policy framework </w:t>
      </w:r>
      <w:r w:rsidRPr="00A1764C">
        <w:t>(Part I/III)</w:t>
      </w:r>
      <w:r>
        <w:t xml:space="preserve">. Retrieved from </w:t>
      </w:r>
      <w:hyperlink r:id="rId74" w:history="1">
        <w:r w:rsidRPr="00A1764C">
          <w:rPr>
            <w:rStyle w:val="Hyperlink"/>
            <w:color w:val="auto"/>
            <w:u w:val="none"/>
          </w:rPr>
          <w:t>https://www.pwc.com/gx/en/psrc/publications/assets/pwc-transformative-power-of-innovation.pdf</w:t>
        </w:r>
      </w:hyperlink>
    </w:p>
    <w:p w14:paraId="7D516D48" w14:textId="33B877FB" w:rsidR="00841C9A" w:rsidRPr="00FC6087" w:rsidRDefault="00841C9A" w:rsidP="001200E8">
      <w:pPr>
        <w:pStyle w:val="APAReferences"/>
        <w:spacing w:line="480" w:lineRule="auto"/>
      </w:pPr>
      <w:r w:rsidRPr="00FC6087">
        <w:t>Qureshi, A., Shah, B., Najeebullah., Kundi ,M., Nawaz, A., Miankhel, K.,</w:t>
      </w:r>
      <w:r w:rsidR="005E7A62">
        <w:t xml:space="preserve"> &amp; </w:t>
      </w:r>
      <w:r w:rsidRPr="00FC6087">
        <w:t xml:space="preserve">Christi, K. (2013). Infrastructural barriers to e-health implementation in developing countries. </w:t>
      </w:r>
      <w:r w:rsidRPr="00FC6087">
        <w:rPr>
          <w:i/>
          <w:iCs/>
        </w:rPr>
        <w:t>European Journal of Sustainable Development, 2</w:t>
      </w:r>
      <w:r w:rsidRPr="00FC6087">
        <w:t xml:space="preserve">, 163-170. </w:t>
      </w:r>
    </w:p>
    <w:p w14:paraId="7D516D49" w14:textId="2585F03F" w:rsidR="00841C9A" w:rsidRPr="00FC6087" w:rsidRDefault="00841C9A" w:rsidP="001200E8">
      <w:pPr>
        <w:pStyle w:val="APAReferences"/>
        <w:spacing w:line="480" w:lineRule="auto"/>
      </w:pPr>
      <w:r w:rsidRPr="00FC6087">
        <w:t>Rae, A.,</w:t>
      </w:r>
      <w:r w:rsidR="005E7A62">
        <w:t xml:space="preserve"> &amp; </w:t>
      </w:r>
      <w:r w:rsidRPr="00FC6087">
        <w:t xml:space="preserve">Nasser, A. (2011). </w:t>
      </w:r>
      <w:r w:rsidRPr="00FC6087">
        <w:rPr>
          <w:i/>
        </w:rPr>
        <w:t>Managing development for the health records to be centralized electronically, in UAE</w:t>
      </w:r>
      <w:r w:rsidRPr="00FC6087">
        <w:t>. Doctoral dissertation</w:t>
      </w:r>
      <w:r w:rsidR="00B2062B" w:rsidRPr="00FC6087">
        <w:t>, The British University in Dubai, Dubai</w:t>
      </w:r>
      <w:r w:rsidRPr="00FC6087">
        <w:t xml:space="preserve">. </w:t>
      </w:r>
      <w:r w:rsidR="00D6038F" w:rsidRPr="00FC6087">
        <w:t xml:space="preserve">Retrieved from </w:t>
      </w:r>
      <w:hyperlink r:id="rId75" w:history="1">
        <w:r w:rsidR="00CC016E" w:rsidRPr="00854859">
          <w:rPr>
            <w:rStyle w:val="Hyperlink"/>
          </w:rPr>
          <w:t>https://bspace.buid.ac.ae/handle/1234/77</w:t>
        </w:r>
      </w:hyperlink>
    </w:p>
    <w:p w14:paraId="7D516D4A" w14:textId="7900FA34" w:rsidR="00CC016E" w:rsidRDefault="00D6038F" w:rsidP="001200E8">
      <w:pPr>
        <w:pStyle w:val="APAReferences"/>
        <w:spacing w:line="480" w:lineRule="auto"/>
      </w:pPr>
      <w:r w:rsidRPr="00A1764C">
        <w:t>Ranasinghe, K., Chan, T.,</w:t>
      </w:r>
      <w:r w:rsidR="005E7A62">
        <w:t xml:space="preserve"> &amp; </w:t>
      </w:r>
      <w:r w:rsidRPr="00A1764C">
        <w:t xml:space="preserve">Yaralagadda, P. (2012). Information support for health information management in regional Sri Lanka: Health managers’ perspectives. </w:t>
      </w:r>
      <w:r w:rsidR="005F02C6" w:rsidRPr="00C0447D">
        <w:rPr>
          <w:i/>
        </w:rPr>
        <w:t>Health Information Management Journal</w:t>
      </w:r>
      <w:r w:rsidRPr="00C0447D">
        <w:rPr>
          <w:i/>
        </w:rPr>
        <w:t>,</w:t>
      </w:r>
      <w:r w:rsidRPr="00A1764C">
        <w:t xml:space="preserve"> </w:t>
      </w:r>
      <w:r w:rsidRPr="00A1764C">
        <w:rPr>
          <w:i/>
        </w:rPr>
        <w:t>41</w:t>
      </w:r>
      <w:r w:rsidRPr="00A1764C">
        <w:t>(3), 20- 26.</w:t>
      </w:r>
    </w:p>
    <w:p w14:paraId="7D516D4B" w14:textId="358B97C6" w:rsidR="00D6038F" w:rsidRPr="00A1764C" w:rsidRDefault="00D6038F" w:rsidP="001200E8">
      <w:pPr>
        <w:pStyle w:val="APAReferences"/>
        <w:spacing w:line="480" w:lineRule="auto"/>
      </w:pPr>
      <w:r w:rsidRPr="00A1764C">
        <w:rPr>
          <w:shd w:val="clear" w:color="auto" w:fill="FFFFFF"/>
        </w:rPr>
        <w:t>Randeree, E. (2007)</w:t>
      </w:r>
      <w:r>
        <w:rPr>
          <w:shd w:val="clear" w:color="auto" w:fill="FFFFFF"/>
        </w:rPr>
        <w:t>.</w:t>
      </w:r>
      <w:r w:rsidRPr="00A1764C">
        <w:rPr>
          <w:shd w:val="clear" w:color="auto" w:fill="FFFFFF"/>
        </w:rPr>
        <w:t xml:space="preserve"> </w:t>
      </w:r>
      <w:r w:rsidRPr="00A1764C">
        <w:rPr>
          <w:rStyle w:val="ref-title"/>
          <w:shd w:val="clear" w:color="auto" w:fill="FFFFFF"/>
        </w:rPr>
        <w:t>Exploring physician adoption of EMRs: A multi-case analysis</w:t>
      </w:r>
      <w:r w:rsidRPr="00A1764C">
        <w:rPr>
          <w:shd w:val="clear" w:color="auto" w:fill="FFFFFF"/>
        </w:rPr>
        <w:t>.</w:t>
      </w:r>
      <w:r>
        <w:rPr>
          <w:shd w:val="clear" w:color="auto" w:fill="FFFFFF"/>
        </w:rPr>
        <w:t xml:space="preserve"> </w:t>
      </w:r>
      <w:r w:rsidR="00F516C0" w:rsidRPr="00C0447D">
        <w:rPr>
          <w:i/>
          <w:shd w:val="clear" w:color="auto" w:fill="FFFFFF"/>
        </w:rPr>
        <w:t>Journal of Medical Systems</w:t>
      </w:r>
      <w:r w:rsidRPr="00C0447D">
        <w:rPr>
          <w:rStyle w:val="ref-journal"/>
          <w:i/>
          <w:shd w:val="clear" w:color="auto" w:fill="FFFFFF"/>
        </w:rPr>
        <w:t>,</w:t>
      </w:r>
      <w:r w:rsidR="00F516C0">
        <w:rPr>
          <w:rStyle w:val="ref-journal"/>
          <w:shd w:val="clear" w:color="auto" w:fill="FFFFFF"/>
        </w:rPr>
        <w:t xml:space="preserve"> </w:t>
      </w:r>
      <w:r w:rsidRPr="00A1764C">
        <w:rPr>
          <w:rStyle w:val="ref-vol"/>
          <w:i/>
          <w:shd w:val="clear" w:color="auto" w:fill="FFFFFF"/>
        </w:rPr>
        <w:t>31</w:t>
      </w:r>
      <w:r>
        <w:rPr>
          <w:shd w:val="clear" w:color="auto" w:fill="FFFFFF"/>
        </w:rPr>
        <w:t xml:space="preserve">, </w:t>
      </w:r>
      <w:r w:rsidRPr="00A1764C">
        <w:rPr>
          <w:shd w:val="clear" w:color="auto" w:fill="FFFFFF"/>
        </w:rPr>
        <w:t>489-496.</w:t>
      </w:r>
    </w:p>
    <w:p w14:paraId="7D516D4C" w14:textId="08C2F994" w:rsidR="00841C9A" w:rsidRPr="00FC6087" w:rsidRDefault="00841C9A" w:rsidP="001200E8">
      <w:pPr>
        <w:pStyle w:val="APAReferences"/>
        <w:spacing w:line="480" w:lineRule="auto"/>
      </w:pPr>
      <w:r w:rsidRPr="00FC6087">
        <w:t>Rao, S., DesRoches, C., Donelan, K., Campbell, E.,</w:t>
      </w:r>
      <w:r w:rsidR="005E7A62">
        <w:t xml:space="preserve"> &amp; </w:t>
      </w:r>
      <w:r w:rsidRPr="00FC6087">
        <w:t>Miralles, P. (2011) Electronic health records in small physician practices: availability, use, and perceived benefits</w:t>
      </w:r>
      <w:r w:rsidRPr="00FC6087">
        <w:rPr>
          <w:i/>
          <w:iCs/>
        </w:rPr>
        <w:t>. </w:t>
      </w:r>
      <w:r w:rsidRPr="00FC6087">
        <w:rPr>
          <w:i/>
        </w:rPr>
        <w:t>Journal of the American Medical Informatics Association, 18</w:t>
      </w:r>
      <w:r w:rsidRPr="00FC6087">
        <w:t>, 271-275.</w:t>
      </w:r>
    </w:p>
    <w:p w14:paraId="7D516D4D" w14:textId="77777777" w:rsidR="00841C9A" w:rsidRPr="00FC6087" w:rsidRDefault="00841C9A" w:rsidP="001200E8">
      <w:pPr>
        <w:pStyle w:val="APAReferences"/>
        <w:spacing w:line="480" w:lineRule="auto"/>
      </w:pPr>
      <w:r w:rsidRPr="00FC6087">
        <w:t xml:space="preserve">Robertson, K. (2011). Mindful use of health information technology. </w:t>
      </w:r>
      <w:r w:rsidRPr="00FC6087">
        <w:rPr>
          <w:i/>
          <w:iCs/>
        </w:rPr>
        <w:t>Virtual Mentor, 13</w:t>
      </w:r>
      <w:r w:rsidRPr="00FC6087">
        <w:t>, 193-196.</w:t>
      </w:r>
    </w:p>
    <w:p w14:paraId="7D516D4E" w14:textId="77777777" w:rsidR="00841C9A" w:rsidRPr="00FC6087" w:rsidRDefault="00841C9A" w:rsidP="001200E8">
      <w:pPr>
        <w:pStyle w:val="APAReferences"/>
        <w:spacing w:line="480" w:lineRule="auto"/>
      </w:pPr>
      <w:r w:rsidRPr="00FC6087">
        <w:t xml:space="preserve">Rogers, E. M. (1962). </w:t>
      </w:r>
      <w:r w:rsidRPr="00FC6087">
        <w:rPr>
          <w:i/>
          <w:iCs/>
        </w:rPr>
        <w:t>Diffusion of innovation</w:t>
      </w:r>
      <w:r w:rsidRPr="00FC6087">
        <w:t>. New York, NY: Free Press.</w:t>
      </w:r>
    </w:p>
    <w:p w14:paraId="7D516D4F" w14:textId="3EF70832" w:rsidR="00841C9A" w:rsidRPr="00FC6087" w:rsidRDefault="00841C9A" w:rsidP="001200E8">
      <w:pPr>
        <w:pStyle w:val="APAReferences"/>
        <w:spacing w:line="480" w:lineRule="auto"/>
      </w:pPr>
      <w:r w:rsidRPr="00FC6087">
        <w:t>Rose, J., Flak, L.,</w:t>
      </w:r>
      <w:r w:rsidR="005E7A62">
        <w:t xml:space="preserve"> &amp; </w:t>
      </w:r>
      <w:r w:rsidRPr="00FC6087">
        <w:t xml:space="preserve">Saebo, O. (2018). Stakeholder theory for the e-government context: Framing a value-oriented normative core. </w:t>
      </w:r>
      <w:r w:rsidRPr="00FC6087">
        <w:rPr>
          <w:i/>
          <w:iCs/>
        </w:rPr>
        <w:t>Government Information Quarterly, 35</w:t>
      </w:r>
      <w:r w:rsidRPr="00FC6087">
        <w:t>, 362-374.</w:t>
      </w:r>
    </w:p>
    <w:p w14:paraId="7D516D50" w14:textId="540FF76A" w:rsidR="00841C9A" w:rsidRPr="00FC6087" w:rsidRDefault="00841C9A" w:rsidP="001200E8">
      <w:pPr>
        <w:pStyle w:val="APAReferences"/>
        <w:spacing w:line="480" w:lineRule="auto"/>
      </w:pPr>
      <w:r w:rsidRPr="00FC6087">
        <w:t>Ross, J., Stevenson, F., Lau, R.,</w:t>
      </w:r>
      <w:r w:rsidR="005E7A62">
        <w:t xml:space="preserve"> &amp; </w:t>
      </w:r>
      <w:r w:rsidRPr="00FC6087">
        <w:t xml:space="preserve">Murray, E. (2015). Exploring the challenges of implementing e-health: A protocol for an update of a systematic review of reviews. </w:t>
      </w:r>
      <w:r w:rsidRPr="00FC6087">
        <w:rPr>
          <w:i/>
          <w:iCs/>
        </w:rPr>
        <w:t>BMJ Open</w:t>
      </w:r>
      <w:r w:rsidRPr="00FC6087">
        <w:rPr>
          <w:i/>
        </w:rPr>
        <w:t>, 5</w:t>
      </w:r>
      <w:r w:rsidRPr="00FC6087">
        <w:t>, 1-5.</w:t>
      </w:r>
    </w:p>
    <w:p w14:paraId="7D516D51" w14:textId="77777777" w:rsidR="00841C9A" w:rsidRPr="00FC6087" w:rsidRDefault="00841C9A" w:rsidP="001200E8">
      <w:pPr>
        <w:pStyle w:val="APAReferences"/>
        <w:spacing w:line="480" w:lineRule="auto"/>
      </w:pPr>
      <w:r w:rsidRPr="00FC6087">
        <w:t>Ross, S. (2009). Results of a survey of an online physician community regarding use of electronic medical records in office practices. </w:t>
      </w:r>
      <w:r w:rsidRPr="00FC6087">
        <w:rPr>
          <w:i/>
        </w:rPr>
        <w:t>The Journal of Medical Practice Management, 24</w:t>
      </w:r>
      <w:r w:rsidRPr="00FC6087">
        <w:t>, 254-256.</w:t>
      </w:r>
    </w:p>
    <w:p w14:paraId="7D516D52" w14:textId="77777777" w:rsidR="00841C9A" w:rsidRPr="00FC6087" w:rsidRDefault="00841C9A" w:rsidP="001200E8">
      <w:pPr>
        <w:pStyle w:val="APAReferences"/>
        <w:spacing w:line="480" w:lineRule="auto"/>
      </w:pPr>
      <w:r w:rsidRPr="00FC6087">
        <w:t xml:space="preserve">Rowley, J. (2010). E-government stakeholders—Who are they and what do they want? </w:t>
      </w:r>
      <w:r w:rsidRPr="00FC6087">
        <w:rPr>
          <w:i/>
          <w:iCs/>
        </w:rPr>
        <w:t>International Journal of Information Management, 31</w:t>
      </w:r>
      <w:r w:rsidRPr="00FC6087">
        <w:rPr>
          <w:iCs/>
        </w:rPr>
        <w:t>, 53-62</w:t>
      </w:r>
      <w:r w:rsidRPr="00FC6087">
        <w:t>.</w:t>
      </w:r>
    </w:p>
    <w:p w14:paraId="7D516D53" w14:textId="77777777" w:rsidR="00CC016E" w:rsidRDefault="00D6038F" w:rsidP="001200E8">
      <w:pPr>
        <w:pStyle w:val="APAReferences"/>
        <w:spacing w:line="480" w:lineRule="auto"/>
      </w:pPr>
      <w:r w:rsidRPr="00A1764C">
        <w:t>Rowley, T.J. (1997)</w:t>
      </w:r>
      <w:r>
        <w:t>.</w:t>
      </w:r>
      <w:r w:rsidRPr="00A1764C">
        <w:t xml:space="preserve"> Moving beyond dyadic ties: A network theory of stakeholder influences. </w:t>
      </w:r>
      <w:r w:rsidRPr="00A1764C">
        <w:rPr>
          <w:i/>
        </w:rPr>
        <w:t>Academy of Management Review, 22</w:t>
      </w:r>
      <w:r w:rsidRPr="00A1764C">
        <w:t>, 887-910.</w:t>
      </w:r>
    </w:p>
    <w:p w14:paraId="7D516D54" w14:textId="40ED75DE" w:rsidR="00CC016E" w:rsidRDefault="00D6038F" w:rsidP="001200E8">
      <w:pPr>
        <w:pStyle w:val="APAReferences"/>
        <w:spacing w:line="480" w:lineRule="auto"/>
      </w:pPr>
      <w:r w:rsidRPr="00A1764C">
        <w:t>Rozenblum, R</w:t>
      </w:r>
      <w:r w:rsidR="00F516C0">
        <w:t>.</w:t>
      </w:r>
      <w:r w:rsidRPr="00A1764C">
        <w:t xml:space="preserve">, Jang, Y., Zimlichman, E., Salzberg, C., Tamblyn, M., Buckeridge, D., </w:t>
      </w:r>
      <w:r w:rsidR="00DF7840">
        <w:t>et al.</w:t>
      </w:r>
      <w:r w:rsidRPr="00A1764C">
        <w:t xml:space="preserve"> (2011)</w:t>
      </w:r>
      <w:r>
        <w:t>.</w:t>
      </w:r>
      <w:r w:rsidRPr="00A1764C">
        <w:t xml:space="preserve"> A qualitative study of Canada’s experience with the implementation of electronic health information technology.</w:t>
      </w:r>
      <w:r>
        <w:t xml:space="preserve"> </w:t>
      </w:r>
      <w:r w:rsidR="00DF7840" w:rsidRPr="00C0447D">
        <w:rPr>
          <w:i/>
        </w:rPr>
        <w:t>Canadian Medical Association Journal</w:t>
      </w:r>
      <w:r w:rsidRPr="00C0447D">
        <w:rPr>
          <w:i/>
        </w:rPr>
        <w:t xml:space="preserve">, </w:t>
      </w:r>
      <w:r w:rsidRPr="00A1764C">
        <w:rPr>
          <w:i/>
        </w:rPr>
        <w:t>183</w:t>
      </w:r>
      <w:r w:rsidRPr="00A1764C">
        <w:t>(5), 281-288.</w:t>
      </w:r>
    </w:p>
    <w:p w14:paraId="7D516D55" w14:textId="03DCCD45" w:rsidR="00CC016E" w:rsidRDefault="00D6038F" w:rsidP="001200E8">
      <w:pPr>
        <w:pStyle w:val="APAReferences"/>
        <w:spacing w:line="480" w:lineRule="auto"/>
      </w:pPr>
      <w:r>
        <w:t>Ruivo, P., Johanssonb, B., Oliveira, T.</w:t>
      </w:r>
      <w:r w:rsidR="005E7A62">
        <w:t xml:space="preserve"> &amp; </w:t>
      </w:r>
      <w:r>
        <w:t>Neto, M. (2012).</w:t>
      </w:r>
      <w:r w:rsidR="005E7A62">
        <w:t xml:space="preserve"> </w:t>
      </w:r>
      <w:r>
        <w:t xml:space="preserve">Determinants that influence ERP use and value: cross-country evidence on Scandinavian and Iberian SMEs. </w:t>
      </w:r>
      <w:r w:rsidRPr="009659E2">
        <w:rPr>
          <w:i/>
        </w:rPr>
        <w:t>Technology,</w:t>
      </w:r>
      <w:r>
        <w:t xml:space="preserve"> </w:t>
      </w:r>
      <w:r w:rsidRPr="009659E2">
        <w:rPr>
          <w:i/>
        </w:rPr>
        <w:t>5,</w:t>
      </w:r>
      <w:r>
        <w:t xml:space="preserve"> 354-362.</w:t>
      </w:r>
    </w:p>
    <w:p w14:paraId="7D516D56" w14:textId="3AB18DD5" w:rsidR="00CC016E" w:rsidRDefault="00D6038F" w:rsidP="001200E8">
      <w:pPr>
        <w:pStyle w:val="APAReferences"/>
        <w:spacing w:line="480" w:lineRule="auto"/>
      </w:pPr>
      <w:r w:rsidRPr="00A1764C">
        <w:t>San Martín, H.,</w:t>
      </w:r>
      <w:r w:rsidR="005E7A62">
        <w:t xml:space="preserve"> &amp; </w:t>
      </w:r>
      <w:r w:rsidRPr="00A1764C">
        <w:t>Herrero,</w:t>
      </w:r>
      <w:r>
        <w:t xml:space="preserve"> A. (</w:t>
      </w:r>
      <w:r w:rsidRPr="00A1764C">
        <w:t>2012</w:t>
      </w:r>
      <w:r>
        <w:t>)</w:t>
      </w:r>
      <w:r w:rsidRPr="00A1764C">
        <w:t xml:space="preserve">. Influence of the user’s psychological factors on the online purchase intention in rural tourism: integrating innovativeness to the UTAUT framework. </w:t>
      </w:r>
      <w:r w:rsidRPr="00EE1C3F">
        <w:rPr>
          <w:i/>
        </w:rPr>
        <w:t>Tourism Management,</w:t>
      </w:r>
      <w:r w:rsidRPr="00EE1C3F">
        <w:t xml:space="preserve"> </w:t>
      </w:r>
      <w:r w:rsidRPr="00EE1C3F">
        <w:rPr>
          <w:i/>
        </w:rPr>
        <w:t>33 (2),</w:t>
      </w:r>
      <w:r w:rsidRPr="00EE1C3F">
        <w:t xml:space="preserve"> 341–350.</w:t>
      </w:r>
    </w:p>
    <w:p w14:paraId="7D516D57" w14:textId="70CF949F" w:rsidR="00D6038F" w:rsidRPr="00A1764C" w:rsidRDefault="00D6038F" w:rsidP="001200E8">
      <w:pPr>
        <w:pStyle w:val="APAReferences"/>
        <w:spacing w:line="480" w:lineRule="auto"/>
      </w:pPr>
      <w:r w:rsidRPr="00A1764C">
        <w:t>Schaper L.,</w:t>
      </w:r>
      <w:r w:rsidR="005E7A62">
        <w:t xml:space="preserve"> &amp; </w:t>
      </w:r>
      <w:r>
        <w:t>Pervan, G. (</w:t>
      </w:r>
      <w:r w:rsidRPr="00A1764C">
        <w:t>2007</w:t>
      </w:r>
      <w:r>
        <w:t>)</w:t>
      </w:r>
      <w:r w:rsidRPr="00A1764C">
        <w:t xml:space="preserve">. ICT and OTs: A model of information and communication technology acceptance and utilization by occupational therapists. </w:t>
      </w:r>
      <w:r w:rsidRPr="00A1764C">
        <w:rPr>
          <w:i/>
        </w:rPr>
        <w:t>International Journal of Medical Informatics</w:t>
      </w:r>
      <w:r w:rsidRPr="00A1764C">
        <w:t xml:space="preserve">, </w:t>
      </w:r>
      <w:r w:rsidRPr="00FB5FF8">
        <w:rPr>
          <w:i/>
        </w:rPr>
        <w:t>76,</w:t>
      </w:r>
      <w:r w:rsidRPr="00A1764C">
        <w:t xml:space="preserve"> 212</w:t>
      </w:r>
      <w:r w:rsidR="00DF7840">
        <w:t>-</w:t>
      </w:r>
      <w:r w:rsidRPr="00A1764C">
        <w:t>221.</w:t>
      </w:r>
    </w:p>
    <w:p w14:paraId="7D516D58" w14:textId="54123614" w:rsidR="00841C9A" w:rsidRPr="00FC6087" w:rsidRDefault="00841C9A" w:rsidP="001200E8">
      <w:pPr>
        <w:pStyle w:val="APAReferences"/>
        <w:spacing w:line="480" w:lineRule="auto"/>
      </w:pPr>
      <w:r w:rsidRPr="00FC6087">
        <w:t>Scholl, H. (2001). Applying stakeholder theory to e-government: Benefits and limits. In B. Schmid, K. Stanoeveska-Slabeva,</w:t>
      </w:r>
      <w:r w:rsidR="005E7A62">
        <w:t xml:space="preserve"> &amp; </w:t>
      </w:r>
      <w:r w:rsidRPr="00FC6087">
        <w:t xml:space="preserve">V. Tschammer (Eds.), </w:t>
      </w:r>
      <w:r w:rsidRPr="00FC6087">
        <w:rPr>
          <w:i/>
          <w:iCs/>
        </w:rPr>
        <w:t>Towards the e-society: E-commerce, e-business, and e-government</w:t>
      </w:r>
      <w:r w:rsidRPr="00FC6087">
        <w:t xml:space="preserve"> (pp. 735-747). Boston, MA: Springer.</w:t>
      </w:r>
    </w:p>
    <w:p w14:paraId="7D516D59" w14:textId="7B5A9BCE" w:rsidR="00841C9A" w:rsidRPr="00FC6087" w:rsidRDefault="00841C9A" w:rsidP="001200E8">
      <w:pPr>
        <w:pStyle w:val="APAReferences"/>
        <w:spacing w:line="480" w:lineRule="auto"/>
      </w:pPr>
      <w:r w:rsidRPr="00FC6087">
        <w:t>Schumacker, R.,</w:t>
      </w:r>
      <w:r w:rsidR="005E7A62">
        <w:t xml:space="preserve"> &amp; </w:t>
      </w:r>
      <w:r w:rsidRPr="00FC6087">
        <w:t xml:space="preserve">Lomax, R. (2010). </w:t>
      </w:r>
      <w:r w:rsidRPr="00FC6087">
        <w:rPr>
          <w:i/>
          <w:iCs/>
        </w:rPr>
        <w:t>A Beginner’s Guide to Structural Equation Modeling</w:t>
      </w:r>
      <w:r w:rsidRPr="00FC6087">
        <w:t xml:space="preserve"> (3rd </w:t>
      </w:r>
      <w:r w:rsidR="00D46077" w:rsidRPr="00FC6087">
        <w:t>e</w:t>
      </w:r>
      <w:r w:rsidRPr="00FC6087">
        <w:t>d.). New York, NY: Routledge.</w:t>
      </w:r>
    </w:p>
    <w:p w14:paraId="7D516D5A" w14:textId="6237B588" w:rsidR="00841C9A" w:rsidRPr="00FC6087" w:rsidRDefault="00841C9A" w:rsidP="001200E8">
      <w:pPr>
        <w:pStyle w:val="APAReferences"/>
        <w:spacing w:line="480" w:lineRule="auto"/>
      </w:pPr>
      <w:r w:rsidRPr="00FC6087">
        <w:t>Shachak, A., Hadas-Dayagi, M., Ziv, A.,</w:t>
      </w:r>
      <w:r w:rsidR="005E7A62">
        <w:t xml:space="preserve"> &amp; </w:t>
      </w:r>
      <w:r w:rsidRPr="00FC6087">
        <w:t xml:space="preserve">Reis, S. (2009). Primary care physicians’ use of an electronic medical record system: A cognitive task analysis. </w:t>
      </w:r>
      <w:r w:rsidRPr="00FC6087">
        <w:rPr>
          <w:i/>
        </w:rPr>
        <w:t>Journal of General Internal Medicine, 24</w:t>
      </w:r>
      <w:r w:rsidRPr="00FC6087">
        <w:t>, 341-348.</w:t>
      </w:r>
    </w:p>
    <w:p w14:paraId="7D516D5B" w14:textId="18ABE1A4" w:rsidR="00841C9A" w:rsidRPr="00FC6087" w:rsidRDefault="00841C9A" w:rsidP="001200E8">
      <w:pPr>
        <w:pStyle w:val="APAReferences"/>
        <w:spacing w:line="480" w:lineRule="auto"/>
      </w:pPr>
      <w:r w:rsidRPr="00FC6087">
        <w:t>Shekelle, P. G., Morton, S. C.,</w:t>
      </w:r>
      <w:r w:rsidR="005E7A62">
        <w:t xml:space="preserve"> &amp; </w:t>
      </w:r>
      <w:r w:rsidRPr="00FC6087">
        <w:t>Keeler, E. B. (2006). Costs and benefits of health information technology.</w:t>
      </w:r>
      <w:r w:rsidR="005E7A62">
        <w:t xml:space="preserve"> </w:t>
      </w:r>
      <w:r w:rsidRPr="00FC6087">
        <w:rPr>
          <w:i/>
          <w:iCs/>
        </w:rPr>
        <w:t>Evidence Report/Technology Assessment, 132</w:t>
      </w:r>
      <w:r w:rsidRPr="00FC6087">
        <w:t>, 1-71.</w:t>
      </w:r>
    </w:p>
    <w:p w14:paraId="7D516D5C" w14:textId="5F818A7D" w:rsidR="00841C9A" w:rsidRPr="00FC6087" w:rsidRDefault="00841C9A" w:rsidP="001200E8">
      <w:pPr>
        <w:pStyle w:val="APAReferences"/>
        <w:spacing w:line="480" w:lineRule="auto"/>
      </w:pPr>
      <w:r w:rsidRPr="00FC6087">
        <w:t>Siemsen, E., Roth, A.,</w:t>
      </w:r>
      <w:r w:rsidR="005E7A62">
        <w:t xml:space="preserve"> &amp; </w:t>
      </w:r>
      <w:r w:rsidRPr="00FC6087">
        <w:t xml:space="preserve">Oliveira, P. (2010). Common </w:t>
      </w:r>
      <w:r w:rsidR="00D46077" w:rsidRPr="00FC6087">
        <w:t>method bias in regression models with linear, quadratic, and interaction effects</w:t>
      </w:r>
      <w:r w:rsidRPr="00FC6087">
        <w:t xml:space="preserve">. </w:t>
      </w:r>
      <w:r w:rsidRPr="00790070">
        <w:rPr>
          <w:i/>
        </w:rPr>
        <w:t>Organizational Research Methods, 13</w:t>
      </w:r>
      <w:r w:rsidRPr="00FC6087">
        <w:t>(3), 456-476.</w:t>
      </w:r>
    </w:p>
    <w:p w14:paraId="7D516D5D" w14:textId="03656843" w:rsidR="00841C9A" w:rsidRPr="00FC6087" w:rsidRDefault="00841C9A" w:rsidP="001200E8">
      <w:pPr>
        <w:pStyle w:val="APAReferences"/>
        <w:spacing w:line="480" w:lineRule="auto"/>
      </w:pPr>
      <w:r w:rsidRPr="00FC6087">
        <w:t>Simon, S., Kaushal, R., Cleary, P., Jenter, C., Volk, L.,</w:t>
      </w:r>
      <w:r w:rsidR="005E7A62">
        <w:t xml:space="preserve"> &amp; </w:t>
      </w:r>
      <w:r w:rsidRPr="00FC6087">
        <w:t xml:space="preserve">Orav, E. (2007). Physicians and electronic health records: A statewide survey. </w:t>
      </w:r>
      <w:r w:rsidRPr="00FC6087">
        <w:rPr>
          <w:i/>
          <w:iCs/>
        </w:rPr>
        <w:t>Archives of Internal Medicine, 167</w:t>
      </w:r>
      <w:r w:rsidRPr="00FC6087">
        <w:t>, 507-512.</w:t>
      </w:r>
    </w:p>
    <w:p w14:paraId="7D516D5E" w14:textId="60307834" w:rsidR="00841C9A" w:rsidRPr="00FC6087" w:rsidRDefault="00841C9A" w:rsidP="001200E8">
      <w:pPr>
        <w:pStyle w:val="APAReferences"/>
        <w:spacing w:line="480" w:lineRule="auto"/>
      </w:pPr>
      <w:r w:rsidRPr="00FC6087">
        <w:t>Singh, B.,</w:t>
      </w:r>
      <w:r w:rsidR="005E7A62">
        <w:t xml:space="preserve"> &amp; </w:t>
      </w:r>
      <w:r w:rsidRPr="00FC6087">
        <w:t xml:space="preserve">Muthuswamy, P. (2013). Factors affecting the adoption of electronic health records by nurses. </w:t>
      </w:r>
      <w:r w:rsidRPr="00FC6087">
        <w:rPr>
          <w:i/>
          <w:iCs/>
        </w:rPr>
        <w:t>World Applied Sciences Journal, 28</w:t>
      </w:r>
      <w:r w:rsidRPr="00FC6087">
        <w:t>, 1531-1535.</w:t>
      </w:r>
    </w:p>
    <w:p w14:paraId="7D516D5F" w14:textId="77777777" w:rsidR="00D6038F" w:rsidRPr="00A1764C" w:rsidRDefault="00D6038F" w:rsidP="001200E8">
      <w:pPr>
        <w:pStyle w:val="APAReferences"/>
        <w:spacing w:line="480" w:lineRule="auto"/>
      </w:pPr>
      <w:r w:rsidRPr="00A1764C">
        <w:t xml:space="preserve">Sinha, R. (2010). Impact of health information technology in public health. </w:t>
      </w:r>
      <w:r w:rsidRPr="00A1764C">
        <w:rPr>
          <w:i/>
        </w:rPr>
        <w:t>Sri Lanka Journal of Bio-Medical Informatics, 1</w:t>
      </w:r>
      <w:r w:rsidRPr="00A1764C">
        <w:t>, 223-36.</w:t>
      </w:r>
    </w:p>
    <w:p w14:paraId="7D516D60" w14:textId="3915B581" w:rsidR="00841C9A" w:rsidRPr="00FC6087" w:rsidRDefault="00841C9A" w:rsidP="001200E8">
      <w:pPr>
        <w:pStyle w:val="APAReferences"/>
        <w:spacing w:line="480" w:lineRule="auto"/>
      </w:pPr>
      <w:r w:rsidRPr="00FC6087">
        <w:t>Sittig, D.,</w:t>
      </w:r>
      <w:r w:rsidR="005E7A62">
        <w:t xml:space="preserve"> &amp; </w:t>
      </w:r>
      <w:r w:rsidRPr="00FC6087">
        <w:t>Singh H. (2011). Defining health information technology-related errors: New developments since to err is human. </w:t>
      </w:r>
      <w:r w:rsidRPr="00FC6087">
        <w:rPr>
          <w:i/>
          <w:iCs/>
        </w:rPr>
        <w:t>Archives of Internal Medicine, 171</w:t>
      </w:r>
      <w:r w:rsidRPr="00FC6087">
        <w:t xml:space="preserve">, 1281-1284. </w:t>
      </w:r>
    </w:p>
    <w:p w14:paraId="7D516D61" w14:textId="4135A8D3" w:rsidR="00841C9A" w:rsidRPr="00FC6087" w:rsidRDefault="00841C9A" w:rsidP="001200E8">
      <w:pPr>
        <w:pStyle w:val="APAReferences"/>
        <w:spacing w:line="480" w:lineRule="auto"/>
      </w:pPr>
      <w:r w:rsidRPr="00FC6087">
        <w:t>Sittig, D., Belmont, E.</w:t>
      </w:r>
      <w:r w:rsidR="005E7A62">
        <w:t xml:space="preserve"> &amp; </w:t>
      </w:r>
      <w:r w:rsidRPr="00FC6087">
        <w:t xml:space="preserve">Singh, H. (2018). Improving the safety of health information technology requires shared responsibility: It is time we all step up. </w:t>
      </w:r>
      <w:r w:rsidRPr="00FC6087">
        <w:rPr>
          <w:i/>
          <w:iCs/>
        </w:rPr>
        <w:t>Healthcare</w:t>
      </w:r>
      <w:r w:rsidRPr="00FC6087">
        <w:rPr>
          <w:i/>
        </w:rPr>
        <w:t>, 6</w:t>
      </w:r>
      <w:r w:rsidRPr="00FC6087">
        <w:t xml:space="preserve">, 7-12. </w:t>
      </w:r>
    </w:p>
    <w:p w14:paraId="7D516D62" w14:textId="6AA4E1EE" w:rsidR="00D6038F" w:rsidRPr="00A1764C" w:rsidRDefault="00D6038F" w:rsidP="001200E8">
      <w:pPr>
        <w:pStyle w:val="APAReferences"/>
        <w:spacing w:line="480" w:lineRule="auto"/>
      </w:pPr>
      <w:r w:rsidRPr="00A1764C">
        <w:t>Slade, E</w:t>
      </w:r>
      <w:r>
        <w:t>., Williams, M.,</w:t>
      </w:r>
      <w:r w:rsidR="005E7A62">
        <w:t xml:space="preserve"> &amp; </w:t>
      </w:r>
      <w:r>
        <w:t>Dwivedi, Y. (</w:t>
      </w:r>
      <w:r w:rsidRPr="00A1764C">
        <w:t>2013</w:t>
      </w:r>
      <w:r>
        <w:t>)</w:t>
      </w:r>
      <w:r w:rsidRPr="00A1764C">
        <w:t xml:space="preserve">. An extension of the UTAUT 2 in a healthcare context. </w:t>
      </w:r>
      <w:r w:rsidRPr="00A1764C">
        <w:rPr>
          <w:i/>
        </w:rPr>
        <w:t>Proceeding of the UK Academy for Information Systems.</w:t>
      </w:r>
      <w:r>
        <w:rPr>
          <w:i/>
        </w:rPr>
        <w:t xml:space="preserve"> </w:t>
      </w:r>
      <w:r w:rsidRPr="00FB5FF8">
        <w:t>Retrieved from</w:t>
      </w:r>
      <w:r>
        <w:rPr>
          <w:i/>
        </w:rPr>
        <w:t xml:space="preserve"> </w:t>
      </w:r>
      <w:hyperlink r:id="rId76" w:history="1">
        <w:r w:rsidRPr="00FB5FF8">
          <w:t>https://pdfs.semanticscholar.org/898f/cc4c1e970aa9cf671aab8a663d47533739d2.pdf</w:t>
        </w:r>
      </w:hyperlink>
    </w:p>
    <w:p w14:paraId="7D516D63" w14:textId="77777777" w:rsidR="00841C9A" w:rsidRPr="00FC6087" w:rsidRDefault="00841C9A" w:rsidP="001200E8">
      <w:pPr>
        <w:pStyle w:val="APAReferences"/>
        <w:spacing w:line="480" w:lineRule="auto"/>
      </w:pPr>
      <w:r w:rsidRPr="00FC6087">
        <w:t>Slight, P., Berner, S., Galanter, W., Huff, S., Lambert, L., Lannon, C.,</w:t>
      </w:r>
      <w:r w:rsidR="00D46077" w:rsidRPr="00FC6087">
        <w:t xml:space="preserve"> et al.</w:t>
      </w:r>
      <w:r w:rsidRPr="00FC6087">
        <w:t xml:space="preserve"> (2015). Meaningful use of electronic health records: Experiences from the field and future opportunities. </w:t>
      </w:r>
      <w:r w:rsidRPr="00FC6087">
        <w:rPr>
          <w:i/>
          <w:iCs/>
        </w:rPr>
        <w:t>Journal of Medical Internet Research: Medical Informatics, 3</w:t>
      </w:r>
      <w:r w:rsidRPr="00FC6087">
        <w:t>, e30.</w:t>
      </w:r>
    </w:p>
    <w:p w14:paraId="7D516D64" w14:textId="2743CC35" w:rsidR="00841C9A" w:rsidRPr="00FC6087" w:rsidRDefault="00841C9A" w:rsidP="001200E8">
      <w:pPr>
        <w:pStyle w:val="APAReferences"/>
        <w:spacing w:line="480" w:lineRule="auto"/>
      </w:pPr>
      <w:r w:rsidRPr="00FC6087">
        <w:t>Smith, H.,</w:t>
      </w:r>
      <w:r w:rsidR="005E7A62">
        <w:t xml:space="preserve"> &amp; </w:t>
      </w:r>
      <w:r w:rsidRPr="00FC6087">
        <w:t xml:space="preserve">Hasnas, J. (1999). Ethics and information systems: The corporate domain. </w:t>
      </w:r>
      <w:r w:rsidRPr="00FC6087">
        <w:rPr>
          <w:i/>
          <w:iCs/>
        </w:rPr>
        <w:t>Management Information Systems Quarterly, 23</w:t>
      </w:r>
      <w:r w:rsidRPr="00FC6087">
        <w:t xml:space="preserve">, 109-128. </w:t>
      </w:r>
    </w:p>
    <w:p w14:paraId="7D516D65" w14:textId="0E5CE0CE" w:rsidR="00841C9A" w:rsidRPr="00FC6087" w:rsidRDefault="00841C9A" w:rsidP="001200E8">
      <w:pPr>
        <w:pStyle w:val="APAReferences"/>
        <w:spacing w:line="480" w:lineRule="auto"/>
      </w:pPr>
      <w:r w:rsidRPr="00FC6087">
        <w:t>Stead, W.,</w:t>
      </w:r>
      <w:r w:rsidR="005E7A62">
        <w:t xml:space="preserve"> &amp; </w:t>
      </w:r>
      <w:r w:rsidRPr="00FC6087">
        <w:t xml:space="preserve">Lin, H. (2009). </w:t>
      </w:r>
      <w:r w:rsidRPr="00790070">
        <w:rPr>
          <w:i/>
        </w:rPr>
        <w:t xml:space="preserve">Computational </w:t>
      </w:r>
      <w:r w:rsidR="00D46077" w:rsidRPr="00790070">
        <w:rPr>
          <w:i/>
        </w:rPr>
        <w:t>technology for effective health care</w:t>
      </w:r>
      <w:r w:rsidRPr="00790070">
        <w:rPr>
          <w:i/>
        </w:rPr>
        <w:t xml:space="preserve">: Immediate </w:t>
      </w:r>
      <w:r w:rsidR="00D46077" w:rsidRPr="00790070">
        <w:rPr>
          <w:i/>
        </w:rPr>
        <w:t>steps and strategic directions</w:t>
      </w:r>
      <w:r w:rsidRPr="00FC6087">
        <w:t>. Washington, DC: The National Academies Press.</w:t>
      </w:r>
    </w:p>
    <w:p w14:paraId="7D516D66" w14:textId="5ED11791" w:rsidR="00841C9A" w:rsidRPr="00FC6087" w:rsidRDefault="00841C9A" w:rsidP="001200E8">
      <w:pPr>
        <w:pStyle w:val="APAReferences"/>
        <w:spacing w:line="480" w:lineRule="auto"/>
      </w:pPr>
      <w:r w:rsidRPr="00FC6087">
        <w:t>Stewart, R. A., Mohamed, S.,</w:t>
      </w:r>
      <w:r w:rsidR="005E7A62">
        <w:t xml:space="preserve"> &amp; </w:t>
      </w:r>
      <w:r w:rsidRPr="00FC6087">
        <w:t>Marosszeky, M. (2004). An empirical investigation into the link between information technology implementation barriers and coping strategies in the Australian construction industry</w:t>
      </w:r>
      <w:r w:rsidRPr="00FC6087">
        <w:rPr>
          <w:i/>
          <w:iCs/>
        </w:rPr>
        <w:t>. Construction Innovation, 4</w:t>
      </w:r>
      <w:r w:rsidRPr="00FC6087">
        <w:t>, 155-171.</w:t>
      </w:r>
    </w:p>
    <w:p w14:paraId="7D516D67" w14:textId="2AF914F3" w:rsidR="00CC016E" w:rsidRDefault="00D6038F" w:rsidP="001200E8">
      <w:pPr>
        <w:pStyle w:val="APAReferences"/>
        <w:spacing w:line="480" w:lineRule="auto"/>
      </w:pPr>
      <w:r>
        <w:t>Succi, M.,</w:t>
      </w:r>
      <w:r w:rsidR="005E7A62">
        <w:t xml:space="preserve"> &amp; </w:t>
      </w:r>
      <w:r>
        <w:t>Walter, Z. (</w:t>
      </w:r>
      <w:r w:rsidRPr="00A1764C">
        <w:t>1999</w:t>
      </w:r>
      <w:r>
        <w:t>)</w:t>
      </w:r>
      <w:r w:rsidRPr="00A1764C">
        <w:t xml:space="preserve">. Theory of user acceptance of information technologies: an examination of health care professionals. </w:t>
      </w:r>
      <w:r w:rsidR="00596A77" w:rsidRPr="00C0447D">
        <w:rPr>
          <w:i/>
        </w:rPr>
        <w:t>Proceedings of the 32nd Annual Hawaii International Conference on Systems Sciences: HICSS-32</w:t>
      </w:r>
      <w:r w:rsidR="00596A77" w:rsidRPr="00596A77">
        <w:t>.</w:t>
      </w:r>
      <w:r w:rsidR="00596A77">
        <w:t xml:space="preserve"> Retrieved from </w:t>
      </w:r>
      <w:r w:rsidR="006E076A" w:rsidRPr="006E076A">
        <w:t>https://ieeexplore.ieee.org/document/773013</w:t>
      </w:r>
    </w:p>
    <w:p w14:paraId="7D516D68" w14:textId="7B23BEB0" w:rsidR="00841C9A" w:rsidRPr="00FC6087" w:rsidRDefault="00841C9A" w:rsidP="001200E8">
      <w:pPr>
        <w:pStyle w:val="APAReferences"/>
        <w:spacing w:line="480" w:lineRule="auto"/>
      </w:pPr>
      <w:r w:rsidRPr="00FC6087">
        <w:t xml:space="preserve">Taherdoost, H. (2018). A review of technology acceptance and adoption models and theories. </w:t>
      </w:r>
      <w:r w:rsidRPr="00790070">
        <w:rPr>
          <w:i/>
        </w:rPr>
        <w:t>Procedia Manufacturing</w:t>
      </w:r>
      <w:r w:rsidR="00D46077" w:rsidRPr="00FC6087">
        <w:rPr>
          <w:i/>
        </w:rPr>
        <w:t>,</w:t>
      </w:r>
      <w:r w:rsidRPr="00790070">
        <w:rPr>
          <w:i/>
        </w:rPr>
        <w:t xml:space="preserve"> 22</w:t>
      </w:r>
      <w:r w:rsidRPr="00FC6087">
        <w:t>, 960-967.</w:t>
      </w:r>
      <w:r w:rsidR="005E7A62">
        <w:t xml:space="preserve"> </w:t>
      </w:r>
    </w:p>
    <w:p w14:paraId="7D516D69" w14:textId="353526CB" w:rsidR="00D6038F" w:rsidRPr="00CC016E" w:rsidRDefault="00D6038F" w:rsidP="001200E8">
      <w:pPr>
        <w:pStyle w:val="APAReferences"/>
        <w:spacing w:line="480" w:lineRule="auto"/>
      </w:pPr>
      <w:r w:rsidRPr="00A1764C">
        <w:t xml:space="preserve">Tait, K. </w:t>
      </w:r>
      <w:r>
        <w:t>(</w:t>
      </w:r>
      <w:r w:rsidRPr="00A1764C">
        <w:t>1998</w:t>
      </w:r>
      <w:r>
        <w:t>)</w:t>
      </w:r>
      <w:r w:rsidRPr="00A1764C">
        <w:t>. Chapter 79</w:t>
      </w:r>
      <w:r w:rsidR="006E076A">
        <w:t>:</w:t>
      </w:r>
      <w:r w:rsidRPr="00A1764C">
        <w:t xml:space="preserve"> Pharmaceutical </w:t>
      </w:r>
      <w:r w:rsidR="006E076A">
        <w:t>i</w:t>
      </w:r>
      <w:r w:rsidRPr="00A1764C">
        <w:t>ndustry. In</w:t>
      </w:r>
      <w:r w:rsidR="006E076A" w:rsidRPr="006E076A">
        <w:t xml:space="preserve"> </w:t>
      </w:r>
      <w:r w:rsidR="006E076A">
        <w:t>E</w:t>
      </w:r>
      <w:r w:rsidR="006E076A" w:rsidRPr="00A1764C">
        <w:t>. Stellman</w:t>
      </w:r>
      <w:r w:rsidR="006E076A">
        <w:t xml:space="preserve"> (Ed.)</w:t>
      </w:r>
      <w:r w:rsidR="006E076A" w:rsidRPr="00A1764C">
        <w:t xml:space="preserve">, </w:t>
      </w:r>
      <w:r w:rsidRPr="00FB5FF8">
        <w:rPr>
          <w:i/>
        </w:rPr>
        <w:t>Encyclopaedia of Occupational Health and Safety</w:t>
      </w:r>
      <w:r w:rsidRPr="00A1764C">
        <w:t xml:space="preserve"> </w:t>
      </w:r>
      <w:r w:rsidR="006E076A">
        <w:t>(</w:t>
      </w:r>
      <w:r w:rsidRPr="00A1764C">
        <w:t xml:space="preserve">Vol. 3). </w:t>
      </w:r>
      <w:r w:rsidR="008D0218" w:rsidRPr="008D0218">
        <w:t>Geneva, Switzerland</w:t>
      </w:r>
      <w:r w:rsidR="008D0218">
        <w:t>:</w:t>
      </w:r>
      <w:r w:rsidR="008D0218" w:rsidRPr="008D0218">
        <w:t xml:space="preserve"> </w:t>
      </w:r>
      <w:r w:rsidRPr="00A1764C">
        <w:t>International Labor Organization.</w:t>
      </w:r>
      <w:r w:rsidRPr="00A1764C">
        <w:rPr>
          <w:shd w:val="clear" w:color="auto" w:fill="FFFFFF"/>
        </w:rPr>
        <w:t xml:space="preserve"> </w:t>
      </w:r>
    </w:p>
    <w:p w14:paraId="7D516D6A" w14:textId="4932C75D" w:rsidR="00841C9A" w:rsidRPr="00FC6087" w:rsidRDefault="00841C9A" w:rsidP="001200E8">
      <w:pPr>
        <w:pStyle w:val="APAReferences"/>
        <w:spacing w:line="480" w:lineRule="auto"/>
      </w:pPr>
      <w:r w:rsidRPr="00FC6087">
        <w:t>Takian, A., Sheikh, A.,</w:t>
      </w:r>
      <w:r w:rsidR="005E7A62">
        <w:t xml:space="preserve"> &amp; </w:t>
      </w:r>
      <w:r w:rsidRPr="00FC6087">
        <w:t xml:space="preserve">Barber, N. (2012). We are bitter, but we are better off: Case study of the implementation of an electronic health record system into a mental health hospital in England. </w:t>
      </w:r>
      <w:r w:rsidRPr="00FC6087">
        <w:rPr>
          <w:i/>
          <w:iCs/>
        </w:rPr>
        <w:t>BMC Health Services Research, 12</w:t>
      </w:r>
      <w:r w:rsidRPr="00FC6087">
        <w:t>, 484.</w:t>
      </w:r>
    </w:p>
    <w:p w14:paraId="7D516D6B" w14:textId="3D56C595" w:rsidR="00D6038F" w:rsidRPr="00CC016E" w:rsidRDefault="00D6038F" w:rsidP="001200E8">
      <w:pPr>
        <w:pStyle w:val="APAReferences"/>
        <w:spacing w:line="480" w:lineRule="auto"/>
      </w:pPr>
      <w:r w:rsidRPr="00A1764C">
        <w:rPr>
          <w:rFonts w:eastAsia="Times New Roman"/>
        </w:rPr>
        <w:t>Tang, N., Eisenberg, M.,</w:t>
      </w:r>
      <w:r w:rsidR="005E7A62">
        <w:rPr>
          <w:rFonts w:eastAsia="Times New Roman"/>
        </w:rPr>
        <w:t xml:space="preserve"> &amp; </w:t>
      </w:r>
      <w:r>
        <w:rPr>
          <w:rFonts w:eastAsia="Times New Roman"/>
        </w:rPr>
        <w:t>Meyer, G.</w:t>
      </w:r>
      <w:r w:rsidRPr="00A1764C">
        <w:rPr>
          <w:rFonts w:eastAsia="Times New Roman"/>
        </w:rPr>
        <w:t xml:space="preserve"> </w:t>
      </w:r>
      <w:r>
        <w:rPr>
          <w:rFonts w:eastAsia="Times New Roman"/>
        </w:rPr>
        <w:t xml:space="preserve">(2004). </w:t>
      </w:r>
      <w:r w:rsidRPr="00A1764C">
        <w:rPr>
          <w:rFonts w:eastAsia="Times New Roman"/>
        </w:rPr>
        <w:t>The roles of government in improving h</w:t>
      </w:r>
      <w:r>
        <w:rPr>
          <w:rFonts w:eastAsia="Times New Roman"/>
        </w:rPr>
        <w:t xml:space="preserve">ealth care quality and safety. </w:t>
      </w:r>
      <w:r w:rsidRPr="00EE1C3F">
        <w:rPr>
          <w:rFonts w:eastAsia="Times New Roman"/>
          <w:i/>
        </w:rPr>
        <w:t>Joint Commission Journal on Quality and Safety</w:t>
      </w:r>
      <w:r>
        <w:rPr>
          <w:rFonts w:eastAsia="Times New Roman"/>
        </w:rPr>
        <w:t xml:space="preserve">, </w:t>
      </w:r>
      <w:r w:rsidRPr="00A1764C">
        <w:rPr>
          <w:rFonts w:eastAsia="Times New Roman"/>
        </w:rPr>
        <w:t>30</w:t>
      </w:r>
      <w:r>
        <w:rPr>
          <w:rFonts w:eastAsia="Times New Roman"/>
        </w:rPr>
        <w:t xml:space="preserve">(1), </w:t>
      </w:r>
      <w:r w:rsidRPr="00EE1C3F">
        <w:rPr>
          <w:rFonts w:eastAsia="Times New Roman"/>
        </w:rPr>
        <w:t>47-55.</w:t>
      </w:r>
    </w:p>
    <w:p w14:paraId="7D516D6C" w14:textId="1BE41062" w:rsidR="00841C9A" w:rsidRPr="00FC6087" w:rsidRDefault="00841C9A" w:rsidP="001200E8">
      <w:pPr>
        <w:pStyle w:val="APAReferences"/>
        <w:spacing w:line="480" w:lineRule="auto"/>
      </w:pPr>
      <w:r w:rsidRPr="00FC6087">
        <w:t>Tavakol, M.,</w:t>
      </w:r>
      <w:r w:rsidR="005E7A62">
        <w:t xml:space="preserve"> &amp; </w:t>
      </w:r>
      <w:r w:rsidRPr="00FC6087">
        <w:t xml:space="preserve">Dennick, R. (2011). Making sense of Cronbach’s alpha. </w:t>
      </w:r>
      <w:r w:rsidRPr="00790070">
        <w:rPr>
          <w:i/>
        </w:rPr>
        <w:t>International Journal of Medical Education, 2</w:t>
      </w:r>
      <w:r w:rsidRPr="00FC6087">
        <w:t xml:space="preserve">, 53-55. </w:t>
      </w:r>
    </w:p>
    <w:p w14:paraId="7D516D6D" w14:textId="77777777" w:rsidR="00841C9A" w:rsidRPr="00FC6087" w:rsidRDefault="00841C9A" w:rsidP="001200E8">
      <w:pPr>
        <w:pStyle w:val="APAReferences"/>
        <w:spacing w:line="480" w:lineRule="auto"/>
      </w:pPr>
      <w:r w:rsidRPr="00FC6087">
        <w:t>Technavio (2015). Healthcare IT Market in UAE 2015-2019. Toronto, ON</w:t>
      </w:r>
      <w:r w:rsidR="0072138D" w:rsidRPr="00FC6087">
        <w:t>: Technavio</w:t>
      </w:r>
      <w:r w:rsidRPr="00FC6087">
        <w:t>.</w:t>
      </w:r>
      <w:r w:rsidR="0072138D" w:rsidRPr="00FC6087">
        <w:t xml:space="preserve"> Retrieved from https://www.technavio.com/report/healthcare-it-market-in-uae-2015-2019</w:t>
      </w:r>
    </w:p>
    <w:p w14:paraId="7D516D6E" w14:textId="47CC78FB" w:rsidR="00841C9A" w:rsidRPr="00FC6087" w:rsidRDefault="00841C9A" w:rsidP="001200E8">
      <w:pPr>
        <w:pStyle w:val="APAReferences"/>
        <w:spacing w:line="480" w:lineRule="auto"/>
      </w:pPr>
      <w:r w:rsidRPr="00FC6087">
        <w:t>Terry, A., Giles, G.,</w:t>
      </w:r>
      <w:r w:rsidR="005E7A62">
        <w:t xml:space="preserve"> &amp; </w:t>
      </w:r>
      <w:r w:rsidRPr="00FC6087">
        <w:t xml:space="preserve">Brown, J. (2009). Adoption of electronic medical records in family practice: The providers’ perspective. </w:t>
      </w:r>
      <w:r w:rsidRPr="00FC6087">
        <w:rPr>
          <w:i/>
          <w:iCs/>
        </w:rPr>
        <w:t>Family Medicine, 41</w:t>
      </w:r>
      <w:r w:rsidRPr="00FC6087">
        <w:t>, 508-12.</w:t>
      </w:r>
    </w:p>
    <w:p w14:paraId="7D516D6F" w14:textId="57E6F710" w:rsidR="00841C9A" w:rsidRPr="00FC6087" w:rsidRDefault="00841C9A" w:rsidP="001200E8">
      <w:pPr>
        <w:pStyle w:val="APAReferences"/>
        <w:spacing w:line="480" w:lineRule="auto"/>
      </w:pPr>
      <w:r w:rsidRPr="00FC6087">
        <w:t>Thackeray, R., Crookston, B.,</w:t>
      </w:r>
      <w:r w:rsidR="005E7A62">
        <w:t xml:space="preserve"> &amp; </w:t>
      </w:r>
      <w:r w:rsidRPr="00FC6087">
        <w:t xml:space="preserve">West, J. (2013) Correlates of health-related social media use among adults. </w:t>
      </w:r>
      <w:r w:rsidRPr="00FC6087">
        <w:rPr>
          <w:i/>
          <w:iCs/>
        </w:rPr>
        <w:t>Journal of Medical Internet Research</w:t>
      </w:r>
      <w:r w:rsidRPr="00FC6087">
        <w:rPr>
          <w:i/>
        </w:rPr>
        <w:t>, 15</w:t>
      </w:r>
      <w:r w:rsidRPr="00FC6087">
        <w:t>, e21.</w:t>
      </w:r>
    </w:p>
    <w:p w14:paraId="7D516D70" w14:textId="77777777" w:rsidR="00D6038F" w:rsidRPr="00A1764C" w:rsidRDefault="00D6038F" w:rsidP="001200E8">
      <w:pPr>
        <w:pStyle w:val="APAReferences"/>
        <w:spacing w:line="480" w:lineRule="auto"/>
      </w:pPr>
      <w:r w:rsidRPr="00A1764C">
        <w:t>Thompson, B. (2004)</w:t>
      </w:r>
      <w:r>
        <w:t xml:space="preserve">. </w:t>
      </w:r>
      <w:r w:rsidRPr="00A1764C">
        <w:rPr>
          <w:i/>
          <w:iCs/>
        </w:rPr>
        <w:t>Exploratory and Confirmatory Factor Analysis: Understanding Concepts and Applications</w:t>
      </w:r>
      <w:r>
        <w:t>.</w:t>
      </w:r>
      <w:r w:rsidRPr="00A1764C">
        <w:t xml:space="preserve"> American Psychological Association, Washington DC.</w:t>
      </w:r>
    </w:p>
    <w:p w14:paraId="7D516D71" w14:textId="4826423F" w:rsidR="00841C9A" w:rsidRPr="00FC6087" w:rsidRDefault="00841C9A" w:rsidP="001200E8">
      <w:pPr>
        <w:pStyle w:val="APAReferences"/>
        <w:spacing w:line="480" w:lineRule="auto"/>
      </w:pPr>
      <w:r w:rsidRPr="00FC6087">
        <w:t>Thorn, S., Carter, M.,</w:t>
      </w:r>
      <w:r w:rsidR="005E7A62">
        <w:t xml:space="preserve"> &amp; </w:t>
      </w:r>
      <w:r w:rsidRPr="00FC6087">
        <w:t>Bailey, J. (2014). Emergency physicians</w:t>
      </w:r>
      <w:r w:rsidR="003337FF" w:rsidRPr="00FC6087">
        <w:t>’</w:t>
      </w:r>
      <w:r w:rsidRPr="00FC6087">
        <w:t xml:space="preserve"> perspectives on their use of health information exchange. </w:t>
      </w:r>
      <w:r w:rsidRPr="00FC6087">
        <w:rPr>
          <w:i/>
          <w:iCs/>
        </w:rPr>
        <w:t>Annals of Emergency Medicine</w:t>
      </w:r>
      <w:r w:rsidRPr="00FC6087">
        <w:t xml:space="preserve">, </w:t>
      </w:r>
      <w:r w:rsidRPr="00FC6087">
        <w:rPr>
          <w:i/>
        </w:rPr>
        <w:t>63</w:t>
      </w:r>
      <w:r w:rsidRPr="00FC6087">
        <w:t>, 329-37.</w:t>
      </w:r>
    </w:p>
    <w:p w14:paraId="7D516D72" w14:textId="5B554F36" w:rsidR="00841C9A" w:rsidRPr="00FC6087" w:rsidRDefault="00841C9A" w:rsidP="001200E8">
      <w:pPr>
        <w:pStyle w:val="APAReferences"/>
        <w:spacing w:line="480" w:lineRule="auto"/>
      </w:pPr>
      <w:r w:rsidRPr="00FC6087">
        <w:t>Thorndike, R. M., Cunningham, G. K., Thorndike, R. L.,</w:t>
      </w:r>
      <w:r w:rsidR="005E7A62">
        <w:t xml:space="preserve"> &amp; </w:t>
      </w:r>
      <w:r w:rsidRPr="00FC6087">
        <w:t xml:space="preserve">Hagen E. P. (1991). </w:t>
      </w:r>
      <w:r w:rsidRPr="00790070">
        <w:rPr>
          <w:i/>
        </w:rPr>
        <w:t>Measurement and evaluation in psychology and education</w:t>
      </w:r>
      <w:r w:rsidRPr="00FC6087">
        <w:t>. New York</w:t>
      </w:r>
      <w:r w:rsidR="003337FF" w:rsidRPr="00FC6087">
        <w:t>, NY</w:t>
      </w:r>
      <w:r w:rsidRPr="00FC6087">
        <w:t>: Macmillan.</w:t>
      </w:r>
    </w:p>
    <w:p w14:paraId="7D516D73" w14:textId="531E0160" w:rsidR="00D6038F" w:rsidRDefault="00D6038F" w:rsidP="001200E8">
      <w:pPr>
        <w:pStyle w:val="APAReferences"/>
        <w:spacing w:line="480" w:lineRule="auto"/>
      </w:pPr>
      <w:r>
        <w:t>Tortorella, L.</w:t>
      </w:r>
      <w:r w:rsidR="005E7A62">
        <w:t xml:space="preserve"> &amp; </w:t>
      </w:r>
      <w:r>
        <w:t xml:space="preserve">Fries, C., 2015. Reasons for adopting an ERP system in a public University in Southern Brazil. </w:t>
      </w:r>
      <w:r w:rsidRPr="00C0447D">
        <w:rPr>
          <w:i/>
        </w:rPr>
        <w:t>Proceedings of the 2015 International Conference on Operations Excellence and Service Engineering Orlando</w:t>
      </w:r>
      <w:r>
        <w:t xml:space="preserve">, Florida, USA, </w:t>
      </w:r>
      <w:r w:rsidR="008D0218">
        <w:t>p</w:t>
      </w:r>
      <w:r>
        <w:t xml:space="preserve">p. 765-773. </w:t>
      </w:r>
    </w:p>
    <w:p w14:paraId="7D516D74" w14:textId="1005C972" w:rsidR="00841C9A" w:rsidRPr="00FC6087" w:rsidRDefault="00841C9A" w:rsidP="001200E8">
      <w:pPr>
        <w:pStyle w:val="APAReferences"/>
        <w:spacing w:line="480" w:lineRule="auto"/>
      </w:pPr>
      <w:r w:rsidRPr="00FC6087">
        <w:t>Treiblmaier, H.,</w:t>
      </w:r>
      <w:r w:rsidR="005E7A62">
        <w:t xml:space="preserve"> &amp; </w:t>
      </w:r>
      <w:r w:rsidRPr="00FC6087">
        <w:t xml:space="preserve">Filzmoser, P. (2010). Exploratory factor analysis revisited: How robust methods support the detection of hidden multivariate data structures in IS research. </w:t>
      </w:r>
      <w:r w:rsidRPr="00FC6087">
        <w:rPr>
          <w:i/>
          <w:iCs/>
        </w:rPr>
        <w:t>Information and Management</w:t>
      </w:r>
      <w:r w:rsidRPr="00FC6087">
        <w:t xml:space="preserve">, </w:t>
      </w:r>
      <w:r w:rsidRPr="00FC6087">
        <w:rPr>
          <w:i/>
          <w:iCs/>
        </w:rPr>
        <w:t>47</w:t>
      </w:r>
      <w:r w:rsidRPr="00FC6087">
        <w:t>, 197-207.</w:t>
      </w:r>
    </w:p>
    <w:p w14:paraId="7D516D75" w14:textId="4127B297" w:rsidR="00CC016E" w:rsidRDefault="00D6038F" w:rsidP="001200E8">
      <w:pPr>
        <w:pStyle w:val="APAReferences"/>
        <w:spacing w:line="480" w:lineRule="auto"/>
      </w:pPr>
      <w:r w:rsidRPr="00A1764C">
        <w:t>Tuot</w:t>
      </w:r>
      <w:r>
        <w:t>, D.</w:t>
      </w:r>
      <w:r w:rsidRPr="00A1764C">
        <w:t>, Leeds</w:t>
      </w:r>
      <w:r>
        <w:t>,</w:t>
      </w:r>
      <w:r w:rsidRPr="00A1764C">
        <w:t xml:space="preserve"> K</w:t>
      </w:r>
      <w:r>
        <w:t>.</w:t>
      </w:r>
      <w:r w:rsidRPr="00A1764C">
        <w:t>, Murphy</w:t>
      </w:r>
      <w:r>
        <w:t>,</w:t>
      </w:r>
      <w:r w:rsidRPr="00A1764C">
        <w:t xml:space="preserve"> E</w:t>
      </w:r>
      <w:r>
        <w:t xml:space="preserve">., Sarkar, </w:t>
      </w:r>
      <w:r w:rsidRPr="00A1764C">
        <w:t>U</w:t>
      </w:r>
      <w:r>
        <w:t>.</w:t>
      </w:r>
      <w:r w:rsidRPr="00A1764C">
        <w:t>, Lyles</w:t>
      </w:r>
      <w:r>
        <w:t>,</w:t>
      </w:r>
      <w:r w:rsidRPr="00A1764C">
        <w:t xml:space="preserve"> C</w:t>
      </w:r>
      <w:r>
        <w:t>., Mekonnen</w:t>
      </w:r>
      <w:r w:rsidR="00E73997">
        <w:t>, T.</w:t>
      </w:r>
      <w:r>
        <w:t>,</w:t>
      </w:r>
      <w:r w:rsidR="005E7A62">
        <w:t xml:space="preserve"> &amp; </w:t>
      </w:r>
      <w:r>
        <w:t>Chen, A. (2015)</w:t>
      </w:r>
      <w:r w:rsidRPr="00A1764C">
        <w:t xml:space="preserve">. Facilitators and barriers to implementing electronic referral and/or consultation systems: a qualitative study of 16 health organizations. </w:t>
      </w:r>
      <w:r w:rsidRPr="00FB5FF8">
        <w:rPr>
          <w:i/>
        </w:rPr>
        <w:t xml:space="preserve">BMC Health </w:t>
      </w:r>
      <w:r w:rsidR="008652AD" w:rsidRPr="008652AD">
        <w:rPr>
          <w:i/>
        </w:rPr>
        <w:t>Services Research</w:t>
      </w:r>
      <w:r>
        <w:t xml:space="preserve">, </w:t>
      </w:r>
      <w:r w:rsidRPr="00FB5FF8">
        <w:rPr>
          <w:i/>
        </w:rPr>
        <w:t>15,</w:t>
      </w:r>
      <w:r>
        <w:t xml:space="preserve"> </w:t>
      </w:r>
      <w:r w:rsidRPr="00A1764C">
        <w:t>568-77.</w:t>
      </w:r>
    </w:p>
    <w:p w14:paraId="7D516D76" w14:textId="2AFB2838" w:rsidR="00D6038F" w:rsidRPr="00A1764C" w:rsidRDefault="00D6038F" w:rsidP="001200E8">
      <w:pPr>
        <w:pStyle w:val="APAReferences"/>
        <w:spacing w:line="480" w:lineRule="auto"/>
      </w:pPr>
      <w:r w:rsidRPr="00A1764C">
        <w:t>U.S.-</w:t>
      </w:r>
      <w:r>
        <w:t xml:space="preserve">U.A.E. Business Council (2018). </w:t>
      </w:r>
      <w:r w:rsidRPr="00A1764C">
        <w:t>The U.A.E. healthcare sector: An update: January 2018</w:t>
      </w:r>
      <w:r>
        <w:t xml:space="preserve">. Retrieved from </w:t>
      </w:r>
      <w:r w:rsidRPr="00A1764C">
        <w:t>www.usuaebusiness.org/wp-content/uploads/2018/01/Healthcare-Report-January-2018-Update.pdf</w:t>
      </w:r>
    </w:p>
    <w:p w14:paraId="7D516D77" w14:textId="07FE602F" w:rsidR="00841C9A" w:rsidRPr="00FC6087" w:rsidRDefault="00841C9A" w:rsidP="001200E8">
      <w:pPr>
        <w:pStyle w:val="APAReferences"/>
        <w:spacing w:line="480" w:lineRule="auto"/>
      </w:pPr>
      <w:r w:rsidRPr="00FC6087">
        <w:t>Uluc, N. C.,</w:t>
      </w:r>
      <w:r w:rsidR="005E7A62">
        <w:t xml:space="preserve"> &amp; </w:t>
      </w:r>
      <w:r w:rsidRPr="00FC6087">
        <w:t>Ferman, M. (2016). A comparative analysis of user insights for e-health development challenges in Turkey, Kingdom of Saudi Arabia, Egypt and United Arab Emirates. </w:t>
      </w:r>
      <w:r w:rsidRPr="00FC6087">
        <w:rPr>
          <w:i/>
          <w:iCs/>
        </w:rPr>
        <w:t>Journal of Management and Logistics, 3</w:t>
      </w:r>
      <w:r w:rsidRPr="00FC6087">
        <w:t>, 176-189</w:t>
      </w:r>
    </w:p>
    <w:p w14:paraId="5754437F" w14:textId="77777777" w:rsidR="00421E90" w:rsidRPr="00FC6087" w:rsidRDefault="00421E90" w:rsidP="001200E8">
      <w:pPr>
        <w:pStyle w:val="APAReferences"/>
        <w:spacing w:line="480" w:lineRule="auto"/>
      </w:pPr>
      <w:r w:rsidRPr="00FC6087">
        <w:t xml:space="preserve">(The) United Arab Emirates Government (2016). </w:t>
      </w:r>
      <w:r w:rsidRPr="00FC6087">
        <w:rPr>
          <w:i/>
        </w:rPr>
        <w:t>UAE Vision 2021</w:t>
      </w:r>
      <w:r w:rsidRPr="00FC6087">
        <w:t xml:space="preserve">. Retrieved from www.vision2021.ae/en/uae-vision </w:t>
      </w:r>
    </w:p>
    <w:p w14:paraId="7D516D78" w14:textId="77777777" w:rsidR="00C42CE2" w:rsidRPr="00FC6087" w:rsidRDefault="00C42CE2" w:rsidP="001200E8">
      <w:pPr>
        <w:pStyle w:val="APAReferences"/>
        <w:spacing w:line="480" w:lineRule="auto"/>
      </w:pPr>
      <w:r w:rsidRPr="00FC6087">
        <w:t xml:space="preserve">United Arab Emirates Ministry of Health (2013). Nurses </w:t>
      </w:r>
      <w:r w:rsidR="003337FF" w:rsidRPr="00FC6087">
        <w:t>r</w:t>
      </w:r>
      <w:r w:rsidRPr="00FC6087">
        <w:t xml:space="preserve">eap the </w:t>
      </w:r>
      <w:r w:rsidR="003337FF" w:rsidRPr="00FC6087">
        <w:t>b</w:t>
      </w:r>
      <w:r w:rsidRPr="00FC6087">
        <w:t xml:space="preserve">enefits of Wareed </w:t>
      </w:r>
      <w:r w:rsidR="003337FF" w:rsidRPr="00FC6087">
        <w:t>p</w:t>
      </w:r>
      <w:r w:rsidRPr="00FC6087">
        <w:t>roject. Retrieved from http://www.cerner. com/uploadedfiles/content/about_cerner/uae_sheikh_khalifa_hospital.pdf</w:t>
      </w:r>
    </w:p>
    <w:p w14:paraId="7D516D79" w14:textId="4489227E" w:rsidR="00841C9A" w:rsidRPr="00FC6087" w:rsidRDefault="00841C9A" w:rsidP="001200E8">
      <w:pPr>
        <w:pStyle w:val="APAReferences"/>
        <w:spacing w:line="480" w:lineRule="auto"/>
      </w:pPr>
      <w:r w:rsidRPr="00FC6087">
        <w:t>Van Limburg, M., Van Gemert-Pijnen, J., Nijland, N., Ossebaard, H., Hendrix, R.,</w:t>
      </w:r>
      <w:r w:rsidR="005E7A62">
        <w:t xml:space="preserve"> &amp; </w:t>
      </w:r>
      <w:r w:rsidRPr="00FC6087">
        <w:t xml:space="preserve">Seidel, E. (2011). Why business modeling is crucial in the development of eHealth technologies. </w:t>
      </w:r>
      <w:r w:rsidRPr="00FC6087">
        <w:rPr>
          <w:i/>
          <w:iCs/>
        </w:rPr>
        <w:t>Journal of Medical Internet Research</w:t>
      </w:r>
      <w:r w:rsidRPr="00FC6087">
        <w:rPr>
          <w:i/>
        </w:rPr>
        <w:t>, 13</w:t>
      </w:r>
      <w:r w:rsidRPr="00FC6087">
        <w:t>, e24.</w:t>
      </w:r>
    </w:p>
    <w:p w14:paraId="7D516D7A" w14:textId="57300C71" w:rsidR="00841C9A" w:rsidRPr="00FC6087" w:rsidRDefault="00841C9A" w:rsidP="001200E8">
      <w:pPr>
        <w:pStyle w:val="APAReferences"/>
        <w:spacing w:line="480" w:lineRule="auto"/>
      </w:pPr>
      <w:r w:rsidRPr="00FC6087">
        <w:t>Venkatesh, V.,</w:t>
      </w:r>
      <w:r w:rsidR="005E7A62">
        <w:t xml:space="preserve"> &amp; </w:t>
      </w:r>
      <w:r w:rsidRPr="00FC6087">
        <w:t>Davis, D. (2000). Theoretical extension of the technology acceptance model: Four longitudinal field studies. </w:t>
      </w:r>
      <w:r w:rsidRPr="00FC6087">
        <w:rPr>
          <w:i/>
          <w:iCs/>
        </w:rPr>
        <w:t>Management Science, 46</w:t>
      </w:r>
      <w:r w:rsidRPr="00FC6087">
        <w:t>, 186-204.</w:t>
      </w:r>
    </w:p>
    <w:p w14:paraId="7D516D7B" w14:textId="0042AC43" w:rsidR="00CC016E" w:rsidRDefault="00D6038F" w:rsidP="001200E8">
      <w:pPr>
        <w:pStyle w:val="APAReferences"/>
        <w:spacing w:line="480" w:lineRule="auto"/>
      </w:pPr>
      <w:r w:rsidRPr="00A1764C">
        <w:t>Venkatesh, V.</w:t>
      </w:r>
      <w:r w:rsidR="005F4665">
        <w:t>,</w:t>
      </w:r>
      <w:r w:rsidRPr="00A1764C">
        <w:t xml:space="preserve"> Morris, G.</w:t>
      </w:r>
      <w:r w:rsidR="005E7A62">
        <w:t xml:space="preserve"> &amp; </w:t>
      </w:r>
      <w:r w:rsidRPr="00A1764C">
        <w:t>Davis, F.</w:t>
      </w:r>
      <w:r>
        <w:t xml:space="preserve"> (</w:t>
      </w:r>
      <w:r w:rsidRPr="00A1764C">
        <w:t>2003</w:t>
      </w:r>
      <w:r>
        <w:t>).</w:t>
      </w:r>
      <w:r w:rsidRPr="00A1764C">
        <w:t xml:space="preserve"> User acceptance of information technology: Toward a unified view. </w:t>
      </w:r>
      <w:r w:rsidRPr="00A1764C">
        <w:rPr>
          <w:i/>
        </w:rPr>
        <w:t>MIS Quarterly</w:t>
      </w:r>
      <w:r w:rsidRPr="00A1764C">
        <w:t xml:space="preserve">, </w:t>
      </w:r>
      <w:r w:rsidRPr="00FB5FF8">
        <w:rPr>
          <w:i/>
        </w:rPr>
        <w:t>27</w:t>
      </w:r>
      <w:r w:rsidRPr="00C0447D">
        <w:t>(3),</w:t>
      </w:r>
      <w:r w:rsidRPr="00A1764C">
        <w:t xml:space="preserve"> 425–478.</w:t>
      </w:r>
    </w:p>
    <w:p w14:paraId="7D516D7C" w14:textId="19E87ABB" w:rsidR="00CC016E" w:rsidRDefault="00D6038F" w:rsidP="001200E8">
      <w:pPr>
        <w:pStyle w:val="APAReferences"/>
        <w:spacing w:line="480" w:lineRule="auto"/>
      </w:pPr>
      <w:r w:rsidRPr="00A1764C">
        <w:t>Venkatesh, V., Sykes, T.,</w:t>
      </w:r>
      <w:r w:rsidR="005E7A62">
        <w:t xml:space="preserve"> &amp; </w:t>
      </w:r>
      <w:r w:rsidRPr="00A1764C">
        <w:t xml:space="preserve">Zhang, X., </w:t>
      </w:r>
      <w:r>
        <w:t>(</w:t>
      </w:r>
      <w:r w:rsidRPr="00A1764C">
        <w:t>2011</w:t>
      </w:r>
      <w:r>
        <w:t>)</w:t>
      </w:r>
      <w:r w:rsidRPr="00A1764C">
        <w:t xml:space="preserve">. </w:t>
      </w:r>
      <w:r w:rsidR="005B2E94">
        <w:t>“</w:t>
      </w:r>
      <w:r w:rsidRPr="00A1764C">
        <w:t>Just what the doctor ordered</w:t>
      </w:r>
      <w:r w:rsidR="005B2E94">
        <w:t>”</w:t>
      </w:r>
      <w:r w:rsidRPr="00A1764C">
        <w:t xml:space="preserve">: </w:t>
      </w:r>
      <w:r w:rsidR="00124EA7">
        <w:t>A</w:t>
      </w:r>
      <w:r w:rsidRPr="00A1764C">
        <w:t xml:space="preserve"> revised UTAUT for EMR system adoption and use by doctors. </w:t>
      </w:r>
      <w:r w:rsidR="005B2E94" w:rsidRPr="00C0447D">
        <w:rPr>
          <w:i/>
        </w:rPr>
        <w:t>2011 44th Hawaii International Conference on System Sciences</w:t>
      </w:r>
      <w:r w:rsidRPr="00A1764C">
        <w:t>.</w:t>
      </w:r>
      <w:r w:rsidR="005B2E94">
        <w:t xml:space="preserve"> Retrieved from </w:t>
      </w:r>
      <w:r w:rsidR="005B2E94" w:rsidRPr="005B2E94">
        <w:t>https://ieeexplore.ieee.org/abstract/document/5718549</w:t>
      </w:r>
    </w:p>
    <w:p w14:paraId="7D516D7D" w14:textId="4DFD9F55" w:rsidR="00D6038F" w:rsidRPr="00A1764C" w:rsidRDefault="00D6038F" w:rsidP="001200E8">
      <w:pPr>
        <w:pStyle w:val="APAReferences"/>
        <w:spacing w:line="480" w:lineRule="auto"/>
      </w:pPr>
      <w:r w:rsidRPr="00A1764C">
        <w:t>Venkatesh, V., Thong, J.,</w:t>
      </w:r>
      <w:r w:rsidR="005E7A62">
        <w:t xml:space="preserve"> &amp; </w:t>
      </w:r>
      <w:r>
        <w:t>Xu, X. (</w:t>
      </w:r>
      <w:r w:rsidRPr="00A1764C">
        <w:t>2012</w:t>
      </w:r>
      <w:r>
        <w:t>)</w:t>
      </w:r>
      <w:r w:rsidRPr="00A1764C">
        <w:t xml:space="preserve">. Consumer </w:t>
      </w:r>
      <w:r w:rsidR="005B2E94" w:rsidRPr="00A1764C">
        <w:t>acceptance and use of information technolo</w:t>
      </w:r>
      <w:r w:rsidRPr="00A1764C">
        <w:t xml:space="preserve">gy: Extending the </w:t>
      </w:r>
      <w:r w:rsidR="005B2E94" w:rsidRPr="00A1764C">
        <w:t>unified theory of acceptance and use of technology</w:t>
      </w:r>
      <w:r w:rsidRPr="00A1764C">
        <w:t xml:space="preserve">. </w:t>
      </w:r>
      <w:r w:rsidRPr="00A1764C">
        <w:rPr>
          <w:i/>
        </w:rPr>
        <w:t>MIS Quarterly</w:t>
      </w:r>
      <w:r w:rsidRPr="00A1764C">
        <w:t xml:space="preserve">, </w:t>
      </w:r>
      <w:r w:rsidRPr="00FB5FF8">
        <w:rPr>
          <w:i/>
        </w:rPr>
        <w:t>36</w:t>
      </w:r>
      <w:r w:rsidRPr="00C0447D">
        <w:t>(1),</w:t>
      </w:r>
      <w:r w:rsidRPr="00A1764C">
        <w:t xml:space="preserve"> 157-178.</w:t>
      </w:r>
    </w:p>
    <w:p w14:paraId="7D516D7E" w14:textId="77777777" w:rsidR="00841C9A" w:rsidRPr="00FC6087" w:rsidRDefault="00841C9A" w:rsidP="001200E8">
      <w:pPr>
        <w:pStyle w:val="APAReferences"/>
        <w:spacing w:line="480" w:lineRule="auto"/>
      </w:pPr>
      <w:r w:rsidRPr="00FC6087">
        <w:t xml:space="preserve">Vogel, D. (2016). Adults use of ICT in healthcare: The persuasive impact of children. </w:t>
      </w:r>
      <w:r w:rsidRPr="00FC6087">
        <w:rPr>
          <w:i/>
          <w:iCs/>
        </w:rPr>
        <w:t>Procedia Computer Science, 98</w:t>
      </w:r>
      <w:r w:rsidRPr="00FC6087">
        <w:t>, 236-242.</w:t>
      </w:r>
    </w:p>
    <w:p w14:paraId="7D516D7F" w14:textId="5CDC89DF" w:rsidR="00CC016E" w:rsidRDefault="00D6038F" w:rsidP="001200E8">
      <w:pPr>
        <w:pStyle w:val="APAReferences"/>
        <w:spacing w:line="480" w:lineRule="auto"/>
      </w:pPr>
      <w:r w:rsidRPr="00A1764C">
        <w:t>Walter, Z.,</w:t>
      </w:r>
      <w:r w:rsidR="005E7A62">
        <w:t xml:space="preserve"> &amp; </w:t>
      </w:r>
      <w:r w:rsidRPr="00A1764C">
        <w:t>Lopez, M. (2008)</w:t>
      </w:r>
      <w:r>
        <w:t>.</w:t>
      </w:r>
      <w:r w:rsidRPr="00A1764C">
        <w:t xml:space="preserve"> Physician acceptance of information technologies: Role of perceived threat to professional autonomy.</w:t>
      </w:r>
      <w:r>
        <w:t xml:space="preserve"> </w:t>
      </w:r>
      <w:r w:rsidRPr="00A1764C">
        <w:rPr>
          <w:i/>
        </w:rPr>
        <w:t>Decis</w:t>
      </w:r>
      <w:r w:rsidR="000767AC">
        <w:rPr>
          <w:i/>
        </w:rPr>
        <w:t xml:space="preserve">ion </w:t>
      </w:r>
      <w:r w:rsidRPr="00A1764C">
        <w:rPr>
          <w:i/>
        </w:rPr>
        <w:t>Supp</w:t>
      </w:r>
      <w:r w:rsidR="000767AC">
        <w:rPr>
          <w:i/>
        </w:rPr>
        <w:t>ort</w:t>
      </w:r>
      <w:r w:rsidRPr="00A1764C">
        <w:rPr>
          <w:i/>
        </w:rPr>
        <w:t xml:space="preserve"> Syst</w:t>
      </w:r>
      <w:r w:rsidR="000767AC">
        <w:rPr>
          <w:i/>
        </w:rPr>
        <w:t>ems</w:t>
      </w:r>
      <w:r w:rsidRPr="00A1764C">
        <w:rPr>
          <w:i/>
        </w:rPr>
        <w:t>, 46</w:t>
      </w:r>
      <w:r w:rsidRPr="00A1764C">
        <w:t>(1), 206</w:t>
      </w:r>
      <w:r w:rsidR="005B2E94">
        <w:t>-</w:t>
      </w:r>
      <w:r w:rsidRPr="00A1764C">
        <w:t>215. </w:t>
      </w:r>
    </w:p>
    <w:p w14:paraId="7D516D80" w14:textId="144BA6BA" w:rsidR="00CC016E" w:rsidRDefault="00D6038F" w:rsidP="001200E8">
      <w:pPr>
        <w:pStyle w:val="APAReferences"/>
        <w:spacing w:line="480" w:lineRule="auto"/>
      </w:pPr>
      <w:r w:rsidRPr="00A1764C">
        <w:t xml:space="preserve">Wang, D. </w:t>
      </w:r>
      <w:r>
        <w:t>(</w:t>
      </w:r>
      <w:r w:rsidRPr="00A1764C">
        <w:t>2014</w:t>
      </w:r>
      <w:r>
        <w:t>)</w:t>
      </w:r>
      <w:r w:rsidRPr="00A1764C">
        <w:t xml:space="preserve">. </w:t>
      </w:r>
      <w:r w:rsidRPr="00C0447D">
        <w:rPr>
          <w:i/>
        </w:rPr>
        <w:t xml:space="preserve">Health </w:t>
      </w:r>
      <w:r w:rsidR="00344FDD" w:rsidRPr="00C0447D">
        <w:rPr>
          <w:i/>
        </w:rPr>
        <w:t>c</w:t>
      </w:r>
      <w:r w:rsidRPr="00C0447D">
        <w:rPr>
          <w:i/>
        </w:rPr>
        <w:t xml:space="preserve">are </w:t>
      </w:r>
      <w:r w:rsidR="00344FDD" w:rsidRPr="00C0447D">
        <w:rPr>
          <w:i/>
        </w:rPr>
        <w:t>s</w:t>
      </w:r>
      <w:r w:rsidRPr="00C0447D">
        <w:rPr>
          <w:i/>
        </w:rPr>
        <w:t xml:space="preserve">ector </w:t>
      </w:r>
      <w:r w:rsidR="00344FDD" w:rsidRPr="00C0447D">
        <w:rPr>
          <w:i/>
        </w:rPr>
        <w:t>r</w:t>
      </w:r>
      <w:r w:rsidRPr="00C0447D">
        <w:rPr>
          <w:i/>
        </w:rPr>
        <w:t>eport 2014</w:t>
      </w:r>
      <w:r w:rsidRPr="00A1764C">
        <w:t xml:space="preserve">. </w:t>
      </w:r>
      <w:r w:rsidR="00796296">
        <w:t xml:space="preserve">London: </w:t>
      </w:r>
      <w:r w:rsidRPr="00A1764C">
        <w:t xml:space="preserve">Morningstar. </w:t>
      </w:r>
    </w:p>
    <w:p w14:paraId="7D516D81" w14:textId="246B7A2F" w:rsidR="00D6038F" w:rsidRPr="00A1764C" w:rsidRDefault="00D6038F" w:rsidP="001200E8">
      <w:pPr>
        <w:pStyle w:val="APAReferences"/>
        <w:spacing w:line="480" w:lineRule="auto"/>
      </w:pPr>
      <w:r w:rsidRPr="00A1764C">
        <w:t>Wang, X. (2013)</w:t>
      </w:r>
      <w:r>
        <w:t>.</w:t>
      </w:r>
      <w:r w:rsidRPr="00A1764C">
        <w:t xml:space="preserve"> Innovative </w:t>
      </w:r>
      <w:r w:rsidR="00AD0C11" w:rsidRPr="00A1764C">
        <w:t xml:space="preserve">technology adoption in </w:t>
      </w:r>
      <w:r w:rsidRPr="00A1764C">
        <w:t xml:space="preserve">the Norwegian </w:t>
      </w:r>
      <w:r w:rsidR="00AD0C11">
        <w:t>h</w:t>
      </w:r>
      <w:r w:rsidRPr="00A1764C">
        <w:t xml:space="preserve">ealthcare </w:t>
      </w:r>
      <w:r w:rsidR="00AD0C11">
        <w:t>s</w:t>
      </w:r>
      <w:r w:rsidRPr="00A1764C">
        <w:t xml:space="preserve">ystem: A </w:t>
      </w:r>
      <w:r w:rsidR="00AD0C11" w:rsidRPr="00A1764C">
        <w:t>case study from th</w:t>
      </w:r>
      <w:r w:rsidR="00AD0C11">
        <w:t>e personalized cancer medicine</w:t>
      </w:r>
      <w:r>
        <w:t xml:space="preserve">. Retrieved from </w:t>
      </w:r>
      <w:r w:rsidRPr="00A1764C">
        <w:t>https://www.duo.uio.no/bitstream/handle/10852/36190/Wang.pdf?sequence=3</w:t>
      </w:r>
    </w:p>
    <w:p w14:paraId="7D516D82" w14:textId="5642DF87" w:rsidR="00841C9A" w:rsidRPr="00FC6087" w:rsidRDefault="00841C9A" w:rsidP="001200E8">
      <w:pPr>
        <w:pStyle w:val="APAReferences"/>
        <w:spacing w:line="480" w:lineRule="auto"/>
      </w:pPr>
      <w:r w:rsidRPr="00FC6087">
        <w:t>Wang, Y., Kung, L.A.,</w:t>
      </w:r>
      <w:r w:rsidR="005E7A62">
        <w:t xml:space="preserve"> &amp; </w:t>
      </w:r>
      <w:r w:rsidRPr="00FC6087">
        <w:t xml:space="preserve">Byrd, T.A. (2018). Big data analytics: Understanding its capabilities and potential benefits for healthcare organizations. </w:t>
      </w:r>
      <w:r w:rsidRPr="00FC6087">
        <w:rPr>
          <w:i/>
          <w:iCs/>
        </w:rPr>
        <w:t>Technological Forecasting and Social Change, 126</w:t>
      </w:r>
      <w:r w:rsidRPr="00FC6087">
        <w:t>, 3-13.</w:t>
      </w:r>
    </w:p>
    <w:p w14:paraId="7D516D83" w14:textId="5C617D56" w:rsidR="00D6038F" w:rsidRPr="00A1764C" w:rsidRDefault="00D6038F" w:rsidP="001200E8">
      <w:pPr>
        <w:pStyle w:val="APAReferences"/>
        <w:spacing w:line="480" w:lineRule="auto"/>
      </w:pPr>
      <w:r w:rsidRPr="00A1764C">
        <w:t>Wills, M</w:t>
      </w:r>
      <w:r>
        <w:t>., El-Gayar, O.,</w:t>
      </w:r>
      <w:r w:rsidR="005E7A62">
        <w:t xml:space="preserve"> &amp; </w:t>
      </w:r>
      <w:r>
        <w:t>Bennett, D. (</w:t>
      </w:r>
      <w:r w:rsidRPr="00A1764C">
        <w:t>2008</w:t>
      </w:r>
      <w:r>
        <w:t>)</w:t>
      </w:r>
      <w:r w:rsidRPr="00A1764C">
        <w:t xml:space="preserve">. Examining healthcare professionals’ acceptance of electronic medical records using UTAUT. </w:t>
      </w:r>
      <w:r w:rsidRPr="00A1764C">
        <w:rPr>
          <w:i/>
        </w:rPr>
        <w:t>Issues Information Systems,</w:t>
      </w:r>
      <w:r w:rsidRPr="00A1764C">
        <w:t xml:space="preserve"> </w:t>
      </w:r>
      <w:r w:rsidRPr="00FB5FF8">
        <w:rPr>
          <w:i/>
        </w:rPr>
        <w:t>9,</w:t>
      </w:r>
      <w:r w:rsidRPr="00A1764C">
        <w:t xml:space="preserve"> 396–401.</w:t>
      </w:r>
    </w:p>
    <w:p w14:paraId="7D516D84" w14:textId="6997F719" w:rsidR="00841C9A" w:rsidRPr="00FC6087" w:rsidDel="00FB4BA3" w:rsidRDefault="00841C9A" w:rsidP="001200E8">
      <w:pPr>
        <w:pStyle w:val="APAReferences"/>
        <w:spacing w:line="480" w:lineRule="auto"/>
      </w:pPr>
      <w:r w:rsidRPr="00FC6087">
        <w:t>Wolf, E. J., Harrington, K. M., Clark, S. L.,</w:t>
      </w:r>
      <w:r w:rsidR="005E7A62">
        <w:t xml:space="preserve"> &amp; </w:t>
      </w:r>
      <w:r w:rsidRPr="00FC6087">
        <w:t xml:space="preserve">Miller, M. W. (2013). Sample size requirements for structural equation models an evaluation of power, bias, and solution propriety. </w:t>
      </w:r>
      <w:r w:rsidRPr="00790070">
        <w:rPr>
          <w:i/>
        </w:rPr>
        <w:t>Educational and Psychological Measurement, 73</w:t>
      </w:r>
      <w:r w:rsidRPr="00FC6087">
        <w:t>(6), 913-934.</w:t>
      </w:r>
    </w:p>
    <w:p w14:paraId="7D516D85" w14:textId="037F26D2" w:rsidR="00841C9A" w:rsidRPr="00FC6087" w:rsidRDefault="00841C9A" w:rsidP="001200E8">
      <w:pPr>
        <w:pStyle w:val="APAReferences"/>
        <w:spacing w:line="480" w:lineRule="auto"/>
      </w:pPr>
      <w:r w:rsidRPr="00FC6087">
        <w:t>Wolper, L.</w:t>
      </w:r>
      <w:r w:rsidR="008652AD">
        <w:t xml:space="preserve"> </w:t>
      </w:r>
      <w:r w:rsidRPr="00FC6087">
        <w:t xml:space="preserve">F. (2013). </w:t>
      </w:r>
      <w:r w:rsidRPr="00FC6087">
        <w:rPr>
          <w:i/>
          <w:iCs/>
        </w:rPr>
        <w:t xml:space="preserve">Physician </w:t>
      </w:r>
      <w:r w:rsidR="003337FF" w:rsidRPr="00FC6087">
        <w:rPr>
          <w:i/>
          <w:iCs/>
        </w:rPr>
        <w:t>p</w:t>
      </w:r>
      <w:r w:rsidRPr="00FC6087">
        <w:rPr>
          <w:i/>
          <w:iCs/>
        </w:rPr>
        <w:t xml:space="preserve">ractice </w:t>
      </w:r>
      <w:r w:rsidR="003337FF" w:rsidRPr="00FC6087">
        <w:rPr>
          <w:i/>
          <w:iCs/>
        </w:rPr>
        <w:t>m</w:t>
      </w:r>
      <w:r w:rsidRPr="00FC6087">
        <w:rPr>
          <w:i/>
          <w:iCs/>
        </w:rPr>
        <w:t>anagement</w:t>
      </w:r>
      <w:r w:rsidRPr="00FC6087">
        <w:t xml:space="preserve"> (2nd ed.). Burlington, MA: Jones and Bartlett Learning.</w:t>
      </w:r>
    </w:p>
    <w:p w14:paraId="7D516D86" w14:textId="3A0C0822" w:rsidR="00841C9A" w:rsidRPr="00FC6087" w:rsidRDefault="00841C9A" w:rsidP="001200E8">
      <w:pPr>
        <w:pStyle w:val="APAReferences"/>
        <w:spacing w:line="480" w:lineRule="auto"/>
      </w:pPr>
      <w:r w:rsidRPr="00FC6087">
        <w:t>Worthington, R. L.,</w:t>
      </w:r>
      <w:r w:rsidR="005E7A62">
        <w:t xml:space="preserve"> &amp; </w:t>
      </w:r>
      <w:r w:rsidRPr="00FC6087">
        <w:t xml:space="preserve">Whittaker, T. A. (2006). Scale development research: A content analysis and recommendations for best practices. </w:t>
      </w:r>
      <w:r w:rsidRPr="00FC6087">
        <w:rPr>
          <w:i/>
          <w:iCs/>
        </w:rPr>
        <w:t>The Counseling Psychologist</w:t>
      </w:r>
      <w:r w:rsidRPr="00FC6087">
        <w:t xml:space="preserve">, </w:t>
      </w:r>
      <w:r w:rsidRPr="00FC6087">
        <w:rPr>
          <w:i/>
          <w:iCs/>
        </w:rPr>
        <w:t>34</w:t>
      </w:r>
      <w:r w:rsidRPr="00FC6087">
        <w:t>, 806-838.</w:t>
      </w:r>
    </w:p>
    <w:p w14:paraId="7D516D87" w14:textId="5A2F5C1F" w:rsidR="00D6038F" w:rsidRPr="00A1764C" w:rsidRDefault="00D6038F" w:rsidP="001200E8">
      <w:pPr>
        <w:pStyle w:val="APAReferences"/>
        <w:spacing w:line="480" w:lineRule="auto"/>
      </w:pPr>
      <w:r w:rsidRPr="00A1764C">
        <w:t>Wu, J., Wang, S.,</w:t>
      </w:r>
      <w:r w:rsidR="005E7A62">
        <w:t xml:space="preserve"> &amp; </w:t>
      </w:r>
      <w:r w:rsidRPr="00A1764C">
        <w:t>Lin, L. (2007)</w:t>
      </w:r>
      <w:r>
        <w:t>.</w:t>
      </w:r>
      <w:r w:rsidRPr="00A1764C">
        <w:t xml:space="preserve"> Mobile computing acceptance factors in the healthcare industry: A structural equation model. </w:t>
      </w:r>
      <w:r w:rsidRPr="00FB5FF8">
        <w:rPr>
          <w:i/>
        </w:rPr>
        <w:t>International Journal of Medical Informatics, 76</w:t>
      </w:r>
      <w:r w:rsidRPr="00A1764C">
        <w:t>, 66–77.</w:t>
      </w:r>
    </w:p>
    <w:p w14:paraId="7D516D88" w14:textId="12073850" w:rsidR="00841C9A" w:rsidRPr="00FC6087" w:rsidRDefault="00841C9A" w:rsidP="001200E8">
      <w:pPr>
        <w:pStyle w:val="APAReferences"/>
        <w:spacing w:line="480" w:lineRule="auto"/>
      </w:pPr>
      <w:r w:rsidRPr="00FC6087">
        <w:t>Xu, X.,</w:t>
      </w:r>
      <w:r w:rsidR="005E7A62">
        <w:t xml:space="preserve"> &amp; </w:t>
      </w:r>
      <w:r w:rsidRPr="00FC6087">
        <w:t xml:space="preserve">Gursoy, D. (2015). Inﬂuence of sustainable hospitality supply chain management on customers’ attitudes and behaviors. </w:t>
      </w:r>
      <w:r w:rsidRPr="00FC6087">
        <w:rPr>
          <w:i/>
          <w:iCs/>
        </w:rPr>
        <w:t>International Journal of Hospitality Management, 49</w:t>
      </w:r>
      <w:r w:rsidRPr="00FC6087">
        <w:t>, 105-116.</w:t>
      </w:r>
    </w:p>
    <w:p w14:paraId="7D516D89" w14:textId="31AD4DC3" w:rsidR="00841C9A" w:rsidRPr="00FC6087" w:rsidRDefault="00841C9A" w:rsidP="001200E8">
      <w:pPr>
        <w:pStyle w:val="APAReferences"/>
        <w:spacing w:line="480" w:lineRule="auto"/>
      </w:pPr>
      <w:r w:rsidRPr="00FC6087">
        <w:t>Yan, H., Gardner, R.,</w:t>
      </w:r>
      <w:r w:rsidR="005E7A62">
        <w:t xml:space="preserve"> &amp; </w:t>
      </w:r>
      <w:r w:rsidRPr="00FC6087">
        <w:t xml:space="preserve">Baier, R. (2012) Beyond the focus group: understanding physicians’ barriers to electronic medical records. </w:t>
      </w:r>
      <w:r w:rsidRPr="00FC6087">
        <w:rPr>
          <w:i/>
        </w:rPr>
        <w:t>Joint Commission Journal on Quality and Patient Safety, 38</w:t>
      </w:r>
      <w:r w:rsidRPr="00FC6087">
        <w:t>, 184-191.</w:t>
      </w:r>
    </w:p>
    <w:p w14:paraId="7D516D8A" w14:textId="7BD2BB07" w:rsidR="00841C9A" w:rsidRPr="00FC6087" w:rsidRDefault="00841C9A" w:rsidP="001200E8">
      <w:pPr>
        <w:pStyle w:val="APAReferences"/>
        <w:spacing w:line="480" w:lineRule="auto"/>
      </w:pPr>
      <w:r w:rsidRPr="00FC6087">
        <w:t>Yau, G., Williams, A.,</w:t>
      </w:r>
      <w:r w:rsidR="005E7A62">
        <w:t xml:space="preserve"> &amp; </w:t>
      </w:r>
      <w:r w:rsidRPr="00FC6087">
        <w:t>Brown, J. (2011). Family physicians</w:t>
      </w:r>
      <w:r w:rsidR="003337FF" w:rsidRPr="00FC6087">
        <w:t>’</w:t>
      </w:r>
      <w:r w:rsidRPr="00FC6087">
        <w:t xml:space="preserve"> perspectives on personal health records: qualitative study. </w:t>
      </w:r>
      <w:r w:rsidRPr="00FC6087">
        <w:rPr>
          <w:i/>
        </w:rPr>
        <w:t>Canadian Family Physician, 57</w:t>
      </w:r>
      <w:r w:rsidRPr="00FC6087">
        <w:t>, 78-84.</w:t>
      </w:r>
    </w:p>
    <w:p w14:paraId="7D516D8B" w14:textId="4855DEE4" w:rsidR="00D6038F" w:rsidRPr="00A1764C" w:rsidRDefault="00D6038F" w:rsidP="001200E8">
      <w:pPr>
        <w:pStyle w:val="APAReferences"/>
        <w:spacing w:line="480" w:lineRule="auto"/>
      </w:pPr>
      <w:r w:rsidRPr="00A1764C">
        <w:t>Yi, M., Jackson, J., Park, J.,</w:t>
      </w:r>
      <w:r w:rsidR="005E7A62">
        <w:t xml:space="preserve"> &amp; </w:t>
      </w:r>
      <w:r w:rsidRPr="00A1764C">
        <w:t>Probst, C. (2006)</w:t>
      </w:r>
      <w:r>
        <w:t>.</w:t>
      </w:r>
      <w:r w:rsidRPr="00A1764C">
        <w:t xml:space="preserve"> Understanding information technology acceptance by individual professionals: toward an integrative view. </w:t>
      </w:r>
      <w:r w:rsidRPr="00FB5FF8">
        <w:rPr>
          <w:i/>
        </w:rPr>
        <w:t>Information</w:t>
      </w:r>
      <w:r w:rsidR="005E7A62">
        <w:rPr>
          <w:i/>
        </w:rPr>
        <w:t xml:space="preserve"> &amp; </w:t>
      </w:r>
      <w:r w:rsidRPr="00FB5FF8">
        <w:rPr>
          <w:i/>
        </w:rPr>
        <w:t>Management, 43</w:t>
      </w:r>
      <w:r>
        <w:t xml:space="preserve">, </w:t>
      </w:r>
      <w:r w:rsidRPr="00A1764C">
        <w:t>350–63.</w:t>
      </w:r>
    </w:p>
    <w:p w14:paraId="7D516D8C" w14:textId="59C862A6" w:rsidR="00841C9A" w:rsidRPr="00FC6087" w:rsidRDefault="00841C9A" w:rsidP="001200E8">
      <w:pPr>
        <w:pStyle w:val="APAReferences"/>
        <w:spacing w:line="480" w:lineRule="auto"/>
      </w:pPr>
      <w:r w:rsidRPr="00FC6087">
        <w:t>Yu, P., Li, H.,</w:t>
      </w:r>
      <w:r w:rsidR="005E7A62">
        <w:t xml:space="preserve"> &amp; </w:t>
      </w:r>
      <w:r w:rsidRPr="00FC6087">
        <w:t xml:space="preserve">Gagnon, M. (2009). Health IT acceptance factors in long-term care facilities: A cross-sectional survey. </w:t>
      </w:r>
      <w:r w:rsidRPr="00FC6087">
        <w:rPr>
          <w:i/>
          <w:iCs/>
        </w:rPr>
        <w:t>International Journal of Medical Informatics, 78</w:t>
      </w:r>
      <w:r w:rsidRPr="00FC6087">
        <w:t>, 219-229.</w:t>
      </w:r>
    </w:p>
    <w:p w14:paraId="7D516D8D" w14:textId="35D0E9DE" w:rsidR="00841C9A" w:rsidRPr="00FC6087" w:rsidRDefault="00841C9A" w:rsidP="001200E8">
      <w:pPr>
        <w:pStyle w:val="APAReferences"/>
        <w:spacing w:line="480" w:lineRule="auto"/>
      </w:pPr>
      <w:r w:rsidRPr="00FC6087">
        <w:t>Yuthas, K.,</w:t>
      </w:r>
      <w:r w:rsidR="005E7A62">
        <w:t xml:space="preserve"> &amp; </w:t>
      </w:r>
      <w:r w:rsidRPr="00FC6087">
        <w:t xml:space="preserve">Dillard, J. (1999). Ethical development of advanced technology: A postmodern stakeholder perspective. </w:t>
      </w:r>
      <w:r w:rsidRPr="00FC6087">
        <w:rPr>
          <w:i/>
          <w:iCs/>
        </w:rPr>
        <w:t>Journal of Business Ethics, 19</w:t>
      </w:r>
      <w:r w:rsidRPr="00FC6087">
        <w:t>, 35-49.</w:t>
      </w:r>
    </w:p>
    <w:p w14:paraId="7D516D8E" w14:textId="5BF242CF" w:rsidR="00841C9A" w:rsidRPr="00FC6087" w:rsidRDefault="00841C9A" w:rsidP="001200E8">
      <w:pPr>
        <w:pStyle w:val="APAReferences"/>
        <w:spacing w:line="480" w:lineRule="auto"/>
      </w:pPr>
      <w:r w:rsidRPr="00FC6087">
        <w:t>Zadvinskis, I., Smith, G.,</w:t>
      </w:r>
      <w:r w:rsidR="005E7A62">
        <w:t xml:space="preserve"> &amp; </w:t>
      </w:r>
      <w:r w:rsidRPr="00FC6087">
        <w:t xml:space="preserve">Yen, P. (2018). Nurses’ experience with health information technology: Longitudinal qualitative study. </w:t>
      </w:r>
      <w:r w:rsidRPr="00FC6087">
        <w:rPr>
          <w:i/>
          <w:iCs/>
        </w:rPr>
        <w:t>Journal of Medical Internet Research: Medical Informatics, 6</w:t>
      </w:r>
      <w:r w:rsidRPr="00FC6087">
        <w:t>, e38.</w:t>
      </w:r>
    </w:p>
    <w:p w14:paraId="7D516D8F" w14:textId="7B3BABB5" w:rsidR="00841C9A" w:rsidRPr="00FC6087" w:rsidRDefault="00841C9A" w:rsidP="001200E8">
      <w:pPr>
        <w:pStyle w:val="APAReferences"/>
        <w:spacing w:line="480" w:lineRule="auto"/>
      </w:pPr>
      <w:r w:rsidRPr="00FC6087">
        <w:t>Zayyad, M.,</w:t>
      </w:r>
      <w:r w:rsidR="005E7A62">
        <w:t xml:space="preserve"> &amp; </w:t>
      </w:r>
      <w:r w:rsidRPr="00FC6087">
        <w:t xml:space="preserve">Toycan, M. (2018). Factors affecting sustainable adoption of e-health technology in developing countries: An exploratory survey of Nigerian hospitals from the perspective of healthcare professionals. </w:t>
      </w:r>
      <w:r w:rsidRPr="00FC6087">
        <w:rPr>
          <w:i/>
          <w:iCs/>
        </w:rPr>
        <w:t>PeerJ, 6</w:t>
      </w:r>
      <w:r w:rsidRPr="00FC6087">
        <w:t>, e4436.</w:t>
      </w:r>
    </w:p>
    <w:p w14:paraId="7D516D90" w14:textId="77777777" w:rsidR="00841C9A" w:rsidRPr="00FC6087" w:rsidRDefault="00841C9A" w:rsidP="001200E8">
      <w:pPr>
        <w:pStyle w:val="APAReferences"/>
        <w:spacing w:line="480" w:lineRule="auto"/>
      </w:pPr>
      <w:r w:rsidRPr="00FC6087">
        <w:t xml:space="preserve">Zineddine, M. (2011). Automated healthcare information privacy and security: UAE case. </w:t>
      </w:r>
      <w:r w:rsidR="002F6FA3" w:rsidRPr="00790070">
        <w:rPr>
          <w:i/>
        </w:rPr>
        <w:t>2011 International Conference for Internet Technology and Secured Transactions</w:t>
      </w:r>
      <w:r w:rsidR="002F6FA3" w:rsidRPr="00FC6087">
        <w:t xml:space="preserve">. </w:t>
      </w:r>
      <w:r w:rsidR="00D6038F" w:rsidRPr="00FC6087">
        <w:t xml:space="preserve">Retrieved from </w:t>
      </w:r>
      <w:hyperlink r:id="rId77" w:history="1">
        <w:r w:rsidR="00D6038F" w:rsidRPr="00854859">
          <w:rPr>
            <w:rStyle w:val="Hyperlink"/>
          </w:rPr>
          <w:t>https://ieeexplore.ieee.org/document/6148404</w:t>
        </w:r>
      </w:hyperlink>
      <w:r w:rsidR="00A01C74" w:rsidRPr="00FC6087">
        <w:t xml:space="preserve"> </w:t>
      </w:r>
    </w:p>
    <w:p w14:paraId="7D516D91" w14:textId="1AE463BE" w:rsidR="00D6038F" w:rsidRPr="00A1764C" w:rsidRDefault="00F771A1" w:rsidP="001200E8">
      <w:pPr>
        <w:pStyle w:val="APAReferences"/>
        <w:spacing w:line="480" w:lineRule="auto"/>
      </w:pPr>
      <w:hyperlink r:id="rId78" w:history="1">
        <w:r w:rsidR="00D6038F" w:rsidRPr="00A1764C">
          <w:t>Zinszer</w:t>
        </w:r>
      </w:hyperlink>
      <w:r w:rsidR="00D6038F" w:rsidRPr="00A1764C">
        <w:t>, K., Tamblyn, R., Bates, D.,</w:t>
      </w:r>
      <w:r w:rsidR="005E7A62">
        <w:t xml:space="preserve"> &amp; </w:t>
      </w:r>
      <w:r w:rsidR="00D6038F" w:rsidRPr="00A1764C">
        <w:t>Buckeridge, D. (2013)</w:t>
      </w:r>
      <w:r w:rsidR="00D6038F">
        <w:t>.</w:t>
      </w:r>
      <w:r w:rsidR="00D6038F" w:rsidRPr="00A1764C">
        <w:t xml:space="preserve"> A qualitative study of health information technology in the Canadian public health system. </w:t>
      </w:r>
      <w:r w:rsidR="00D6038F" w:rsidRPr="00A1764C">
        <w:rPr>
          <w:i/>
        </w:rPr>
        <w:t>BMC Public Health</w:t>
      </w:r>
      <w:r w:rsidR="00D6038F" w:rsidRPr="00A1764C">
        <w:t xml:space="preserve">, </w:t>
      </w:r>
      <w:r w:rsidR="00D6038F" w:rsidRPr="00A1764C">
        <w:rPr>
          <w:i/>
        </w:rPr>
        <w:t>1</w:t>
      </w:r>
      <w:r w:rsidR="00D6038F">
        <w:rPr>
          <w:i/>
        </w:rPr>
        <w:t xml:space="preserve">3, </w:t>
      </w:r>
      <w:r w:rsidR="00D6038F" w:rsidRPr="00A1764C">
        <w:t>1-7.</w:t>
      </w:r>
    </w:p>
    <w:p w14:paraId="7D516D92" w14:textId="77777777" w:rsidR="00D6038F" w:rsidRDefault="00D6038F" w:rsidP="001200E8">
      <w:pPr>
        <w:pStyle w:val="APAReferences"/>
        <w:spacing w:line="480" w:lineRule="auto"/>
      </w:pPr>
    </w:p>
    <w:p w14:paraId="7D516D93" w14:textId="77777777" w:rsidR="00D6038F" w:rsidRDefault="00D6038F" w:rsidP="001200E8">
      <w:pPr>
        <w:pStyle w:val="APAReferences"/>
        <w:spacing w:line="480" w:lineRule="auto"/>
      </w:pPr>
    </w:p>
    <w:p w14:paraId="7D516D94" w14:textId="77777777" w:rsidR="00CC3B7B" w:rsidRDefault="00CC3B7B" w:rsidP="001200E8">
      <w:pPr>
        <w:pStyle w:val="APAParagraph"/>
      </w:pPr>
    </w:p>
    <w:p w14:paraId="7D516D95" w14:textId="77777777" w:rsidR="00B53C19" w:rsidRPr="00FC6087" w:rsidRDefault="00B53C19" w:rsidP="001200E8">
      <w:pPr>
        <w:pStyle w:val="APAReferences"/>
        <w:spacing w:line="480" w:lineRule="auto"/>
        <w:rPr>
          <w:sz w:val="22"/>
          <w:szCs w:val="22"/>
        </w:rPr>
      </w:pPr>
    </w:p>
    <w:sectPr w:rsidR="00B53C19" w:rsidRPr="00FC6087" w:rsidSect="00AD597D">
      <w:headerReference w:type="default" r:id="rId79"/>
      <w:pgSz w:w="12240" w:h="15840" w:code="1"/>
      <w:pgMar w:top="1800" w:right="2160" w:bottom="1800" w:left="2160" w:header="720"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BA55E" w14:textId="77777777" w:rsidR="00F771A1" w:rsidRDefault="00F771A1" w:rsidP="0036194F">
      <w:r>
        <w:separator/>
      </w:r>
    </w:p>
    <w:p w14:paraId="4FA3F1EC" w14:textId="77777777" w:rsidR="00F771A1" w:rsidRDefault="00F771A1"/>
  </w:endnote>
  <w:endnote w:type="continuationSeparator" w:id="0">
    <w:p w14:paraId="028777D0" w14:textId="77777777" w:rsidR="00F771A1" w:rsidRDefault="00F771A1" w:rsidP="0036194F">
      <w:r>
        <w:continuationSeparator/>
      </w:r>
    </w:p>
    <w:p w14:paraId="220C165E" w14:textId="77777777" w:rsidR="00F771A1" w:rsidRDefault="00F77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69023848"/>
      <w:docPartObj>
        <w:docPartGallery w:val="Page Numbers (Bottom of Page)"/>
        <w:docPartUnique/>
      </w:docPartObj>
    </w:sdtPr>
    <w:sdtEndPr>
      <w:rPr>
        <w:rStyle w:val="PageNumber"/>
      </w:rPr>
    </w:sdtEndPr>
    <w:sdtContent>
      <w:p w14:paraId="48C56626" w14:textId="77777777" w:rsidR="0019132F" w:rsidRDefault="0019132F" w:rsidP="00AD58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7ECA34F" w14:textId="77777777" w:rsidR="0019132F" w:rsidRDefault="0019132F">
    <w:pPr>
      <w:pStyle w:val="Footer"/>
      <w:jc w:val="center"/>
    </w:pPr>
  </w:p>
  <w:p w14:paraId="2C41EFEF" w14:textId="77777777" w:rsidR="0019132F" w:rsidRDefault="001913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16DC5" w14:textId="77777777" w:rsidR="0019132F" w:rsidRDefault="0019132F" w:rsidP="00AD58D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516DC6" w14:textId="77777777" w:rsidR="0019132F" w:rsidRDefault="0019132F">
    <w:pPr>
      <w:pStyle w:val="Footer"/>
    </w:pPr>
  </w:p>
  <w:p w14:paraId="7D516DC7" w14:textId="77777777" w:rsidR="0019132F" w:rsidRDefault="0019132F"/>
  <w:p w14:paraId="7D516DC8" w14:textId="77777777" w:rsidR="0019132F" w:rsidRDefault="0019132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57490120"/>
      <w:docPartObj>
        <w:docPartGallery w:val="Page Numbers (Bottom of Page)"/>
        <w:docPartUnique/>
      </w:docPartObj>
    </w:sdtPr>
    <w:sdtEndPr>
      <w:rPr>
        <w:rStyle w:val="PageNumber"/>
      </w:rPr>
    </w:sdtEndPr>
    <w:sdtContent>
      <w:p w14:paraId="3BCFB6D8" w14:textId="5E6DAA2C" w:rsidR="0019132F" w:rsidRDefault="0019132F" w:rsidP="00AD58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C550E">
          <w:rPr>
            <w:rStyle w:val="PageNumber"/>
            <w:noProof/>
          </w:rPr>
          <w:t>164</w:t>
        </w:r>
        <w:r>
          <w:rPr>
            <w:rStyle w:val="PageNumber"/>
          </w:rPr>
          <w:fldChar w:fldCharType="end"/>
        </w:r>
      </w:p>
    </w:sdtContent>
  </w:sdt>
  <w:p w14:paraId="52002422" w14:textId="77777777" w:rsidR="0019132F" w:rsidRDefault="00191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272DF" w14:textId="77777777" w:rsidR="00F771A1" w:rsidRDefault="00F771A1" w:rsidP="0036194F">
      <w:r>
        <w:separator/>
      </w:r>
    </w:p>
    <w:p w14:paraId="7C6DBC7C" w14:textId="77777777" w:rsidR="00F771A1" w:rsidRDefault="00F771A1"/>
  </w:footnote>
  <w:footnote w:type="continuationSeparator" w:id="0">
    <w:p w14:paraId="1EC1F016" w14:textId="77777777" w:rsidR="00F771A1" w:rsidRDefault="00F771A1" w:rsidP="0036194F">
      <w:r>
        <w:continuationSeparator/>
      </w:r>
    </w:p>
    <w:p w14:paraId="11244487" w14:textId="77777777" w:rsidR="00F771A1" w:rsidRDefault="00F771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2AB66" w14:textId="77777777" w:rsidR="0019132F" w:rsidRDefault="001913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16DC9" w14:textId="2397C2AA" w:rsidR="0019132F" w:rsidRDefault="0019132F">
    <w:pPr>
      <w:pStyle w:val="Header"/>
      <w:jc w:val="right"/>
    </w:pPr>
    <w:r>
      <w:t xml:space="preserve">HIT Adoption in the UAE </w:t>
    </w:r>
    <w:r>
      <w:fldChar w:fldCharType="begin"/>
    </w:r>
    <w:r>
      <w:instrText xml:space="preserve"> PAGE   \* MERGEFORMAT </w:instrText>
    </w:r>
    <w:r>
      <w:fldChar w:fldCharType="separate"/>
    </w:r>
    <w:r w:rsidR="001C550E">
      <w:rPr>
        <w:noProof/>
      </w:rPr>
      <w:t>164</w:t>
    </w:r>
    <w:r>
      <w:rPr>
        <w:noProof/>
      </w:rPr>
      <w:fldChar w:fldCharType="end"/>
    </w:r>
  </w:p>
  <w:p w14:paraId="7D516DCA" w14:textId="77777777" w:rsidR="0019132F" w:rsidRDefault="001913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D15"/>
    <w:multiLevelType w:val="hybridMultilevel"/>
    <w:tmpl w:val="88825BC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63F3EF3"/>
    <w:multiLevelType w:val="hybridMultilevel"/>
    <w:tmpl w:val="A2B45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63B9C"/>
    <w:multiLevelType w:val="hybridMultilevel"/>
    <w:tmpl w:val="3780A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4199E"/>
    <w:multiLevelType w:val="hybridMultilevel"/>
    <w:tmpl w:val="2154E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34B53"/>
    <w:multiLevelType w:val="hybridMultilevel"/>
    <w:tmpl w:val="F8F8FE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60C0E22"/>
    <w:multiLevelType w:val="hybridMultilevel"/>
    <w:tmpl w:val="53F41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13091"/>
    <w:multiLevelType w:val="hybridMultilevel"/>
    <w:tmpl w:val="7038B2A0"/>
    <w:lvl w:ilvl="0" w:tplc="6BA89646">
      <w:start w:val="1"/>
      <w:numFmt w:val="lowerRoman"/>
      <w:lvlText w:val="(%1)"/>
      <w:lvlJc w:val="left"/>
      <w:pPr>
        <w:ind w:left="2475" w:hanging="103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9A458A5"/>
    <w:multiLevelType w:val="hybridMultilevel"/>
    <w:tmpl w:val="E7EAB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022FC"/>
    <w:multiLevelType w:val="hybridMultilevel"/>
    <w:tmpl w:val="B08EAD9C"/>
    <w:lvl w:ilvl="0" w:tplc="53A6767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1BD57190"/>
    <w:multiLevelType w:val="multilevel"/>
    <w:tmpl w:val="EBB88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C85EF3"/>
    <w:multiLevelType w:val="hybridMultilevel"/>
    <w:tmpl w:val="83B2DF1C"/>
    <w:lvl w:ilvl="0" w:tplc="04090001">
      <w:start w:val="1"/>
      <w:numFmt w:val="bullet"/>
      <w:lvlText w:val=""/>
      <w:lvlJc w:val="left"/>
      <w:pPr>
        <w:ind w:left="720" w:hanging="360"/>
      </w:pPr>
      <w:rPr>
        <w:rFonts w:ascii="Symbol" w:hAnsi="Symbol" w:hint="default"/>
      </w:rPr>
    </w:lvl>
    <w:lvl w:ilvl="1" w:tplc="BE4A96CE">
      <w:start w:val="5"/>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350AF3"/>
    <w:multiLevelType w:val="hybridMultilevel"/>
    <w:tmpl w:val="BC5ED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3355FD"/>
    <w:multiLevelType w:val="hybridMultilevel"/>
    <w:tmpl w:val="8D7C65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1406A"/>
    <w:multiLevelType w:val="hybridMultilevel"/>
    <w:tmpl w:val="E8B60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313DE"/>
    <w:multiLevelType w:val="hybridMultilevel"/>
    <w:tmpl w:val="CAFA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E38AD"/>
    <w:multiLevelType w:val="hybridMultilevel"/>
    <w:tmpl w:val="146E35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1760D"/>
    <w:multiLevelType w:val="hybridMultilevel"/>
    <w:tmpl w:val="2B4434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4B264D"/>
    <w:multiLevelType w:val="hybridMultilevel"/>
    <w:tmpl w:val="09C41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937834"/>
    <w:multiLevelType w:val="hybridMultilevel"/>
    <w:tmpl w:val="5A84C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0C092B"/>
    <w:multiLevelType w:val="hybridMultilevel"/>
    <w:tmpl w:val="E452C6DA"/>
    <w:lvl w:ilvl="0" w:tplc="08090001">
      <w:start w:val="1"/>
      <w:numFmt w:val="bullet"/>
      <w:lvlText w:val=""/>
      <w:lvlJc w:val="left"/>
      <w:pPr>
        <w:ind w:left="927" w:hanging="360"/>
      </w:pPr>
      <w:rPr>
        <w:rFonts w:ascii="Symbol" w:hAnsi="Symbol"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4B9B35FD"/>
    <w:multiLevelType w:val="hybridMultilevel"/>
    <w:tmpl w:val="B5FA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6A3D2F"/>
    <w:multiLevelType w:val="hybridMultilevel"/>
    <w:tmpl w:val="0966F4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F7C1F06"/>
    <w:multiLevelType w:val="multilevel"/>
    <w:tmpl w:val="D44294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66390E"/>
    <w:multiLevelType w:val="multilevel"/>
    <w:tmpl w:val="F5B0E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7166A2"/>
    <w:multiLevelType w:val="hybridMultilevel"/>
    <w:tmpl w:val="4DDC7D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5FA0486D"/>
    <w:multiLevelType w:val="hybridMultilevel"/>
    <w:tmpl w:val="7BB2C714"/>
    <w:lvl w:ilvl="0" w:tplc="FDCC2BE4">
      <w:start w:val="1"/>
      <w:numFmt w:val="bullet"/>
      <w:lvlText w:val=""/>
      <w:lvlJc w:val="left"/>
      <w:pPr>
        <w:tabs>
          <w:tab w:val="num" w:pos="720"/>
        </w:tabs>
        <w:ind w:left="720" w:hanging="360"/>
      </w:pPr>
      <w:rPr>
        <w:rFonts w:ascii="Wingdings 2" w:hAnsi="Wingdings 2" w:hint="default"/>
      </w:rPr>
    </w:lvl>
    <w:lvl w:ilvl="1" w:tplc="2FBE0D8C" w:tentative="1">
      <w:start w:val="1"/>
      <w:numFmt w:val="bullet"/>
      <w:lvlText w:val=""/>
      <w:lvlJc w:val="left"/>
      <w:pPr>
        <w:tabs>
          <w:tab w:val="num" w:pos="1440"/>
        </w:tabs>
        <w:ind w:left="1440" w:hanging="360"/>
      </w:pPr>
      <w:rPr>
        <w:rFonts w:ascii="Wingdings 2" w:hAnsi="Wingdings 2" w:hint="default"/>
      </w:rPr>
    </w:lvl>
    <w:lvl w:ilvl="2" w:tplc="EFB23082" w:tentative="1">
      <w:start w:val="1"/>
      <w:numFmt w:val="bullet"/>
      <w:lvlText w:val=""/>
      <w:lvlJc w:val="left"/>
      <w:pPr>
        <w:tabs>
          <w:tab w:val="num" w:pos="2160"/>
        </w:tabs>
        <w:ind w:left="2160" w:hanging="360"/>
      </w:pPr>
      <w:rPr>
        <w:rFonts w:ascii="Wingdings 2" w:hAnsi="Wingdings 2" w:hint="default"/>
      </w:rPr>
    </w:lvl>
    <w:lvl w:ilvl="3" w:tplc="6BD4FCA4" w:tentative="1">
      <w:start w:val="1"/>
      <w:numFmt w:val="bullet"/>
      <w:lvlText w:val=""/>
      <w:lvlJc w:val="left"/>
      <w:pPr>
        <w:tabs>
          <w:tab w:val="num" w:pos="2880"/>
        </w:tabs>
        <w:ind w:left="2880" w:hanging="360"/>
      </w:pPr>
      <w:rPr>
        <w:rFonts w:ascii="Wingdings 2" w:hAnsi="Wingdings 2" w:hint="default"/>
      </w:rPr>
    </w:lvl>
    <w:lvl w:ilvl="4" w:tplc="B52CFBBC" w:tentative="1">
      <w:start w:val="1"/>
      <w:numFmt w:val="bullet"/>
      <w:lvlText w:val=""/>
      <w:lvlJc w:val="left"/>
      <w:pPr>
        <w:tabs>
          <w:tab w:val="num" w:pos="3600"/>
        </w:tabs>
        <w:ind w:left="3600" w:hanging="360"/>
      </w:pPr>
      <w:rPr>
        <w:rFonts w:ascii="Wingdings 2" w:hAnsi="Wingdings 2" w:hint="default"/>
      </w:rPr>
    </w:lvl>
    <w:lvl w:ilvl="5" w:tplc="0A7A3178" w:tentative="1">
      <w:start w:val="1"/>
      <w:numFmt w:val="bullet"/>
      <w:lvlText w:val=""/>
      <w:lvlJc w:val="left"/>
      <w:pPr>
        <w:tabs>
          <w:tab w:val="num" w:pos="4320"/>
        </w:tabs>
        <w:ind w:left="4320" w:hanging="360"/>
      </w:pPr>
      <w:rPr>
        <w:rFonts w:ascii="Wingdings 2" w:hAnsi="Wingdings 2" w:hint="default"/>
      </w:rPr>
    </w:lvl>
    <w:lvl w:ilvl="6" w:tplc="554CCAB6" w:tentative="1">
      <w:start w:val="1"/>
      <w:numFmt w:val="bullet"/>
      <w:lvlText w:val=""/>
      <w:lvlJc w:val="left"/>
      <w:pPr>
        <w:tabs>
          <w:tab w:val="num" w:pos="5040"/>
        </w:tabs>
        <w:ind w:left="5040" w:hanging="360"/>
      </w:pPr>
      <w:rPr>
        <w:rFonts w:ascii="Wingdings 2" w:hAnsi="Wingdings 2" w:hint="default"/>
      </w:rPr>
    </w:lvl>
    <w:lvl w:ilvl="7" w:tplc="406CC8C0" w:tentative="1">
      <w:start w:val="1"/>
      <w:numFmt w:val="bullet"/>
      <w:lvlText w:val=""/>
      <w:lvlJc w:val="left"/>
      <w:pPr>
        <w:tabs>
          <w:tab w:val="num" w:pos="5760"/>
        </w:tabs>
        <w:ind w:left="5760" w:hanging="360"/>
      </w:pPr>
      <w:rPr>
        <w:rFonts w:ascii="Wingdings 2" w:hAnsi="Wingdings 2" w:hint="default"/>
      </w:rPr>
    </w:lvl>
    <w:lvl w:ilvl="8" w:tplc="EB326570"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607662BA"/>
    <w:multiLevelType w:val="hybridMultilevel"/>
    <w:tmpl w:val="81FA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BE7BC5"/>
    <w:multiLevelType w:val="hybridMultilevel"/>
    <w:tmpl w:val="079C3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3364D5"/>
    <w:multiLevelType w:val="hybridMultilevel"/>
    <w:tmpl w:val="14ECF08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7E251937"/>
    <w:multiLevelType w:val="hybridMultilevel"/>
    <w:tmpl w:val="03A29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22"/>
  </w:num>
  <w:num w:numId="4">
    <w:abstractNumId w:val="23"/>
  </w:num>
  <w:num w:numId="5">
    <w:abstractNumId w:val="4"/>
  </w:num>
  <w:num w:numId="6">
    <w:abstractNumId w:val="24"/>
  </w:num>
  <w:num w:numId="7">
    <w:abstractNumId w:val="5"/>
  </w:num>
  <w:num w:numId="8">
    <w:abstractNumId w:val="1"/>
  </w:num>
  <w:num w:numId="9">
    <w:abstractNumId w:val="7"/>
  </w:num>
  <w:num w:numId="10">
    <w:abstractNumId w:val="29"/>
  </w:num>
  <w:num w:numId="11">
    <w:abstractNumId w:val="11"/>
  </w:num>
  <w:num w:numId="12">
    <w:abstractNumId w:val="26"/>
  </w:num>
  <w:num w:numId="13">
    <w:abstractNumId w:val="15"/>
  </w:num>
  <w:num w:numId="14">
    <w:abstractNumId w:val="20"/>
  </w:num>
  <w:num w:numId="15">
    <w:abstractNumId w:val="14"/>
  </w:num>
  <w:num w:numId="16">
    <w:abstractNumId w:val="21"/>
  </w:num>
  <w:num w:numId="17">
    <w:abstractNumId w:val="10"/>
  </w:num>
  <w:num w:numId="18">
    <w:abstractNumId w:val="17"/>
  </w:num>
  <w:num w:numId="19">
    <w:abstractNumId w:val="18"/>
  </w:num>
  <w:num w:numId="20">
    <w:abstractNumId w:val="0"/>
  </w:num>
  <w:num w:numId="21">
    <w:abstractNumId w:val="12"/>
  </w:num>
  <w:num w:numId="22">
    <w:abstractNumId w:val="6"/>
  </w:num>
  <w:num w:numId="23">
    <w:abstractNumId w:val="13"/>
  </w:num>
  <w:num w:numId="24">
    <w:abstractNumId w:val="27"/>
  </w:num>
  <w:num w:numId="25">
    <w:abstractNumId w:val="2"/>
  </w:num>
  <w:num w:numId="26">
    <w:abstractNumId w:val="28"/>
  </w:num>
  <w:num w:numId="27">
    <w:abstractNumId w:val="8"/>
  </w:num>
  <w:num w:numId="28">
    <w:abstractNumId w:val="19"/>
  </w:num>
  <w:num w:numId="29">
    <w:abstractNumId w:val="3"/>
  </w:num>
  <w:num w:numId="30">
    <w:abstractNumId w:val="9"/>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es-PE"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PE"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51F"/>
    <w:rsid w:val="00000DF3"/>
    <w:rsid w:val="00004615"/>
    <w:rsid w:val="000067DE"/>
    <w:rsid w:val="00007206"/>
    <w:rsid w:val="00007FB3"/>
    <w:rsid w:val="000100D7"/>
    <w:rsid w:val="000127A9"/>
    <w:rsid w:val="00012E2F"/>
    <w:rsid w:val="00013A19"/>
    <w:rsid w:val="000149AB"/>
    <w:rsid w:val="00014A09"/>
    <w:rsid w:val="000163A9"/>
    <w:rsid w:val="00016A9A"/>
    <w:rsid w:val="00016C1B"/>
    <w:rsid w:val="00021588"/>
    <w:rsid w:val="00023CB1"/>
    <w:rsid w:val="0002598B"/>
    <w:rsid w:val="00026248"/>
    <w:rsid w:val="000270F9"/>
    <w:rsid w:val="0002755A"/>
    <w:rsid w:val="00027B5E"/>
    <w:rsid w:val="00027B94"/>
    <w:rsid w:val="0003125A"/>
    <w:rsid w:val="0003206E"/>
    <w:rsid w:val="00034AEC"/>
    <w:rsid w:val="00037CE9"/>
    <w:rsid w:val="000410B2"/>
    <w:rsid w:val="00041AFF"/>
    <w:rsid w:val="00043C66"/>
    <w:rsid w:val="00046189"/>
    <w:rsid w:val="000461A7"/>
    <w:rsid w:val="00046345"/>
    <w:rsid w:val="00047310"/>
    <w:rsid w:val="00047A71"/>
    <w:rsid w:val="00047F34"/>
    <w:rsid w:val="0005343C"/>
    <w:rsid w:val="000538F9"/>
    <w:rsid w:val="00053918"/>
    <w:rsid w:val="00054E3E"/>
    <w:rsid w:val="00054F0D"/>
    <w:rsid w:val="000553B6"/>
    <w:rsid w:val="00055615"/>
    <w:rsid w:val="00055A47"/>
    <w:rsid w:val="00055F40"/>
    <w:rsid w:val="0005677F"/>
    <w:rsid w:val="000636C0"/>
    <w:rsid w:val="00065082"/>
    <w:rsid w:val="000650DB"/>
    <w:rsid w:val="00071EDA"/>
    <w:rsid w:val="00073910"/>
    <w:rsid w:val="00074643"/>
    <w:rsid w:val="00076344"/>
    <w:rsid w:val="000767AC"/>
    <w:rsid w:val="00080AF5"/>
    <w:rsid w:val="00081D66"/>
    <w:rsid w:val="00082B69"/>
    <w:rsid w:val="00083E71"/>
    <w:rsid w:val="00084AF8"/>
    <w:rsid w:val="000861A6"/>
    <w:rsid w:val="00086E08"/>
    <w:rsid w:val="00091B39"/>
    <w:rsid w:val="00091CBD"/>
    <w:rsid w:val="00094395"/>
    <w:rsid w:val="00095080"/>
    <w:rsid w:val="00095ADC"/>
    <w:rsid w:val="000962D8"/>
    <w:rsid w:val="000A0316"/>
    <w:rsid w:val="000A3124"/>
    <w:rsid w:val="000A45F2"/>
    <w:rsid w:val="000A4D81"/>
    <w:rsid w:val="000A6181"/>
    <w:rsid w:val="000A69DB"/>
    <w:rsid w:val="000A75CA"/>
    <w:rsid w:val="000B0137"/>
    <w:rsid w:val="000B029D"/>
    <w:rsid w:val="000B26E7"/>
    <w:rsid w:val="000B3811"/>
    <w:rsid w:val="000B3A40"/>
    <w:rsid w:val="000B4A57"/>
    <w:rsid w:val="000B4D5C"/>
    <w:rsid w:val="000B58DB"/>
    <w:rsid w:val="000B615B"/>
    <w:rsid w:val="000C404A"/>
    <w:rsid w:val="000C5977"/>
    <w:rsid w:val="000C693C"/>
    <w:rsid w:val="000C759F"/>
    <w:rsid w:val="000D0464"/>
    <w:rsid w:val="000D1B73"/>
    <w:rsid w:val="000D2586"/>
    <w:rsid w:val="000D33DA"/>
    <w:rsid w:val="000D3566"/>
    <w:rsid w:val="000D593F"/>
    <w:rsid w:val="000D5B3D"/>
    <w:rsid w:val="000E380B"/>
    <w:rsid w:val="000E46A4"/>
    <w:rsid w:val="000E4D12"/>
    <w:rsid w:val="000E51E9"/>
    <w:rsid w:val="000E59FB"/>
    <w:rsid w:val="000E5D2F"/>
    <w:rsid w:val="000F006F"/>
    <w:rsid w:val="000F2615"/>
    <w:rsid w:val="000F4A20"/>
    <w:rsid w:val="000F5099"/>
    <w:rsid w:val="000F68AF"/>
    <w:rsid w:val="000F79D8"/>
    <w:rsid w:val="00101BD6"/>
    <w:rsid w:val="00106484"/>
    <w:rsid w:val="00107669"/>
    <w:rsid w:val="00107959"/>
    <w:rsid w:val="001079D6"/>
    <w:rsid w:val="00107CE6"/>
    <w:rsid w:val="0011054C"/>
    <w:rsid w:val="001107E2"/>
    <w:rsid w:val="0011369E"/>
    <w:rsid w:val="001141F2"/>
    <w:rsid w:val="00114FB4"/>
    <w:rsid w:val="00115CE2"/>
    <w:rsid w:val="001177D4"/>
    <w:rsid w:val="00117FEF"/>
    <w:rsid w:val="001200E8"/>
    <w:rsid w:val="001202B4"/>
    <w:rsid w:val="00121BCA"/>
    <w:rsid w:val="00122AE2"/>
    <w:rsid w:val="00123A7D"/>
    <w:rsid w:val="00123C5A"/>
    <w:rsid w:val="00124C6E"/>
    <w:rsid w:val="00124EA7"/>
    <w:rsid w:val="00124FFB"/>
    <w:rsid w:val="00131DC1"/>
    <w:rsid w:val="00131EEB"/>
    <w:rsid w:val="00132390"/>
    <w:rsid w:val="0013248B"/>
    <w:rsid w:val="00132CC9"/>
    <w:rsid w:val="001360A5"/>
    <w:rsid w:val="00137AE2"/>
    <w:rsid w:val="00141197"/>
    <w:rsid w:val="00142650"/>
    <w:rsid w:val="001429DE"/>
    <w:rsid w:val="00143188"/>
    <w:rsid w:val="00145A31"/>
    <w:rsid w:val="0014614E"/>
    <w:rsid w:val="00146551"/>
    <w:rsid w:val="00157FB4"/>
    <w:rsid w:val="001665E4"/>
    <w:rsid w:val="00166679"/>
    <w:rsid w:val="00170FC8"/>
    <w:rsid w:val="00172CCC"/>
    <w:rsid w:val="00172D47"/>
    <w:rsid w:val="00174113"/>
    <w:rsid w:val="001745F0"/>
    <w:rsid w:val="00177228"/>
    <w:rsid w:val="00181A9F"/>
    <w:rsid w:val="00185243"/>
    <w:rsid w:val="00186D0B"/>
    <w:rsid w:val="001870D4"/>
    <w:rsid w:val="001908F5"/>
    <w:rsid w:val="00190E04"/>
    <w:rsid w:val="001911ED"/>
    <w:rsid w:val="0019132F"/>
    <w:rsid w:val="00195D6D"/>
    <w:rsid w:val="0019736F"/>
    <w:rsid w:val="001A07E6"/>
    <w:rsid w:val="001A3C3E"/>
    <w:rsid w:val="001A42F5"/>
    <w:rsid w:val="001A4312"/>
    <w:rsid w:val="001A493F"/>
    <w:rsid w:val="001A6B40"/>
    <w:rsid w:val="001B25F7"/>
    <w:rsid w:val="001B3D51"/>
    <w:rsid w:val="001B5B2F"/>
    <w:rsid w:val="001B6659"/>
    <w:rsid w:val="001C0503"/>
    <w:rsid w:val="001C0881"/>
    <w:rsid w:val="001C31DB"/>
    <w:rsid w:val="001C3532"/>
    <w:rsid w:val="001C550E"/>
    <w:rsid w:val="001C6A6B"/>
    <w:rsid w:val="001C6ADB"/>
    <w:rsid w:val="001D33B0"/>
    <w:rsid w:val="001D5923"/>
    <w:rsid w:val="001D6252"/>
    <w:rsid w:val="001E01C7"/>
    <w:rsid w:val="001E24F0"/>
    <w:rsid w:val="001E5FB2"/>
    <w:rsid w:val="001F2E82"/>
    <w:rsid w:val="001F447C"/>
    <w:rsid w:val="001F5223"/>
    <w:rsid w:val="001F6D95"/>
    <w:rsid w:val="001F6E53"/>
    <w:rsid w:val="001F7155"/>
    <w:rsid w:val="002005C1"/>
    <w:rsid w:val="00201D0F"/>
    <w:rsid w:val="002047BC"/>
    <w:rsid w:val="002047C2"/>
    <w:rsid w:val="00206B8A"/>
    <w:rsid w:val="00206C1A"/>
    <w:rsid w:val="00206E2A"/>
    <w:rsid w:val="00207A71"/>
    <w:rsid w:val="00211067"/>
    <w:rsid w:val="00212A1F"/>
    <w:rsid w:val="002137CC"/>
    <w:rsid w:val="0022057A"/>
    <w:rsid w:val="00220A85"/>
    <w:rsid w:val="00220DC1"/>
    <w:rsid w:val="0022645B"/>
    <w:rsid w:val="00226D7F"/>
    <w:rsid w:val="0022760B"/>
    <w:rsid w:val="00227FAE"/>
    <w:rsid w:val="00230C6E"/>
    <w:rsid w:val="0023126B"/>
    <w:rsid w:val="00240C46"/>
    <w:rsid w:val="00241B8B"/>
    <w:rsid w:val="00242E4B"/>
    <w:rsid w:val="002440FC"/>
    <w:rsid w:val="00244BF2"/>
    <w:rsid w:val="00245A3A"/>
    <w:rsid w:val="002473BE"/>
    <w:rsid w:val="002503BB"/>
    <w:rsid w:val="00254728"/>
    <w:rsid w:val="00255C03"/>
    <w:rsid w:val="002564E2"/>
    <w:rsid w:val="00256AC0"/>
    <w:rsid w:val="00257456"/>
    <w:rsid w:val="00257C7B"/>
    <w:rsid w:val="00257E8C"/>
    <w:rsid w:val="002619BC"/>
    <w:rsid w:val="00262A9F"/>
    <w:rsid w:val="00263B51"/>
    <w:rsid w:val="00265283"/>
    <w:rsid w:val="00265DAB"/>
    <w:rsid w:val="00265DCF"/>
    <w:rsid w:val="002662E4"/>
    <w:rsid w:val="00266484"/>
    <w:rsid w:val="00270E2D"/>
    <w:rsid w:val="00273492"/>
    <w:rsid w:val="002756E1"/>
    <w:rsid w:val="00276570"/>
    <w:rsid w:val="00276AC7"/>
    <w:rsid w:val="002776AC"/>
    <w:rsid w:val="00277905"/>
    <w:rsid w:val="00277B54"/>
    <w:rsid w:val="0028000E"/>
    <w:rsid w:val="00282533"/>
    <w:rsid w:val="00282B20"/>
    <w:rsid w:val="00283B50"/>
    <w:rsid w:val="00284B62"/>
    <w:rsid w:val="00284F98"/>
    <w:rsid w:val="002858FB"/>
    <w:rsid w:val="0029287E"/>
    <w:rsid w:val="00292F15"/>
    <w:rsid w:val="002943B9"/>
    <w:rsid w:val="002A0324"/>
    <w:rsid w:val="002A1202"/>
    <w:rsid w:val="002A6EE3"/>
    <w:rsid w:val="002B090A"/>
    <w:rsid w:val="002B1859"/>
    <w:rsid w:val="002B1C72"/>
    <w:rsid w:val="002B4025"/>
    <w:rsid w:val="002B40CE"/>
    <w:rsid w:val="002B5175"/>
    <w:rsid w:val="002B5F20"/>
    <w:rsid w:val="002C07D1"/>
    <w:rsid w:val="002C14F8"/>
    <w:rsid w:val="002C5F90"/>
    <w:rsid w:val="002C5FDB"/>
    <w:rsid w:val="002C634A"/>
    <w:rsid w:val="002C75F3"/>
    <w:rsid w:val="002D2D40"/>
    <w:rsid w:val="002D4983"/>
    <w:rsid w:val="002D4A55"/>
    <w:rsid w:val="002D5838"/>
    <w:rsid w:val="002D7916"/>
    <w:rsid w:val="002D7986"/>
    <w:rsid w:val="002E02DB"/>
    <w:rsid w:val="002E133B"/>
    <w:rsid w:val="002E1995"/>
    <w:rsid w:val="002E31A1"/>
    <w:rsid w:val="002E369F"/>
    <w:rsid w:val="002E5128"/>
    <w:rsid w:val="002E5511"/>
    <w:rsid w:val="002F444D"/>
    <w:rsid w:val="002F55DC"/>
    <w:rsid w:val="002F5ACA"/>
    <w:rsid w:val="002F6FA3"/>
    <w:rsid w:val="00300BE4"/>
    <w:rsid w:val="00303721"/>
    <w:rsid w:val="00307F56"/>
    <w:rsid w:val="003117AD"/>
    <w:rsid w:val="00313676"/>
    <w:rsid w:val="00313E3B"/>
    <w:rsid w:val="00316610"/>
    <w:rsid w:val="00320131"/>
    <w:rsid w:val="00321DA0"/>
    <w:rsid w:val="00323376"/>
    <w:rsid w:val="003239B0"/>
    <w:rsid w:val="00324580"/>
    <w:rsid w:val="00331834"/>
    <w:rsid w:val="003320C1"/>
    <w:rsid w:val="003337FF"/>
    <w:rsid w:val="00333C3E"/>
    <w:rsid w:val="0033562E"/>
    <w:rsid w:val="003425B8"/>
    <w:rsid w:val="0034288B"/>
    <w:rsid w:val="00342F09"/>
    <w:rsid w:val="00342FCE"/>
    <w:rsid w:val="00343EE5"/>
    <w:rsid w:val="00344FDD"/>
    <w:rsid w:val="00347476"/>
    <w:rsid w:val="00351BE1"/>
    <w:rsid w:val="003520DB"/>
    <w:rsid w:val="003523B1"/>
    <w:rsid w:val="00353A73"/>
    <w:rsid w:val="00354520"/>
    <w:rsid w:val="0035609C"/>
    <w:rsid w:val="00357B75"/>
    <w:rsid w:val="003606E7"/>
    <w:rsid w:val="0036194F"/>
    <w:rsid w:val="00363079"/>
    <w:rsid w:val="003647D3"/>
    <w:rsid w:val="00367FD5"/>
    <w:rsid w:val="00370672"/>
    <w:rsid w:val="00371EA1"/>
    <w:rsid w:val="00372F3B"/>
    <w:rsid w:val="00375FE5"/>
    <w:rsid w:val="00376960"/>
    <w:rsid w:val="00377623"/>
    <w:rsid w:val="00382821"/>
    <w:rsid w:val="00382A8C"/>
    <w:rsid w:val="00384EB6"/>
    <w:rsid w:val="003866C0"/>
    <w:rsid w:val="003909DE"/>
    <w:rsid w:val="00393133"/>
    <w:rsid w:val="0039363E"/>
    <w:rsid w:val="00394352"/>
    <w:rsid w:val="0039449D"/>
    <w:rsid w:val="00396523"/>
    <w:rsid w:val="0039678A"/>
    <w:rsid w:val="003968DD"/>
    <w:rsid w:val="003A1065"/>
    <w:rsid w:val="003A1141"/>
    <w:rsid w:val="003A20A2"/>
    <w:rsid w:val="003A40EA"/>
    <w:rsid w:val="003A54B2"/>
    <w:rsid w:val="003A563A"/>
    <w:rsid w:val="003A6017"/>
    <w:rsid w:val="003A623E"/>
    <w:rsid w:val="003B4042"/>
    <w:rsid w:val="003B6E48"/>
    <w:rsid w:val="003C0D7D"/>
    <w:rsid w:val="003C2566"/>
    <w:rsid w:val="003D00D8"/>
    <w:rsid w:val="003D0435"/>
    <w:rsid w:val="003D1BD6"/>
    <w:rsid w:val="003D3A03"/>
    <w:rsid w:val="003D493C"/>
    <w:rsid w:val="003D5876"/>
    <w:rsid w:val="003E0CBE"/>
    <w:rsid w:val="003E1259"/>
    <w:rsid w:val="003E39E2"/>
    <w:rsid w:val="003E473F"/>
    <w:rsid w:val="003E5116"/>
    <w:rsid w:val="003E5DE4"/>
    <w:rsid w:val="003E60BD"/>
    <w:rsid w:val="003E6A9F"/>
    <w:rsid w:val="003E71A9"/>
    <w:rsid w:val="003F0A8A"/>
    <w:rsid w:val="003F22D8"/>
    <w:rsid w:val="003F2700"/>
    <w:rsid w:val="003F41E2"/>
    <w:rsid w:val="003F6DBD"/>
    <w:rsid w:val="003F7845"/>
    <w:rsid w:val="00400EE7"/>
    <w:rsid w:val="00400F80"/>
    <w:rsid w:val="004013B8"/>
    <w:rsid w:val="004013FA"/>
    <w:rsid w:val="00401D0F"/>
    <w:rsid w:val="00402E5A"/>
    <w:rsid w:val="00405490"/>
    <w:rsid w:val="0041172E"/>
    <w:rsid w:val="0041248D"/>
    <w:rsid w:val="004131F6"/>
    <w:rsid w:val="004142AF"/>
    <w:rsid w:val="00414971"/>
    <w:rsid w:val="00414DE9"/>
    <w:rsid w:val="00415BD1"/>
    <w:rsid w:val="00416703"/>
    <w:rsid w:val="004206D6"/>
    <w:rsid w:val="00420DFA"/>
    <w:rsid w:val="0042175F"/>
    <w:rsid w:val="00421E90"/>
    <w:rsid w:val="0042254A"/>
    <w:rsid w:val="00422819"/>
    <w:rsid w:val="00424D43"/>
    <w:rsid w:val="0042782F"/>
    <w:rsid w:val="004327F9"/>
    <w:rsid w:val="00432D70"/>
    <w:rsid w:val="004339C8"/>
    <w:rsid w:val="004377C8"/>
    <w:rsid w:val="00440BBC"/>
    <w:rsid w:val="004428E7"/>
    <w:rsid w:val="00444242"/>
    <w:rsid w:val="00445E76"/>
    <w:rsid w:val="00447678"/>
    <w:rsid w:val="00447786"/>
    <w:rsid w:val="004547F6"/>
    <w:rsid w:val="00454873"/>
    <w:rsid w:val="00456542"/>
    <w:rsid w:val="0045680A"/>
    <w:rsid w:val="0045680E"/>
    <w:rsid w:val="00460C4E"/>
    <w:rsid w:val="004611B3"/>
    <w:rsid w:val="00470516"/>
    <w:rsid w:val="00473018"/>
    <w:rsid w:val="004748C8"/>
    <w:rsid w:val="00475030"/>
    <w:rsid w:val="004774A7"/>
    <w:rsid w:val="00480D41"/>
    <w:rsid w:val="004849FC"/>
    <w:rsid w:val="00486CF1"/>
    <w:rsid w:val="00487A1D"/>
    <w:rsid w:val="00490C1B"/>
    <w:rsid w:val="00491257"/>
    <w:rsid w:val="00494406"/>
    <w:rsid w:val="004953F2"/>
    <w:rsid w:val="004A1BAA"/>
    <w:rsid w:val="004A3008"/>
    <w:rsid w:val="004A43F4"/>
    <w:rsid w:val="004A46D2"/>
    <w:rsid w:val="004B0FE8"/>
    <w:rsid w:val="004B1E5E"/>
    <w:rsid w:val="004B424C"/>
    <w:rsid w:val="004B55C9"/>
    <w:rsid w:val="004B6E49"/>
    <w:rsid w:val="004B78EF"/>
    <w:rsid w:val="004C03E7"/>
    <w:rsid w:val="004C0AA2"/>
    <w:rsid w:val="004C1C5E"/>
    <w:rsid w:val="004C4A06"/>
    <w:rsid w:val="004C597F"/>
    <w:rsid w:val="004D03D8"/>
    <w:rsid w:val="004D04FB"/>
    <w:rsid w:val="004D05B3"/>
    <w:rsid w:val="004D0F1D"/>
    <w:rsid w:val="004D2BAD"/>
    <w:rsid w:val="004D4011"/>
    <w:rsid w:val="004D4437"/>
    <w:rsid w:val="004D6F18"/>
    <w:rsid w:val="004E11AE"/>
    <w:rsid w:val="004E302C"/>
    <w:rsid w:val="004E34B0"/>
    <w:rsid w:val="004E3D41"/>
    <w:rsid w:val="004E5152"/>
    <w:rsid w:val="004E65BA"/>
    <w:rsid w:val="004E66A6"/>
    <w:rsid w:val="004E7A88"/>
    <w:rsid w:val="004F01B3"/>
    <w:rsid w:val="004F07B4"/>
    <w:rsid w:val="004F493C"/>
    <w:rsid w:val="004F5CFC"/>
    <w:rsid w:val="004F5D88"/>
    <w:rsid w:val="004F6197"/>
    <w:rsid w:val="004F6A4D"/>
    <w:rsid w:val="005007C3"/>
    <w:rsid w:val="00501A3D"/>
    <w:rsid w:val="005051DA"/>
    <w:rsid w:val="0050544E"/>
    <w:rsid w:val="0050598A"/>
    <w:rsid w:val="0050637F"/>
    <w:rsid w:val="00506EFB"/>
    <w:rsid w:val="005073BF"/>
    <w:rsid w:val="00512685"/>
    <w:rsid w:val="005126FF"/>
    <w:rsid w:val="00513834"/>
    <w:rsid w:val="00514304"/>
    <w:rsid w:val="00514F5B"/>
    <w:rsid w:val="00515732"/>
    <w:rsid w:val="00520A1B"/>
    <w:rsid w:val="00521A16"/>
    <w:rsid w:val="00521CF1"/>
    <w:rsid w:val="00522969"/>
    <w:rsid w:val="0053081F"/>
    <w:rsid w:val="00531552"/>
    <w:rsid w:val="00532052"/>
    <w:rsid w:val="00533369"/>
    <w:rsid w:val="00533C60"/>
    <w:rsid w:val="005366F0"/>
    <w:rsid w:val="00536AA6"/>
    <w:rsid w:val="00536D2C"/>
    <w:rsid w:val="0054073F"/>
    <w:rsid w:val="00541223"/>
    <w:rsid w:val="005420AC"/>
    <w:rsid w:val="005422DB"/>
    <w:rsid w:val="00543E52"/>
    <w:rsid w:val="00551162"/>
    <w:rsid w:val="00551522"/>
    <w:rsid w:val="0055328A"/>
    <w:rsid w:val="00554A15"/>
    <w:rsid w:val="00557703"/>
    <w:rsid w:val="0056021C"/>
    <w:rsid w:val="00562037"/>
    <w:rsid w:val="00566441"/>
    <w:rsid w:val="00571271"/>
    <w:rsid w:val="005722A2"/>
    <w:rsid w:val="00572470"/>
    <w:rsid w:val="00572AA6"/>
    <w:rsid w:val="00573DD1"/>
    <w:rsid w:val="0057492A"/>
    <w:rsid w:val="00574CEC"/>
    <w:rsid w:val="0057632D"/>
    <w:rsid w:val="00576B30"/>
    <w:rsid w:val="00577178"/>
    <w:rsid w:val="005774BB"/>
    <w:rsid w:val="0058045B"/>
    <w:rsid w:val="00583077"/>
    <w:rsid w:val="00587338"/>
    <w:rsid w:val="005922C2"/>
    <w:rsid w:val="00594428"/>
    <w:rsid w:val="005954E9"/>
    <w:rsid w:val="00595BF3"/>
    <w:rsid w:val="00596A77"/>
    <w:rsid w:val="005A025F"/>
    <w:rsid w:val="005A559A"/>
    <w:rsid w:val="005A59B7"/>
    <w:rsid w:val="005A638B"/>
    <w:rsid w:val="005B05E3"/>
    <w:rsid w:val="005B0F6D"/>
    <w:rsid w:val="005B2E94"/>
    <w:rsid w:val="005B38AB"/>
    <w:rsid w:val="005B4B25"/>
    <w:rsid w:val="005B6D0E"/>
    <w:rsid w:val="005C0733"/>
    <w:rsid w:val="005C0F49"/>
    <w:rsid w:val="005C3506"/>
    <w:rsid w:val="005C3D84"/>
    <w:rsid w:val="005C4788"/>
    <w:rsid w:val="005C4AD6"/>
    <w:rsid w:val="005C5565"/>
    <w:rsid w:val="005C5BB2"/>
    <w:rsid w:val="005C6191"/>
    <w:rsid w:val="005D0C41"/>
    <w:rsid w:val="005D1B65"/>
    <w:rsid w:val="005D4A78"/>
    <w:rsid w:val="005D4EC2"/>
    <w:rsid w:val="005E0199"/>
    <w:rsid w:val="005E09AB"/>
    <w:rsid w:val="005E1F7F"/>
    <w:rsid w:val="005E6C5A"/>
    <w:rsid w:val="005E7A62"/>
    <w:rsid w:val="005F02C6"/>
    <w:rsid w:val="005F17A3"/>
    <w:rsid w:val="005F4665"/>
    <w:rsid w:val="005F4867"/>
    <w:rsid w:val="005F4FCA"/>
    <w:rsid w:val="005F52DB"/>
    <w:rsid w:val="005F630F"/>
    <w:rsid w:val="005F685E"/>
    <w:rsid w:val="006006E4"/>
    <w:rsid w:val="00601EDB"/>
    <w:rsid w:val="0060499F"/>
    <w:rsid w:val="00606827"/>
    <w:rsid w:val="0061262E"/>
    <w:rsid w:val="00613537"/>
    <w:rsid w:val="006144C9"/>
    <w:rsid w:val="00614783"/>
    <w:rsid w:val="00614BD9"/>
    <w:rsid w:val="00615079"/>
    <w:rsid w:val="006203F7"/>
    <w:rsid w:val="00620515"/>
    <w:rsid w:val="00624183"/>
    <w:rsid w:val="0062419B"/>
    <w:rsid w:val="006264B2"/>
    <w:rsid w:val="00626CE7"/>
    <w:rsid w:val="00627962"/>
    <w:rsid w:val="0063123B"/>
    <w:rsid w:val="006313FE"/>
    <w:rsid w:val="00634B9A"/>
    <w:rsid w:val="00635C2A"/>
    <w:rsid w:val="0063660E"/>
    <w:rsid w:val="0063752D"/>
    <w:rsid w:val="00637C29"/>
    <w:rsid w:val="00637DCF"/>
    <w:rsid w:val="00637E25"/>
    <w:rsid w:val="00637ED3"/>
    <w:rsid w:val="00642F44"/>
    <w:rsid w:val="00643753"/>
    <w:rsid w:val="006438B9"/>
    <w:rsid w:val="00645770"/>
    <w:rsid w:val="00647C00"/>
    <w:rsid w:val="006529B3"/>
    <w:rsid w:val="006529E5"/>
    <w:rsid w:val="00654333"/>
    <w:rsid w:val="006547E2"/>
    <w:rsid w:val="00655078"/>
    <w:rsid w:val="00657A0C"/>
    <w:rsid w:val="00660059"/>
    <w:rsid w:val="006601DF"/>
    <w:rsid w:val="00661056"/>
    <w:rsid w:val="00661100"/>
    <w:rsid w:val="0066420F"/>
    <w:rsid w:val="00664CCB"/>
    <w:rsid w:val="00664D7F"/>
    <w:rsid w:val="00666221"/>
    <w:rsid w:val="0066652F"/>
    <w:rsid w:val="00670B37"/>
    <w:rsid w:val="0067527E"/>
    <w:rsid w:val="006753D1"/>
    <w:rsid w:val="00675EE0"/>
    <w:rsid w:val="00675F8C"/>
    <w:rsid w:val="00676336"/>
    <w:rsid w:val="00680E9A"/>
    <w:rsid w:val="00682A58"/>
    <w:rsid w:val="00685CEC"/>
    <w:rsid w:val="0068663B"/>
    <w:rsid w:val="00687ECA"/>
    <w:rsid w:val="006906F7"/>
    <w:rsid w:val="00691008"/>
    <w:rsid w:val="006929E3"/>
    <w:rsid w:val="00696CF7"/>
    <w:rsid w:val="00696F53"/>
    <w:rsid w:val="0069709D"/>
    <w:rsid w:val="00697E47"/>
    <w:rsid w:val="006A43A2"/>
    <w:rsid w:val="006A490F"/>
    <w:rsid w:val="006B0C90"/>
    <w:rsid w:val="006B1994"/>
    <w:rsid w:val="006B2498"/>
    <w:rsid w:val="006B2970"/>
    <w:rsid w:val="006B48A8"/>
    <w:rsid w:val="006B5B70"/>
    <w:rsid w:val="006B6F61"/>
    <w:rsid w:val="006B7A44"/>
    <w:rsid w:val="006B7A58"/>
    <w:rsid w:val="006C1D6B"/>
    <w:rsid w:val="006C4A04"/>
    <w:rsid w:val="006C7506"/>
    <w:rsid w:val="006D3BA5"/>
    <w:rsid w:val="006D5EF4"/>
    <w:rsid w:val="006D69FF"/>
    <w:rsid w:val="006D7C41"/>
    <w:rsid w:val="006E076A"/>
    <w:rsid w:val="006E0A6D"/>
    <w:rsid w:val="006E0F32"/>
    <w:rsid w:val="006E2767"/>
    <w:rsid w:val="006E3AAE"/>
    <w:rsid w:val="006E4D24"/>
    <w:rsid w:val="006E5594"/>
    <w:rsid w:val="006F39FA"/>
    <w:rsid w:val="006F41FC"/>
    <w:rsid w:val="006F47E1"/>
    <w:rsid w:val="006F4877"/>
    <w:rsid w:val="006F6618"/>
    <w:rsid w:val="007000DF"/>
    <w:rsid w:val="007012B6"/>
    <w:rsid w:val="00701842"/>
    <w:rsid w:val="0070195F"/>
    <w:rsid w:val="007032F9"/>
    <w:rsid w:val="00704204"/>
    <w:rsid w:val="00704B37"/>
    <w:rsid w:val="00706F6C"/>
    <w:rsid w:val="0070722F"/>
    <w:rsid w:val="0071069B"/>
    <w:rsid w:val="00710F6F"/>
    <w:rsid w:val="00714773"/>
    <w:rsid w:val="00716134"/>
    <w:rsid w:val="0072138D"/>
    <w:rsid w:val="007218D5"/>
    <w:rsid w:val="0072410D"/>
    <w:rsid w:val="00725C65"/>
    <w:rsid w:val="00726786"/>
    <w:rsid w:val="00726E50"/>
    <w:rsid w:val="00732464"/>
    <w:rsid w:val="00733027"/>
    <w:rsid w:val="00733A67"/>
    <w:rsid w:val="00734434"/>
    <w:rsid w:val="007344AE"/>
    <w:rsid w:val="00736AD7"/>
    <w:rsid w:val="0073797B"/>
    <w:rsid w:val="007429D0"/>
    <w:rsid w:val="00743141"/>
    <w:rsid w:val="00743C0D"/>
    <w:rsid w:val="00743DA1"/>
    <w:rsid w:val="00745C3E"/>
    <w:rsid w:val="007473FD"/>
    <w:rsid w:val="00751228"/>
    <w:rsid w:val="00755DAE"/>
    <w:rsid w:val="00755FFE"/>
    <w:rsid w:val="007563ED"/>
    <w:rsid w:val="00757048"/>
    <w:rsid w:val="00757B9D"/>
    <w:rsid w:val="0076065B"/>
    <w:rsid w:val="00761434"/>
    <w:rsid w:val="00761732"/>
    <w:rsid w:val="00761BC5"/>
    <w:rsid w:val="00761DD0"/>
    <w:rsid w:val="00765B4B"/>
    <w:rsid w:val="007666F4"/>
    <w:rsid w:val="0076789A"/>
    <w:rsid w:val="00767B9D"/>
    <w:rsid w:val="00770892"/>
    <w:rsid w:val="00771F94"/>
    <w:rsid w:val="00773BF5"/>
    <w:rsid w:val="00773E58"/>
    <w:rsid w:val="007750EA"/>
    <w:rsid w:val="007861F4"/>
    <w:rsid w:val="00786579"/>
    <w:rsid w:val="0078659F"/>
    <w:rsid w:val="00790070"/>
    <w:rsid w:val="00791144"/>
    <w:rsid w:val="00793117"/>
    <w:rsid w:val="00794086"/>
    <w:rsid w:val="007961B4"/>
    <w:rsid w:val="00796296"/>
    <w:rsid w:val="007966EC"/>
    <w:rsid w:val="0079674B"/>
    <w:rsid w:val="007A01A9"/>
    <w:rsid w:val="007A36CD"/>
    <w:rsid w:val="007A49A1"/>
    <w:rsid w:val="007A4BE0"/>
    <w:rsid w:val="007A569A"/>
    <w:rsid w:val="007A6E33"/>
    <w:rsid w:val="007A7312"/>
    <w:rsid w:val="007A77D9"/>
    <w:rsid w:val="007A78A2"/>
    <w:rsid w:val="007B0C18"/>
    <w:rsid w:val="007B21E6"/>
    <w:rsid w:val="007B45DF"/>
    <w:rsid w:val="007B6A23"/>
    <w:rsid w:val="007B7AFB"/>
    <w:rsid w:val="007C0CDA"/>
    <w:rsid w:val="007C41E9"/>
    <w:rsid w:val="007C527F"/>
    <w:rsid w:val="007C7E31"/>
    <w:rsid w:val="007D2774"/>
    <w:rsid w:val="007D7254"/>
    <w:rsid w:val="007E03A7"/>
    <w:rsid w:val="007E0B98"/>
    <w:rsid w:val="007E188D"/>
    <w:rsid w:val="007E1E82"/>
    <w:rsid w:val="007E3815"/>
    <w:rsid w:val="007E4A77"/>
    <w:rsid w:val="007E5804"/>
    <w:rsid w:val="007E6A6B"/>
    <w:rsid w:val="007F45D6"/>
    <w:rsid w:val="007F4D8A"/>
    <w:rsid w:val="007F5FB2"/>
    <w:rsid w:val="007F75BD"/>
    <w:rsid w:val="007F75CB"/>
    <w:rsid w:val="00800C10"/>
    <w:rsid w:val="00801F6A"/>
    <w:rsid w:val="00803218"/>
    <w:rsid w:val="00803924"/>
    <w:rsid w:val="008042BA"/>
    <w:rsid w:val="0080436A"/>
    <w:rsid w:val="00805E05"/>
    <w:rsid w:val="0081092A"/>
    <w:rsid w:val="00811AFE"/>
    <w:rsid w:val="00811ED1"/>
    <w:rsid w:val="00813A0A"/>
    <w:rsid w:val="0081596A"/>
    <w:rsid w:val="00815B86"/>
    <w:rsid w:val="0081696B"/>
    <w:rsid w:val="00816F5F"/>
    <w:rsid w:val="00821182"/>
    <w:rsid w:val="00823E49"/>
    <w:rsid w:val="00823E9D"/>
    <w:rsid w:val="00824E2E"/>
    <w:rsid w:val="008259A9"/>
    <w:rsid w:val="00826845"/>
    <w:rsid w:val="00830263"/>
    <w:rsid w:val="00830629"/>
    <w:rsid w:val="008351E7"/>
    <w:rsid w:val="008364F5"/>
    <w:rsid w:val="0083709E"/>
    <w:rsid w:val="00841C9A"/>
    <w:rsid w:val="00842437"/>
    <w:rsid w:val="008432AC"/>
    <w:rsid w:val="00843ED0"/>
    <w:rsid w:val="00844378"/>
    <w:rsid w:val="00847820"/>
    <w:rsid w:val="00850090"/>
    <w:rsid w:val="00850999"/>
    <w:rsid w:val="00851945"/>
    <w:rsid w:val="00854221"/>
    <w:rsid w:val="00855529"/>
    <w:rsid w:val="00856F95"/>
    <w:rsid w:val="00857FDF"/>
    <w:rsid w:val="00861E61"/>
    <w:rsid w:val="00862453"/>
    <w:rsid w:val="00862A7A"/>
    <w:rsid w:val="00862DEC"/>
    <w:rsid w:val="00863B36"/>
    <w:rsid w:val="00863F6A"/>
    <w:rsid w:val="00863FBD"/>
    <w:rsid w:val="00864889"/>
    <w:rsid w:val="008652AD"/>
    <w:rsid w:val="00866B4B"/>
    <w:rsid w:val="008677FE"/>
    <w:rsid w:val="008719D5"/>
    <w:rsid w:val="0087648C"/>
    <w:rsid w:val="0087763F"/>
    <w:rsid w:val="0088097C"/>
    <w:rsid w:val="00882C62"/>
    <w:rsid w:val="008833B6"/>
    <w:rsid w:val="00884063"/>
    <w:rsid w:val="00885B5F"/>
    <w:rsid w:val="00885BCD"/>
    <w:rsid w:val="008862DA"/>
    <w:rsid w:val="00887EB9"/>
    <w:rsid w:val="00890897"/>
    <w:rsid w:val="0089160B"/>
    <w:rsid w:val="008918C0"/>
    <w:rsid w:val="008925F4"/>
    <w:rsid w:val="00892CF8"/>
    <w:rsid w:val="00893E05"/>
    <w:rsid w:val="00894381"/>
    <w:rsid w:val="00894EC0"/>
    <w:rsid w:val="0089714B"/>
    <w:rsid w:val="008A0543"/>
    <w:rsid w:val="008A0A0F"/>
    <w:rsid w:val="008A0D99"/>
    <w:rsid w:val="008A416C"/>
    <w:rsid w:val="008A42D1"/>
    <w:rsid w:val="008A621A"/>
    <w:rsid w:val="008A7586"/>
    <w:rsid w:val="008B01BE"/>
    <w:rsid w:val="008B0E83"/>
    <w:rsid w:val="008B2B5D"/>
    <w:rsid w:val="008B3A8E"/>
    <w:rsid w:val="008B6493"/>
    <w:rsid w:val="008B6660"/>
    <w:rsid w:val="008B7DC0"/>
    <w:rsid w:val="008C14BA"/>
    <w:rsid w:val="008C1553"/>
    <w:rsid w:val="008C1C4D"/>
    <w:rsid w:val="008C3E34"/>
    <w:rsid w:val="008C49EE"/>
    <w:rsid w:val="008C696F"/>
    <w:rsid w:val="008D0218"/>
    <w:rsid w:val="008D0F3F"/>
    <w:rsid w:val="008D1724"/>
    <w:rsid w:val="008D2FBA"/>
    <w:rsid w:val="008D40FD"/>
    <w:rsid w:val="008D4E22"/>
    <w:rsid w:val="008D53CA"/>
    <w:rsid w:val="008E03CE"/>
    <w:rsid w:val="008E16C5"/>
    <w:rsid w:val="008E3274"/>
    <w:rsid w:val="008E4CC3"/>
    <w:rsid w:val="008E50AB"/>
    <w:rsid w:val="008E6244"/>
    <w:rsid w:val="008F061A"/>
    <w:rsid w:val="008F4535"/>
    <w:rsid w:val="008F466B"/>
    <w:rsid w:val="008F6CE5"/>
    <w:rsid w:val="008F7EC1"/>
    <w:rsid w:val="00900B91"/>
    <w:rsid w:val="0090309F"/>
    <w:rsid w:val="009042F2"/>
    <w:rsid w:val="0090500C"/>
    <w:rsid w:val="00910651"/>
    <w:rsid w:val="00911236"/>
    <w:rsid w:val="009123A3"/>
    <w:rsid w:val="00916CD6"/>
    <w:rsid w:val="0092477F"/>
    <w:rsid w:val="009250B9"/>
    <w:rsid w:val="009252D0"/>
    <w:rsid w:val="00925386"/>
    <w:rsid w:val="00925C05"/>
    <w:rsid w:val="00927389"/>
    <w:rsid w:val="00930BBF"/>
    <w:rsid w:val="00932397"/>
    <w:rsid w:val="0093241E"/>
    <w:rsid w:val="009326F2"/>
    <w:rsid w:val="00935F77"/>
    <w:rsid w:val="0093641E"/>
    <w:rsid w:val="00937969"/>
    <w:rsid w:val="00940A60"/>
    <w:rsid w:val="00940BF4"/>
    <w:rsid w:val="009410A9"/>
    <w:rsid w:val="009416F3"/>
    <w:rsid w:val="00942405"/>
    <w:rsid w:val="00942E2C"/>
    <w:rsid w:val="00945143"/>
    <w:rsid w:val="00945515"/>
    <w:rsid w:val="009511DD"/>
    <w:rsid w:val="00951E6E"/>
    <w:rsid w:val="009537DD"/>
    <w:rsid w:val="00953B22"/>
    <w:rsid w:val="009553EC"/>
    <w:rsid w:val="00955F94"/>
    <w:rsid w:val="009569FB"/>
    <w:rsid w:val="00957269"/>
    <w:rsid w:val="00957305"/>
    <w:rsid w:val="009573E5"/>
    <w:rsid w:val="00960042"/>
    <w:rsid w:val="00961B54"/>
    <w:rsid w:val="00962021"/>
    <w:rsid w:val="009626E2"/>
    <w:rsid w:val="00962D14"/>
    <w:rsid w:val="00963F8D"/>
    <w:rsid w:val="00964AF4"/>
    <w:rsid w:val="009659E2"/>
    <w:rsid w:val="00965F90"/>
    <w:rsid w:val="0096763E"/>
    <w:rsid w:val="00971B9B"/>
    <w:rsid w:val="009739CA"/>
    <w:rsid w:val="009751E0"/>
    <w:rsid w:val="009767FF"/>
    <w:rsid w:val="00977BD7"/>
    <w:rsid w:val="00981196"/>
    <w:rsid w:val="0098558A"/>
    <w:rsid w:val="00986A4F"/>
    <w:rsid w:val="00987092"/>
    <w:rsid w:val="00990479"/>
    <w:rsid w:val="00991363"/>
    <w:rsid w:val="0099206F"/>
    <w:rsid w:val="00992644"/>
    <w:rsid w:val="00992A2C"/>
    <w:rsid w:val="00993911"/>
    <w:rsid w:val="0099414B"/>
    <w:rsid w:val="00994576"/>
    <w:rsid w:val="00995D82"/>
    <w:rsid w:val="00996B00"/>
    <w:rsid w:val="00996B55"/>
    <w:rsid w:val="00997133"/>
    <w:rsid w:val="009A009C"/>
    <w:rsid w:val="009A03DE"/>
    <w:rsid w:val="009A280B"/>
    <w:rsid w:val="009A2DC9"/>
    <w:rsid w:val="009A3311"/>
    <w:rsid w:val="009A3332"/>
    <w:rsid w:val="009A3CD2"/>
    <w:rsid w:val="009A4DEE"/>
    <w:rsid w:val="009A6A9B"/>
    <w:rsid w:val="009A76F9"/>
    <w:rsid w:val="009B2BB9"/>
    <w:rsid w:val="009B3A1D"/>
    <w:rsid w:val="009B3CD3"/>
    <w:rsid w:val="009B4467"/>
    <w:rsid w:val="009B680A"/>
    <w:rsid w:val="009C16B7"/>
    <w:rsid w:val="009C1B54"/>
    <w:rsid w:val="009C1EAB"/>
    <w:rsid w:val="009C238C"/>
    <w:rsid w:val="009C280B"/>
    <w:rsid w:val="009C3079"/>
    <w:rsid w:val="009C3CC2"/>
    <w:rsid w:val="009C44B9"/>
    <w:rsid w:val="009C6100"/>
    <w:rsid w:val="009D1305"/>
    <w:rsid w:val="009D19A9"/>
    <w:rsid w:val="009D2630"/>
    <w:rsid w:val="009D39B1"/>
    <w:rsid w:val="009D54E4"/>
    <w:rsid w:val="009D5724"/>
    <w:rsid w:val="009D6377"/>
    <w:rsid w:val="009D6F85"/>
    <w:rsid w:val="009D72B9"/>
    <w:rsid w:val="009E12BA"/>
    <w:rsid w:val="009E28C2"/>
    <w:rsid w:val="009E2F04"/>
    <w:rsid w:val="009E5A86"/>
    <w:rsid w:val="009E5CBC"/>
    <w:rsid w:val="009E6732"/>
    <w:rsid w:val="009E75F6"/>
    <w:rsid w:val="009E77EB"/>
    <w:rsid w:val="009F11F7"/>
    <w:rsid w:val="009F2FA4"/>
    <w:rsid w:val="009F38B5"/>
    <w:rsid w:val="009F3F50"/>
    <w:rsid w:val="009F5673"/>
    <w:rsid w:val="009F77E2"/>
    <w:rsid w:val="00A01C74"/>
    <w:rsid w:val="00A0382F"/>
    <w:rsid w:val="00A10310"/>
    <w:rsid w:val="00A106F8"/>
    <w:rsid w:val="00A10AF9"/>
    <w:rsid w:val="00A120E0"/>
    <w:rsid w:val="00A12F2C"/>
    <w:rsid w:val="00A140E3"/>
    <w:rsid w:val="00A162B8"/>
    <w:rsid w:val="00A17F08"/>
    <w:rsid w:val="00A17FE1"/>
    <w:rsid w:val="00A2001E"/>
    <w:rsid w:val="00A20F03"/>
    <w:rsid w:val="00A23879"/>
    <w:rsid w:val="00A24412"/>
    <w:rsid w:val="00A24B0F"/>
    <w:rsid w:val="00A3141F"/>
    <w:rsid w:val="00A327E1"/>
    <w:rsid w:val="00A33FE1"/>
    <w:rsid w:val="00A347D3"/>
    <w:rsid w:val="00A34D2F"/>
    <w:rsid w:val="00A35D42"/>
    <w:rsid w:val="00A400B4"/>
    <w:rsid w:val="00A42497"/>
    <w:rsid w:val="00A44199"/>
    <w:rsid w:val="00A46D33"/>
    <w:rsid w:val="00A46EFC"/>
    <w:rsid w:val="00A4779D"/>
    <w:rsid w:val="00A5085C"/>
    <w:rsid w:val="00A51C39"/>
    <w:rsid w:val="00A522BC"/>
    <w:rsid w:val="00A53EC1"/>
    <w:rsid w:val="00A54BDE"/>
    <w:rsid w:val="00A54E5F"/>
    <w:rsid w:val="00A56694"/>
    <w:rsid w:val="00A56706"/>
    <w:rsid w:val="00A56AD9"/>
    <w:rsid w:val="00A6102D"/>
    <w:rsid w:val="00A61CC3"/>
    <w:rsid w:val="00A62A8E"/>
    <w:rsid w:val="00A631CB"/>
    <w:rsid w:val="00A6417A"/>
    <w:rsid w:val="00A641C9"/>
    <w:rsid w:val="00A64839"/>
    <w:rsid w:val="00A65AE1"/>
    <w:rsid w:val="00A671CB"/>
    <w:rsid w:val="00A67F3C"/>
    <w:rsid w:val="00A702BF"/>
    <w:rsid w:val="00A702F4"/>
    <w:rsid w:val="00A750F4"/>
    <w:rsid w:val="00A76577"/>
    <w:rsid w:val="00A76642"/>
    <w:rsid w:val="00A80BDF"/>
    <w:rsid w:val="00A84652"/>
    <w:rsid w:val="00A849C8"/>
    <w:rsid w:val="00A84A03"/>
    <w:rsid w:val="00A92B92"/>
    <w:rsid w:val="00A92F7A"/>
    <w:rsid w:val="00A97103"/>
    <w:rsid w:val="00A97446"/>
    <w:rsid w:val="00A97BA0"/>
    <w:rsid w:val="00AA177D"/>
    <w:rsid w:val="00AA2BEE"/>
    <w:rsid w:val="00AA41AB"/>
    <w:rsid w:val="00AA5B83"/>
    <w:rsid w:val="00AA65EB"/>
    <w:rsid w:val="00AB69AB"/>
    <w:rsid w:val="00AB7DAB"/>
    <w:rsid w:val="00AC0892"/>
    <w:rsid w:val="00AC79AA"/>
    <w:rsid w:val="00AC7D81"/>
    <w:rsid w:val="00AD04A3"/>
    <w:rsid w:val="00AD0C11"/>
    <w:rsid w:val="00AD12AA"/>
    <w:rsid w:val="00AD2626"/>
    <w:rsid w:val="00AD2826"/>
    <w:rsid w:val="00AD5240"/>
    <w:rsid w:val="00AD58DD"/>
    <w:rsid w:val="00AD597D"/>
    <w:rsid w:val="00AD7510"/>
    <w:rsid w:val="00AD771F"/>
    <w:rsid w:val="00AD7ABB"/>
    <w:rsid w:val="00AE3AEB"/>
    <w:rsid w:val="00AE57CB"/>
    <w:rsid w:val="00AE63B0"/>
    <w:rsid w:val="00AE7BD4"/>
    <w:rsid w:val="00AE7BE7"/>
    <w:rsid w:val="00AF016C"/>
    <w:rsid w:val="00AF11A4"/>
    <w:rsid w:val="00AF20C0"/>
    <w:rsid w:val="00AF2E09"/>
    <w:rsid w:val="00AF30AD"/>
    <w:rsid w:val="00AF380C"/>
    <w:rsid w:val="00AF3DBB"/>
    <w:rsid w:val="00AF5843"/>
    <w:rsid w:val="00B0027A"/>
    <w:rsid w:val="00B015A1"/>
    <w:rsid w:val="00B02FBF"/>
    <w:rsid w:val="00B03F39"/>
    <w:rsid w:val="00B0687A"/>
    <w:rsid w:val="00B06AB7"/>
    <w:rsid w:val="00B14FEF"/>
    <w:rsid w:val="00B161F4"/>
    <w:rsid w:val="00B2062B"/>
    <w:rsid w:val="00B2164D"/>
    <w:rsid w:val="00B2304F"/>
    <w:rsid w:val="00B24F7B"/>
    <w:rsid w:val="00B250BA"/>
    <w:rsid w:val="00B2559E"/>
    <w:rsid w:val="00B25ADE"/>
    <w:rsid w:val="00B26150"/>
    <w:rsid w:val="00B2721E"/>
    <w:rsid w:val="00B308A0"/>
    <w:rsid w:val="00B338A6"/>
    <w:rsid w:val="00B33C7B"/>
    <w:rsid w:val="00B3578B"/>
    <w:rsid w:val="00B378E0"/>
    <w:rsid w:val="00B40206"/>
    <w:rsid w:val="00B416FF"/>
    <w:rsid w:val="00B425E2"/>
    <w:rsid w:val="00B45D96"/>
    <w:rsid w:val="00B45E5A"/>
    <w:rsid w:val="00B46737"/>
    <w:rsid w:val="00B46881"/>
    <w:rsid w:val="00B50306"/>
    <w:rsid w:val="00B5036E"/>
    <w:rsid w:val="00B50823"/>
    <w:rsid w:val="00B52CA8"/>
    <w:rsid w:val="00B53C19"/>
    <w:rsid w:val="00B53F62"/>
    <w:rsid w:val="00B54849"/>
    <w:rsid w:val="00B56734"/>
    <w:rsid w:val="00B56B9B"/>
    <w:rsid w:val="00B62405"/>
    <w:rsid w:val="00B6349B"/>
    <w:rsid w:val="00B706C6"/>
    <w:rsid w:val="00B70F4A"/>
    <w:rsid w:val="00B732BA"/>
    <w:rsid w:val="00B74091"/>
    <w:rsid w:val="00B746CB"/>
    <w:rsid w:val="00B768E2"/>
    <w:rsid w:val="00B77A0A"/>
    <w:rsid w:val="00B90F5D"/>
    <w:rsid w:val="00B91063"/>
    <w:rsid w:val="00B915FC"/>
    <w:rsid w:val="00B91EA6"/>
    <w:rsid w:val="00B94083"/>
    <w:rsid w:val="00B95618"/>
    <w:rsid w:val="00B97379"/>
    <w:rsid w:val="00B9788B"/>
    <w:rsid w:val="00BA026F"/>
    <w:rsid w:val="00BA0AC1"/>
    <w:rsid w:val="00BA10C7"/>
    <w:rsid w:val="00BA1BD9"/>
    <w:rsid w:val="00BA4D32"/>
    <w:rsid w:val="00BA5F69"/>
    <w:rsid w:val="00BB0339"/>
    <w:rsid w:val="00BB3B95"/>
    <w:rsid w:val="00BB3EAE"/>
    <w:rsid w:val="00BB4743"/>
    <w:rsid w:val="00BB4B5C"/>
    <w:rsid w:val="00BB4D96"/>
    <w:rsid w:val="00BC22C6"/>
    <w:rsid w:val="00BC34CE"/>
    <w:rsid w:val="00BC5312"/>
    <w:rsid w:val="00BC6811"/>
    <w:rsid w:val="00BC6CCA"/>
    <w:rsid w:val="00BD2BE8"/>
    <w:rsid w:val="00BD39ED"/>
    <w:rsid w:val="00BD5306"/>
    <w:rsid w:val="00BE15EB"/>
    <w:rsid w:val="00BE183D"/>
    <w:rsid w:val="00BE2532"/>
    <w:rsid w:val="00BE2D6F"/>
    <w:rsid w:val="00BE507E"/>
    <w:rsid w:val="00BE5B63"/>
    <w:rsid w:val="00BE5DC3"/>
    <w:rsid w:val="00BE5FC8"/>
    <w:rsid w:val="00BE7842"/>
    <w:rsid w:val="00BF0089"/>
    <w:rsid w:val="00BF12CE"/>
    <w:rsid w:val="00BF34FB"/>
    <w:rsid w:val="00BF459E"/>
    <w:rsid w:val="00BF58CF"/>
    <w:rsid w:val="00BF61A9"/>
    <w:rsid w:val="00BF6D23"/>
    <w:rsid w:val="00C00690"/>
    <w:rsid w:val="00C0143A"/>
    <w:rsid w:val="00C0230A"/>
    <w:rsid w:val="00C0447D"/>
    <w:rsid w:val="00C06547"/>
    <w:rsid w:val="00C07087"/>
    <w:rsid w:val="00C15FAE"/>
    <w:rsid w:val="00C16B43"/>
    <w:rsid w:val="00C16D53"/>
    <w:rsid w:val="00C202F4"/>
    <w:rsid w:val="00C2043E"/>
    <w:rsid w:val="00C206E2"/>
    <w:rsid w:val="00C21D69"/>
    <w:rsid w:val="00C237B6"/>
    <w:rsid w:val="00C23C15"/>
    <w:rsid w:val="00C2453A"/>
    <w:rsid w:val="00C27C24"/>
    <w:rsid w:val="00C3038B"/>
    <w:rsid w:val="00C31C5E"/>
    <w:rsid w:val="00C34054"/>
    <w:rsid w:val="00C41388"/>
    <w:rsid w:val="00C4277D"/>
    <w:rsid w:val="00C42CE2"/>
    <w:rsid w:val="00C443CF"/>
    <w:rsid w:val="00C44C77"/>
    <w:rsid w:val="00C459CF"/>
    <w:rsid w:val="00C47166"/>
    <w:rsid w:val="00C50073"/>
    <w:rsid w:val="00C50527"/>
    <w:rsid w:val="00C5154F"/>
    <w:rsid w:val="00C52219"/>
    <w:rsid w:val="00C5308B"/>
    <w:rsid w:val="00C53996"/>
    <w:rsid w:val="00C550D5"/>
    <w:rsid w:val="00C607A8"/>
    <w:rsid w:val="00C6117D"/>
    <w:rsid w:val="00C614B6"/>
    <w:rsid w:val="00C61A31"/>
    <w:rsid w:val="00C65393"/>
    <w:rsid w:val="00C66548"/>
    <w:rsid w:val="00C70552"/>
    <w:rsid w:val="00C71817"/>
    <w:rsid w:val="00C71CBB"/>
    <w:rsid w:val="00C71FAB"/>
    <w:rsid w:val="00C74DC3"/>
    <w:rsid w:val="00C75D63"/>
    <w:rsid w:val="00C76BE3"/>
    <w:rsid w:val="00C80EEF"/>
    <w:rsid w:val="00C8151F"/>
    <w:rsid w:val="00C8275E"/>
    <w:rsid w:val="00C8359D"/>
    <w:rsid w:val="00C838DC"/>
    <w:rsid w:val="00C8538F"/>
    <w:rsid w:val="00C856DC"/>
    <w:rsid w:val="00C862A1"/>
    <w:rsid w:val="00C865E6"/>
    <w:rsid w:val="00C87C99"/>
    <w:rsid w:val="00C9031E"/>
    <w:rsid w:val="00C91AAA"/>
    <w:rsid w:val="00C945D0"/>
    <w:rsid w:val="00C95977"/>
    <w:rsid w:val="00C95F23"/>
    <w:rsid w:val="00CA0E20"/>
    <w:rsid w:val="00CA2818"/>
    <w:rsid w:val="00CA64FF"/>
    <w:rsid w:val="00CB065A"/>
    <w:rsid w:val="00CB14E6"/>
    <w:rsid w:val="00CB1FAD"/>
    <w:rsid w:val="00CB2676"/>
    <w:rsid w:val="00CB272D"/>
    <w:rsid w:val="00CB5CE6"/>
    <w:rsid w:val="00CC016E"/>
    <w:rsid w:val="00CC08DF"/>
    <w:rsid w:val="00CC0DF8"/>
    <w:rsid w:val="00CC2794"/>
    <w:rsid w:val="00CC2998"/>
    <w:rsid w:val="00CC3B7B"/>
    <w:rsid w:val="00CC3D1A"/>
    <w:rsid w:val="00CC41AE"/>
    <w:rsid w:val="00CC529D"/>
    <w:rsid w:val="00CD02F5"/>
    <w:rsid w:val="00CD0525"/>
    <w:rsid w:val="00CD197F"/>
    <w:rsid w:val="00CD1CBD"/>
    <w:rsid w:val="00CD31A3"/>
    <w:rsid w:val="00CD5375"/>
    <w:rsid w:val="00CD5621"/>
    <w:rsid w:val="00CD63E8"/>
    <w:rsid w:val="00CD78E1"/>
    <w:rsid w:val="00CE0892"/>
    <w:rsid w:val="00CE499C"/>
    <w:rsid w:val="00CE79B8"/>
    <w:rsid w:val="00CF1AB0"/>
    <w:rsid w:val="00CF25F5"/>
    <w:rsid w:val="00CF388F"/>
    <w:rsid w:val="00CF3D05"/>
    <w:rsid w:val="00CF4533"/>
    <w:rsid w:val="00CF58FF"/>
    <w:rsid w:val="00CF6EFF"/>
    <w:rsid w:val="00D00E05"/>
    <w:rsid w:val="00D02301"/>
    <w:rsid w:val="00D0369E"/>
    <w:rsid w:val="00D06A29"/>
    <w:rsid w:val="00D07449"/>
    <w:rsid w:val="00D1071D"/>
    <w:rsid w:val="00D112D9"/>
    <w:rsid w:val="00D12A85"/>
    <w:rsid w:val="00D15FE2"/>
    <w:rsid w:val="00D16778"/>
    <w:rsid w:val="00D2154D"/>
    <w:rsid w:val="00D2214C"/>
    <w:rsid w:val="00D2676F"/>
    <w:rsid w:val="00D27F0C"/>
    <w:rsid w:val="00D30F5E"/>
    <w:rsid w:val="00D31194"/>
    <w:rsid w:val="00D32C58"/>
    <w:rsid w:val="00D33869"/>
    <w:rsid w:val="00D3425B"/>
    <w:rsid w:val="00D34A55"/>
    <w:rsid w:val="00D34BB4"/>
    <w:rsid w:val="00D35136"/>
    <w:rsid w:val="00D35E1E"/>
    <w:rsid w:val="00D36C42"/>
    <w:rsid w:val="00D40C52"/>
    <w:rsid w:val="00D411A6"/>
    <w:rsid w:val="00D44B98"/>
    <w:rsid w:val="00D45720"/>
    <w:rsid w:val="00D46077"/>
    <w:rsid w:val="00D463F7"/>
    <w:rsid w:val="00D5039C"/>
    <w:rsid w:val="00D50EEF"/>
    <w:rsid w:val="00D534DD"/>
    <w:rsid w:val="00D5501D"/>
    <w:rsid w:val="00D55431"/>
    <w:rsid w:val="00D56D76"/>
    <w:rsid w:val="00D57987"/>
    <w:rsid w:val="00D6038F"/>
    <w:rsid w:val="00D62567"/>
    <w:rsid w:val="00D64381"/>
    <w:rsid w:val="00D667C9"/>
    <w:rsid w:val="00D670DB"/>
    <w:rsid w:val="00D703EA"/>
    <w:rsid w:val="00D70936"/>
    <w:rsid w:val="00D726E0"/>
    <w:rsid w:val="00D737FA"/>
    <w:rsid w:val="00D75170"/>
    <w:rsid w:val="00D7725E"/>
    <w:rsid w:val="00D83E15"/>
    <w:rsid w:val="00D85A05"/>
    <w:rsid w:val="00D86124"/>
    <w:rsid w:val="00D90948"/>
    <w:rsid w:val="00D941B4"/>
    <w:rsid w:val="00D95F80"/>
    <w:rsid w:val="00D97687"/>
    <w:rsid w:val="00D976D1"/>
    <w:rsid w:val="00D97E6F"/>
    <w:rsid w:val="00DA0AAA"/>
    <w:rsid w:val="00DA1FA0"/>
    <w:rsid w:val="00DA2841"/>
    <w:rsid w:val="00DA2B9E"/>
    <w:rsid w:val="00DA31EE"/>
    <w:rsid w:val="00DA3F53"/>
    <w:rsid w:val="00DA49D8"/>
    <w:rsid w:val="00DB2E65"/>
    <w:rsid w:val="00DC24E6"/>
    <w:rsid w:val="00DC40FA"/>
    <w:rsid w:val="00DC465B"/>
    <w:rsid w:val="00DC4EE5"/>
    <w:rsid w:val="00DC768A"/>
    <w:rsid w:val="00DC785B"/>
    <w:rsid w:val="00DD06BB"/>
    <w:rsid w:val="00DD0ED2"/>
    <w:rsid w:val="00DD1197"/>
    <w:rsid w:val="00DD147D"/>
    <w:rsid w:val="00DD25CB"/>
    <w:rsid w:val="00DD2766"/>
    <w:rsid w:val="00DD6F4F"/>
    <w:rsid w:val="00DE0F31"/>
    <w:rsid w:val="00DE2EF1"/>
    <w:rsid w:val="00DE366A"/>
    <w:rsid w:val="00DE4A86"/>
    <w:rsid w:val="00DE7347"/>
    <w:rsid w:val="00DE78DA"/>
    <w:rsid w:val="00DE79C3"/>
    <w:rsid w:val="00DE7C54"/>
    <w:rsid w:val="00DE7F13"/>
    <w:rsid w:val="00DF0754"/>
    <w:rsid w:val="00DF10FA"/>
    <w:rsid w:val="00DF18EE"/>
    <w:rsid w:val="00DF1C8C"/>
    <w:rsid w:val="00DF3925"/>
    <w:rsid w:val="00DF4BB9"/>
    <w:rsid w:val="00DF52EE"/>
    <w:rsid w:val="00DF7840"/>
    <w:rsid w:val="00E02D6A"/>
    <w:rsid w:val="00E03EF8"/>
    <w:rsid w:val="00E05E86"/>
    <w:rsid w:val="00E076F3"/>
    <w:rsid w:val="00E0784D"/>
    <w:rsid w:val="00E10059"/>
    <w:rsid w:val="00E10462"/>
    <w:rsid w:val="00E12234"/>
    <w:rsid w:val="00E1428A"/>
    <w:rsid w:val="00E155DE"/>
    <w:rsid w:val="00E16210"/>
    <w:rsid w:val="00E16DDD"/>
    <w:rsid w:val="00E174D8"/>
    <w:rsid w:val="00E17DA2"/>
    <w:rsid w:val="00E20228"/>
    <w:rsid w:val="00E20966"/>
    <w:rsid w:val="00E20CD7"/>
    <w:rsid w:val="00E21208"/>
    <w:rsid w:val="00E2348A"/>
    <w:rsid w:val="00E23926"/>
    <w:rsid w:val="00E23BDA"/>
    <w:rsid w:val="00E24DDC"/>
    <w:rsid w:val="00E2505D"/>
    <w:rsid w:val="00E261CF"/>
    <w:rsid w:val="00E270EC"/>
    <w:rsid w:val="00E3045E"/>
    <w:rsid w:val="00E30650"/>
    <w:rsid w:val="00E30AA2"/>
    <w:rsid w:val="00E3143F"/>
    <w:rsid w:val="00E3490B"/>
    <w:rsid w:val="00E34BEC"/>
    <w:rsid w:val="00E353FB"/>
    <w:rsid w:val="00E35612"/>
    <w:rsid w:val="00E370BC"/>
    <w:rsid w:val="00E41112"/>
    <w:rsid w:val="00E41379"/>
    <w:rsid w:val="00E4285D"/>
    <w:rsid w:val="00E44A61"/>
    <w:rsid w:val="00E46B48"/>
    <w:rsid w:val="00E504A9"/>
    <w:rsid w:val="00E50AA6"/>
    <w:rsid w:val="00E51574"/>
    <w:rsid w:val="00E53CD6"/>
    <w:rsid w:val="00E54A74"/>
    <w:rsid w:val="00E5730E"/>
    <w:rsid w:val="00E57D5F"/>
    <w:rsid w:val="00E6007D"/>
    <w:rsid w:val="00E606ED"/>
    <w:rsid w:val="00E6118C"/>
    <w:rsid w:val="00E63D3F"/>
    <w:rsid w:val="00E63EB1"/>
    <w:rsid w:val="00E6465A"/>
    <w:rsid w:val="00E64F34"/>
    <w:rsid w:val="00E7049E"/>
    <w:rsid w:val="00E70B5F"/>
    <w:rsid w:val="00E721D8"/>
    <w:rsid w:val="00E724D6"/>
    <w:rsid w:val="00E72772"/>
    <w:rsid w:val="00E728CA"/>
    <w:rsid w:val="00E73316"/>
    <w:rsid w:val="00E73997"/>
    <w:rsid w:val="00E74A1E"/>
    <w:rsid w:val="00E77C2A"/>
    <w:rsid w:val="00E80753"/>
    <w:rsid w:val="00E81D84"/>
    <w:rsid w:val="00E82154"/>
    <w:rsid w:val="00E8330D"/>
    <w:rsid w:val="00E837FA"/>
    <w:rsid w:val="00E84EDC"/>
    <w:rsid w:val="00E859BF"/>
    <w:rsid w:val="00E906F8"/>
    <w:rsid w:val="00E90970"/>
    <w:rsid w:val="00E923C6"/>
    <w:rsid w:val="00E933D1"/>
    <w:rsid w:val="00E9461A"/>
    <w:rsid w:val="00E95DE0"/>
    <w:rsid w:val="00E96EB6"/>
    <w:rsid w:val="00E97809"/>
    <w:rsid w:val="00E97F64"/>
    <w:rsid w:val="00EA1197"/>
    <w:rsid w:val="00EA16B4"/>
    <w:rsid w:val="00EA5D7E"/>
    <w:rsid w:val="00EA76C0"/>
    <w:rsid w:val="00EB1282"/>
    <w:rsid w:val="00EB234D"/>
    <w:rsid w:val="00EB514F"/>
    <w:rsid w:val="00EB5F1A"/>
    <w:rsid w:val="00EC18BA"/>
    <w:rsid w:val="00EC1A13"/>
    <w:rsid w:val="00EC2BEB"/>
    <w:rsid w:val="00EC3C91"/>
    <w:rsid w:val="00EC4998"/>
    <w:rsid w:val="00EC4FB0"/>
    <w:rsid w:val="00EC68E5"/>
    <w:rsid w:val="00ED05BB"/>
    <w:rsid w:val="00ED45CC"/>
    <w:rsid w:val="00EE04FB"/>
    <w:rsid w:val="00EE08AD"/>
    <w:rsid w:val="00EE3E9C"/>
    <w:rsid w:val="00EE52DD"/>
    <w:rsid w:val="00EE5634"/>
    <w:rsid w:val="00EE7B14"/>
    <w:rsid w:val="00EF1A3D"/>
    <w:rsid w:val="00EF1A65"/>
    <w:rsid w:val="00EF260F"/>
    <w:rsid w:val="00EF28CD"/>
    <w:rsid w:val="00EF558D"/>
    <w:rsid w:val="00EF648D"/>
    <w:rsid w:val="00EF7D1D"/>
    <w:rsid w:val="00EF7FFC"/>
    <w:rsid w:val="00F00F4C"/>
    <w:rsid w:val="00F01E4A"/>
    <w:rsid w:val="00F02E24"/>
    <w:rsid w:val="00F04B57"/>
    <w:rsid w:val="00F04E61"/>
    <w:rsid w:val="00F06608"/>
    <w:rsid w:val="00F066C7"/>
    <w:rsid w:val="00F06847"/>
    <w:rsid w:val="00F07431"/>
    <w:rsid w:val="00F07DFD"/>
    <w:rsid w:val="00F114FC"/>
    <w:rsid w:val="00F1155E"/>
    <w:rsid w:val="00F11B91"/>
    <w:rsid w:val="00F128AD"/>
    <w:rsid w:val="00F13509"/>
    <w:rsid w:val="00F140EB"/>
    <w:rsid w:val="00F176E3"/>
    <w:rsid w:val="00F20A69"/>
    <w:rsid w:val="00F229CE"/>
    <w:rsid w:val="00F22EF6"/>
    <w:rsid w:val="00F232A8"/>
    <w:rsid w:val="00F26B36"/>
    <w:rsid w:val="00F27C8B"/>
    <w:rsid w:val="00F3002E"/>
    <w:rsid w:val="00F3019D"/>
    <w:rsid w:val="00F32122"/>
    <w:rsid w:val="00F32855"/>
    <w:rsid w:val="00F3515A"/>
    <w:rsid w:val="00F352F1"/>
    <w:rsid w:val="00F36C29"/>
    <w:rsid w:val="00F42E9E"/>
    <w:rsid w:val="00F449CC"/>
    <w:rsid w:val="00F4502F"/>
    <w:rsid w:val="00F503F9"/>
    <w:rsid w:val="00F50C90"/>
    <w:rsid w:val="00F516C0"/>
    <w:rsid w:val="00F51B8C"/>
    <w:rsid w:val="00F51C1D"/>
    <w:rsid w:val="00F52309"/>
    <w:rsid w:val="00F5443A"/>
    <w:rsid w:val="00F56DB0"/>
    <w:rsid w:val="00F601A8"/>
    <w:rsid w:val="00F605E9"/>
    <w:rsid w:val="00F60EC5"/>
    <w:rsid w:val="00F61C54"/>
    <w:rsid w:val="00F63511"/>
    <w:rsid w:val="00F6375F"/>
    <w:rsid w:val="00F641EE"/>
    <w:rsid w:val="00F64841"/>
    <w:rsid w:val="00F64D32"/>
    <w:rsid w:val="00F6568F"/>
    <w:rsid w:val="00F676C3"/>
    <w:rsid w:val="00F72E21"/>
    <w:rsid w:val="00F73C3F"/>
    <w:rsid w:val="00F74FF4"/>
    <w:rsid w:val="00F75489"/>
    <w:rsid w:val="00F75D49"/>
    <w:rsid w:val="00F767A7"/>
    <w:rsid w:val="00F771A1"/>
    <w:rsid w:val="00F80D2D"/>
    <w:rsid w:val="00F8464E"/>
    <w:rsid w:val="00F84C4B"/>
    <w:rsid w:val="00F8507D"/>
    <w:rsid w:val="00F8701B"/>
    <w:rsid w:val="00F870DE"/>
    <w:rsid w:val="00F87A55"/>
    <w:rsid w:val="00F9084C"/>
    <w:rsid w:val="00F90D7B"/>
    <w:rsid w:val="00F91973"/>
    <w:rsid w:val="00F93687"/>
    <w:rsid w:val="00F95BF6"/>
    <w:rsid w:val="00FA02A0"/>
    <w:rsid w:val="00FA04EE"/>
    <w:rsid w:val="00FA1C92"/>
    <w:rsid w:val="00FA2EFB"/>
    <w:rsid w:val="00FA509A"/>
    <w:rsid w:val="00FA5195"/>
    <w:rsid w:val="00FA59B2"/>
    <w:rsid w:val="00FA5B14"/>
    <w:rsid w:val="00FA6997"/>
    <w:rsid w:val="00FA75FD"/>
    <w:rsid w:val="00FB216C"/>
    <w:rsid w:val="00FB249C"/>
    <w:rsid w:val="00FB4BA3"/>
    <w:rsid w:val="00FB4CF9"/>
    <w:rsid w:val="00FB63C8"/>
    <w:rsid w:val="00FB71C5"/>
    <w:rsid w:val="00FB7561"/>
    <w:rsid w:val="00FB7771"/>
    <w:rsid w:val="00FB7A51"/>
    <w:rsid w:val="00FC0C0E"/>
    <w:rsid w:val="00FC1683"/>
    <w:rsid w:val="00FC58BA"/>
    <w:rsid w:val="00FC6087"/>
    <w:rsid w:val="00FC7CC4"/>
    <w:rsid w:val="00FD2686"/>
    <w:rsid w:val="00FD3EA1"/>
    <w:rsid w:val="00FD4D49"/>
    <w:rsid w:val="00FE3B7C"/>
    <w:rsid w:val="00FE5581"/>
    <w:rsid w:val="00FE5F3A"/>
    <w:rsid w:val="00FE6BEE"/>
    <w:rsid w:val="00FE7425"/>
    <w:rsid w:val="00FE7F32"/>
    <w:rsid w:val="00FF0E8E"/>
    <w:rsid w:val="00FF1300"/>
    <w:rsid w:val="00FF35DC"/>
    <w:rsid w:val="00FF4E82"/>
    <w:rsid w:val="00FF57EB"/>
    <w:rsid w:val="00FF60C3"/>
    <w:rsid w:val="00FF6ECF"/>
    <w:rsid w:val="00FF71AA"/>
    <w:rsid w:val="00FF76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163E4"/>
  <w15:docId w15:val="{8A87ED7C-E775-49EE-BA98-1AD928DD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16C"/>
    <w:rPr>
      <w:rFonts w:cs="Times New Roman"/>
    </w:rPr>
  </w:style>
  <w:style w:type="paragraph" w:styleId="Heading1">
    <w:name w:val="heading 1"/>
    <w:aliases w:val="APA Heading 1"/>
    <w:basedOn w:val="Normal"/>
    <w:next w:val="Normal"/>
    <w:link w:val="Heading1Char"/>
    <w:uiPriority w:val="9"/>
    <w:qFormat/>
    <w:rsid w:val="00551162"/>
    <w:pPr>
      <w:keepNext/>
      <w:keepLines/>
      <w:spacing w:before="360" w:after="240" w:line="480" w:lineRule="auto"/>
      <w:jc w:val="center"/>
      <w:outlineLvl w:val="0"/>
    </w:pPr>
    <w:rPr>
      <w:rFonts w:eastAsiaTheme="majorEastAsia" w:cstheme="majorBidi"/>
      <w:b/>
      <w:bCs/>
      <w:color w:val="262626" w:themeColor="text1" w:themeTint="D9"/>
      <w:sz w:val="30"/>
      <w:szCs w:val="30"/>
    </w:rPr>
  </w:style>
  <w:style w:type="paragraph" w:styleId="Heading2">
    <w:name w:val="heading 2"/>
    <w:aliases w:val="APA Heading 2"/>
    <w:basedOn w:val="Normal"/>
    <w:next w:val="Normal"/>
    <w:link w:val="Heading2Char"/>
    <w:uiPriority w:val="9"/>
    <w:qFormat/>
    <w:rsid w:val="00551162"/>
    <w:pPr>
      <w:keepNext/>
      <w:keepLines/>
      <w:spacing w:before="360" w:after="240" w:line="480" w:lineRule="auto"/>
      <w:jc w:val="center"/>
      <w:outlineLvl w:val="1"/>
    </w:pPr>
    <w:rPr>
      <w:rFonts w:eastAsiaTheme="majorEastAsia" w:cstheme="majorBidi"/>
      <w:b/>
      <w:bCs/>
      <w:i/>
      <w:color w:val="404040" w:themeColor="text1" w:themeTint="BF"/>
      <w:sz w:val="28"/>
      <w:szCs w:val="28"/>
    </w:rPr>
  </w:style>
  <w:style w:type="paragraph" w:styleId="Heading3">
    <w:name w:val="heading 3"/>
    <w:aliases w:val="APA Heading 3"/>
    <w:basedOn w:val="Normal"/>
    <w:next w:val="Normal"/>
    <w:link w:val="Heading3Char"/>
    <w:uiPriority w:val="9"/>
    <w:qFormat/>
    <w:rsid w:val="00986A4F"/>
    <w:pPr>
      <w:keepNext/>
      <w:keepLines/>
      <w:spacing w:line="480" w:lineRule="auto"/>
      <w:ind w:left="720"/>
      <w:outlineLvl w:val="2"/>
    </w:pPr>
    <w:rPr>
      <w:rFonts w:eastAsiaTheme="majorEastAsia" w:cstheme="majorBidi"/>
      <w:b/>
      <w:bCs/>
      <w:color w:val="262626" w:themeColor="text1" w:themeTint="D9"/>
    </w:rPr>
  </w:style>
  <w:style w:type="paragraph" w:styleId="Heading4">
    <w:name w:val="heading 4"/>
    <w:aliases w:val="APA Heading 4"/>
    <w:basedOn w:val="Normal"/>
    <w:next w:val="Normal"/>
    <w:link w:val="Heading4Char"/>
    <w:uiPriority w:val="9"/>
    <w:semiHidden/>
    <w:unhideWhenUsed/>
    <w:qFormat/>
    <w:rsid w:val="00EC4FB0"/>
    <w:pPr>
      <w:keepNext/>
      <w:keepLines/>
      <w:spacing w:line="480" w:lineRule="auto"/>
      <w:ind w:left="72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A Heading 1 Char"/>
    <w:basedOn w:val="DefaultParagraphFont"/>
    <w:link w:val="Heading1"/>
    <w:uiPriority w:val="9"/>
    <w:rsid w:val="00551162"/>
    <w:rPr>
      <w:rFonts w:eastAsiaTheme="majorEastAsia" w:cstheme="majorBidi"/>
      <w:b/>
      <w:bCs/>
      <w:color w:val="262626" w:themeColor="text1" w:themeTint="D9"/>
      <w:sz w:val="30"/>
      <w:szCs w:val="30"/>
    </w:rPr>
  </w:style>
  <w:style w:type="character" w:customStyle="1" w:styleId="Heading2Char">
    <w:name w:val="Heading 2 Char"/>
    <w:aliases w:val="APA Heading 2 Char"/>
    <w:basedOn w:val="DefaultParagraphFont"/>
    <w:link w:val="Heading2"/>
    <w:uiPriority w:val="9"/>
    <w:rsid w:val="00551162"/>
    <w:rPr>
      <w:rFonts w:eastAsiaTheme="majorEastAsia" w:cstheme="majorBidi"/>
      <w:b/>
      <w:bCs/>
      <w:i/>
      <w:color w:val="404040" w:themeColor="text1" w:themeTint="BF"/>
      <w:sz w:val="28"/>
      <w:szCs w:val="28"/>
    </w:rPr>
  </w:style>
  <w:style w:type="character" w:customStyle="1" w:styleId="Heading3Char">
    <w:name w:val="Heading 3 Char"/>
    <w:aliases w:val="APA Heading 3 Char"/>
    <w:basedOn w:val="DefaultParagraphFont"/>
    <w:link w:val="Heading3"/>
    <w:uiPriority w:val="9"/>
    <w:rsid w:val="00986A4F"/>
    <w:rPr>
      <w:rFonts w:eastAsiaTheme="majorEastAsia" w:cstheme="majorBidi"/>
      <w:b/>
      <w:bCs/>
      <w:color w:val="262626" w:themeColor="text1" w:themeTint="D9"/>
    </w:rPr>
  </w:style>
  <w:style w:type="character" w:customStyle="1" w:styleId="Heading4Char">
    <w:name w:val="Heading 4 Char"/>
    <w:aliases w:val="APA Heading 4 Char"/>
    <w:basedOn w:val="DefaultParagraphFont"/>
    <w:link w:val="Heading4"/>
    <w:uiPriority w:val="9"/>
    <w:semiHidden/>
    <w:rsid w:val="00EC4FB0"/>
    <w:rPr>
      <w:rFonts w:eastAsiaTheme="majorEastAsia" w:cstheme="majorBidi"/>
      <w:b/>
      <w:bCs/>
      <w:i/>
      <w:iCs/>
    </w:rPr>
  </w:style>
  <w:style w:type="paragraph" w:styleId="CommentText">
    <w:name w:val="annotation text"/>
    <w:basedOn w:val="Normal"/>
    <w:link w:val="CommentTextChar"/>
    <w:uiPriority w:val="99"/>
    <w:unhideWhenUsed/>
    <w:rsid w:val="00D2154D"/>
    <w:rPr>
      <w:sz w:val="20"/>
      <w:szCs w:val="20"/>
    </w:rPr>
  </w:style>
  <w:style w:type="character" w:customStyle="1" w:styleId="CommentTextChar">
    <w:name w:val="Comment Text Char"/>
    <w:basedOn w:val="DefaultParagraphFont"/>
    <w:link w:val="CommentText"/>
    <w:uiPriority w:val="99"/>
    <w:rsid w:val="00D2154D"/>
    <w:rPr>
      <w:rFonts w:ascii="Times New Roman" w:hAnsi="Times New Roman"/>
      <w:sz w:val="20"/>
      <w:szCs w:val="20"/>
    </w:rPr>
  </w:style>
  <w:style w:type="character" w:styleId="CommentReference">
    <w:name w:val="annotation reference"/>
    <w:basedOn w:val="DefaultParagraphFont"/>
    <w:uiPriority w:val="99"/>
    <w:semiHidden/>
    <w:unhideWhenUsed/>
    <w:rsid w:val="00D2154D"/>
    <w:rPr>
      <w:sz w:val="16"/>
      <w:szCs w:val="16"/>
    </w:rPr>
  </w:style>
  <w:style w:type="paragraph" w:styleId="Subtitle">
    <w:name w:val="Subtitle"/>
    <w:basedOn w:val="Normal"/>
    <w:next w:val="Normal"/>
    <w:link w:val="SubtitleChar"/>
    <w:uiPriority w:val="11"/>
    <w:qFormat/>
    <w:rsid w:val="00D2154D"/>
    <w:pPr>
      <w:numPr>
        <w:ilvl w:val="1"/>
      </w:numPr>
    </w:pPr>
    <w:rPr>
      <w:rFonts w:eastAsiaTheme="majorEastAsia" w:cstheme="majorBidi"/>
      <w:b/>
      <w:iCs/>
      <w:spacing w:val="15"/>
    </w:rPr>
  </w:style>
  <w:style w:type="character" w:customStyle="1" w:styleId="SubtitleChar">
    <w:name w:val="Subtitle Char"/>
    <w:basedOn w:val="DefaultParagraphFont"/>
    <w:link w:val="Subtitle"/>
    <w:uiPriority w:val="11"/>
    <w:rsid w:val="00D2154D"/>
    <w:rPr>
      <w:rFonts w:ascii="Times New Roman" w:eastAsiaTheme="majorEastAsia" w:hAnsi="Times New Roman" w:cstheme="majorBidi"/>
      <w:b/>
      <w:iCs/>
      <w:spacing w:val="15"/>
    </w:rPr>
  </w:style>
  <w:style w:type="paragraph" w:styleId="CommentSubject">
    <w:name w:val="annotation subject"/>
    <w:basedOn w:val="CommentText"/>
    <w:next w:val="CommentText"/>
    <w:link w:val="CommentSubjectChar"/>
    <w:uiPriority w:val="99"/>
    <w:semiHidden/>
    <w:unhideWhenUsed/>
    <w:rsid w:val="00D2154D"/>
    <w:rPr>
      <w:b/>
      <w:bCs/>
    </w:rPr>
  </w:style>
  <w:style w:type="character" w:customStyle="1" w:styleId="CommentSubjectChar">
    <w:name w:val="Comment Subject Char"/>
    <w:basedOn w:val="CommentTextChar"/>
    <w:link w:val="CommentSubject"/>
    <w:uiPriority w:val="99"/>
    <w:semiHidden/>
    <w:rsid w:val="00D2154D"/>
    <w:rPr>
      <w:rFonts w:ascii="Times New Roman" w:hAnsi="Times New Roman"/>
      <w:b/>
      <w:bCs/>
      <w:sz w:val="20"/>
      <w:szCs w:val="20"/>
    </w:rPr>
  </w:style>
  <w:style w:type="paragraph" w:styleId="BalloonText">
    <w:name w:val="Balloon Text"/>
    <w:basedOn w:val="Normal"/>
    <w:link w:val="BalloonTextChar"/>
    <w:uiPriority w:val="99"/>
    <w:semiHidden/>
    <w:unhideWhenUsed/>
    <w:rsid w:val="00D2154D"/>
    <w:rPr>
      <w:rFonts w:ascii="Tahoma" w:hAnsi="Tahoma" w:cs="Tahoma"/>
      <w:sz w:val="16"/>
      <w:szCs w:val="16"/>
    </w:rPr>
  </w:style>
  <w:style w:type="character" w:customStyle="1" w:styleId="BalloonTextChar">
    <w:name w:val="Balloon Text Char"/>
    <w:basedOn w:val="DefaultParagraphFont"/>
    <w:link w:val="BalloonText"/>
    <w:uiPriority w:val="99"/>
    <w:semiHidden/>
    <w:rsid w:val="00D2154D"/>
    <w:rPr>
      <w:rFonts w:ascii="Tahoma" w:hAnsi="Tahoma" w:cs="Tahoma"/>
      <w:sz w:val="16"/>
      <w:szCs w:val="16"/>
    </w:rPr>
  </w:style>
  <w:style w:type="paragraph" w:styleId="Quote">
    <w:name w:val="Quote"/>
    <w:basedOn w:val="Normal"/>
    <w:next w:val="Normal"/>
    <w:link w:val="QuoteChar"/>
    <w:uiPriority w:val="29"/>
    <w:qFormat/>
    <w:rsid w:val="00EC4FB0"/>
    <w:pPr>
      <w:spacing w:line="480" w:lineRule="auto"/>
    </w:pPr>
    <w:rPr>
      <w:i/>
      <w:iCs/>
      <w:color w:val="000000" w:themeColor="text1"/>
    </w:rPr>
  </w:style>
  <w:style w:type="character" w:customStyle="1" w:styleId="QuoteChar">
    <w:name w:val="Quote Char"/>
    <w:basedOn w:val="DefaultParagraphFont"/>
    <w:link w:val="Quote"/>
    <w:uiPriority w:val="29"/>
    <w:rsid w:val="00EC4FB0"/>
    <w:rPr>
      <w:i/>
      <w:iCs/>
      <w:color w:val="000000" w:themeColor="text1"/>
    </w:rPr>
  </w:style>
  <w:style w:type="paragraph" w:styleId="IntenseQuote">
    <w:name w:val="Intense Quote"/>
    <w:basedOn w:val="Normal"/>
    <w:next w:val="Normal"/>
    <w:link w:val="IntenseQuoteChar"/>
    <w:uiPriority w:val="30"/>
    <w:qFormat/>
    <w:rsid w:val="00EC4FB0"/>
    <w:pPr>
      <w:pBdr>
        <w:bottom w:val="single" w:sz="4" w:space="4" w:color="DDDDDD" w:themeColor="accent1"/>
      </w:pBdr>
      <w:spacing w:line="480" w:lineRule="auto"/>
      <w:ind w:left="720" w:right="936"/>
    </w:pPr>
    <w:rPr>
      <w:bCs/>
      <w:i/>
      <w:iCs/>
    </w:rPr>
  </w:style>
  <w:style w:type="character" w:customStyle="1" w:styleId="IntenseQuoteChar">
    <w:name w:val="Intense Quote Char"/>
    <w:basedOn w:val="DefaultParagraphFont"/>
    <w:link w:val="IntenseQuote"/>
    <w:uiPriority w:val="30"/>
    <w:rsid w:val="00EC4FB0"/>
    <w:rPr>
      <w:bCs/>
      <w:i/>
      <w:iCs/>
    </w:rPr>
  </w:style>
  <w:style w:type="paragraph" w:customStyle="1" w:styleId="APATableTitle">
    <w:name w:val="APA Table Title"/>
    <w:basedOn w:val="Caption"/>
    <w:next w:val="Normal"/>
    <w:qFormat/>
    <w:rsid w:val="00F128AD"/>
  </w:style>
  <w:style w:type="paragraph" w:customStyle="1" w:styleId="APAFigureCaption">
    <w:name w:val="APA Figure Caption"/>
    <w:next w:val="Normal"/>
    <w:qFormat/>
    <w:rsid w:val="00EC4FB0"/>
    <w:pPr>
      <w:spacing w:line="480" w:lineRule="auto"/>
    </w:pPr>
    <w:rPr>
      <w:rFonts w:eastAsiaTheme="majorEastAsia" w:cstheme="majorBidi"/>
      <w:b/>
      <w:spacing w:val="5"/>
      <w:kern w:val="28"/>
      <w:szCs w:val="52"/>
    </w:rPr>
  </w:style>
  <w:style w:type="paragraph" w:customStyle="1" w:styleId="ChapterTitle">
    <w:name w:val="Chapter Title"/>
    <w:basedOn w:val="Heading1"/>
    <w:next w:val="Normal"/>
    <w:qFormat/>
    <w:rsid w:val="00FA1C92"/>
    <w:rPr>
      <w:caps/>
      <w:color w:val="auto"/>
      <w:sz w:val="32"/>
      <w:szCs w:val="32"/>
    </w:rPr>
  </w:style>
  <w:style w:type="paragraph" w:customStyle="1" w:styleId="APAReference">
    <w:name w:val="APA Reference"/>
    <w:basedOn w:val="Normal"/>
    <w:qFormat/>
    <w:rsid w:val="00925386"/>
    <w:pPr>
      <w:spacing w:line="480" w:lineRule="auto"/>
      <w:ind w:left="720" w:hanging="720"/>
    </w:pPr>
    <w:rPr>
      <w:rFonts w:eastAsia="Times New Roman"/>
      <w:color w:val="000000"/>
    </w:rPr>
  </w:style>
  <w:style w:type="paragraph" w:styleId="Footer">
    <w:name w:val="footer"/>
    <w:basedOn w:val="Normal"/>
    <w:link w:val="FooterChar"/>
    <w:uiPriority w:val="99"/>
    <w:unhideWhenUsed/>
    <w:rsid w:val="00C8151F"/>
    <w:pPr>
      <w:tabs>
        <w:tab w:val="center" w:pos="4680"/>
        <w:tab w:val="right" w:pos="9360"/>
      </w:tabs>
    </w:pPr>
    <w:rPr>
      <w:rFonts w:asciiTheme="majorBidi" w:hAnsiTheme="majorBidi"/>
      <w:szCs w:val="22"/>
    </w:rPr>
  </w:style>
  <w:style w:type="character" w:customStyle="1" w:styleId="FooterChar">
    <w:name w:val="Footer Char"/>
    <w:basedOn w:val="DefaultParagraphFont"/>
    <w:link w:val="Footer"/>
    <w:uiPriority w:val="99"/>
    <w:rsid w:val="00C8151F"/>
    <w:rPr>
      <w:rFonts w:asciiTheme="majorBidi" w:hAnsiTheme="majorBidi"/>
      <w:szCs w:val="22"/>
    </w:rPr>
  </w:style>
  <w:style w:type="character" w:styleId="PageNumber">
    <w:name w:val="page number"/>
    <w:basedOn w:val="DefaultParagraphFont"/>
    <w:uiPriority w:val="99"/>
    <w:semiHidden/>
    <w:unhideWhenUsed/>
    <w:rsid w:val="00C8151F"/>
  </w:style>
  <w:style w:type="paragraph" w:styleId="Header">
    <w:name w:val="header"/>
    <w:basedOn w:val="Normal"/>
    <w:link w:val="HeaderChar"/>
    <w:uiPriority w:val="99"/>
    <w:unhideWhenUsed/>
    <w:rsid w:val="00C8151F"/>
    <w:pPr>
      <w:tabs>
        <w:tab w:val="center" w:pos="4680"/>
        <w:tab w:val="right" w:pos="9360"/>
      </w:tabs>
    </w:pPr>
  </w:style>
  <w:style w:type="character" w:customStyle="1" w:styleId="HeaderChar">
    <w:name w:val="Header Char"/>
    <w:basedOn w:val="DefaultParagraphFont"/>
    <w:link w:val="Header"/>
    <w:uiPriority w:val="99"/>
    <w:rsid w:val="00C8151F"/>
  </w:style>
  <w:style w:type="paragraph" w:styleId="Title">
    <w:name w:val="Title"/>
    <w:basedOn w:val="Normal"/>
    <w:next w:val="Normal"/>
    <w:link w:val="TitleChar"/>
    <w:uiPriority w:val="10"/>
    <w:rsid w:val="00C8151F"/>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C8151F"/>
    <w:rPr>
      <w:rFonts w:asciiTheme="majorHAnsi" w:eastAsiaTheme="majorEastAsia" w:hAnsiTheme="majorHAnsi" w:cstheme="majorBidi"/>
      <w:color w:val="000000" w:themeColor="text2" w:themeShade="BF"/>
      <w:spacing w:val="5"/>
      <w:kern w:val="28"/>
      <w:sz w:val="52"/>
      <w:szCs w:val="52"/>
    </w:rPr>
  </w:style>
  <w:style w:type="paragraph" w:customStyle="1" w:styleId="APAHeading5">
    <w:name w:val="APA Heading 5"/>
    <w:next w:val="APAParagraph"/>
    <w:qFormat/>
    <w:rsid w:val="00C8151F"/>
    <w:pPr>
      <w:spacing w:line="480" w:lineRule="auto"/>
    </w:pPr>
    <w:rPr>
      <w:rFonts w:eastAsiaTheme="majorEastAsia" w:cstheme="majorBidi"/>
      <w:i/>
      <w:spacing w:val="5"/>
      <w:kern w:val="28"/>
      <w:szCs w:val="52"/>
    </w:rPr>
  </w:style>
  <w:style w:type="paragraph" w:customStyle="1" w:styleId="APAParagraph">
    <w:name w:val="APA Paragraph"/>
    <w:basedOn w:val="Normal"/>
    <w:qFormat/>
    <w:rsid w:val="00594428"/>
    <w:pPr>
      <w:spacing w:line="480" w:lineRule="auto"/>
      <w:ind w:firstLine="562"/>
      <w:jc w:val="both"/>
    </w:pPr>
  </w:style>
  <w:style w:type="paragraph" w:customStyle="1" w:styleId="APA-ishFigureCaption">
    <w:name w:val="APA-ish Figure Caption"/>
    <w:next w:val="APAParagraph"/>
    <w:qFormat/>
    <w:rsid w:val="00C8151F"/>
    <w:pPr>
      <w:spacing w:after="240"/>
    </w:pPr>
    <w:rPr>
      <w:rFonts w:eastAsiaTheme="majorEastAsia" w:cstheme="majorBidi"/>
      <w:b/>
      <w:spacing w:val="5"/>
      <w:kern w:val="28"/>
      <w:sz w:val="20"/>
      <w:szCs w:val="52"/>
    </w:rPr>
  </w:style>
  <w:style w:type="paragraph" w:styleId="TOCHeading">
    <w:name w:val="TOC Heading"/>
    <w:basedOn w:val="Heading1"/>
    <w:next w:val="Normal"/>
    <w:uiPriority w:val="39"/>
    <w:unhideWhenUsed/>
    <w:qFormat/>
    <w:rsid w:val="00C8151F"/>
    <w:pPr>
      <w:spacing w:before="480" w:line="276" w:lineRule="auto"/>
      <w:jc w:val="left"/>
      <w:outlineLvl w:val="9"/>
    </w:pPr>
    <w:rPr>
      <w:rFonts w:asciiTheme="majorHAnsi" w:hAnsiTheme="majorHAnsi"/>
      <w:color w:val="A5A5A5" w:themeColor="accent1" w:themeShade="BF"/>
      <w:lang w:eastAsia="ja-JP"/>
    </w:rPr>
  </w:style>
  <w:style w:type="paragraph" w:styleId="TOC2">
    <w:name w:val="toc 2"/>
    <w:basedOn w:val="Normal"/>
    <w:next w:val="Normal"/>
    <w:autoRedefine/>
    <w:uiPriority w:val="39"/>
    <w:unhideWhenUsed/>
    <w:qFormat/>
    <w:rsid w:val="00FC0C0E"/>
    <w:pPr>
      <w:tabs>
        <w:tab w:val="right" w:leader="dot" w:pos="9350"/>
      </w:tabs>
      <w:spacing w:after="100" w:line="360" w:lineRule="auto"/>
      <w:ind w:left="220"/>
    </w:pPr>
    <w:rPr>
      <w:rFonts w:asciiTheme="minorHAnsi" w:eastAsiaTheme="minorEastAsia" w:hAnsiTheme="minorHAnsi"/>
      <w:sz w:val="22"/>
      <w:szCs w:val="22"/>
      <w:lang w:eastAsia="ja-JP"/>
    </w:rPr>
  </w:style>
  <w:style w:type="paragraph" w:styleId="TOC1">
    <w:name w:val="toc 1"/>
    <w:basedOn w:val="Normal"/>
    <w:next w:val="Normal"/>
    <w:autoRedefine/>
    <w:uiPriority w:val="39"/>
    <w:unhideWhenUsed/>
    <w:qFormat/>
    <w:rsid w:val="00594428"/>
    <w:pPr>
      <w:tabs>
        <w:tab w:val="right" w:leader="dot" w:pos="9350"/>
      </w:tabs>
      <w:spacing w:line="480" w:lineRule="auto"/>
    </w:pPr>
    <w:rPr>
      <w:rFonts w:eastAsiaTheme="minorEastAsia"/>
      <w:szCs w:val="22"/>
      <w:lang w:eastAsia="ja-JP"/>
    </w:rPr>
  </w:style>
  <w:style w:type="paragraph" w:styleId="TOC3">
    <w:name w:val="toc 3"/>
    <w:basedOn w:val="Normal"/>
    <w:next w:val="Normal"/>
    <w:autoRedefine/>
    <w:uiPriority w:val="39"/>
    <w:unhideWhenUsed/>
    <w:qFormat/>
    <w:rsid w:val="00C8151F"/>
    <w:pPr>
      <w:spacing w:after="100" w:line="276" w:lineRule="auto"/>
      <w:ind w:left="440"/>
    </w:pPr>
    <w:rPr>
      <w:rFonts w:asciiTheme="minorHAnsi" w:eastAsiaTheme="minorEastAsia" w:hAnsiTheme="minorHAnsi"/>
      <w:sz w:val="22"/>
      <w:szCs w:val="22"/>
      <w:lang w:eastAsia="ja-JP"/>
    </w:rPr>
  </w:style>
  <w:style w:type="character" w:styleId="Hyperlink">
    <w:name w:val="Hyperlink"/>
    <w:basedOn w:val="DefaultParagraphFont"/>
    <w:uiPriority w:val="99"/>
    <w:unhideWhenUsed/>
    <w:rsid w:val="00C8151F"/>
    <w:rPr>
      <w:color w:val="5F5F5F" w:themeColor="hyperlink"/>
      <w:u w:val="single"/>
    </w:rPr>
  </w:style>
  <w:style w:type="paragraph" w:customStyle="1" w:styleId="APAReferences">
    <w:name w:val="APA References"/>
    <w:basedOn w:val="Normal"/>
    <w:qFormat/>
    <w:rsid w:val="0033562E"/>
    <w:pPr>
      <w:ind w:left="720" w:hanging="720"/>
    </w:pPr>
  </w:style>
  <w:style w:type="paragraph" w:styleId="TableofFigures">
    <w:name w:val="table of figures"/>
    <w:basedOn w:val="Normal"/>
    <w:next w:val="Normal"/>
    <w:uiPriority w:val="99"/>
    <w:unhideWhenUsed/>
    <w:rsid w:val="00C8151F"/>
  </w:style>
  <w:style w:type="table" w:styleId="TableGrid">
    <w:name w:val="Table Grid"/>
    <w:basedOn w:val="TableNormal"/>
    <w:uiPriority w:val="39"/>
    <w:unhideWhenUsed/>
    <w:rsid w:val="00C8151F"/>
    <w:rPr>
      <w:rFonts w:ascii="Calibri" w:hAnsi="Calibri"/>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8151F"/>
    <w:rPr>
      <w:i/>
      <w:iCs/>
    </w:rPr>
  </w:style>
  <w:style w:type="paragraph" w:customStyle="1" w:styleId="CitaviBibliographyEntry">
    <w:name w:val="Citavi Bibliography Entry"/>
    <w:basedOn w:val="Normal"/>
    <w:link w:val="CitaviBibliographyEntryChar"/>
    <w:rsid w:val="00C8151F"/>
    <w:pPr>
      <w:tabs>
        <w:tab w:val="left" w:pos="283"/>
      </w:tabs>
      <w:spacing w:after="60" w:line="360" w:lineRule="auto"/>
      <w:ind w:left="283" w:hanging="283"/>
    </w:pPr>
    <w:rPr>
      <w:szCs w:val="22"/>
      <w:lang w:val="en-GB"/>
    </w:rPr>
  </w:style>
  <w:style w:type="character" w:customStyle="1" w:styleId="CitaviBibliographyEntryChar">
    <w:name w:val="Citavi Bibliography Entry Char"/>
    <w:basedOn w:val="DefaultParagraphFont"/>
    <w:link w:val="CitaviBibliographyEntry"/>
    <w:rsid w:val="00C8151F"/>
    <w:rPr>
      <w:szCs w:val="22"/>
      <w:lang w:val="en-GB"/>
    </w:rPr>
  </w:style>
  <w:style w:type="character" w:customStyle="1" w:styleId="ref-journal">
    <w:name w:val="ref-journal"/>
    <w:basedOn w:val="DefaultParagraphFont"/>
    <w:rsid w:val="00C8151F"/>
  </w:style>
  <w:style w:type="character" w:customStyle="1" w:styleId="ref-vol">
    <w:name w:val="ref-vol"/>
    <w:basedOn w:val="DefaultParagraphFont"/>
    <w:rsid w:val="00C8151F"/>
  </w:style>
  <w:style w:type="paragraph" w:styleId="Caption">
    <w:name w:val="caption"/>
    <w:basedOn w:val="Normal"/>
    <w:next w:val="Normal"/>
    <w:uiPriority w:val="35"/>
    <w:unhideWhenUsed/>
    <w:qFormat/>
    <w:rsid w:val="00371EA1"/>
    <w:pPr>
      <w:spacing w:before="120" w:after="240" w:line="480" w:lineRule="auto"/>
      <w:jc w:val="center"/>
    </w:pPr>
    <w:rPr>
      <w:rFonts w:eastAsia="Times New Roman"/>
      <w:b/>
      <w:bCs/>
      <w:noProof/>
      <w:sz w:val="20"/>
      <w:szCs w:val="20"/>
    </w:rPr>
  </w:style>
  <w:style w:type="character" w:customStyle="1" w:styleId="nlmpublisher-loc">
    <w:name w:val="nlm_publisher-loc"/>
    <w:basedOn w:val="DefaultParagraphFont"/>
    <w:rsid w:val="00C8151F"/>
  </w:style>
  <w:style w:type="character" w:customStyle="1" w:styleId="googlescholar-container">
    <w:name w:val="googlescholar-container"/>
    <w:basedOn w:val="DefaultParagraphFont"/>
    <w:rsid w:val="00C8151F"/>
  </w:style>
  <w:style w:type="paragraph" w:styleId="TOC4">
    <w:name w:val="toc 4"/>
    <w:basedOn w:val="Normal"/>
    <w:next w:val="Normal"/>
    <w:autoRedefine/>
    <w:uiPriority w:val="39"/>
    <w:unhideWhenUsed/>
    <w:rsid w:val="00C8151F"/>
    <w:pPr>
      <w:spacing w:after="100"/>
      <w:ind w:left="720"/>
    </w:pPr>
  </w:style>
  <w:style w:type="paragraph" w:styleId="ListParagraph">
    <w:name w:val="List Paragraph"/>
    <w:basedOn w:val="Normal"/>
    <w:uiPriority w:val="34"/>
    <w:qFormat/>
    <w:rsid w:val="00C8151F"/>
    <w:pPr>
      <w:spacing w:after="160" w:line="259" w:lineRule="auto"/>
      <w:ind w:left="720"/>
      <w:contextualSpacing/>
    </w:pPr>
    <w:rPr>
      <w:rFonts w:ascii="Calibri" w:hAnsi="Calibri"/>
      <w:szCs w:val="22"/>
    </w:rPr>
  </w:style>
  <w:style w:type="table" w:customStyle="1" w:styleId="LightShading1">
    <w:name w:val="Light Shading1"/>
    <w:basedOn w:val="TableNormal"/>
    <w:uiPriority w:val="60"/>
    <w:rsid w:val="00C8151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BE5DC3"/>
  </w:style>
  <w:style w:type="table" w:customStyle="1" w:styleId="PlainTable41">
    <w:name w:val="Plain Table 41"/>
    <w:basedOn w:val="TableNormal"/>
    <w:uiPriority w:val="44"/>
    <w:rsid w:val="005051D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1">
    <w:name w:val="List Table 1 Light1"/>
    <w:basedOn w:val="TableNormal"/>
    <w:uiPriority w:val="46"/>
    <w:rsid w:val="00FF130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FF13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customStyle="1" w:styleId="PlainTable21">
    <w:name w:val="Plain Table 21"/>
    <w:basedOn w:val="TableGrid3"/>
    <w:uiPriority w:val="42"/>
    <w:rsid w:val="00FF1300"/>
    <w:tblPr>
      <w:tblStyleRowBandSize w:val="1"/>
      <w:tblStyleColBandSize w:val="1"/>
      <w:tblBorders>
        <w:top w:val="single" w:sz="4" w:space="0" w:color="7F7F7F" w:themeColor="text1" w:themeTint="80"/>
        <w:left w:val="none" w:sz="0" w:space="0" w:color="auto"/>
        <w:bottom w:val="single" w:sz="4" w:space="0" w:color="7F7F7F" w:themeColor="text1" w:themeTint="80"/>
        <w:right w:val="none" w:sz="0" w:space="0" w:color="auto"/>
        <w:insideV w:val="none" w:sz="0" w:space="0" w:color="auto"/>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shd w:val="pct30" w:color="FFFF00" w:fill="FFFFFF"/>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Pr/>
      <w:tcPr>
        <w:tcBorders>
          <w:tl2br w:val="none" w:sz="0" w:space="0" w:color="auto"/>
          <w:tr2bl w:val="none" w:sz="0" w:space="0" w:color="auto"/>
        </w:tcBorders>
      </w:tc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E95D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61">
    <w:name w:val="Grid Table 4 - Accent 61"/>
    <w:basedOn w:val="TableNormal"/>
    <w:uiPriority w:val="49"/>
    <w:rsid w:val="00E95DE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41">
    <w:name w:val="Grid Table 41"/>
    <w:basedOn w:val="TableNormal"/>
    <w:uiPriority w:val="49"/>
    <w:rsid w:val="00E95DE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E95DE0"/>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GridTable4-Accent31">
    <w:name w:val="Grid Table 4 - Accent 31"/>
    <w:basedOn w:val="TableNormal"/>
    <w:uiPriority w:val="49"/>
    <w:rsid w:val="00620515"/>
    <w:rPr>
      <w:rFonts w:cs="Times New Roman"/>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GridTable4-Accent41">
    <w:name w:val="Grid Table 4 - Accent 41"/>
    <w:basedOn w:val="TableNormal"/>
    <w:uiPriority w:val="49"/>
    <w:rsid w:val="00620515"/>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ListTable7Colorful-Accent61">
    <w:name w:val="List Table 7 Colorful - Accent 61"/>
    <w:basedOn w:val="TableNormal"/>
    <w:uiPriority w:val="52"/>
    <w:rsid w:val="00986A4F"/>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3">
    <w:name w:val="Table Grid 3"/>
    <w:basedOn w:val="TableNormal"/>
    <w:uiPriority w:val="99"/>
    <w:semiHidden/>
    <w:unhideWhenUsed/>
    <w:rsid w:val="00986A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dTable4-Accent51">
    <w:name w:val="Grid Table 4 - Accent 51"/>
    <w:basedOn w:val="TableNormal"/>
    <w:uiPriority w:val="49"/>
    <w:rsid w:val="008D4E2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paragraph" w:styleId="DocumentMap">
    <w:name w:val="Document Map"/>
    <w:basedOn w:val="Normal"/>
    <w:link w:val="DocumentMapChar"/>
    <w:uiPriority w:val="99"/>
    <w:semiHidden/>
    <w:unhideWhenUsed/>
    <w:rsid w:val="006E0F32"/>
    <w:rPr>
      <w:rFonts w:ascii="Tahoma" w:hAnsi="Tahoma" w:cs="Tahoma"/>
      <w:sz w:val="16"/>
      <w:szCs w:val="16"/>
    </w:rPr>
  </w:style>
  <w:style w:type="character" w:customStyle="1" w:styleId="DocumentMapChar">
    <w:name w:val="Document Map Char"/>
    <w:basedOn w:val="DefaultParagraphFont"/>
    <w:link w:val="DocumentMap"/>
    <w:uiPriority w:val="99"/>
    <w:semiHidden/>
    <w:rsid w:val="006E0F32"/>
    <w:rPr>
      <w:rFonts w:ascii="Tahoma" w:hAnsi="Tahoma" w:cs="Tahoma"/>
      <w:sz w:val="16"/>
      <w:szCs w:val="16"/>
    </w:rPr>
  </w:style>
  <w:style w:type="paragraph" w:customStyle="1" w:styleId="OtherChapterHeading">
    <w:name w:val="OtherChapterHeading"/>
    <w:basedOn w:val="ChapterTitle"/>
    <w:qFormat/>
    <w:rsid w:val="008351E7"/>
    <w:pPr>
      <w:spacing w:before="240"/>
      <w:jc w:val="left"/>
    </w:pPr>
    <w:rPr>
      <w:i/>
      <w:smallCaps/>
      <w:sz w:val="28"/>
    </w:rPr>
  </w:style>
  <w:style w:type="paragraph" w:styleId="FootnoteText">
    <w:name w:val="footnote text"/>
    <w:basedOn w:val="Normal"/>
    <w:link w:val="FootnoteTextChar"/>
    <w:uiPriority w:val="99"/>
    <w:semiHidden/>
    <w:unhideWhenUsed/>
    <w:rsid w:val="008351E7"/>
    <w:rPr>
      <w:sz w:val="20"/>
      <w:szCs w:val="20"/>
    </w:rPr>
  </w:style>
  <w:style w:type="character" w:customStyle="1" w:styleId="FootnoteTextChar">
    <w:name w:val="Footnote Text Char"/>
    <w:basedOn w:val="DefaultParagraphFont"/>
    <w:link w:val="FootnoteText"/>
    <w:uiPriority w:val="99"/>
    <w:semiHidden/>
    <w:rsid w:val="008351E7"/>
    <w:rPr>
      <w:rFonts w:cs="Times New Roman"/>
      <w:sz w:val="20"/>
      <w:szCs w:val="20"/>
    </w:rPr>
  </w:style>
  <w:style w:type="character" w:styleId="FootnoteReference">
    <w:name w:val="footnote reference"/>
    <w:basedOn w:val="DefaultParagraphFont"/>
    <w:uiPriority w:val="99"/>
    <w:semiHidden/>
    <w:unhideWhenUsed/>
    <w:rsid w:val="008351E7"/>
    <w:rPr>
      <w:vertAlign w:val="superscript"/>
    </w:rPr>
  </w:style>
  <w:style w:type="character" w:customStyle="1" w:styleId="journaltitle">
    <w:name w:val="journaltitle"/>
    <w:basedOn w:val="DefaultParagraphFont"/>
    <w:rsid w:val="008351E7"/>
  </w:style>
  <w:style w:type="character" w:customStyle="1" w:styleId="citationref">
    <w:name w:val="citationref"/>
    <w:basedOn w:val="DefaultParagraphFont"/>
    <w:rsid w:val="008351E7"/>
  </w:style>
  <w:style w:type="character" w:customStyle="1" w:styleId="mixed-citation">
    <w:name w:val="mixed-citation"/>
    <w:basedOn w:val="DefaultParagraphFont"/>
    <w:rsid w:val="00FD4D49"/>
  </w:style>
  <w:style w:type="character" w:customStyle="1" w:styleId="ref-title">
    <w:name w:val="ref-title"/>
    <w:basedOn w:val="DefaultParagraphFont"/>
    <w:rsid w:val="00C74DC3"/>
  </w:style>
  <w:style w:type="character" w:styleId="LineNumber">
    <w:name w:val="line number"/>
    <w:basedOn w:val="DefaultParagraphFont"/>
    <w:uiPriority w:val="99"/>
    <w:semiHidden/>
    <w:unhideWhenUsed/>
    <w:rsid w:val="00AD5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878239">
      <w:bodyDiv w:val="1"/>
      <w:marLeft w:val="0"/>
      <w:marRight w:val="0"/>
      <w:marTop w:val="0"/>
      <w:marBottom w:val="0"/>
      <w:divBdr>
        <w:top w:val="none" w:sz="0" w:space="0" w:color="auto"/>
        <w:left w:val="none" w:sz="0" w:space="0" w:color="auto"/>
        <w:bottom w:val="none" w:sz="0" w:space="0" w:color="auto"/>
        <w:right w:val="none" w:sz="0" w:space="0" w:color="auto"/>
      </w:divBdr>
      <w:divsChild>
        <w:div w:id="1256941088">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Layout" Target="diagrams/layout2.xml"/><Relationship Id="rId42" Type="http://schemas.openxmlformats.org/officeDocument/2006/relationships/diagramColors" Target="diagrams/colors5.xml"/><Relationship Id="rId47" Type="http://schemas.openxmlformats.org/officeDocument/2006/relationships/diagramQuickStyle" Target="diagrams/quickStyle6.xml"/><Relationship Id="rId63" Type="http://schemas.microsoft.com/office/2007/relationships/diagramDrawing" Target="diagrams/drawing8.xml"/><Relationship Id="rId68" Type="http://schemas.openxmlformats.org/officeDocument/2006/relationships/hyperlink" Target="http://www.gulfbase.com/news/uae-world-s-fastest-growing-medical-tourism-hub/303483" TargetMode="External"/><Relationship Id="rId16" Type="http://schemas.openxmlformats.org/officeDocument/2006/relationships/diagramLayout" Target="diagrams/layout1.xml"/><Relationship Id="rId11" Type="http://schemas.openxmlformats.org/officeDocument/2006/relationships/image" Target="media/image3.jpeg"/><Relationship Id="rId32" Type="http://schemas.openxmlformats.org/officeDocument/2006/relationships/hyperlink" Target="https://www.ncbi.nlm.nih.gov/pubmed/?term=Hafeez-Baig%20A%5BAuthor%5D&amp;cauthor=true&amp;cauthor_uid=25540040" TargetMode="External"/><Relationship Id="rId37" Type="http://schemas.microsoft.com/office/2007/relationships/diagramDrawing" Target="diagrams/drawing4.xml"/><Relationship Id="rId53" Type="http://schemas.openxmlformats.org/officeDocument/2006/relationships/image" Target="media/image7.png"/><Relationship Id="rId58" Type="http://schemas.microsoft.com/office/2007/relationships/diagramDrawing" Target="diagrams/drawing7.xml"/><Relationship Id="rId74" Type="http://schemas.openxmlformats.org/officeDocument/2006/relationships/hyperlink" Target="https://www.pwc.com/gx/en/psrc/publications/assets/pwc-transformative-power-of-innovation.pdf"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diagramQuickStyle" Target="diagrams/quickStyle8.xml"/><Relationship Id="rId19" Type="http://schemas.microsoft.com/office/2007/relationships/diagramDrawing" Target="diagrams/drawing1.xml"/><Relationship Id="rId14" Type="http://schemas.openxmlformats.org/officeDocument/2006/relationships/footer" Target="footer3.xml"/><Relationship Id="rId22" Type="http://schemas.openxmlformats.org/officeDocument/2006/relationships/diagramQuickStyle" Target="diagrams/quickStyle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diagramQuickStyle" Target="diagrams/quickStyle4.xml"/><Relationship Id="rId43" Type="http://schemas.microsoft.com/office/2007/relationships/diagramDrawing" Target="diagrams/drawing5.xml"/><Relationship Id="rId48" Type="http://schemas.openxmlformats.org/officeDocument/2006/relationships/diagramColors" Target="diagrams/colors6.xml"/><Relationship Id="rId56" Type="http://schemas.openxmlformats.org/officeDocument/2006/relationships/diagramQuickStyle" Target="diagrams/quickStyle7.xml"/><Relationship Id="rId64" Type="http://schemas.openxmlformats.org/officeDocument/2006/relationships/hyperlink" Target="http://dx.doi.org/10.14569/IJACSA.2011.020808" TargetMode="External"/><Relationship Id="rId69" Type="http://schemas.openxmlformats.org/officeDocument/2006/relationships/hyperlink" Target="https://aisel.aisnet.org/cais/" TargetMode="External"/><Relationship Id="rId77" Type="http://schemas.openxmlformats.org/officeDocument/2006/relationships/hyperlink" Target="https://ieeexplore.ieee.org/document/6148404" TargetMode="External"/><Relationship Id="rId8" Type="http://schemas.openxmlformats.org/officeDocument/2006/relationships/image" Target="media/image1.png"/><Relationship Id="rId51" Type="http://schemas.openxmlformats.org/officeDocument/2006/relationships/image" Target="media/image5.png"/><Relationship Id="rId72" Type="http://schemas.openxmlformats.org/officeDocument/2006/relationships/hyperlink" Target="https://ieeexplore.ieee.org/xpl/mostRecentIssue.jsp?punumber=6148328"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diagramQuickStyle" Target="diagrams/quickStyle1.xml"/><Relationship Id="rId25" Type="http://schemas.openxmlformats.org/officeDocument/2006/relationships/hyperlink" Target="http://www.scielo.br/scielo.php?script=sci_arttext&amp;pid=S1808-23862017000300336" TargetMode="External"/><Relationship Id="rId33" Type="http://schemas.openxmlformats.org/officeDocument/2006/relationships/diagramData" Target="diagrams/data4.xml"/><Relationship Id="rId38" Type="http://schemas.openxmlformats.org/officeDocument/2006/relationships/hyperlink" Target="https://ieeexplore.ieee.org/author/37394667600" TargetMode="External"/><Relationship Id="rId46" Type="http://schemas.openxmlformats.org/officeDocument/2006/relationships/diagramLayout" Target="diagrams/layout6.xml"/><Relationship Id="rId59" Type="http://schemas.openxmlformats.org/officeDocument/2006/relationships/diagramData" Target="diagrams/data8.xml"/><Relationship Id="rId67" Type="http://schemas.openxmlformats.org/officeDocument/2006/relationships/hyperlink" Target="https://www.ncbi.nlm.nih.gov/pubmed/?term=Farzandipur%20M%5BAuthor%5D&amp;cauthor=true&amp;cauthor_uid=27041811" TargetMode="External"/><Relationship Id="rId20" Type="http://schemas.openxmlformats.org/officeDocument/2006/relationships/diagramData" Target="diagrams/data2.xml"/><Relationship Id="rId41" Type="http://schemas.openxmlformats.org/officeDocument/2006/relationships/diagramQuickStyle" Target="diagrams/quickStyle5.xml"/><Relationship Id="rId54" Type="http://schemas.openxmlformats.org/officeDocument/2006/relationships/diagramData" Target="diagrams/data7.xml"/><Relationship Id="rId62" Type="http://schemas.openxmlformats.org/officeDocument/2006/relationships/diagramColors" Target="diagrams/colors8.xml"/><Relationship Id="rId70" Type="http://schemas.openxmlformats.org/officeDocument/2006/relationships/hyperlink" Target="https://www.tandfonline.com/loi/wths20" TargetMode="External"/><Relationship Id="rId75" Type="http://schemas.openxmlformats.org/officeDocument/2006/relationships/hyperlink" Target="https://bspace.buid.ac.ae/handle/1234/7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QuickStyle" Target="diagrams/quickStyle3.xml"/><Relationship Id="rId36" Type="http://schemas.openxmlformats.org/officeDocument/2006/relationships/diagramColors" Target="diagrams/colors4.xml"/><Relationship Id="rId49" Type="http://schemas.microsoft.com/office/2007/relationships/diagramDrawing" Target="diagrams/drawing6.xml"/><Relationship Id="rId57" Type="http://schemas.openxmlformats.org/officeDocument/2006/relationships/diagramColors" Target="diagrams/colors7.xml"/><Relationship Id="rId10" Type="http://schemas.openxmlformats.org/officeDocument/2006/relationships/image" Target="media/image2.jpeg"/><Relationship Id="rId31" Type="http://schemas.openxmlformats.org/officeDocument/2006/relationships/hyperlink" Target="https://www.ncbi.nlm.nih.gov/pubmed/?term=Gururajan%20R%5BAuthor%5D&amp;cauthor=true&amp;cauthor_uid=25540040" TargetMode="External"/><Relationship Id="rId44" Type="http://schemas.openxmlformats.org/officeDocument/2006/relationships/hyperlink" Target="https://link.springer.com/article/10.3758/s13428-011-0077-9" TargetMode="External"/><Relationship Id="rId52" Type="http://schemas.openxmlformats.org/officeDocument/2006/relationships/image" Target="media/image6.png"/><Relationship Id="rId60" Type="http://schemas.openxmlformats.org/officeDocument/2006/relationships/diagramLayout" Target="diagrams/layout8.xml"/><Relationship Id="rId65" Type="http://schemas.openxmlformats.org/officeDocument/2006/relationships/hyperlink" Target="http://etheses.whiterose.ac.uk/9632/" TargetMode="External"/><Relationship Id="rId73" Type="http://schemas.openxmlformats.org/officeDocument/2006/relationships/hyperlink" Target="http://ict-industry-reports.com.au/wp-content/uploads/sites/4/2013/10/2007-Innovation-Growth-Rationale-for-Innovation-Strategy-OECD-Sept-2007.pdf" TargetMode="External"/><Relationship Id="rId78" Type="http://schemas.openxmlformats.org/officeDocument/2006/relationships/hyperlink" Target="https://www.ncbi.nlm.nih.gov/pubmed/?term=Zinszer%20K%5BAuthor%5D&amp;cauthor=true&amp;cauthor_uid=23705692"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diagramColors" Target="diagrams/colors1.xml"/><Relationship Id="rId39" Type="http://schemas.openxmlformats.org/officeDocument/2006/relationships/diagramData" Target="diagrams/data5.xml"/><Relationship Id="rId34" Type="http://schemas.openxmlformats.org/officeDocument/2006/relationships/diagramLayout" Target="diagrams/layout4.xml"/><Relationship Id="rId50" Type="http://schemas.openxmlformats.org/officeDocument/2006/relationships/image" Target="media/image4.png"/><Relationship Id="rId55" Type="http://schemas.openxmlformats.org/officeDocument/2006/relationships/diagramLayout" Target="diagrams/layout7.xml"/><Relationship Id="rId76" Type="http://schemas.openxmlformats.org/officeDocument/2006/relationships/hyperlink" Target="https://pdfs.semanticscholar.org/898f/cc4c1e970aa9cf671aab8a663d47533739d2.pdf" TargetMode="External"/><Relationship Id="rId7" Type="http://schemas.openxmlformats.org/officeDocument/2006/relationships/endnotes" Target="endnotes.xml"/><Relationship Id="rId71" Type="http://schemas.openxmlformats.org/officeDocument/2006/relationships/hyperlink" Target="https://ieeexplore.ieee.org/author/37394667600" TargetMode="External"/><Relationship Id="rId2" Type="http://schemas.openxmlformats.org/officeDocument/2006/relationships/numbering" Target="numbering.xml"/><Relationship Id="rId29" Type="http://schemas.openxmlformats.org/officeDocument/2006/relationships/diagramColors" Target="diagrams/colors3.xml"/><Relationship Id="rId24" Type="http://schemas.microsoft.com/office/2007/relationships/diagramDrawing" Target="diagrams/drawing2.xml"/><Relationship Id="rId40" Type="http://schemas.openxmlformats.org/officeDocument/2006/relationships/diagramLayout" Target="diagrams/layout5.xml"/><Relationship Id="rId45" Type="http://schemas.openxmlformats.org/officeDocument/2006/relationships/diagramData" Target="diagrams/data6.xml"/><Relationship Id="rId66" Type="http://schemas.openxmlformats.org/officeDocument/2006/relationships/hyperlink" Target="http://www.phi.org/uploads/application/files/mjr85izva3yk7v3ah3yqtf5bt1phgzywg67a7zlsv7xcy9h85w.pdf"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CC1A25-347C-4E7F-9AE1-7D532A01FB9C}" type="doc">
      <dgm:prSet loTypeId="urn:microsoft.com/office/officeart/2005/8/layout/list1" loCatId="list" qsTypeId="urn:microsoft.com/office/officeart/2005/8/quickstyle/simple1" qsCatId="simple" csTypeId="urn:microsoft.com/office/officeart/2005/8/colors/accent3_1" csCatId="accent3" phldr="1"/>
      <dgm:spPr/>
      <dgm:t>
        <a:bodyPr/>
        <a:lstStyle/>
        <a:p>
          <a:endParaRPr lang="en-US"/>
        </a:p>
      </dgm:t>
    </dgm:pt>
    <dgm:pt modelId="{0E765002-56DA-4ABA-A826-404BD205802A}">
      <dgm:prSet phldrT="[Text]" custT="1"/>
      <dgm:spPr/>
      <dgm:t>
        <a:bodyPr/>
        <a:lstStyle/>
        <a:p>
          <a:r>
            <a:rPr lang="en-US" sz="1000">
              <a:latin typeface="Times New Roman" pitchFamily="18" charset="0"/>
              <a:cs typeface="Times New Roman" pitchFamily="18" charset="0"/>
            </a:rPr>
            <a:t>Chapter 1: Introduction</a:t>
          </a:r>
        </a:p>
      </dgm:t>
    </dgm:pt>
    <dgm:pt modelId="{2D5F8EF4-695B-4C76-A971-D61398529399}" type="parTrans" cxnId="{60FB3907-287A-4B59-831A-868349B9A1D1}">
      <dgm:prSet/>
      <dgm:spPr/>
      <dgm:t>
        <a:bodyPr/>
        <a:lstStyle/>
        <a:p>
          <a:endParaRPr lang="en-US" sz="1000">
            <a:latin typeface="Times New Roman" pitchFamily="18" charset="0"/>
            <a:cs typeface="Times New Roman" pitchFamily="18" charset="0"/>
          </a:endParaRPr>
        </a:p>
      </dgm:t>
    </dgm:pt>
    <dgm:pt modelId="{2E3A7DCB-F283-4CB0-836C-60B4D5C86B9D}" type="sibTrans" cxnId="{60FB3907-287A-4B59-831A-868349B9A1D1}">
      <dgm:prSet/>
      <dgm:spPr/>
      <dgm:t>
        <a:bodyPr/>
        <a:lstStyle/>
        <a:p>
          <a:endParaRPr lang="en-US" sz="1000">
            <a:latin typeface="Times New Roman" pitchFamily="18" charset="0"/>
            <a:cs typeface="Times New Roman" pitchFamily="18" charset="0"/>
          </a:endParaRPr>
        </a:p>
      </dgm:t>
    </dgm:pt>
    <dgm:pt modelId="{04365C30-C687-4CD6-AD49-EAE6919D5459}">
      <dgm:prSet phldrT="[Text]" custT="1"/>
      <dgm:spPr/>
      <dgm:t>
        <a:bodyPr/>
        <a:lstStyle/>
        <a:p>
          <a:r>
            <a:rPr lang="en-US" sz="1000">
              <a:latin typeface="Times New Roman" pitchFamily="18" charset="0"/>
              <a:cs typeface="Times New Roman" pitchFamily="18" charset="0"/>
            </a:rPr>
            <a:t>Chapter 2: Literature Review</a:t>
          </a:r>
        </a:p>
      </dgm:t>
    </dgm:pt>
    <dgm:pt modelId="{A5FEA09D-6B0B-4F3E-A3BD-BA5D680D1D83}" type="parTrans" cxnId="{004CF5FE-3501-4ACA-8022-81ED2A155184}">
      <dgm:prSet/>
      <dgm:spPr/>
      <dgm:t>
        <a:bodyPr/>
        <a:lstStyle/>
        <a:p>
          <a:endParaRPr lang="en-US" sz="1000">
            <a:latin typeface="Times New Roman" pitchFamily="18" charset="0"/>
            <a:cs typeface="Times New Roman" pitchFamily="18" charset="0"/>
          </a:endParaRPr>
        </a:p>
      </dgm:t>
    </dgm:pt>
    <dgm:pt modelId="{CBC78211-1DDD-4729-9811-B5DD9467A407}" type="sibTrans" cxnId="{004CF5FE-3501-4ACA-8022-81ED2A155184}">
      <dgm:prSet/>
      <dgm:spPr/>
      <dgm:t>
        <a:bodyPr/>
        <a:lstStyle/>
        <a:p>
          <a:endParaRPr lang="en-US" sz="1000">
            <a:latin typeface="Times New Roman" pitchFamily="18" charset="0"/>
            <a:cs typeface="Times New Roman" pitchFamily="18" charset="0"/>
          </a:endParaRPr>
        </a:p>
      </dgm:t>
    </dgm:pt>
    <dgm:pt modelId="{5C6E4484-91BA-441C-B853-F4484A766ECA}">
      <dgm:prSet phldrT="[Text]" custT="1"/>
      <dgm:spPr/>
      <dgm:t>
        <a:bodyPr/>
        <a:lstStyle/>
        <a:p>
          <a:r>
            <a:rPr lang="en-US" sz="1000">
              <a:latin typeface="Times New Roman" pitchFamily="18" charset="0"/>
              <a:cs typeface="Times New Roman" pitchFamily="18" charset="0"/>
            </a:rPr>
            <a:t>Chapter 3: Theoretical Background</a:t>
          </a:r>
        </a:p>
      </dgm:t>
    </dgm:pt>
    <dgm:pt modelId="{8CA69DA0-A572-4F27-A45D-5104C770DBBB}" type="parTrans" cxnId="{41BA150D-E5AF-4D08-9B8D-649AB3AFF2B0}">
      <dgm:prSet/>
      <dgm:spPr/>
      <dgm:t>
        <a:bodyPr/>
        <a:lstStyle/>
        <a:p>
          <a:endParaRPr lang="en-US" sz="1000">
            <a:latin typeface="Times New Roman" pitchFamily="18" charset="0"/>
            <a:cs typeface="Times New Roman" pitchFamily="18" charset="0"/>
          </a:endParaRPr>
        </a:p>
      </dgm:t>
    </dgm:pt>
    <dgm:pt modelId="{8F816309-1FAE-41DB-B815-115987DB40E0}" type="sibTrans" cxnId="{41BA150D-E5AF-4D08-9B8D-649AB3AFF2B0}">
      <dgm:prSet/>
      <dgm:spPr/>
      <dgm:t>
        <a:bodyPr/>
        <a:lstStyle/>
        <a:p>
          <a:endParaRPr lang="en-US" sz="1000">
            <a:latin typeface="Times New Roman" pitchFamily="18" charset="0"/>
            <a:cs typeface="Times New Roman" pitchFamily="18" charset="0"/>
          </a:endParaRPr>
        </a:p>
      </dgm:t>
    </dgm:pt>
    <dgm:pt modelId="{12F5A86B-A651-4229-8AA6-3435330C5626}">
      <dgm:prSet custT="1"/>
      <dgm:spPr/>
      <dgm:t>
        <a:bodyPr/>
        <a:lstStyle/>
        <a:p>
          <a:r>
            <a:rPr lang="en-US" sz="1000">
              <a:latin typeface="Times New Roman" pitchFamily="18" charset="0"/>
              <a:cs typeface="Times New Roman" pitchFamily="18" charset="0"/>
            </a:rPr>
            <a:t>Chapter 4: Data and Methodology</a:t>
          </a:r>
        </a:p>
      </dgm:t>
    </dgm:pt>
    <dgm:pt modelId="{72947D60-DF20-4534-B7D0-3ADDBDF96306}" type="parTrans" cxnId="{3D60831E-C3ED-464A-935E-7CCC869E3A8C}">
      <dgm:prSet/>
      <dgm:spPr/>
      <dgm:t>
        <a:bodyPr/>
        <a:lstStyle/>
        <a:p>
          <a:endParaRPr lang="en-US" sz="1000">
            <a:latin typeface="Times New Roman" pitchFamily="18" charset="0"/>
            <a:cs typeface="Times New Roman" pitchFamily="18" charset="0"/>
          </a:endParaRPr>
        </a:p>
      </dgm:t>
    </dgm:pt>
    <dgm:pt modelId="{40DA789B-0CD5-4B22-B80D-39B13A3E8693}" type="sibTrans" cxnId="{3D60831E-C3ED-464A-935E-7CCC869E3A8C}">
      <dgm:prSet/>
      <dgm:spPr/>
      <dgm:t>
        <a:bodyPr/>
        <a:lstStyle/>
        <a:p>
          <a:endParaRPr lang="en-US" sz="1000">
            <a:latin typeface="Times New Roman" pitchFamily="18" charset="0"/>
            <a:cs typeface="Times New Roman" pitchFamily="18" charset="0"/>
          </a:endParaRPr>
        </a:p>
      </dgm:t>
    </dgm:pt>
    <dgm:pt modelId="{BE487AB0-3C0B-4147-9D01-7B228F51F375}">
      <dgm:prSet custT="1"/>
      <dgm:spPr/>
      <dgm:t>
        <a:bodyPr/>
        <a:lstStyle/>
        <a:p>
          <a:r>
            <a:rPr lang="en-US" sz="1000">
              <a:latin typeface="Times New Roman" pitchFamily="18" charset="0"/>
              <a:cs typeface="Times New Roman" pitchFamily="18" charset="0"/>
            </a:rPr>
            <a:t>Chapter 5: Dissertation Findings and Analysis</a:t>
          </a:r>
        </a:p>
      </dgm:t>
    </dgm:pt>
    <dgm:pt modelId="{40246233-1473-47F6-B484-8F32EA5BB595}" type="parTrans" cxnId="{E29017A6-2A33-44A4-A869-1876634F4279}">
      <dgm:prSet/>
      <dgm:spPr/>
      <dgm:t>
        <a:bodyPr/>
        <a:lstStyle/>
        <a:p>
          <a:endParaRPr lang="en-US" sz="1000">
            <a:latin typeface="Times New Roman" pitchFamily="18" charset="0"/>
            <a:cs typeface="Times New Roman" pitchFamily="18" charset="0"/>
          </a:endParaRPr>
        </a:p>
      </dgm:t>
    </dgm:pt>
    <dgm:pt modelId="{44BEE498-CA19-4F42-BE81-5B5B1535E291}" type="sibTrans" cxnId="{E29017A6-2A33-44A4-A869-1876634F4279}">
      <dgm:prSet/>
      <dgm:spPr/>
      <dgm:t>
        <a:bodyPr/>
        <a:lstStyle/>
        <a:p>
          <a:endParaRPr lang="en-US" sz="1000">
            <a:latin typeface="Times New Roman" pitchFamily="18" charset="0"/>
            <a:cs typeface="Times New Roman" pitchFamily="18" charset="0"/>
          </a:endParaRPr>
        </a:p>
      </dgm:t>
    </dgm:pt>
    <dgm:pt modelId="{D3A875B4-65DB-4AAE-A626-AF9760B6631D}">
      <dgm:prSet custT="1"/>
      <dgm:spPr/>
      <dgm:t>
        <a:bodyPr/>
        <a:lstStyle/>
        <a:p>
          <a:r>
            <a:rPr lang="en-US" sz="1000">
              <a:latin typeface="Times New Roman" pitchFamily="18" charset="0"/>
              <a:cs typeface="Times New Roman" pitchFamily="18" charset="0"/>
            </a:rPr>
            <a:t>Chapter 6: </a:t>
          </a:r>
          <a:r>
            <a:rPr lang="en-GB" sz="1000">
              <a:latin typeface="Times New Roman" pitchFamily="18" charset="0"/>
              <a:cs typeface="Times New Roman" pitchFamily="18" charset="0"/>
            </a:rPr>
            <a:t>Implications and Suggestions for Future Research</a:t>
          </a:r>
          <a:endParaRPr lang="en-US" sz="1000">
            <a:latin typeface="Times New Roman" pitchFamily="18" charset="0"/>
            <a:cs typeface="Times New Roman" pitchFamily="18" charset="0"/>
          </a:endParaRPr>
        </a:p>
      </dgm:t>
    </dgm:pt>
    <dgm:pt modelId="{1EB0AF42-CC59-4F5E-ACEE-07D61A09569F}" type="parTrans" cxnId="{F7CF5B91-EEFF-4085-A9DF-62208FA0F499}">
      <dgm:prSet/>
      <dgm:spPr/>
      <dgm:t>
        <a:bodyPr/>
        <a:lstStyle/>
        <a:p>
          <a:endParaRPr lang="en-US" sz="1000">
            <a:latin typeface="Times New Roman" pitchFamily="18" charset="0"/>
            <a:cs typeface="Times New Roman" pitchFamily="18" charset="0"/>
          </a:endParaRPr>
        </a:p>
      </dgm:t>
    </dgm:pt>
    <dgm:pt modelId="{28A910F5-DF95-4862-A8C7-EB2D4AB57EE0}" type="sibTrans" cxnId="{F7CF5B91-EEFF-4085-A9DF-62208FA0F499}">
      <dgm:prSet/>
      <dgm:spPr/>
      <dgm:t>
        <a:bodyPr/>
        <a:lstStyle/>
        <a:p>
          <a:endParaRPr lang="en-US" sz="1000">
            <a:latin typeface="Times New Roman" pitchFamily="18" charset="0"/>
            <a:cs typeface="Times New Roman" pitchFamily="18" charset="0"/>
          </a:endParaRPr>
        </a:p>
      </dgm:t>
    </dgm:pt>
    <dgm:pt modelId="{66A9780D-DACA-4A6B-B815-2570BC527267}">
      <dgm:prSet custT="1"/>
      <dgm:spPr/>
      <dgm:t>
        <a:bodyPr/>
        <a:lstStyle/>
        <a:p>
          <a:r>
            <a:rPr lang="en-US" sz="1000">
              <a:latin typeface="Times New Roman" pitchFamily="18" charset="0"/>
              <a:cs typeface="Times New Roman" pitchFamily="18" charset="0"/>
            </a:rPr>
            <a:t>Chapter 7: Conclusion</a:t>
          </a:r>
        </a:p>
      </dgm:t>
    </dgm:pt>
    <dgm:pt modelId="{AEF76031-E87E-4521-A0EA-5D274C651FA2}" type="parTrans" cxnId="{0EEEAFA5-EBC5-4F44-BC9A-AD87D90F9F34}">
      <dgm:prSet/>
      <dgm:spPr/>
      <dgm:t>
        <a:bodyPr/>
        <a:lstStyle/>
        <a:p>
          <a:endParaRPr lang="en-US" sz="1000">
            <a:latin typeface="Times New Roman" pitchFamily="18" charset="0"/>
            <a:cs typeface="Times New Roman" pitchFamily="18" charset="0"/>
          </a:endParaRPr>
        </a:p>
      </dgm:t>
    </dgm:pt>
    <dgm:pt modelId="{F2CA0F23-E847-4582-90F9-4E071354F79F}" type="sibTrans" cxnId="{0EEEAFA5-EBC5-4F44-BC9A-AD87D90F9F34}">
      <dgm:prSet/>
      <dgm:spPr/>
      <dgm:t>
        <a:bodyPr/>
        <a:lstStyle/>
        <a:p>
          <a:endParaRPr lang="en-US" sz="1000">
            <a:latin typeface="Times New Roman" pitchFamily="18" charset="0"/>
            <a:cs typeface="Times New Roman" pitchFamily="18" charset="0"/>
          </a:endParaRPr>
        </a:p>
      </dgm:t>
    </dgm:pt>
    <dgm:pt modelId="{D3156FFB-456C-400C-B226-B9659FBD4CDC}" type="pres">
      <dgm:prSet presAssocID="{14CC1A25-347C-4E7F-9AE1-7D532A01FB9C}" presName="linear" presStyleCnt="0">
        <dgm:presLayoutVars>
          <dgm:dir/>
          <dgm:animLvl val="lvl"/>
          <dgm:resizeHandles val="exact"/>
        </dgm:presLayoutVars>
      </dgm:prSet>
      <dgm:spPr/>
    </dgm:pt>
    <dgm:pt modelId="{C32FEBF8-78AE-4130-B8E5-47835888D36A}" type="pres">
      <dgm:prSet presAssocID="{0E765002-56DA-4ABA-A826-404BD205802A}" presName="parentLin" presStyleCnt="0"/>
      <dgm:spPr/>
    </dgm:pt>
    <dgm:pt modelId="{D2D90F4E-21B0-49EE-9F6F-57317E7A9044}" type="pres">
      <dgm:prSet presAssocID="{0E765002-56DA-4ABA-A826-404BD205802A}" presName="parentLeftMargin" presStyleLbl="node1" presStyleIdx="0" presStyleCnt="7"/>
      <dgm:spPr/>
    </dgm:pt>
    <dgm:pt modelId="{A3706EA2-FAFE-4834-B30F-0421EA897254}" type="pres">
      <dgm:prSet presAssocID="{0E765002-56DA-4ABA-A826-404BD205802A}" presName="parentText" presStyleLbl="node1" presStyleIdx="0" presStyleCnt="7">
        <dgm:presLayoutVars>
          <dgm:chMax val="0"/>
          <dgm:bulletEnabled val="1"/>
        </dgm:presLayoutVars>
      </dgm:prSet>
      <dgm:spPr/>
    </dgm:pt>
    <dgm:pt modelId="{BC08E65C-3907-4552-93DA-372298448197}" type="pres">
      <dgm:prSet presAssocID="{0E765002-56DA-4ABA-A826-404BD205802A}" presName="negativeSpace" presStyleCnt="0"/>
      <dgm:spPr/>
    </dgm:pt>
    <dgm:pt modelId="{3E0C4AD7-CD2C-4400-8FBF-FE85D1C76CE5}" type="pres">
      <dgm:prSet presAssocID="{0E765002-56DA-4ABA-A826-404BD205802A}" presName="childText" presStyleLbl="conFgAcc1" presStyleIdx="0" presStyleCnt="7">
        <dgm:presLayoutVars>
          <dgm:bulletEnabled val="1"/>
        </dgm:presLayoutVars>
      </dgm:prSet>
      <dgm:spPr/>
    </dgm:pt>
    <dgm:pt modelId="{2E2B94BA-BA4E-4525-B338-6B79B834D4F2}" type="pres">
      <dgm:prSet presAssocID="{2E3A7DCB-F283-4CB0-836C-60B4D5C86B9D}" presName="spaceBetweenRectangles" presStyleCnt="0"/>
      <dgm:spPr/>
    </dgm:pt>
    <dgm:pt modelId="{448C5682-A353-49FC-B2FC-2C1C7259B908}" type="pres">
      <dgm:prSet presAssocID="{04365C30-C687-4CD6-AD49-EAE6919D5459}" presName="parentLin" presStyleCnt="0"/>
      <dgm:spPr/>
    </dgm:pt>
    <dgm:pt modelId="{2BA281AA-B6AE-47CD-AA9C-AA4F8CC5113B}" type="pres">
      <dgm:prSet presAssocID="{04365C30-C687-4CD6-AD49-EAE6919D5459}" presName="parentLeftMargin" presStyleLbl="node1" presStyleIdx="0" presStyleCnt="7"/>
      <dgm:spPr/>
    </dgm:pt>
    <dgm:pt modelId="{72317816-F2B4-4791-980C-477481BD19B2}" type="pres">
      <dgm:prSet presAssocID="{04365C30-C687-4CD6-AD49-EAE6919D5459}" presName="parentText" presStyleLbl="node1" presStyleIdx="1" presStyleCnt="7">
        <dgm:presLayoutVars>
          <dgm:chMax val="0"/>
          <dgm:bulletEnabled val="1"/>
        </dgm:presLayoutVars>
      </dgm:prSet>
      <dgm:spPr/>
    </dgm:pt>
    <dgm:pt modelId="{9110396F-CDBB-4109-914D-4FAA4865EFE6}" type="pres">
      <dgm:prSet presAssocID="{04365C30-C687-4CD6-AD49-EAE6919D5459}" presName="negativeSpace" presStyleCnt="0"/>
      <dgm:spPr/>
    </dgm:pt>
    <dgm:pt modelId="{E34418B7-F682-4036-B641-3341658FAAE0}" type="pres">
      <dgm:prSet presAssocID="{04365C30-C687-4CD6-AD49-EAE6919D5459}" presName="childText" presStyleLbl="conFgAcc1" presStyleIdx="1" presStyleCnt="7">
        <dgm:presLayoutVars>
          <dgm:bulletEnabled val="1"/>
        </dgm:presLayoutVars>
      </dgm:prSet>
      <dgm:spPr/>
    </dgm:pt>
    <dgm:pt modelId="{686C4774-EDAD-443B-88C8-06118C262926}" type="pres">
      <dgm:prSet presAssocID="{CBC78211-1DDD-4729-9811-B5DD9467A407}" presName="spaceBetweenRectangles" presStyleCnt="0"/>
      <dgm:spPr/>
    </dgm:pt>
    <dgm:pt modelId="{EA9620F5-9435-4FDC-91EB-D49172F5B729}" type="pres">
      <dgm:prSet presAssocID="{5C6E4484-91BA-441C-B853-F4484A766ECA}" presName="parentLin" presStyleCnt="0"/>
      <dgm:spPr/>
    </dgm:pt>
    <dgm:pt modelId="{E24E45A5-787D-444F-9B87-CBA2456B59E1}" type="pres">
      <dgm:prSet presAssocID="{5C6E4484-91BA-441C-B853-F4484A766ECA}" presName="parentLeftMargin" presStyleLbl="node1" presStyleIdx="1" presStyleCnt="7"/>
      <dgm:spPr/>
    </dgm:pt>
    <dgm:pt modelId="{C92E475E-9883-4DA2-ABA1-839DCDE25A49}" type="pres">
      <dgm:prSet presAssocID="{5C6E4484-91BA-441C-B853-F4484A766ECA}" presName="parentText" presStyleLbl="node1" presStyleIdx="2" presStyleCnt="7">
        <dgm:presLayoutVars>
          <dgm:chMax val="0"/>
          <dgm:bulletEnabled val="1"/>
        </dgm:presLayoutVars>
      </dgm:prSet>
      <dgm:spPr/>
    </dgm:pt>
    <dgm:pt modelId="{39442128-D63B-4843-AA5C-B677FEFF8B16}" type="pres">
      <dgm:prSet presAssocID="{5C6E4484-91BA-441C-B853-F4484A766ECA}" presName="negativeSpace" presStyleCnt="0"/>
      <dgm:spPr/>
    </dgm:pt>
    <dgm:pt modelId="{758D0B4D-5BDA-48EF-9F70-1E1EBD2E7968}" type="pres">
      <dgm:prSet presAssocID="{5C6E4484-91BA-441C-B853-F4484A766ECA}" presName="childText" presStyleLbl="conFgAcc1" presStyleIdx="2" presStyleCnt="7">
        <dgm:presLayoutVars>
          <dgm:bulletEnabled val="1"/>
        </dgm:presLayoutVars>
      </dgm:prSet>
      <dgm:spPr/>
    </dgm:pt>
    <dgm:pt modelId="{E5342E28-4AA0-42C8-A9CA-44AA28FFE4AE}" type="pres">
      <dgm:prSet presAssocID="{8F816309-1FAE-41DB-B815-115987DB40E0}" presName="spaceBetweenRectangles" presStyleCnt="0"/>
      <dgm:spPr/>
    </dgm:pt>
    <dgm:pt modelId="{64C7AB45-5700-4086-A9A0-40323D5F2F7A}" type="pres">
      <dgm:prSet presAssocID="{12F5A86B-A651-4229-8AA6-3435330C5626}" presName="parentLin" presStyleCnt="0"/>
      <dgm:spPr/>
    </dgm:pt>
    <dgm:pt modelId="{E39642D0-5604-4D37-90DF-091ABB84FA9B}" type="pres">
      <dgm:prSet presAssocID="{12F5A86B-A651-4229-8AA6-3435330C5626}" presName="parentLeftMargin" presStyleLbl="node1" presStyleIdx="2" presStyleCnt="7"/>
      <dgm:spPr/>
    </dgm:pt>
    <dgm:pt modelId="{C81BA518-6FF7-4B74-9BB0-AF09D72DDF73}" type="pres">
      <dgm:prSet presAssocID="{12F5A86B-A651-4229-8AA6-3435330C5626}" presName="parentText" presStyleLbl="node1" presStyleIdx="3" presStyleCnt="7">
        <dgm:presLayoutVars>
          <dgm:chMax val="0"/>
          <dgm:bulletEnabled val="1"/>
        </dgm:presLayoutVars>
      </dgm:prSet>
      <dgm:spPr/>
    </dgm:pt>
    <dgm:pt modelId="{F1BF34FD-F1A2-40A5-B5E7-D88CDB667E39}" type="pres">
      <dgm:prSet presAssocID="{12F5A86B-A651-4229-8AA6-3435330C5626}" presName="negativeSpace" presStyleCnt="0"/>
      <dgm:spPr/>
    </dgm:pt>
    <dgm:pt modelId="{1045A6CA-0DAC-4EA9-B1A4-54958A8177DB}" type="pres">
      <dgm:prSet presAssocID="{12F5A86B-A651-4229-8AA6-3435330C5626}" presName="childText" presStyleLbl="conFgAcc1" presStyleIdx="3" presStyleCnt="7">
        <dgm:presLayoutVars>
          <dgm:bulletEnabled val="1"/>
        </dgm:presLayoutVars>
      </dgm:prSet>
      <dgm:spPr/>
    </dgm:pt>
    <dgm:pt modelId="{BB955DC4-500A-4EBB-98D7-11BA7E34B909}" type="pres">
      <dgm:prSet presAssocID="{40DA789B-0CD5-4B22-B80D-39B13A3E8693}" presName="spaceBetweenRectangles" presStyleCnt="0"/>
      <dgm:spPr/>
    </dgm:pt>
    <dgm:pt modelId="{AB397499-6990-452D-AC49-F0FCB7ED3C36}" type="pres">
      <dgm:prSet presAssocID="{BE487AB0-3C0B-4147-9D01-7B228F51F375}" presName="parentLin" presStyleCnt="0"/>
      <dgm:spPr/>
    </dgm:pt>
    <dgm:pt modelId="{ECC516DC-DF13-4791-81AC-41426507E1A2}" type="pres">
      <dgm:prSet presAssocID="{BE487AB0-3C0B-4147-9D01-7B228F51F375}" presName="parentLeftMargin" presStyleLbl="node1" presStyleIdx="3" presStyleCnt="7"/>
      <dgm:spPr/>
    </dgm:pt>
    <dgm:pt modelId="{E2E5FF81-7E3D-4987-81A8-F6F157089515}" type="pres">
      <dgm:prSet presAssocID="{BE487AB0-3C0B-4147-9D01-7B228F51F375}" presName="parentText" presStyleLbl="node1" presStyleIdx="4" presStyleCnt="7">
        <dgm:presLayoutVars>
          <dgm:chMax val="0"/>
          <dgm:bulletEnabled val="1"/>
        </dgm:presLayoutVars>
      </dgm:prSet>
      <dgm:spPr/>
    </dgm:pt>
    <dgm:pt modelId="{31F54B1D-80CC-49A8-A899-08139E6BCACA}" type="pres">
      <dgm:prSet presAssocID="{BE487AB0-3C0B-4147-9D01-7B228F51F375}" presName="negativeSpace" presStyleCnt="0"/>
      <dgm:spPr/>
    </dgm:pt>
    <dgm:pt modelId="{DAFF0728-8F41-41EC-835C-448883EF9847}" type="pres">
      <dgm:prSet presAssocID="{BE487AB0-3C0B-4147-9D01-7B228F51F375}" presName="childText" presStyleLbl="conFgAcc1" presStyleIdx="4" presStyleCnt="7">
        <dgm:presLayoutVars>
          <dgm:bulletEnabled val="1"/>
        </dgm:presLayoutVars>
      </dgm:prSet>
      <dgm:spPr/>
    </dgm:pt>
    <dgm:pt modelId="{6586DB51-83C7-410A-9569-C10818976DD6}" type="pres">
      <dgm:prSet presAssocID="{44BEE498-CA19-4F42-BE81-5B5B1535E291}" presName="spaceBetweenRectangles" presStyleCnt="0"/>
      <dgm:spPr/>
    </dgm:pt>
    <dgm:pt modelId="{922DB6D3-CDB9-455C-BA8D-AF4CE9A0B62C}" type="pres">
      <dgm:prSet presAssocID="{D3A875B4-65DB-4AAE-A626-AF9760B6631D}" presName="parentLin" presStyleCnt="0"/>
      <dgm:spPr/>
    </dgm:pt>
    <dgm:pt modelId="{C4EFC53D-5AFD-4EBD-9996-0BE75AF9369E}" type="pres">
      <dgm:prSet presAssocID="{D3A875B4-65DB-4AAE-A626-AF9760B6631D}" presName="parentLeftMargin" presStyleLbl="node1" presStyleIdx="4" presStyleCnt="7"/>
      <dgm:spPr/>
    </dgm:pt>
    <dgm:pt modelId="{129B28B4-83C8-4A59-BEB9-3F72F4D4F256}" type="pres">
      <dgm:prSet presAssocID="{D3A875B4-65DB-4AAE-A626-AF9760B6631D}" presName="parentText" presStyleLbl="node1" presStyleIdx="5" presStyleCnt="7">
        <dgm:presLayoutVars>
          <dgm:chMax val="0"/>
          <dgm:bulletEnabled val="1"/>
        </dgm:presLayoutVars>
      </dgm:prSet>
      <dgm:spPr/>
    </dgm:pt>
    <dgm:pt modelId="{A1813547-44FC-4496-AFC2-5921C0029F10}" type="pres">
      <dgm:prSet presAssocID="{D3A875B4-65DB-4AAE-A626-AF9760B6631D}" presName="negativeSpace" presStyleCnt="0"/>
      <dgm:spPr/>
    </dgm:pt>
    <dgm:pt modelId="{9B3BFE3E-B617-421E-B2EA-A64A60467FEC}" type="pres">
      <dgm:prSet presAssocID="{D3A875B4-65DB-4AAE-A626-AF9760B6631D}" presName="childText" presStyleLbl="conFgAcc1" presStyleIdx="5" presStyleCnt="7">
        <dgm:presLayoutVars>
          <dgm:bulletEnabled val="1"/>
        </dgm:presLayoutVars>
      </dgm:prSet>
      <dgm:spPr/>
    </dgm:pt>
    <dgm:pt modelId="{1DF4EEAE-15A0-4425-BF1C-16F10C5A4273}" type="pres">
      <dgm:prSet presAssocID="{28A910F5-DF95-4862-A8C7-EB2D4AB57EE0}" presName="spaceBetweenRectangles" presStyleCnt="0"/>
      <dgm:spPr/>
    </dgm:pt>
    <dgm:pt modelId="{0BC0D590-5FEE-4E0D-A5EC-CA61774875AB}" type="pres">
      <dgm:prSet presAssocID="{66A9780D-DACA-4A6B-B815-2570BC527267}" presName="parentLin" presStyleCnt="0"/>
      <dgm:spPr/>
    </dgm:pt>
    <dgm:pt modelId="{F90AE271-2FC5-4DFF-A054-970025BB8202}" type="pres">
      <dgm:prSet presAssocID="{66A9780D-DACA-4A6B-B815-2570BC527267}" presName="parentLeftMargin" presStyleLbl="node1" presStyleIdx="5" presStyleCnt="7"/>
      <dgm:spPr/>
    </dgm:pt>
    <dgm:pt modelId="{CFBDB6A3-32C2-44DE-82C1-3AE6FDF5E088}" type="pres">
      <dgm:prSet presAssocID="{66A9780D-DACA-4A6B-B815-2570BC527267}" presName="parentText" presStyleLbl="node1" presStyleIdx="6" presStyleCnt="7">
        <dgm:presLayoutVars>
          <dgm:chMax val="0"/>
          <dgm:bulletEnabled val="1"/>
        </dgm:presLayoutVars>
      </dgm:prSet>
      <dgm:spPr/>
    </dgm:pt>
    <dgm:pt modelId="{F1AA31DB-6BB0-4FB1-8E2C-F7F7417D2BB4}" type="pres">
      <dgm:prSet presAssocID="{66A9780D-DACA-4A6B-B815-2570BC527267}" presName="negativeSpace" presStyleCnt="0"/>
      <dgm:spPr/>
    </dgm:pt>
    <dgm:pt modelId="{2AB44A17-127D-47E6-84ED-11C0E4713C42}" type="pres">
      <dgm:prSet presAssocID="{66A9780D-DACA-4A6B-B815-2570BC527267}" presName="childText" presStyleLbl="conFgAcc1" presStyleIdx="6" presStyleCnt="7">
        <dgm:presLayoutVars>
          <dgm:bulletEnabled val="1"/>
        </dgm:presLayoutVars>
      </dgm:prSet>
      <dgm:spPr/>
    </dgm:pt>
  </dgm:ptLst>
  <dgm:cxnLst>
    <dgm:cxn modelId="{60FB3907-287A-4B59-831A-868349B9A1D1}" srcId="{14CC1A25-347C-4E7F-9AE1-7D532A01FB9C}" destId="{0E765002-56DA-4ABA-A826-404BD205802A}" srcOrd="0" destOrd="0" parTransId="{2D5F8EF4-695B-4C76-A971-D61398529399}" sibTransId="{2E3A7DCB-F283-4CB0-836C-60B4D5C86B9D}"/>
    <dgm:cxn modelId="{41BA150D-E5AF-4D08-9B8D-649AB3AFF2B0}" srcId="{14CC1A25-347C-4E7F-9AE1-7D532A01FB9C}" destId="{5C6E4484-91BA-441C-B853-F4484A766ECA}" srcOrd="2" destOrd="0" parTransId="{8CA69DA0-A572-4F27-A45D-5104C770DBBB}" sibTransId="{8F816309-1FAE-41DB-B815-115987DB40E0}"/>
    <dgm:cxn modelId="{C3017A1A-CF53-4ABD-96E7-C8A9FE3DA7C4}" type="presOf" srcId="{04365C30-C687-4CD6-AD49-EAE6919D5459}" destId="{72317816-F2B4-4791-980C-477481BD19B2}" srcOrd="1" destOrd="0" presId="urn:microsoft.com/office/officeart/2005/8/layout/list1"/>
    <dgm:cxn modelId="{3D60831E-C3ED-464A-935E-7CCC869E3A8C}" srcId="{14CC1A25-347C-4E7F-9AE1-7D532A01FB9C}" destId="{12F5A86B-A651-4229-8AA6-3435330C5626}" srcOrd="3" destOrd="0" parTransId="{72947D60-DF20-4534-B7D0-3ADDBDF96306}" sibTransId="{40DA789B-0CD5-4B22-B80D-39B13A3E8693}"/>
    <dgm:cxn modelId="{6A6FAB46-C428-4C60-95DB-1AECFA95476B}" type="presOf" srcId="{12F5A86B-A651-4229-8AA6-3435330C5626}" destId="{E39642D0-5604-4D37-90DF-091ABB84FA9B}" srcOrd="0" destOrd="0" presId="urn:microsoft.com/office/officeart/2005/8/layout/list1"/>
    <dgm:cxn modelId="{7197876F-1C28-479C-8917-5E5FB20FE2F4}" type="presOf" srcId="{BE487AB0-3C0B-4147-9D01-7B228F51F375}" destId="{ECC516DC-DF13-4791-81AC-41426507E1A2}" srcOrd="0" destOrd="0" presId="urn:microsoft.com/office/officeart/2005/8/layout/list1"/>
    <dgm:cxn modelId="{41409C56-48B6-4B0B-8E11-461422264649}" type="presOf" srcId="{04365C30-C687-4CD6-AD49-EAE6919D5459}" destId="{2BA281AA-B6AE-47CD-AA9C-AA4F8CC5113B}" srcOrd="0" destOrd="0" presId="urn:microsoft.com/office/officeart/2005/8/layout/list1"/>
    <dgm:cxn modelId="{21FD6D7E-C77F-4558-8D91-911BD5B8C3E0}" type="presOf" srcId="{0E765002-56DA-4ABA-A826-404BD205802A}" destId="{D2D90F4E-21B0-49EE-9F6F-57317E7A9044}" srcOrd="0" destOrd="0" presId="urn:microsoft.com/office/officeart/2005/8/layout/list1"/>
    <dgm:cxn modelId="{06565581-5C2E-41F7-8592-9E71EB365254}" type="presOf" srcId="{D3A875B4-65DB-4AAE-A626-AF9760B6631D}" destId="{129B28B4-83C8-4A59-BEB9-3F72F4D4F256}" srcOrd="1" destOrd="0" presId="urn:microsoft.com/office/officeart/2005/8/layout/list1"/>
    <dgm:cxn modelId="{ADDCE58C-3046-41DE-BB31-F1930B46EB82}" type="presOf" srcId="{5C6E4484-91BA-441C-B853-F4484A766ECA}" destId="{E24E45A5-787D-444F-9B87-CBA2456B59E1}" srcOrd="0" destOrd="0" presId="urn:microsoft.com/office/officeart/2005/8/layout/list1"/>
    <dgm:cxn modelId="{F7CF5B91-EEFF-4085-A9DF-62208FA0F499}" srcId="{14CC1A25-347C-4E7F-9AE1-7D532A01FB9C}" destId="{D3A875B4-65DB-4AAE-A626-AF9760B6631D}" srcOrd="5" destOrd="0" parTransId="{1EB0AF42-CC59-4F5E-ACEE-07D61A09569F}" sibTransId="{28A910F5-DF95-4862-A8C7-EB2D4AB57EE0}"/>
    <dgm:cxn modelId="{0EEEAFA5-EBC5-4F44-BC9A-AD87D90F9F34}" srcId="{14CC1A25-347C-4E7F-9AE1-7D532A01FB9C}" destId="{66A9780D-DACA-4A6B-B815-2570BC527267}" srcOrd="6" destOrd="0" parTransId="{AEF76031-E87E-4521-A0EA-5D274C651FA2}" sibTransId="{F2CA0F23-E847-4582-90F9-4E071354F79F}"/>
    <dgm:cxn modelId="{E29017A6-2A33-44A4-A869-1876634F4279}" srcId="{14CC1A25-347C-4E7F-9AE1-7D532A01FB9C}" destId="{BE487AB0-3C0B-4147-9D01-7B228F51F375}" srcOrd="4" destOrd="0" parTransId="{40246233-1473-47F6-B484-8F32EA5BB595}" sibTransId="{44BEE498-CA19-4F42-BE81-5B5B1535E291}"/>
    <dgm:cxn modelId="{6614B3C1-79A3-47C6-BDD8-44219267F08A}" type="presOf" srcId="{12F5A86B-A651-4229-8AA6-3435330C5626}" destId="{C81BA518-6FF7-4B74-9BB0-AF09D72DDF73}" srcOrd="1" destOrd="0" presId="urn:microsoft.com/office/officeart/2005/8/layout/list1"/>
    <dgm:cxn modelId="{C00F85C6-EEDC-4147-AABA-F2FCEC3F948E}" type="presOf" srcId="{14CC1A25-347C-4E7F-9AE1-7D532A01FB9C}" destId="{D3156FFB-456C-400C-B226-B9659FBD4CDC}" srcOrd="0" destOrd="0" presId="urn:microsoft.com/office/officeart/2005/8/layout/list1"/>
    <dgm:cxn modelId="{C1B23AC8-A579-47B8-91D3-CABD76E949BB}" type="presOf" srcId="{0E765002-56DA-4ABA-A826-404BD205802A}" destId="{A3706EA2-FAFE-4834-B30F-0421EA897254}" srcOrd="1" destOrd="0" presId="urn:microsoft.com/office/officeart/2005/8/layout/list1"/>
    <dgm:cxn modelId="{8589A1D1-9EED-4480-8C44-566D952CBBDC}" type="presOf" srcId="{66A9780D-DACA-4A6B-B815-2570BC527267}" destId="{CFBDB6A3-32C2-44DE-82C1-3AE6FDF5E088}" srcOrd="1" destOrd="0" presId="urn:microsoft.com/office/officeart/2005/8/layout/list1"/>
    <dgm:cxn modelId="{FD3724E5-97EC-4A1F-A254-74B787CDAB52}" type="presOf" srcId="{5C6E4484-91BA-441C-B853-F4484A766ECA}" destId="{C92E475E-9883-4DA2-ABA1-839DCDE25A49}" srcOrd="1" destOrd="0" presId="urn:microsoft.com/office/officeart/2005/8/layout/list1"/>
    <dgm:cxn modelId="{D5B789EB-8717-4413-AA7B-99B8CCE0D9C2}" type="presOf" srcId="{D3A875B4-65DB-4AAE-A626-AF9760B6631D}" destId="{C4EFC53D-5AFD-4EBD-9996-0BE75AF9369E}" srcOrd="0" destOrd="0" presId="urn:microsoft.com/office/officeart/2005/8/layout/list1"/>
    <dgm:cxn modelId="{5761FDF6-433E-4287-801C-2FFE6D86D541}" type="presOf" srcId="{66A9780D-DACA-4A6B-B815-2570BC527267}" destId="{F90AE271-2FC5-4DFF-A054-970025BB8202}" srcOrd="0" destOrd="0" presId="urn:microsoft.com/office/officeart/2005/8/layout/list1"/>
    <dgm:cxn modelId="{004CF5FE-3501-4ACA-8022-81ED2A155184}" srcId="{14CC1A25-347C-4E7F-9AE1-7D532A01FB9C}" destId="{04365C30-C687-4CD6-AD49-EAE6919D5459}" srcOrd="1" destOrd="0" parTransId="{A5FEA09D-6B0B-4F3E-A3BD-BA5D680D1D83}" sibTransId="{CBC78211-1DDD-4729-9811-B5DD9467A407}"/>
    <dgm:cxn modelId="{328F4FFF-0B44-4A79-B990-7E89610103E5}" type="presOf" srcId="{BE487AB0-3C0B-4147-9D01-7B228F51F375}" destId="{E2E5FF81-7E3D-4987-81A8-F6F157089515}" srcOrd="1" destOrd="0" presId="urn:microsoft.com/office/officeart/2005/8/layout/list1"/>
    <dgm:cxn modelId="{E1EC029C-4398-49E2-BF06-5C455BFE1580}" type="presParOf" srcId="{D3156FFB-456C-400C-B226-B9659FBD4CDC}" destId="{C32FEBF8-78AE-4130-B8E5-47835888D36A}" srcOrd="0" destOrd="0" presId="urn:microsoft.com/office/officeart/2005/8/layout/list1"/>
    <dgm:cxn modelId="{A3B33155-69B9-4B80-92B0-4EABD0B79A74}" type="presParOf" srcId="{C32FEBF8-78AE-4130-B8E5-47835888D36A}" destId="{D2D90F4E-21B0-49EE-9F6F-57317E7A9044}" srcOrd="0" destOrd="0" presId="urn:microsoft.com/office/officeart/2005/8/layout/list1"/>
    <dgm:cxn modelId="{74D7B279-D694-48B3-94CE-C5144F8C001D}" type="presParOf" srcId="{C32FEBF8-78AE-4130-B8E5-47835888D36A}" destId="{A3706EA2-FAFE-4834-B30F-0421EA897254}" srcOrd="1" destOrd="0" presId="urn:microsoft.com/office/officeart/2005/8/layout/list1"/>
    <dgm:cxn modelId="{D0181CE1-5BF2-4D1A-A1C9-6FFF5EC552DE}" type="presParOf" srcId="{D3156FFB-456C-400C-B226-B9659FBD4CDC}" destId="{BC08E65C-3907-4552-93DA-372298448197}" srcOrd="1" destOrd="0" presId="urn:microsoft.com/office/officeart/2005/8/layout/list1"/>
    <dgm:cxn modelId="{E78330AC-FF78-48F7-9835-B6DE4D85738C}" type="presParOf" srcId="{D3156FFB-456C-400C-B226-B9659FBD4CDC}" destId="{3E0C4AD7-CD2C-4400-8FBF-FE85D1C76CE5}" srcOrd="2" destOrd="0" presId="urn:microsoft.com/office/officeart/2005/8/layout/list1"/>
    <dgm:cxn modelId="{CFDA1AEB-B94D-4B84-9D0E-AB8922473381}" type="presParOf" srcId="{D3156FFB-456C-400C-B226-B9659FBD4CDC}" destId="{2E2B94BA-BA4E-4525-B338-6B79B834D4F2}" srcOrd="3" destOrd="0" presId="urn:microsoft.com/office/officeart/2005/8/layout/list1"/>
    <dgm:cxn modelId="{5957ED22-A99A-4173-9067-82569C0AFE46}" type="presParOf" srcId="{D3156FFB-456C-400C-B226-B9659FBD4CDC}" destId="{448C5682-A353-49FC-B2FC-2C1C7259B908}" srcOrd="4" destOrd="0" presId="urn:microsoft.com/office/officeart/2005/8/layout/list1"/>
    <dgm:cxn modelId="{D68F4B6A-9FE3-4A9E-97AC-87609248A879}" type="presParOf" srcId="{448C5682-A353-49FC-B2FC-2C1C7259B908}" destId="{2BA281AA-B6AE-47CD-AA9C-AA4F8CC5113B}" srcOrd="0" destOrd="0" presId="urn:microsoft.com/office/officeart/2005/8/layout/list1"/>
    <dgm:cxn modelId="{684BA52B-F9BB-4C17-ACC7-53A714324D86}" type="presParOf" srcId="{448C5682-A353-49FC-B2FC-2C1C7259B908}" destId="{72317816-F2B4-4791-980C-477481BD19B2}" srcOrd="1" destOrd="0" presId="urn:microsoft.com/office/officeart/2005/8/layout/list1"/>
    <dgm:cxn modelId="{B9124E09-BD12-4936-8318-BFD6C0915853}" type="presParOf" srcId="{D3156FFB-456C-400C-B226-B9659FBD4CDC}" destId="{9110396F-CDBB-4109-914D-4FAA4865EFE6}" srcOrd="5" destOrd="0" presId="urn:microsoft.com/office/officeart/2005/8/layout/list1"/>
    <dgm:cxn modelId="{77A3D32F-90C4-4F78-918F-B017B769A1F4}" type="presParOf" srcId="{D3156FFB-456C-400C-B226-B9659FBD4CDC}" destId="{E34418B7-F682-4036-B641-3341658FAAE0}" srcOrd="6" destOrd="0" presId="urn:microsoft.com/office/officeart/2005/8/layout/list1"/>
    <dgm:cxn modelId="{51C43D59-9A2C-42B3-BFEF-AB8F9AA8031F}" type="presParOf" srcId="{D3156FFB-456C-400C-B226-B9659FBD4CDC}" destId="{686C4774-EDAD-443B-88C8-06118C262926}" srcOrd="7" destOrd="0" presId="urn:microsoft.com/office/officeart/2005/8/layout/list1"/>
    <dgm:cxn modelId="{C677813B-707D-47C5-8A94-47B22B9715FA}" type="presParOf" srcId="{D3156FFB-456C-400C-B226-B9659FBD4CDC}" destId="{EA9620F5-9435-4FDC-91EB-D49172F5B729}" srcOrd="8" destOrd="0" presId="urn:microsoft.com/office/officeart/2005/8/layout/list1"/>
    <dgm:cxn modelId="{5DD49F46-3DF4-4704-9ADE-68E1548B07FE}" type="presParOf" srcId="{EA9620F5-9435-4FDC-91EB-D49172F5B729}" destId="{E24E45A5-787D-444F-9B87-CBA2456B59E1}" srcOrd="0" destOrd="0" presId="urn:microsoft.com/office/officeart/2005/8/layout/list1"/>
    <dgm:cxn modelId="{0F335CEC-E766-40BC-907E-4A70A61C7BB1}" type="presParOf" srcId="{EA9620F5-9435-4FDC-91EB-D49172F5B729}" destId="{C92E475E-9883-4DA2-ABA1-839DCDE25A49}" srcOrd="1" destOrd="0" presId="urn:microsoft.com/office/officeart/2005/8/layout/list1"/>
    <dgm:cxn modelId="{87F75DAB-B1F2-41E4-A42B-E6E25C85D810}" type="presParOf" srcId="{D3156FFB-456C-400C-B226-B9659FBD4CDC}" destId="{39442128-D63B-4843-AA5C-B677FEFF8B16}" srcOrd="9" destOrd="0" presId="urn:microsoft.com/office/officeart/2005/8/layout/list1"/>
    <dgm:cxn modelId="{B7E031E4-2397-498A-8D74-E093452F1444}" type="presParOf" srcId="{D3156FFB-456C-400C-B226-B9659FBD4CDC}" destId="{758D0B4D-5BDA-48EF-9F70-1E1EBD2E7968}" srcOrd="10" destOrd="0" presId="urn:microsoft.com/office/officeart/2005/8/layout/list1"/>
    <dgm:cxn modelId="{2951877A-430A-4F56-9902-168640F40F36}" type="presParOf" srcId="{D3156FFB-456C-400C-B226-B9659FBD4CDC}" destId="{E5342E28-4AA0-42C8-A9CA-44AA28FFE4AE}" srcOrd="11" destOrd="0" presId="urn:microsoft.com/office/officeart/2005/8/layout/list1"/>
    <dgm:cxn modelId="{6C4E05CF-1585-4273-88FB-82CB2FD3F7A0}" type="presParOf" srcId="{D3156FFB-456C-400C-B226-B9659FBD4CDC}" destId="{64C7AB45-5700-4086-A9A0-40323D5F2F7A}" srcOrd="12" destOrd="0" presId="urn:microsoft.com/office/officeart/2005/8/layout/list1"/>
    <dgm:cxn modelId="{C7640C38-289A-4C7E-A619-B481B7E1B908}" type="presParOf" srcId="{64C7AB45-5700-4086-A9A0-40323D5F2F7A}" destId="{E39642D0-5604-4D37-90DF-091ABB84FA9B}" srcOrd="0" destOrd="0" presId="urn:microsoft.com/office/officeart/2005/8/layout/list1"/>
    <dgm:cxn modelId="{C8004730-842B-47A7-91E8-7B288FB55F8D}" type="presParOf" srcId="{64C7AB45-5700-4086-A9A0-40323D5F2F7A}" destId="{C81BA518-6FF7-4B74-9BB0-AF09D72DDF73}" srcOrd="1" destOrd="0" presId="urn:microsoft.com/office/officeart/2005/8/layout/list1"/>
    <dgm:cxn modelId="{0150940F-D1F5-4E81-AA1C-2551DC7DC51B}" type="presParOf" srcId="{D3156FFB-456C-400C-B226-B9659FBD4CDC}" destId="{F1BF34FD-F1A2-40A5-B5E7-D88CDB667E39}" srcOrd="13" destOrd="0" presId="urn:microsoft.com/office/officeart/2005/8/layout/list1"/>
    <dgm:cxn modelId="{5C3CB4C0-940F-4B83-9006-86538D9601D2}" type="presParOf" srcId="{D3156FFB-456C-400C-B226-B9659FBD4CDC}" destId="{1045A6CA-0DAC-4EA9-B1A4-54958A8177DB}" srcOrd="14" destOrd="0" presId="urn:microsoft.com/office/officeart/2005/8/layout/list1"/>
    <dgm:cxn modelId="{0277518F-E0BF-418F-8724-282985A59FEC}" type="presParOf" srcId="{D3156FFB-456C-400C-B226-B9659FBD4CDC}" destId="{BB955DC4-500A-4EBB-98D7-11BA7E34B909}" srcOrd="15" destOrd="0" presId="urn:microsoft.com/office/officeart/2005/8/layout/list1"/>
    <dgm:cxn modelId="{241F7E7E-AB00-4BF9-B7DA-51294E508C6C}" type="presParOf" srcId="{D3156FFB-456C-400C-B226-B9659FBD4CDC}" destId="{AB397499-6990-452D-AC49-F0FCB7ED3C36}" srcOrd="16" destOrd="0" presId="urn:microsoft.com/office/officeart/2005/8/layout/list1"/>
    <dgm:cxn modelId="{2CC1B2E2-0CB0-4AF9-9CB0-BEACE51CA8B8}" type="presParOf" srcId="{AB397499-6990-452D-AC49-F0FCB7ED3C36}" destId="{ECC516DC-DF13-4791-81AC-41426507E1A2}" srcOrd="0" destOrd="0" presId="urn:microsoft.com/office/officeart/2005/8/layout/list1"/>
    <dgm:cxn modelId="{8C3E02C1-3C14-4DBE-9B6E-4D1CBAB46138}" type="presParOf" srcId="{AB397499-6990-452D-AC49-F0FCB7ED3C36}" destId="{E2E5FF81-7E3D-4987-81A8-F6F157089515}" srcOrd="1" destOrd="0" presId="urn:microsoft.com/office/officeart/2005/8/layout/list1"/>
    <dgm:cxn modelId="{17586BA9-AE73-4388-8565-8DCFB38CBF5A}" type="presParOf" srcId="{D3156FFB-456C-400C-B226-B9659FBD4CDC}" destId="{31F54B1D-80CC-49A8-A899-08139E6BCACA}" srcOrd="17" destOrd="0" presId="urn:microsoft.com/office/officeart/2005/8/layout/list1"/>
    <dgm:cxn modelId="{C1A689F9-483E-4988-9D45-BCA482BD8A7B}" type="presParOf" srcId="{D3156FFB-456C-400C-B226-B9659FBD4CDC}" destId="{DAFF0728-8F41-41EC-835C-448883EF9847}" srcOrd="18" destOrd="0" presId="urn:microsoft.com/office/officeart/2005/8/layout/list1"/>
    <dgm:cxn modelId="{1B9D4FBF-5B93-4EC2-B3DC-2CAEE1A74EA2}" type="presParOf" srcId="{D3156FFB-456C-400C-B226-B9659FBD4CDC}" destId="{6586DB51-83C7-410A-9569-C10818976DD6}" srcOrd="19" destOrd="0" presId="urn:microsoft.com/office/officeart/2005/8/layout/list1"/>
    <dgm:cxn modelId="{488E5A28-7285-4A2D-999E-656D728A851D}" type="presParOf" srcId="{D3156FFB-456C-400C-B226-B9659FBD4CDC}" destId="{922DB6D3-CDB9-455C-BA8D-AF4CE9A0B62C}" srcOrd="20" destOrd="0" presId="urn:microsoft.com/office/officeart/2005/8/layout/list1"/>
    <dgm:cxn modelId="{0008555F-A951-4667-AFB9-0C967B5D6B84}" type="presParOf" srcId="{922DB6D3-CDB9-455C-BA8D-AF4CE9A0B62C}" destId="{C4EFC53D-5AFD-4EBD-9996-0BE75AF9369E}" srcOrd="0" destOrd="0" presId="urn:microsoft.com/office/officeart/2005/8/layout/list1"/>
    <dgm:cxn modelId="{AB872EF4-0690-4D95-A352-100A8E7BD7B1}" type="presParOf" srcId="{922DB6D3-CDB9-455C-BA8D-AF4CE9A0B62C}" destId="{129B28B4-83C8-4A59-BEB9-3F72F4D4F256}" srcOrd="1" destOrd="0" presId="urn:microsoft.com/office/officeart/2005/8/layout/list1"/>
    <dgm:cxn modelId="{447E9A63-F596-4747-909B-D23196542873}" type="presParOf" srcId="{D3156FFB-456C-400C-B226-B9659FBD4CDC}" destId="{A1813547-44FC-4496-AFC2-5921C0029F10}" srcOrd="21" destOrd="0" presId="urn:microsoft.com/office/officeart/2005/8/layout/list1"/>
    <dgm:cxn modelId="{E649B941-F4A4-4922-89EB-B4D13DE85A25}" type="presParOf" srcId="{D3156FFB-456C-400C-B226-B9659FBD4CDC}" destId="{9B3BFE3E-B617-421E-B2EA-A64A60467FEC}" srcOrd="22" destOrd="0" presId="urn:microsoft.com/office/officeart/2005/8/layout/list1"/>
    <dgm:cxn modelId="{68EEFA23-42CF-4FCA-9118-AEF8E1A2D425}" type="presParOf" srcId="{D3156FFB-456C-400C-B226-B9659FBD4CDC}" destId="{1DF4EEAE-15A0-4425-BF1C-16F10C5A4273}" srcOrd="23" destOrd="0" presId="urn:microsoft.com/office/officeart/2005/8/layout/list1"/>
    <dgm:cxn modelId="{549543E4-C68B-4173-9C62-27A45ABC5877}" type="presParOf" srcId="{D3156FFB-456C-400C-B226-B9659FBD4CDC}" destId="{0BC0D590-5FEE-4E0D-A5EC-CA61774875AB}" srcOrd="24" destOrd="0" presId="urn:microsoft.com/office/officeart/2005/8/layout/list1"/>
    <dgm:cxn modelId="{A2F1A13A-0C06-49E1-8595-E97C7B13BA53}" type="presParOf" srcId="{0BC0D590-5FEE-4E0D-A5EC-CA61774875AB}" destId="{F90AE271-2FC5-4DFF-A054-970025BB8202}" srcOrd="0" destOrd="0" presId="urn:microsoft.com/office/officeart/2005/8/layout/list1"/>
    <dgm:cxn modelId="{8CDBBA53-4AAF-43B7-9631-21C626938278}" type="presParOf" srcId="{0BC0D590-5FEE-4E0D-A5EC-CA61774875AB}" destId="{CFBDB6A3-32C2-44DE-82C1-3AE6FDF5E088}" srcOrd="1" destOrd="0" presId="urn:microsoft.com/office/officeart/2005/8/layout/list1"/>
    <dgm:cxn modelId="{CE0D9E92-8A0A-4C76-88E6-A06F0A2F3EC3}" type="presParOf" srcId="{D3156FFB-456C-400C-B226-B9659FBD4CDC}" destId="{F1AA31DB-6BB0-4FB1-8E2C-F7F7417D2BB4}" srcOrd="25" destOrd="0" presId="urn:microsoft.com/office/officeart/2005/8/layout/list1"/>
    <dgm:cxn modelId="{C4A78A97-4406-4195-BA70-53EF35C03D43}" type="presParOf" srcId="{D3156FFB-456C-400C-B226-B9659FBD4CDC}" destId="{2AB44A17-127D-47E6-84ED-11C0E4713C42}" srcOrd="26" destOrd="0" presId="urn:microsoft.com/office/officeart/2005/8/layout/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C03EC7-564A-46E8-8F7B-10E8DEA6D660}" type="doc">
      <dgm:prSet loTypeId="urn:microsoft.com/office/officeart/2005/8/layout/list1" loCatId="list" qsTypeId="urn:microsoft.com/office/officeart/2005/8/quickstyle/simple1" qsCatId="simple" csTypeId="urn:microsoft.com/office/officeart/2005/8/colors/accent3_1" csCatId="accent3" phldr="1"/>
      <dgm:spPr/>
      <dgm:t>
        <a:bodyPr/>
        <a:lstStyle/>
        <a:p>
          <a:endParaRPr lang="en-US"/>
        </a:p>
      </dgm:t>
    </dgm:pt>
    <dgm:pt modelId="{DFCB8469-9269-45B7-A73B-F42045245253}">
      <dgm:prSet phldrT="[Text]" custT="1"/>
      <dgm:spPr/>
      <dgm:t>
        <a:bodyPr/>
        <a:lstStyle/>
        <a:p>
          <a:r>
            <a:rPr lang="en-US" sz="1200">
              <a:latin typeface="Times New Roman" pitchFamily="18" charset="0"/>
              <a:cs typeface="Times New Roman" pitchFamily="18" charset="0"/>
            </a:rPr>
            <a:t>Introduction</a:t>
          </a:r>
        </a:p>
      </dgm:t>
    </dgm:pt>
    <dgm:pt modelId="{BA93C0D1-CF0D-43B2-864C-AFA153E8E584}" type="parTrans" cxnId="{1A222BFE-608D-468F-A57E-F9DCD0D3FBD5}">
      <dgm:prSet/>
      <dgm:spPr/>
      <dgm:t>
        <a:bodyPr/>
        <a:lstStyle/>
        <a:p>
          <a:endParaRPr lang="en-US" sz="1200">
            <a:latin typeface="Times New Roman" pitchFamily="18" charset="0"/>
            <a:cs typeface="Times New Roman" pitchFamily="18" charset="0"/>
          </a:endParaRPr>
        </a:p>
      </dgm:t>
    </dgm:pt>
    <dgm:pt modelId="{B4C49546-30B7-4514-AF37-2F629CF8E953}" type="sibTrans" cxnId="{1A222BFE-608D-468F-A57E-F9DCD0D3FBD5}">
      <dgm:prSet/>
      <dgm:spPr/>
      <dgm:t>
        <a:bodyPr/>
        <a:lstStyle/>
        <a:p>
          <a:endParaRPr lang="en-US" sz="1200">
            <a:latin typeface="Times New Roman" pitchFamily="18" charset="0"/>
            <a:cs typeface="Times New Roman" pitchFamily="18" charset="0"/>
          </a:endParaRPr>
        </a:p>
      </dgm:t>
    </dgm:pt>
    <dgm:pt modelId="{8BFD875D-444C-41D1-924B-A2483AD06937}">
      <dgm:prSet phldrT="[Text]" custT="1"/>
      <dgm:spPr/>
      <dgm:t>
        <a:bodyPr/>
        <a:lstStyle/>
        <a:p>
          <a:r>
            <a:rPr lang="en-US" sz="1200">
              <a:latin typeface="Times New Roman" pitchFamily="18" charset="0"/>
              <a:cs typeface="Times New Roman" pitchFamily="18" charset="0"/>
            </a:rPr>
            <a:t>Statement of the Problem</a:t>
          </a:r>
        </a:p>
      </dgm:t>
    </dgm:pt>
    <dgm:pt modelId="{DC5A78AF-E843-4B53-A3F5-10360EAFD9BB}" type="parTrans" cxnId="{D24CE390-249E-43BF-ACB5-1F0CDB1DC093}">
      <dgm:prSet/>
      <dgm:spPr/>
      <dgm:t>
        <a:bodyPr/>
        <a:lstStyle/>
        <a:p>
          <a:endParaRPr lang="en-US" sz="1200">
            <a:latin typeface="Times New Roman" pitchFamily="18" charset="0"/>
            <a:cs typeface="Times New Roman" pitchFamily="18" charset="0"/>
          </a:endParaRPr>
        </a:p>
      </dgm:t>
    </dgm:pt>
    <dgm:pt modelId="{CD26D7E3-B40E-486F-984A-9E81A398E091}" type="sibTrans" cxnId="{D24CE390-249E-43BF-ACB5-1F0CDB1DC093}">
      <dgm:prSet/>
      <dgm:spPr/>
      <dgm:t>
        <a:bodyPr/>
        <a:lstStyle/>
        <a:p>
          <a:endParaRPr lang="en-US" sz="1200">
            <a:latin typeface="Times New Roman" pitchFamily="18" charset="0"/>
            <a:cs typeface="Times New Roman" pitchFamily="18" charset="0"/>
          </a:endParaRPr>
        </a:p>
      </dgm:t>
    </dgm:pt>
    <dgm:pt modelId="{7045C848-027E-49F7-A830-AEDB7F8068DB}">
      <dgm:prSet phldrT="[Text]" custT="1"/>
      <dgm:spPr/>
      <dgm:t>
        <a:bodyPr/>
        <a:lstStyle/>
        <a:p>
          <a:r>
            <a:rPr lang="en-US" sz="1200">
              <a:latin typeface="Times New Roman" pitchFamily="18" charset="0"/>
              <a:cs typeface="Times New Roman" pitchFamily="18" charset="0"/>
            </a:rPr>
            <a:t>Research Context</a:t>
          </a:r>
        </a:p>
      </dgm:t>
    </dgm:pt>
    <dgm:pt modelId="{359166C4-734E-421D-8B33-9C6697FC2640}" type="parTrans" cxnId="{5EAE24DA-FE97-4910-8EE9-D5E833AAEF19}">
      <dgm:prSet/>
      <dgm:spPr/>
      <dgm:t>
        <a:bodyPr/>
        <a:lstStyle/>
        <a:p>
          <a:endParaRPr lang="en-US" sz="1200">
            <a:latin typeface="Times New Roman" pitchFamily="18" charset="0"/>
            <a:cs typeface="Times New Roman" pitchFamily="18" charset="0"/>
          </a:endParaRPr>
        </a:p>
      </dgm:t>
    </dgm:pt>
    <dgm:pt modelId="{CCD4E3E6-BEC5-4512-BDFA-87DADBD03E4E}" type="sibTrans" cxnId="{5EAE24DA-FE97-4910-8EE9-D5E833AAEF19}">
      <dgm:prSet/>
      <dgm:spPr/>
      <dgm:t>
        <a:bodyPr/>
        <a:lstStyle/>
        <a:p>
          <a:endParaRPr lang="en-US" sz="1200">
            <a:latin typeface="Times New Roman" pitchFamily="18" charset="0"/>
            <a:cs typeface="Times New Roman" pitchFamily="18" charset="0"/>
          </a:endParaRPr>
        </a:p>
      </dgm:t>
    </dgm:pt>
    <dgm:pt modelId="{73531917-16DA-45EC-87C3-F99CFB463255}">
      <dgm:prSet custT="1"/>
      <dgm:spPr/>
      <dgm:t>
        <a:bodyPr/>
        <a:lstStyle/>
        <a:p>
          <a:r>
            <a:rPr lang="en-US" sz="1200">
              <a:latin typeface="Times New Roman" pitchFamily="18" charset="0"/>
              <a:cs typeface="Times New Roman" pitchFamily="18" charset="0"/>
            </a:rPr>
            <a:t>Justification for the Study</a:t>
          </a:r>
        </a:p>
      </dgm:t>
    </dgm:pt>
    <dgm:pt modelId="{27BDC751-234A-4F8D-921A-E937B98A91F8}" type="parTrans" cxnId="{4263E3A1-767D-41F5-8698-F9E0DC606425}">
      <dgm:prSet/>
      <dgm:spPr/>
      <dgm:t>
        <a:bodyPr/>
        <a:lstStyle/>
        <a:p>
          <a:endParaRPr lang="en-US" sz="1200">
            <a:latin typeface="Times New Roman" pitchFamily="18" charset="0"/>
            <a:cs typeface="Times New Roman" pitchFamily="18" charset="0"/>
          </a:endParaRPr>
        </a:p>
      </dgm:t>
    </dgm:pt>
    <dgm:pt modelId="{790126CA-1D06-4E66-9396-0220891BFDD9}" type="sibTrans" cxnId="{4263E3A1-767D-41F5-8698-F9E0DC606425}">
      <dgm:prSet/>
      <dgm:spPr/>
      <dgm:t>
        <a:bodyPr/>
        <a:lstStyle/>
        <a:p>
          <a:endParaRPr lang="en-US" sz="1200">
            <a:latin typeface="Times New Roman" pitchFamily="18" charset="0"/>
            <a:cs typeface="Times New Roman" pitchFamily="18" charset="0"/>
          </a:endParaRPr>
        </a:p>
      </dgm:t>
    </dgm:pt>
    <dgm:pt modelId="{E3CF7516-036A-4A60-9663-8772BDEE5CF2}">
      <dgm:prSet custT="1"/>
      <dgm:spPr/>
      <dgm:t>
        <a:bodyPr/>
        <a:lstStyle/>
        <a:p>
          <a:r>
            <a:rPr lang="en-US" sz="1200">
              <a:latin typeface="Times New Roman" pitchFamily="18" charset="0"/>
              <a:cs typeface="Times New Roman" pitchFamily="18" charset="0"/>
            </a:rPr>
            <a:t>Research Questions and Objectives</a:t>
          </a:r>
        </a:p>
      </dgm:t>
    </dgm:pt>
    <dgm:pt modelId="{A87C6949-588B-4E77-96A2-C88F5FC07C3B}" type="parTrans" cxnId="{912A43C8-063E-411A-8384-536A58429961}">
      <dgm:prSet/>
      <dgm:spPr/>
      <dgm:t>
        <a:bodyPr/>
        <a:lstStyle/>
        <a:p>
          <a:endParaRPr lang="en-US" sz="1200">
            <a:latin typeface="Times New Roman" pitchFamily="18" charset="0"/>
            <a:cs typeface="Times New Roman" pitchFamily="18" charset="0"/>
          </a:endParaRPr>
        </a:p>
      </dgm:t>
    </dgm:pt>
    <dgm:pt modelId="{E080AEAB-A037-42EA-B5C4-73D92FD73CA2}" type="sibTrans" cxnId="{912A43C8-063E-411A-8384-536A58429961}">
      <dgm:prSet/>
      <dgm:spPr/>
      <dgm:t>
        <a:bodyPr/>
        <a:lstStyle/>
        <a:p>
          <a:endParaRPr lang="en-US" sz="1200">
            <a:latin typeface="Times New Roman" pitchFamily="18" charset="0"/>
            <a:cs typeface="Times New Roman" pitchFamily="18" charset="0"/>
          </a:endParaRPr>
        </a:p>
      </dgm:t>
    </dgm:pt>
    <dgm:pt modelId="{C181AEE7-9DD0-4C18-A9A8-F2E905B29219}">
      <dgm:prSet custT="1"/>
      <dgm:spPr/>
      <dgm:t>
        <a:bodyPr/>
        <a:lstStyle/>
        <a:p>
          <a:r>
            <a:rPr lang="en-US" sz="1200">
              <a:latin typeface="Times New Roman" pitchFamily="18" charset="0"/>
              <a:cs typeface="Times New Roman" pitchFamily="18" charset="0"/>
            </a:rPr>
            <a:t>Research Contribution</a:t>
          </a:r>
        </a:p>
      </dgm:t>
    </dgm:pt>
    <dgm:pt modelId="{85D87192-B0E6-4DD5-81F5-04D2351E1CE6}" type="parTrans" cxnId="{75926631-AE2F-484F-9ABA-79E1493F5BB6}">
      <dgm:prSet/>
      <dgm:spPr/>
      <dgm:t>
        <a:bodyPr/>
        <a:lstStyle/>
        <a:p>
          <a:endParaRPr lang="en-US" sz="1200">
            <a:latin typeface="Times New Roman" pitchFamily="18" charset="0"/>
            <a:cs typeface="Times New Roman" pitchFamily="18" charset="0"/>
          </a:endParaRPr>
        </a:p>
      </dgm:t>
    </dgm:pt>
    <dgm:pt modelId="{4F3EEC11-787F-49B1-9661-66DE779F228E}" type="sibTrans" cxnId="{75926631-AE2F-484F-9ABA-79E1493F5BB6}">
      <dgm:prSet/>
      <dgm:spPr/>
      <dgm:t>
        <a:bodyPr/>
        <a:lstStyle/>
        <a:p>
          <a:endParaRPr lang="en-US" sz="1200">
            <a:latin typeface="Times New Roman" pitchFamily="18" charset="0"/>
            <a:cs typeface="Times New Roman" pitchFamily="18" charset="0"/>
          </a:endParaRPr>
        </a:p>
      </dgm:t>
    </dgm:pt>
    <dgm:pt modelId="{71F3DFC7-502A-4EDC-97A8-838B6AE85C15}">
      <dgm:prSet custT="1"/>
      <dgm:spPr/>
      <dgm:t>
        <a:bodyPr/>
        <a:lstStyle/>
        <a:p>
          <a:r>
            <a:rPr lang="en-US" sz="1200">
              <a:latin typeface="Times New Roman" pitchFamily="18" charset="0"/>
              <a:cs typeface="Times New Roman" pitchFamily="18" charset="0"/>
            </a:rPr>
            <a:t>Summary</a:t>
          </a:r>
        </a:p>
      </dgm:t>
    </dgm:pt>
    <dgm:pt modelId="{B816C19A-29D8-4EBE-B0B0-3997D7F1161D}" type="parTrans" cxnId="{7ECB153C-946F-4A38-A3B9-0CBAD2C2A33E}">
      <dgm:prSet/>
      <dgm:spPr/>
      <dgm:t>
        <a:bodyPr/>
        <a:lstStyle/>
        <a:p>
          <a:endParaRPr lang="en-US" sz="1200"/>
        </a:p>
      </dgm:t>
    </dgm:pt>
    <dgm:pt modelId="{77F46219-C478-404C-AB4E-27EB71B2DC6E}" type="sibTrans" cxnId="{7ECB153C-946F-4A38-A3B9-0CBAD2C2A33E}">
      <dgm:prSet/>
      <dgm:spPr/>
      <dgm:t>
        <a:bodyPr/>
        <a:lstStyle/>
        <a:p>
          <a:endParaRPr lang="en-US" sz="1200"/>
        </a:p>
      </dgm:t>
    </dgm:pt>
    <dgm:pt modelId="{E5B98926-DF47-4143-9E24-83F4FAB04B15}" type="pres">
      <dgm:prSet presAssocID="{B4C03EC7-564A-46E8-8F7B-10E8DEA6D660}" presName="linear" presStyleCnt="0">
        <dgm:presLayoutVars>
          <dgm:dir/>
          <dgm:animLvl val="lvl"/>
          <dgm:resizeHandles val="exact"/>
        </dgm:presLayoutVars>
      </dgm:prSet>
      <dgm:spPr/>
    </dgm:pt>
    <dgm:pt modelId="{CAA29CA2-5734-4A77-A6C1-1F41A2413EF7}" type="pres">
      <dgm:prSet presAssocID="{DFCB8469-9269-45B7-A73B-F42045245253}" presName="parentLin" presStyleCnt="0"/>
      <dgm:spPr/>
    </dgm:pt>
    <dgm:pt modelId="{56D60870-E3DD-4C0C-96FF-05649DE10EE2}" type="pres">
      <dgm:prSet presAssocID="{DFCB8469-9269-45B7-A73B-F42045245253}" presName="parentLeftMargin" presStyleLbl="node1" presStyleIdx="0" presStyleCnt="7"/>
      <dgm:spPr/>
    </dgm:pt>
    <dgm:pt modelId="{450AF21E-ED62-419D-8DE8-744F62B02BC8}" type="pres">
      <dgm:prSet presAssocID="{DFCB8469-9269-45B7-A73B-F42045245253}" presName="parentText" presStyleLbl="node1" presStyleIdx="0" presStyleCnt="7">
        <dgm:presLayoutVars>
          <dgm:chMax val="0"/>
          <dgm:bulletEnabled val="1"/>
        </dgm:presLayoutVars>
      </dgm:prSet>
      <dgm:spPr/>
    </dgm:pt>
    <dgm:pt modelId="{EC51E904-3C58-4698-A5F6-DBBF2EF62C0F}" type="pres">
      <dgm:prSet presAssocID="{DFCB8469-9269-45B7-A73B-F42045245253}" presName="negativeSpace" presStyleCnt="0"/>
      <dgm:spPr/>
    </dgm:pt>
    <dgm:pt modelId="{88B6D56C-1A87-43CB-AA55-BDF9B070F010}" type="pres">
      <dgm:prSet presAssocID="{DFCB8469-9269-45B7-A73B-F42045245253}" presName="childText" presStyleLbl="conFgAcc1" presStyleIdx="0" presStyleCnt="7">
        <dgm:presLayoutVars>
          <dgm:bulletEnabled val="1"/>
        </dgm:presLayoutVars>
      </dgm:prSet>
      <dgm:spPr/>
    </dgm:pt>
    <dgm:pt modelId="{D12D29FA-83E7-4E50-8B1F-3237563BB765}" type="pres">
      <dgm:prSet presAssocID="{B4C49546-30B7-4514-AF37-2F629CF8E953}" presName="spaceBetweenRectangles" presStyleCnt="0"/>
      <dgm:spPr/>
    </dgm:pt>
    <dgm:pt modelId="{1F2FB96F-CF06-4FD8-8321-B82D02BEF017}" type="pres">
      <dgm:prSet presAssocID="{8BFD875D-444C-41D1-924B-A2483AD06937}" presName="parentLin" presStyleCnt="0"/>
      <dgm:spPr/>
    </dgm:pt>
    <dgm:pt modelId="{313A7168-F408-4E0E-95B3-4DCF1044BE88}" type="pres">
      <dgm:prSet presAssocID="{8BFD875D-444C-41D1-924B-A2483AD06937}" presName="parentLeftMargin" presStyleLbl="node1" presStyleIdx="0" presStyleCnt="7"/>
      <dgm:spPr/>
    </dgm:pt>
    <dgm:pt modelId="{68A2E093-A274-4EFE-9F31-459FF526ECD9}" type="pres">
      <dgm:prSet presAssocID="{8BFD875D-444C-41D1-924B-A2483AD06937}" presName="parentText" presStyleLbl="node1" presStyleIdx="1" presStyleCnt="7">
        <dgm:presLayoutVars>
          <dgm:chMax val="0"/>
          <dgm:bulletEnabled val="1"/>
        </dgm:presLayoutVars>
      </dgm:prSet>
      <dgm:spPr/>
    </dgm:pt>
    <dgm:pt modelId="{DE35C9A3-6FF3-425D-8732-DCC0B6ED562F}" type="pres">
      <dgm:prSet presAssocID="{8BFD875D-444C-41D1-924B-A2483AD06937}" presName="negativeSpace" presStyleCnt="0"/>
      <dgm:spPr/>
    </dgm:pt>
    <dgm:pt modelId="{2AB97D9E-3B3B-4DF2-A453-782AD237530F}" type="pres">
      <dgm:prSet presAssocID="{8BFD875D-444C-41D1-924B-A2483AD06937}" presName="childText" presStyleLbl="conFgAcc1" presStyleIdx="1" presStyleCnt="7">
        <dgm:presLayoutVars>
          <dgm:bulletEnabled val="1"/>
        </dgm:presLayoutVars>
      </dgm:prSet>
      <dgm:spPr/>
    </dgm:pt>
    <dgm:pt modelId="{B05BC09F-B652-41F9-87E6-DB7AA3451E65}" type="pres">
      <dgm:prSet presAssocID="{CD26D7E3-B40E-486F-984A-9E81A398E091}" presName="spaceBetweenRectangles" presStyleCnt="0"/>
      <dgm:spPr/>
    </dgm:pt>
    <dgm:pt modelId="{CC1FBEAF-88E5-4BDD-B29B-AC83939474AB}" type="pres">
      <dgm:prSet presAssocID="{7045C848-027E-49F7-A830-AEDB7F8068DB}" presName="parentLin" presStyleCnt="0"/>
      <dgm:spPr/>
    </dgm:pt>
    <dgm:pt modelId="{35E5C956-BF0B-4803-AD7F-9B16EB439605}" type="pres">
      <dgm:prSet presAssocID="{7045C848-027E-49F7-A830-AEDB7F8068DB}" presName="parentLeftMargin" presStyleLbl="node1" presStyleIdx="1" presStyleCnt="7"/>
      <dgm:spPr/>
    </dgm:pt>
    <dgm:pt modelId="{2094D0C4-31E9-4D31-BD09-1B2A68CC66AE}" type="pres">
      <dgm:prSet presAssocID="{7045C848-027E-49F7-A830-AEDB7F8068DB}" presName="parentText" presStyleLbl="node1" presStyleIdx="2" presStyleCnt="7">
        <dgm:presLayoutVars>
          <dgm:chMax val="0"/>
          <dgm:bulletEnabled val="1"/>
        </dgm:presLayoutVars>
      </dgm:prSet>
      <dgm:spPr/>
    </dgm:pt>
    <dgm:pt modelId="{2CFF432E-0688-45B8-8A8F-922662E39248}" type="pres">
      <dgm:prSet presAssocID="{7045C848-027E-49F7-A830-AEDB7F8068DB}" presName="negativeSpace" presStyleCnt="0"/>
      <dgm:spPr/>
    </dgm:pt>
    <dgm:pt modelId="{6BC2DE2F-D47D-42E0-B693-72BF2AA12824}" type="pres">
      <dgm:prSet presAssocID="{7045C848-027E-49F7-A830-AEDB7F8068DB}" presName="childText" presStyleLbl="conFgAcc1" presStyleIdx="2" presStyleCnt="7">
        <dgm:presLayoutVars>
          <dgm:bulletEnabled val="1"/>
        </dgm:presLayoutVars>
      </dgm:prSet>
      <dgm:spPr/>
    </dgm:pt>
    <dgm:pt modelId="{65915543-50A0-492E-A2A8-72142687B898}" type="pres">
      <dgm:prSet presAssocID="{CCD4E3E6-BEC5-4512-BDFA-87DADBD03E4E}" presName="spaceBetweenRectangles" presStyleCnt="0"/>
      <dgm:spPr/>
    </dgm:pt>
    <dgm:pt modelId="{E1CAF536-2DF9-41D5-B53E-B27E9785FDF8}" type="pres">
      <dgm:prSet presAssocID="{73531917-16DA-45EC-87C3-F99CFB463255}" presName="parentLin" presStyleCnt="0"/>
      <dgm:spPr/>
    </dgm:pt>
    <dgm:pt modelId="{A232A454-984B-4DBB-88AE-A03F02D2A5C0}" type="pres">
      <dgm:prSet presAssocID="{73531917-16DA-45EC-87C3-F99CFB463255}" presName="parentLeftMargin" presStyleLbl="node1" presStyleIdx="2" presStyleCnt="7"/>
      <dgm:spPr/>
    </dgm:pt>
    <dgm:pt modelId="{D1FEB157-1B6D-4467-9AA0-8A5162B102C6}" type="pres">
      <dgm:prSet presAssocID="{73531917-16DA-45EC-87C3-F99CFB463255}" presName="parentText" presStyleLbl="node1" presStyleIdx="3" presStyleCnt="7">
        <dgm:presLayoutVars>
          <dgm:chMax val="0"/>
          <dgm:bulletEnabled val="1"/>
        </dgm:presLayoutVars>
      </dgm:prSet>
      <dgm:spPr/>
    </dgm:pt>
    <dgm:pt modelId="{35E20411-6A8F-4583-854D-68882F2A48B5}" type="pres">
      <dgm:prSet presAssocID="{73531917-16DA-45EC-87C3-F99CFB463255}" presName="negativeSpace" presStyleCnt="0"/>
      <dgm:spPr/>
    </dgm:pt>
    <dgm:pt modelId="{905485EE-07FF-4500-9FDA-284CB135BA85}" type="pres">
      <dgm:prSet presAssocID="{73531917-16DA-45EC-87C3-F99CFB463255}" presName="childText" presStyleLbl="conFgAcc1" presStyleIdx="3" presStyleCnt="7">
        <dgm:presLayoutVars>
          <dgm:bulletEnabled val="1"/>
        </dgm:presLayoutVars>
      </dgm:prSet>
      <dgm:spPr/>
    </dgm:pt>
    <dgm:pt modelId="{29ABDA78-F708-4927-90F0-F97767F5815A}" type="pres">
      <dgm:prSet presAssocID="{790126CA-1D06-4E66-9396-0220891BFDD9}" presName="spaceBetweenRectangles" presStyleCnt="0"/>
      <dgm:spPr/>
    </dgm:pt>
    <dgm:pt modelId="{997A15DE-5346-4A13-B372-B1F2F3E906E6}" type="pres">
      <dgm:prSet presAssocID="{E3CF7516-036A-4A60-9663-8772BDEE5CF2}" presName="parentLin" presStyleCnt="0"/>
      <dgm:spPr/>
    </dgm:pt>
    <dgm:pt modelId="{6EB60215-4BDA-46DA-962D-8ADFA67CB0BC}" type="pres">
      <dgm:prSet presAssocID="{E3CF7516-036A-4A60-9663-8772BDEE5CF2}" presName="parentLeftMargin" presStyleLbl="node1" presStyleIdx="3" presStyleCnt="7"/>
      <dgm:spPr/>
    </dgm:pt>
    <dgm:pt modelId="{CA79F889-93E8-4859-ABE1-F2CCBDAF33E2}" type="pres">
      <dgm:prSet presAssocID="{E3CF7516-036A-4A60-9663-8772BDEE5CF2}" presName="parentText" presStyleLbl="node1" presStyleIdx="4" presStyleCnt="7">
        <dgm:presLayoutVars>
          <dgm:chMax val="0"/>
          <dgm:bulletEnabled val="1"/>
        </dgm:presLayoutVars>
      </dgm:prSet>
      <dgm:spPr/>
    </dgm:pt>
    <dgm:pt modelId="{8DD45C0C-A554-4FDC-9F28-8468B1FD0272}" type="pres">
      <dgm:prSet presAssocID="{E3CF7516-036A-4A60-9663-8772BDEE5CF2}" presName="negativeSpace" presStyleCnt="0"/>
      <dgm:spPr/>
    </dgm:pt>
    <dgm:pt modelId="{D65A694D-CBF3-4CB5-9674-EB3A012D9467}" type="pres">
      <dgm:prSet presAssocID="{E3CF7516-036A-4A60-9663-8772BDEE5CF2}" presName="childText" presStyleLbl="conFgAcc1" presStyleIdx="4" presStyleCnt="7">
        <dgm:presLayoutVars>
          <dgm:bulletEnabled val="1"/>
        </dgm:presLayoutVars>
      </dgm:prSet>
      <dgm:spPr/>
    </dgm:pt>
    <dgm:pt modelId="{A0960043-2243-4518-8379-F31219927819}" type="pres">
      <dgm:prSet presAssocID="{E080AEAB-A037-42EA-B5C4-73D92FD73CA2}" presName="spaceBetweenRectangles" presStyleCnt="0"/>
      <dgm:spPr/>
    </dgm:pt>
    <dgm:pt modelId="{57E268C2-931F-49B1-8E78-064252E192D7}" type="pres">
      <dgm:prSet presAssocID="{C181AEE7-9DD0-4C18-A9A8-F2E905B29219}" presName="parentLin" presStyleCnt="0"/>
      <dgm:spPr/>
    </dgm:pt>
    <dgm:pt modelId="{5C1BD936-D359-477A-A413-A75FF7606266}" type="pres">
      <dgm:prSet presAssocID="{C181AEE7-9DD0-4C18-A9A8-F2E905B29219}" presName="parentLeftMargin" presStyleLbl="node1" presStyleIdx="4" presStyleCnt="7"/>
      <dgm:spPr/>
    </dgm:pt>
    <dgm:pt modelId="{70017630-5636-444F-A49E-A6B435A69FFF}" type="pres">
      <dgm:prSet presAssocID="{C181AEE7-9DD0-4C18-A9A8-F2E905B29219}" presName="parentText" presStyleLbl="node1" presStyleIdx="5" presStyleCnt="7">
        <dgm:presLayoutVars>
          <dgm:chMax val="0"/>
          <dgm:bulletEnabled val="1"/>
        </dgm:presLayoutVars>
      </dgm:prSet>
      <dgm:spPr/>
    </dgm:pt>
    <dgm:pt modelId="{547AFA32-9EC6-4920-B5E3-C683C92BA626}" type="pres">
      <dgm:prSet presAssocID="{C181AEE7-9DD0-4C18-A9A8-F2E905B29219}" presName="negativeSpace" presStyleCnt="0"/>
      <dgm:spPr/>
    </dgm:pt>
    <dgm:pt modelId="{F6D07D80-5E05-40EF-A291-F8771B3B21C9}" type="pres">
      <dgm:prSet presAssocID="{C181AEE7-9DD0-4C18-A9A8-F2E905B29219}" presName="childText" presStyleLbl="conFgAcc1" presStyleIdx="5" presStyleCnt="7">
        <dgm:presLayoutVars>
          <dgm:bulletEnabled val="1"/>
        </dgm:presLayoutVars>
      </dgm:prSet>
      <dgm:spPr/>
    </dgm:pt>
    <dgm:pt modelId="{5C9E1120-AEF0-461D-B12E-4C66AB19BEAE}" type="pres">
      <dgm:prSet presAssocID="{4F3EEC11-787F-49B1-9661-66DE779F228E}" presName="spaceBetweenRectangles" presStyleCnt="0"/>
      <dgm:spPr/>
    </dgm:pt>
    <dgm:pt modelId="{54909AE8-15C2-4962-B1EF-FDE205319C48}" type="pres">
      <dgm:prSet presAssocID="{71F3DFC7-502A-4EDC-97A8-838B6AE85C15}" presName="parentLin" presStyleCnt="0"/>
      <dgm:spPr/>
    </dgm:pt>
    <dgm:pt modelId="{18D79AF6-ED7E-4201-A349-DC6E7965B683}" type="pres">
      <dgm:prSet presAssocID="{71F3DFC7-502A-4EDC-97A8-838B6AE85C15}" presName="parentLeftMargin" presStyleLbl="node1" presStyleIdx="5" presStyleCnt="7"/>
      <dgm:spPr/>
    </dgm:pt>
    <dgm:pt modelId="{58CF40BA-A475-4116-8FEE-0315A86955BE}" type="pres">
      <dgm:prSet presAssocID="{71F3DFC7-502A-4EDC-97A8-838B6AE85C15}" presName="parentText" presStyleLbl="node1" presStyleIdx="6" presStyleCnt="7">
        <dgm:presLayoutVars>
          <dgm:chMax val="0"/>
          <dgm:bulletEnabled val="1"/>
        </dgm:presLayoutVars>
      </dgm:prSet>
      <dgm:spPr/>
    </dgm:pt>
    <dgm:pt modelId="{171610EF-731A-47AE-840F-E77501F30B29}" type="pres">
      <dgm:prSet presAssocID="{71F3DFC7-502A-4EDC-97A8-838B6AE85C15}" presName="negativeSpace" presStyleCnt="0"/>
      <dgm:spPr/>
    </dgm:pt>
    <dgm:pt modelId="{90EE4DA5-458D-405B-96A8-8067D1825E2F}" type="pres">
      <dgm:prSet presAssocID="{71F3DFC7-502A-4EDC-97A8-838B6AE85C15}" presName="childText" presStyleLbl="conFgAcc1" presStyleIdx="6" presStyleCnt="7">
        <dgm:presLayoutVars>
          <dgm:bulletEnabled val="1"/>
        </dgm:presLayoutVars>
      </dgm:prSet>
      <dgm:spPr/>
    </dgm:pt>
  </dgm:ptLst>
  <dgm:cxnLst>
    <dgm:cxn modelId="{3C61BA03-4DA5-46D8-B203-E51CCFF75012}" type="presOf" srcId="{71F3DFC7-502A-4EDC-97A8-838B6AE85C15}" destId="{18D79AF6-ED7E-4201-A349-DC6E7965B683}" srcOrd="0" destOrd="0" presId="urn:microsoft.com/office/officeart/2005/8/layout/list1"/>
    <dgm:cxn modelId="{75926631-AE2F-484F-9ABA-79E1493F5BB6}" srcId="{B4C03EC7-564A-46E8-8F7B-10E8DEA6D660}" destId="{C181AEE7-9DD0-4C18-A9A8-F2E905B29219}" srcOrd="5" destOrd="0" parTransId="{85D87192-B0E6-4DD5-81F5-04D2351E1CE6}" sibTransId="{4F3EEC11-787F-49B1-9661-66DE779F228E}"/>
    <dgm:cxn modelId="{516A3139-C4F3-4BB1-8079-0DD246DF46F3}" type="presOf" srcId="{7045C848-027E-49F7-A830-AEDB7F8068DB}" destId="{35E5C956-BF0B-4803-AD7F-9B16EB439605}" srcOrd="0" destOrd="0" presId="urn:microsoft.com/office/officeart/2005/8/layout/list1"/>
    <dgm:cxn modelId="{7ECB153C-946F-4A38-A3B9-0CBAD2C2A33E}" srcId="{B4C03EC7-564A-46E8-8F7B-10E8DEA6D660}" destId="{71F3DFC7-502A-4EDC-97A8-838B6AE85C15}" srcOrd="6" destOrd="0" parTransId="{B816C19A-29D8-4EBE-B0B0-3997D7F1161D}" sibTransId="{77F46219-C478-404C-AB4E-27EB71B2DC6E}"/>
    <dgm:cxn modelId="{84593E4F-FD48-4CB8-846A-39135A046A00}" type="presOf" srcId="{8BFD875D-444C-41D1-924B-A2483AD06937}" destId="{68A2E093-A274-4EFE-9F31-459FF526ECD9}" srcOrd="1" destOrd="0" presId="urn:microsoft.com/office/officeart/2005/8/layout/list1"/>
    <dgm:cxn modelId="{DA18A173-DE7D-40FF-879E-4ACBE956E4A0}" type="presOf" srcId="{C181AEE7-9DD0-4C18-A9A8-F2E905B29219}" destId="{5C1BD936-D359-477A-A413-A75FF7606266}" srcOrd="0" destOrd="0" presId="urn:microsoft.com/office/officeart/2005/8/layout/list1"/>
    <dgm:cxn modelId="{A91FBF56-7815-49E6-8129-004097B2A57E}" type="presOf" srcId="{73531917-16DA-45EC-87C3-F99CFB463255}" destId="{D1FEB157-1B6D-4467-9AA0-8A5162B102C6}" srcOrd="1" destOrd="0" presId="urn:microsoft.com/office/officeart/2005/8/layout/list1"/>
    <dgm:cxn modelId="{25AE2F81-9E21-4E35-9332-12508A2A654C}" type="presOf" srcId="{C181AEE7-9DD0-4C18-A9A8-F2E905B29219}" destId="{70017630-5636-444F-A49E-A6B435A69FFF}" srcOrd="1" destOrd="0" presId="urn:microsoft.com/office/officeart/2005/8/layout/list1"/>
    <dgm:cxn modelId="{62578E83-ED53-4646-B094-D0BF199B3F06}" type="presOf" srcId="{DFCB8469-9269-45B7-A73B-F42045245253}" destId="{56D60870-E3DD-4C0C-96FF-05649DE10EE2}" srcOrd="0" destOrd="0" presId="urn:microsoft.com/office/officeart/2005/8/layout/list1"/>
    <dgm:cxn modelId="{6463AA8F-D1B9-4CBB-A067-8F3234B4313E}" type="presOf" srcId="{E3CF7516-036A-4A60-9663-8772BDEE5CF2}" destId="{CA79F889-93E8-4859-ABE1-F2CCBDAF33E2}" srcOrd="1" destOrd="0" presId="urn:microsoft.com/office/officeart/2005/8/layout/list1"/>
    <dgm:cxn modelId="{D24CE390-249E-43BF-ACB5-1F0CDB1DC093}" srcId="{B4C03EC7-564A-46E8-8F7B-10E8DEA6D660}" destId="{8BFD875D-444C-41D1-924B-A2483AD06937}" srcOrd="1" destOrd="0" parTransId="{DC5A78AF-E843-4B53-A3F5-10360EAFD9BB}" sibTransId="{CD26D7E3-B40E-486F-984A-9E81A398E091}"/>
    <dgm:cxn modelId="{680CF4A0-B7A5-46A0-893E-DA1F2FB138F3}" type="presOf" srcId="{73531917-16DA-45EC-87C3-F99CFB463255}" destId="{A232A454-984B-4DBB-88AE-A03F02D2A5C0}" srcOrd="0" destOrd="0" presId="urn:microsoft.com/office/officeart/2005/8/layout/list1"/>
    <dgm:cxn modelId="{4263E3A1-767D-41F5-8698-F9E0DC606425}" srcId="{B4C03EC7-564A-46E8-8F7B-10E8DEA6D660}" destId="{73531917-16DA-45EC-87C3-F99CFB463255}" srcOrd="3" destOrd="0" parTransId="{27BDC751-234A-4F8D-921A-E937B98A91F8}" sibTransId="{790126CA-1D06-4E66-9396-0220891BFDD9}"/>
    <dgm:cxn modelId="{F0BDABA9-9DFE-4414-A664-665F7932A13E}" type="presOf" srcId="{E3CF7516-036A-4A60-9663-8772BDEE5CF2}" destId="{6EB60215-4BDA-46DA-962D-8ADFA67CB0BC}" srcOrd="0" destOrd="0" presId="urn:microsoft.com/office/officeart/2005/8/layout/list1"/>
    <dgm:cxn modelId="{912A43C8-063E-411A-8384-536A58429961}" srcId="{B4C03EC7-564A-46E8-8F7B-10E8DEA6D660}" destId="{E3CF7516-036A-4A60-9663-8772BDEE5CF2}" srcOrd="4" destOrd="0" parTransId="{A87C6949-588B-4E77-96A2-C88F5FC07C3B}" sibTransId="{E080AEAB-A037-42EA-B5C4-73D92FD73CA2}"/>
    <dgm:cxn modelId="{64C492C8-254E-4EFA-BCE1-57C401FF787D}" type="presOf" srcId="{DFCB8469-9269-45B7-A73B-F42045245253}" destId="{450AF21E-ED62-419D-8DE8-744F62B02BC8}" srcOrd="1" destOrd="0" presId="urn:microsoft.com/office/officeart/2005/8/layout/list1"/>
    <dgm:cxn modelId="{1453DFCF-5803-4237-A90A-12B645BE2EBF}" type="presOf" srcId="{B4C03EC7-564A-46E8-8F7B-10E8DEA6D660}" destId="{E5B98926-DF47-4143-9E24-83F4FAB04B15}" srcOrd="0" destOrd="0" presId="urn:microsoft.com/office/officeart/2005/8/layout/list1"/>
    <dgm:cxn modelId="{5EAE24DA-FE97-4910-8EE9-D5E833AAEF19}" srcId="{B4C03EC7-564A-46E8-8F7B-10E8DEA6D660}" destId="{7045C848-027E-49F7-A830-AEDB7F8068DB}" srcOrd="2" destOrd="0" parTransId="{359166C4-734E-421D-8B33-9C6697FC2640}" sibTransId="{CCD4E3E6-BEC5-4512-BDFA-87DADBD03E4E}"/>
    <dgm:cxn modelId="{107DADDC-2E34-4445-A48E-7BDCC3CFB939}" type="presOf" srcId="{8BFD875D-444C-41D1-924B-A2483AD06937}" destId="{313A7168-F408-4E0E-95B3-4DCF1044BE88}" srcOrd="0" destOrd="0" presId="urn:microsoft.com/office/officeart/2005/8/layout/list1"/>
    <dgm:cxn modelId="{5D6F99E3-2538-47C3-9F4D-5AD8022F174A}" type="presOf" srcId="{71F3DFC7-502A-4EDC-97A8-838B6AE85C15}" destId="{58CF40BA-A475-4116-8FEE-0315A86955BE}" srcOrd="1" destOrd="0" presId="urn:microsoft.com/office/officeart/2005/8/layout/list1"/>
    <dgm:cxn modelId="{1A222BFE-608D-468F-A57E-F9DCD0D3FBD5}" srcId="{B4C03EC7-564A-46E8-8F7B-10E8DEA6D660}" destId="{DFCB8469-9269-45B7-A73B-F42045245253}" srcOrd="0" destOrd="0" parTransId="{BA93C0D1-CF0D-43B2-864C-AFA153E8E584}" sibTransId="{B4C49546-30B7-4514-AF37-2F629CF8E953}"/>
    <dgm:cxn modelId="{DDA49BFF-13D0-4D5E-945D-9354A3CF7FC4}" type="presOf" srcId="{7045C848-027E-49F7-A830-AEDB7F8068DB}" destId="{2094D0C4-31E9-4D31-BD09-1B2A68CC66AE}" srcOrd="1" destOrd="0" presId="urn:microsoft.com/office/officeart/2005/8/layout/list1"/>
    <dgm:cxn modelId="{698A0D77-BD2A-4B57-BEA9-836FCC60B729}" type="presParOf" srcId="{E5B98926-DF47-4143-9E24-83F4FAB04B15}" destId="{CAA29CA2-5734-4A77-A6C1-1F41A2413EF7}" srcOrd="0" destOrd="0" presId="urn:microsoft.com/office/officeart/2005/8/layout/list1"/>
    <dgm:cxn modelId="{7A346C0D-C980-4489-84EC-8B220400830A}" type="presParOf" srcId="{CAA29CA2-5734-4A77-A6C1-1F41A2413EF7}" destId="{56D60870-E3DD-4C0C-96FF-05649DE10EE2}" srcOrd="0" destOrd="0" presId="urn:microsoft.com/office/officeart/2005/8/layout/list1"/>
    <dgm:cxn modelId="{84737173-B9C7-4BF9-A413-DD95AF788FBE}" type="presParOf" srcId="{CAA29CA2-5734-4A77-A6C1-1F41A2413EF7}" destId="{450AF21E-ED62-419D-8DE8-744F62B02BC8}" srcOrd="1" destOrd="0" presId="urn:microsoft.com/office/officeart/2005/8/layout/list1"/>
    <dgm:cxn modelId="{AD74F561-AD5C-47E4-9F71-A6E1CA37AEA0}" type="presParOf" srcId="{E5B98926-DF47-4143-9E24-83F4FAB04B15}" destId="{EC51E904-3C58-4698-A5F6-DBBF2EF62C0F}" srcOrd="1" destOrd="0" presId="urn:microsoft.com/office/officeart/2005/8/layout/list1"/>
    <dgm:cxn modelId="{D9C29B14-3159-4106-AD9F-F3081E9DD42B}" type="presParOf" srcId="{E5B98926-DF47-4143-9E24-83F4FAB04B15}" destId="{88B6D56C-1A87-43CB-AA55-BDF9B070F010}" srcOrd="2" destOrd="0" presId="urn:microsoft.com/office/officeart/2005/8/layout/list1"/>
    <dgm:cxn modelId="{5ECE9C12-94AE-412B-A019-55CFC88CCDE3}" type="presParOf" srcId="{E5B98926-DF47-4143-9E24-83F4FAB04B15}" destId="{D12D29FA-83E7-4E50-8B1F-3237563BB765}" srcOrd="3" destOrd="0" presId="urn:microsoft.com/office/officeart/2005/8/layout/list1"/>
    <dgm:cxn modelId="{F169DBDD-EFDA-468E-87B3-A3D7F9330F7E}" type="presParOf" srcId="{E5B98926-DF47-4143-9E24-83F4FAB04B15}" destId="{1F2FB96F-CF06-4FD8-8321-B82D02BEF017}" srcOrd="4" destOrd="0" presId="urn:microsoft.com/office/officeart/2005/8/layout/list1"/>
    <dgm:cxn modelId="{F9729A25-3DAE-49A8-AB10-71044C954FBC}" type="presParOf" srcId="{1F2FB96F-CF06-4FD8-8321-B82D02BEF017}" destId="{313A7168-F408-4E0E-95B3-4DCF1044BE88}" srcOrd="0" destOrd="0" presId="urn:microsoft.com/office/officeart/2005/8/layout/list1"/>
    <dgm:cxn modelId="{79966BD5-E21E-4D69-ADCB-DEFF32F76DB2}" type="presParOf" srcId="{1F2FB96F-CF06-4FD8-8321-B82D02BEF017}" destId="{68A2E093-A274-4EFE-9F31-459FF526ECD9}" srcOrd="1" destOrd="0" presId="urn:microsoft.com/office/officeart/2005/8/layout/list1"/>
    <dgm:cxn modelId="{65594C82-3079-47BB-8156-F03DF867B790}" type="presParOf" srcId="{E5B98926-DF47-4143-9E24-83F4FAB04B15}" destId="{DE35C9A3-6FF3-425D-8732-DCC0B6ED562F}" srcOrd="5" destOrd="0" presId="urn:microsoft.com/office/officeart/2005/8/layout/list1"/>
    <dgm:cxn modelId="{05F9B5D4-BA6C-4BFC-BA98-2BC09F6C97BB}" type="presParOf" srcId="{E5B98926-DF47-4143-9E24-83F4FAB04B15}" destId="{2AB97D9E-3B3B-4DF2-A453-782AD237530F}" srcOrd="6" destOrd="0" presId="urn:microsoft.com/office/officeart/2005/8/layout/list1"/>
    <dgm:cxn modelId="{3A28E3C0-6F97-4536-9BB2-02BDBCB6E12C}" type="presParOf" srcId="{E5B98926-DF47-4143-9E24-83F4FAB04B15}" destId="{B05BC09F-B652-41F9-87E6-DB7AA3451E65}" srcOrd="7" destOrd="0" presId="urn:microsoft.com/office/officeart/2005/8/layout/list1"/>
    <dgm:cxn modelId="{17EE2BBF-4668-4C8E-947A-A65C779BB1FD}" type="presParOf" srcId="{E5B98926-DF47-4143-9E24-83F4FAB04B15}" destId="{CC1FBEAF-88E5-4BDD-B29B-AC83939474AB}" srcOrd="8" destOrd="0" presId="urn:microsoft.com/office/officeart/2005/8/layout/list1"/>
    <dgm:cxn modelId="{A1E8E8A1-7E1B-4480-A8C8-D6D2ABEB9AB8}" type="presParOf" srcId="{CC1FBEAF-88E5-4BDD-B29B-AC83939474AB}" destId="{35E5C956-BF0B-4803-AD7F-9B16EB439605}" srcOrd="0" destOrd="0" presId="urn:microsoft.com/office/officeart/2005/8/layout/list1"/>
    <dgm:cxn modelId="{53B8359B-D826-4629-BA72-2F41C9D32125}" type="presParOf" srcId="{CC1FBEAF-88E5-4BDD-B29B-AC83939474AB}" destId="{2094D0C4-31E9-4D31-BD09-1B2A68CC66AE}" srcOrd="1" destOrd="0" presId="urn:microsoft.com/office/officeart/2005/8/layout/list1"/>
    <dgm:cxn modelId="{254E7F76-57BB-41CE-B64D-2BB7BAD4A2C7}" type="presParOf" srcId="{E5B98926-DF47-4143-9E24-83F4FAB04B15}" destId="{2CFF432E-0688-45B8-8A8F-922662E39248}" srcOrd="9" destOrd="0" presId="urn:microsoft.com/office/officeart/2005/8/layout/list1"/>
    <dgm:cxn modelId="{9A5CCB9A-5041-46F0-952F-7B7D7B010D15}" type="presParOf" srcId="{E5B98926-DF47-4143-9E24-83F4FAB04B15}" destId="{6BC2DE2F-D47D-42E0-B693-72BF2AA12824}" srcOrd="10" destOrd="0" presId="urn:microsoft.com/office/officeart/2005/8/layout/list1"/>
    <dgm:cxn modelId="{E81429E1-BC9F-400D-8271-3A849BBCBBD4}" type="presParOf" srcId="{E5B98926-DF47-4143-9E24-83F4FAB04B15}" destId="{65915543-50A0-492E-A2A8-72142687B898}" srcOrd="11" destOrd="0" presId="urn:microsoft.com/office/officeart/2005/8/layout/list1"/>
    <dgm:cxn modelId="{3E94E1BC-81BA-4E07-B656-D0FB69C3881B}" type="presParOf" srcId="{E5B98926-DF47-4143-9E24-83F4FAB04B15}" destId="{E1CAF536-2DF9-41D5-B53E-B27E9785FDF8}" srcOrd="12" destOrd="0" presId="urn:microsoft.com/office/officeart/2005/8/layout/list1"/>
    <dgm:cxn modelId="{2728E456-3644-4287-8C0C-3536E80E91E5}" type="presParOf" srcId="{E1CAF536-2DF9-41D5-B53E-B27E9785FDF8}" destId="{A232A454-984B-4DBB-88AE-A03F02D2A5C0}" srcOrd="0" destOrd="0" presId="urn:microsoft.com/office/officeart/2005/8/layout/list1"/>
    <dgm:cxn modelId="{53363F90-A0C5-4741-83DE-AC1DB06B11F6}" type="presParOf" srcId="{E1CAF536-2DF9-41D5-B53E-B27E9785FDF8}" destId="{D1FEB157-1B6D-4467-9AA0-8A5162B102C6}" srcOrd="1" destOrd="0" presId="urn:microsoft.com/office/officeart/2005/8/layout/list1"/>
    <dgm:cxn modelId="{33B20E8A-BDA0-4B42-BE07-D585FF9ED4F9}" type="presParOf" srcId="{E5B98926-DF47-4143-9E24-83F4FAB04B15}" destId="{35E20411-6A8F-4583-854D-68882F2A48B5}" srcOrd="13" destOrd="0" presId="urn:microsoft.com/office/officeart/2005/8/layout/list1"/>
    <dgm:cxn modelId="{80BA9964-3496-44FE-8D06-F7C8D85DC39E}" type="presParOf" srcId="{E5B98926-DF47-4143-9E24-83F4FAB04B15}" destId="{905485EE-07FF-4500-9FDA-284CB135BA85}" srcOrd="14" destOrd="0" presId="urn:microsoft.com/office/officeart/2005/8/layout/list1"/>
    <dgm:cxn modelId="{45FD1B38-102A-4217-BA9E-384F1C4EB6DC}" type="presParOf" srcId="{E5B98926-DF47-4143-9E24-83F4FAB04B15}" destId="{29ABDA78-F708-4927-90F0-F97767F5815A}" srcOrd="15" destOrd="0" presId="urn:microsoft.com/office/officeart/2005/8/layout/list1"/>
    <dgm:cxn modelId="{9CD40D71-1CBF-499A-8F4F-A6236A85BD53}" type="presParOf" srcId="{E5B98926-DF47-4143-9E24-83F4FAB04B15}" destId="{997A15DE-5346-4A13-B372-B1F2F3E906E6}" srcOrd="16" destOrd="0" presId="urn:microsoft.com/office/officeart/2005/8/layout/list1"/>
    <dgm:cxn modelId="{49CA448D-7DD9-45D6-9333-ABA8C6608B5F}" type="presParOf" srcId="{997A15DE-5346-4A13-B372-B1F2F3E906E6}" destId="{6EB60215-4BDA-46DA-962D-8ADFA67CB0BC}" srcOrd="0" destOrd="0" presId="urn:microsoft.com/office/officeart/2005/8/layout/list1"/>
    <dgm:cxn modelId="{D0939885-737E-4BB1-9B5D-452729592EA4}" type="presParOf" srcId="{997A15DE-5346-4A13-B372-B1F2F3E906E6}" destId="{CA79F889-93E8-4859-ABE1-F2CCBDAF33E2}" srcOrd="1" destOrd="0" presId="urn:microsoft.com/office/officeart/2005/8/layout/list1"/>
    <dgm:cxn modelId="{A009DF28-D92F-4865-90D7-488792238ACA}" type="presParOf" srcId="{E5B98926-DF47-4143-9E24-83F4FAB04B15}" destId="{8DD45C0C-A554-4FDC-9F28-8468B1FD0272}" srcOrd="17" destOrd="0" presId="urn:microsoft.com/office/officeart/2005/8/layout/list1"/>
    <dgm:cxn modelId="{EF2650DE-4A22-430B-8C63-4A85A6A2AB2C}" type="presParOf" srcId="{E5B98926-DF47-4143-9E24-83F4FAB04B15}" destId="{D65A694D-CBF3-4CB5-9674-EB3A012D9467}" srcOrd="18" destOrd="0" presId="urn:microsoft.com/office/officeart/2005/8/layout/list1"/>
    <dgm:cxn modelId="{EAD1E4C5-9571-4D6E-9AC9-B8B0C7F55845}" type="presParOf" srcId="{E5B98926-DF47-4143-9E24-83F4FAB04B15}" destId="{A0960043-2243-4518-8379-F31219927819}" srcOrd="19" destOrd="0" presId="urn:microsoft.com/office/officeart/2005/8/layout/list1"/>
    <dgm:cxn modelId="{C964C7A6-B935-4761-910C-F714F0A4B532}" type="presParOf" srcId="{E5B98926-DF47-4143-9E24-83F4FAB04B15}" destId="{57E268C2-931F-49B1-8E78-064252E192D7}" srcOrd="20" destOrd="0" presId="urn:microsoft.com/office/officeart/2005/8/layout/list1"/>
    <dgm:cxn modelId="{2D22FB63-69C8-490F-9DD6-1223201F2119}" type="presParOf" srcId="{57E268C2-931F-49B1-8E78-064252E192D7}" destId="{5C1BD936-D359-477A-A413-A75FF7606266}" srcOrd="0" destOrd="0" presId="urn:microsoft.com/office/officeart/2005/8/layout/list1"/>
    <dgm:cxn modelId="{B244C7A7-E848-4F2E-B5BC-048B2D3348D1}" type="presParOf" srcId="{57E268C2-931F-49B1-8E78-064252E192D7}" destId="{70017630-5636-444F-A49E-A6B435A69FFF}" srcOrd="1" destOrd="0" presId="urn:microsoft.com/office/officeart/2005/8/layout/list1"/>
    <dgm:cxn modelId="{65544C09-1D6E-4AC6-B765-C016E5BEC06B}" type="presParOf" srcId="{E5B98926-DF47-4143-9E24-83F4FAB04B15}" destId="{547AFA32-9EC6-4920-B5E3-C683C92BA626}" srcOrd="21" destOrd="0" presId="urn:microsoft.com/office/officeart/2005/8/layout/list1"/>
    <dgm:cxn modelId="{4AC7EB0A-C03D-418E-96B7-BA0A7331E31F}" type="presParOf" srcId="{E5B98926-DF47-4143-9E24-83F4FAB04B15}" destId="{F6D07D80-5E05-40EF-A291-F8771B3B21C9}" srcOrd="22" destOrd="0" presId="urn:microsoft.com/office/officeart/2005/8/layout/list1"/>
    <dgm:cxn modelId="{4B28993B-15CC-4FDF-BD64-BE4ED5E9CF14}" type="presParOf" srcId="{E5B98926-DF47-4143-9E24-83F4FAB04B15}" destId="{5C9E1120-AEF0-461D-B12E-4C66AB19BEAE}" srcOrd="23" destOrd="0" presId="urn:microsoft.com/office/officeart/2005/8/layout/list1"/>
    <dgm:cxn modelId="{EB355A99-8BAB-492A-BD53-3E78A58CA3D1}" type="presParOf" srcId="{E5B98926-DF47-4143-9E24-83F4FAB04B15}" destId="{54909AE8-15C2-4962-B1EF-FDE205319C48}" srcOrd="24" destOrd="0" presId="urn:microsoft.com/office/officeart/2005/8/layout/list1"/>
    <dgm:cxn modelId="{EA6B1C69-8680-4A79-B435-91C77797EBF4}" type="presParOf" srcId="{54909AE8-15C2-4962-B1EF-FDE205319C48}" destId="{18D79AF6-ED7E-4201-A349-DC6E7965B683}" srcOrd="0" destOrd="0" presId="urn:microsoft.com/office/officeart/2005/8/layout/list1"/>
    <dgm:cxn modelId="{8F55D266-A9C3-46D6-9F4F-8A9B7568C3E7}" type="presParOf" srcId="{54909AE8-15C2-4962-B1EF-FDE205319C48}" destId="{58CF40BA-A475-4116-8FEE-0315A86955BE}" srcOrd="1" destOrd="0" presId="urn:microsoft.com/office/officeart/2005/8/layout/list1"/>
    <dgm:cxn modelId="{51D4C0A0-0CBA-4F73-A6E3-7E92E923F509}" type="presParOf" srcId="{E5B98926-DF47-4143-9E24-83F4FAB04B15}" destId="{171610EF-731A-47AE-840F-E77501F30B29}" srcOrd="25" destOrd="0" presId="urn:microsoft.com/office/officeart/2005/8/layout/list1"/>
    <dgm:cxn modelId="{C3904789-51F6-45AB-92C1-2442DC0D9AB6}" type="presParOf" srcId="{E5B98926-DF47-4143-9E24-83F4FAB04B15}" destId="{90EE4DA5-458D-405B-96A8-8067D1825E2F}" srcOrd="26" destOrd="0" presId="urn:microsoft.com/office/officeart/2005/8/layout/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DD1FCDA-BBEB-4F12-A548-1B72AED1F7F0}" type="doc">
      <dgm:prSet loTypeId="urn:microsoft.com/office/officeart/2005/8/layout/list1" loCatId="list" qsTypeId="urn:microsoft.com/office/officeart/2005/8/quickstyle/simple1" qsCatId="simple" csTypeId="urn:microsoft.com/office/officeart/2005/8/colors/accent2_1" csCatId="accent2" phldr="1"/>
      <dgm:spPr/>
      <dgm:t>
        <a:bodyPr/>
        <a:lstStyle/>
        <a:p>
          <a:endParaRPr lang="en-US"/>
        </a:p>
      </dgm:t>
    </dgm:pt>
    <dgm:pt modelId="{9457567B-08EF-45A4-87A6-1D35EDDD0EC4}">
      <dgm:prSet phldrT="[Text]" custT="1"/>
      <dgm:spPr/>
      <dgm:t>
        <a:bodyPr/>
        <a:lstStyle/>
        <a:p>
          <a:r>
            <a:rPr lang="en-US" sz="1200">
              <a:latin typeface="Times New Roman" pitchFamily="18" charset="0"/>
              <a:cs typeface="Times New Roman" pitchFamily="18" charset="0"/>
            </a:rPr>
            <a:t>HIT Overview</a:t>
          </a:r>
        </a:p>
      </dgm:t>
    </dgm:pt>
    <dgm:pt modelId="{432EAF11-2FEB-4B70-BB5A-4ED2A65B532B}" type="parTrans" cxnId="{7B87B80B-90AE-4D8C-A9CD-9C89D5892BCE}">
      <dgm:prSet/>
      <dgm:spPr/>
      <dgm:t>
        <a:bodyPr/>
        <a:lstStyle/>
        <a:p>
          <a:endParaRPr lang="en-US" sz="1200">
            <a:latin typeface="Times New Roman" pitchFamily="18" charset="0"/>
            <a:cs typeface="Times New Roman" pitchFamily="18" charset="0"/>
          </a:endParaRPr>
        </a:p>
      </dgm:t>
    </dgm:pt>
    <dgm:pt modelId="{CBFBC6BF-0C8D-4A1C-A637-178CFB1302FD}" type="sibTrans" cxnId="{7B87B80B-90AE-4D8C-A9CD-9C89D5892BCE}">
      <dgm:prSet/>
      <dgm:spPr/>
      <dgm:t>
        <a:bodyPr/>
        <a:lstStyle/>
        <a:p>
          <a:endParaRPr lang="en-US" sz="1200">
            <a:latin typeface="Times New Roman" pitchFamily="18" charset="0"/>
            <a:cs typeface="Times New Roman" pitchFamily="18" charset="0"/>
          </a:endParaRPr>
        </a:p>
      </dgm:t>
    </dgm:pt>
    <dgm:pt modelId="{AB449832-C099-4942-BA3F-DBA69E77AB11}">
      <dgm:prSet phldrT="[Text]" custT="1"/>
      <dgm:spPr/>
      <dgm:t>
        <a:bodyPr/>
        <a:lstStyle/>
        <a:p>
          <a:r>
            <a:rPr lang="en-US" sz="1200">
              <a:latin typeface="Times New Roman" pitchFamily="18" charset="0"/>
              <a:cs typeface="Times New Roman" pitchFamily="18" charset="0"/>
            </a:rPr>
            <a:t>HIT in the Healthcare Systems</a:t>
          </a:r>
        </a:p>
      </dgm:t>
    </dgm:pt>
    <dgm:pt modelId="{E285C686-08D3-47BB-8762-68FE074633E7}" type="parTrans" cxnId="{9389F8E7-EF22-4C7D-BD63-6C95FF706445}">
      <dgm:prSet/>
      <dgm:spPr/>
      <dgm:t>
        <a:bodyPr/>
        <a:lstStyle/>
        <a:p>
          <a:endParaRPr lang="en-US" sz="1200">
            <a:latin typeface="Times New Roman" pitchFamily="18" charset="0"/>
            <a:cs typeface="Times New Roman" pitchFamily="18" charset="0"/>
          </a:endParaRPr>
        </a:p>
      </dgm:t>
    </dgm:pt>
    <dgm:pt modelId="{F675575F-397E-4259-9A7C-900BAB7616D2}" type="sibTrans" cxnId="{9389F8E7-EF22-4C7D-BD63-6C95FF706445}">
      <dgm:prSet/>
      <dgm:spPr/>
      <dgm:t>
        <a:bodyPr/>
        <a:lstStyle/>
        <a:p>
          <a:endParaRPr lang="en-US" sz="1200">
            <a:latin typeface="Times New Roman" pitchFamily="18" charset="0"/>
            <a:cs typeface="Times New Roman" pitchFamily="18" charset="0"/>
          </a:endParaRPr>
        </a:p>
      </dgm:t>
    </dgm:pt>
    <dgm:pt modelId="{EF596FF9-53F8-44B6-B71F-7CD78F3F892B}">
      <dgm:prSet phldrT="[Text]" custT="1"/>
      <dgm:spPr/>
      <dgm:t>
        <a:bodyPr/>
        <a:lstStyle/>
        <a:p>
          <a:r>
            <a:rPr lang="en-US" sz="1200">
              <a:latin typeface="Times New Roman" pitchFamily="18" charset="0"/>
              <a:cs typeface="Times New Roman" pitchFamily="18" charset="0"/>
            </a:rPr>
            <a:t>The Role of Stakeholders</a:t>
          </a:r>
        </a:p>
      </dgm:t>
    </dgm:pt>
    <dgm:pt modelId="{62FDCECF-F2E3-4E47-9634-076F0690F731}" type="parTrans" cxnId="{2F0F8871-F3C8-4C09-AD42-E1AA6EE7BE91}">
      <dgm:prSet/>
      <dgm:spPr/>
      <dgm:t>
        <a:bodyPr/>
        <a:lstStyle/>
        <a:p>
          <a:endParaRPr lang="en-US" sz="1200">
            <a:latin typeface="Times New Roman" pitchFamily="18" charset="0"/>
            <a:cs typeface="Times New Roman" pitchFamily="18" charset="0"/>
          </a:endParaRPr>
        </a:p>
      </dgm:t>
    </dgm:pt>
    <dgm:pt modelId="{D661752C-28BC-4A0B-892D-B38FC432C2D7}" type="sibTrans" cxnId="{2F0F8871-F3C8-4C09-AD42-E1AA6EE7BE91}">
      <dgm:prSet/>
      <dgm:spPr/>
      <dgm:t>
        <a:bodyPr/>
        <a:lstStyle/>
        <a:p>
          <a:endParaRPr lang="en-US" sz="1200">
            <a:latin typeface="Times New Roman" pitchFamily="18" charset="0"/>
            <a:cs typeface="Times New Roman" pitchFamily="18" charset="0"/>
          </a:endParaRPr>
        </a:p>
      </dgm:t>
    </dgm:pt>
    <dgm:pt modelId="{CBB2F2A8-B22A-4DAA-A051-2861540E1832}">
      <dgm:prSet custT="1"/>
      <dgm:spPr/>
      <dgm:t>
        <a:bodyPr/>
        <a:lstStyle/>
        <a:p>
          <a:r>
            <a:rPr lang="en-US" sz="1200">
              <a:latin typeface="Times New Roman" pitchFamily="18" charset="0"/>
              <a:cs typeface="Times New Roman" pitchFamily="18" charset="0"/>
            </a:rPr>
            <a:t>Motivators for HIT Adoption</a:t>
          </a:r>
        </a:p>
      </dgm:t>
    </dgm:pt>
    <dgm:pt modelId="{956518D7-C563-47FC-8C40-3D9AA7F07C80}" type="parTrans" cxnId="{F8D7DABB-E103-4EAD-9F90-3A44E7C87039}">
      <dgm:prSet/>
      <dgm:spPr/>
      <dgm:t>
        <a:bodyPr/>
        <a:lstStyle/>
        <a:p>
          <a:endParaRPr lang="en-US" sz="1200">
            <a:latin typeface="Times New Roman" pitchFamily="18" charset="0"/>
            <a:cs typeface="Times New Roman" pitchFamily="18" charset="0"/>
          </a:endParaRPr>
        </a:p>
      </dgm:t>
    </dgm:pt>
    <dgm:pt modelId="{AB22720B-BAB7-4C48-B1A3-A07E6CDB2E38}" type="sibTrans" cxnId="{F8D7DABB-E103-4EAD-9F90-3A44E7C87039}">
      <dgm:prSet/>
      <dgm:spPr/>
      <dgm:t>
        <a:bodyPr/>
        <a:lstStyle/>
        <a:p>
          <a:endParaRPr lang="en-US" sz="1200">
            <a:latin typeface="Times New Roman" pitchFamily="18" charset="0"/>
            <a:cs typeface="Times New Roman" pitchFamily="18" charset="0"/>
          </a:endParaRPr>
        </a:p>
      </dgm:t>
    </dgm:pt>
    <dgm:pt modelId="{A4FF5CBC-7514-4C60-9AF3-1B7800FE70E1}">
      <dgm:prSet custT="1"/>
      <dgm:spPr/>
      <dgm:t>
        <a:bodyPr/>
        <a:lstStyle/>
        <a:p>
          <a:r>
            <a:rPr lang="en-US" sz="1200">
              <a:latin typeface="Times New Roman" pitchFamily="18" charset="0"/>
              <a:cs typeface="Times New Roman" pitchFamily="18" charset="0"/>
            </a:rPr>
            <a:t>Barriers to HIT Adoption</a:t>
          </a:r>
        </a:p>
      </dgm:t>
    </dgm:pt>
    <dgm:pt modelId="{BD85C593-821D-41F5-9222-AE91854F5D69}" type="parTrans" cxnId="{2433EC81-475A-4CF9-8AB1-3977BE40AD3E}">
      <dgm:prSet/>
      <dgm:spPr/>
      <dgm:t>
        <a:bodyPr/>
        <a:lstStyle/>
        <a:p>
          <a:endParaRPr lang="en-US" sz="1200">
            <a:latin typeface="Times New Roman" pitchFamily="18" charset="0"/>
            <a:cs typeface="Times New Roman" pitchFamily="18" charset="0"/>
          </a:endParaRPr>
        </a:p>
      </dgm:t>
    </dgm:pt>
    <dgm:pt modelId="{68037679-C9C1-4204-B6B6-555AEE655E67}" type="sibTrans" cxnId="{2433EC81-475A-4CF9-8AB1-3977BE40AD3E}">
      <dgm:prSet/>
      <dgm:spPr/>
      <dgm:t>
        <a:bodyPr/>
        <a:lstStyle/>
        <a:p>
          <a:endParaRPr lang="en-US" sz="1200">
            <a:latin typeface="Times New Roman" pitchFamily="18" charset="0"/>
            <a:cs typeface="Times New Roman" pitchFamily="18" charset="0"/>
          </a:endParaRPr>
        </a:p>
      </dgm:t>
    </dgm:pt>
    <dgm:pt modelId="{893C6EA4-D9D5-419E-A4F1-E7A1E41E7CE3}">
      <dgm:prSet custT="1"/>
      <dgm:spPr/>
      <dgm:t>
        <a:bodyPr/>
        <a:lstStyle/>
        <a:p>
          <a:r>
            <a:rPr lang="en-US" sz="1200">
              <a:latin typeface="Times New Roman" pitchFamily="18" charset="0"/>
              <a:cs typeface="Times New Roman" pitchFamily="18" charset="0"/>
            </a:rPr>
            <a:t>Summary</a:t>
          </a:r>
          <a:endParaRPr lang="en-US" sz="1200"/>
        </a:p>
      </dgm:t>
    </dgm:pt>
    <dgm:pt modelId="{F8C0F7F6-CEB3-4434-A288-A19026553102}" type="parTrans" cxnId="{D1A99CB8-9A5B-4F3B-9828-99C8EB5D73E1}">
      <dgm:prSet/>
      <dgm:spPr/>
      <dgm:t>
        <a:bodyPr/>
        <a:lstStyle/>
        <a:p>
          <a:endParaRPr lang="en-US"/>
        </a:p>
      </dgm:t>
    </dgm:pt>
    <dgm:pt modelId="{AB3010E6-B59C-427B-AD17-153747307F2C}" type="sibTrans" cxnId="{D1A99CB8-9A5B-4F3B-9828-99C8EB5D73E1}">
      <dgm:prSet/>
      <dgm:spPr/>
      <dgm:t>
        <a:bodyPr/>
        <a:lstStyle/>
        <a:p>
          <a:endParaRPr lang="en-US"/>
        </a:p>
      </dgm:t>
    </dgm:pt>
    <dgm:pt modelId="{2CF1BC7C-0E34-47B4-8619-CCA23BA8D284}" type="pres">
      <dgm:prSet presAssocID="{3DD1FCDA-BBEB-4F12-A548-1B72AED1F7F0}" presName="linear" presStyleCnt="0">
        <dgm:presLayoutVars>
          <dgm:dir/>
          <dgm:animLvl val="lvl"/>
          <dgm:resizeHandles val="exact"/>
        </dgm:presLayoutVars>
      </dgm:prSet>
      <dgm:spPr/>
    </dgm:pt>
    <dgm:pt modelId="{0AA744C4-7B2F-4FCD-B46F-BA887D3EBCE7}" type="pres">
      <dgm:prSet presAssocID="{9457567B-08EF-45A4-87A6-1D35EDDD0EC4}" presName="parentLin" presStyleCnt="0"/>
      <dgm:spPr/>
    </dgm:pt>
    <dgm:pt modelId="{A4908352-E4E0-4049-A056-3E1B8964DC3E}" type="pres">
      <dgm:prSet presAssocID="{9457567B-08EF-45A4-87A6-1D35EDDD0EC4}" presName="parentLeftMargin" presStyleLbl="node1" presStyleIdx="0" presStyleCnt="6"/>
      <dgm:spPr/>
    </dgm:pt>
    <dgm:pt modelId="{5C51F870-5BD2-4E8C-8EC9-7A5463FC3600}" type="pres">
      <dgm:prSet presAssocID="{9457567B-08EF-45A4-87A6-1D35EDDD0EC4}" presName="parentText" presStyleLbl="node1" presStyleIdx="0" presStyleCnt="6">
        <dgm:presLayoutVars>
          <dgm:chMax val="0"/>
          <dgm:bulletEnabled val="1"/>
        </dgm:presLayoutVars>
      </dgm:prSet>
      <dgm:spPr/>
    </dgm:pt>
    <dgm:pt modelId="{D28B86A1-6A66-490D-A523-4FAF8D606113}" type="pres">
      <dgm:prSet presAssocID="{9457567B-08EF-45A4-87A6-1D35EDDD0EC4}" presName="negativeSpace" presStyleCnt="0"/>
      <dgm:spPr/>
    </dgm:pt>
    <dgm:pt modelId="{3BFBFE83-F19A-4CA1-8271-E962C2CE6758}" type="pres">
      <dgm:prSet presAssocID="{9457567B-08EF-45A4-87A6-1D35EDDD0EC4}" presName="childText" presStyleLbl="conFgAcc1" presStyleIdx="0" presStyleCnt="6">
        <dgm:presLayoutVars>
          <dgm:bulletEnabled val="1"/>
        </dgm:presLayoutVars>
      </dgm:prSet>
      <dgm:spPr/>
    </dgm:pt>
    <dgm:pt modelId="{0BC4849C-9972-4FF3-9C19-6DA099A95673}" type="pres">
      <dgm:prSet presAssocID="{CBFBC6BF-0C8D-4A1C-A637-178CFB1302FD}" presName="spaceBetweenRectangles" presStyleCnt="0"/>
      <dgm:spPr/>
    </dgm:pt>
    <dgm:pt modelId="{33FB5463-F49E-4A16-BE1C-B6C9ED5931E1}" type="pres">
      <dgm:prSet presAssocID="{AB449832-C099-4942-BA3F-DBA69E77AB11}" presName="parentLin" presStyleCnt="0"/>
      <dgm:spPr/>
    </dgm:pt>
    <dgm:pt modelId="{35D0E344-FBDC-4626-A0B1-36F7B3A0456D}" type="pres">
      <dgm:prSet presAssocID="{AB449832-C099-4942-BA3F-DBA69E77AB11}" presName="parentLeftMargin" presStyleLbl="node1" presStyleIdx="0" presStyleCnt="6"/>
      <dgm:spPr/>
    </dgm:pt>
    <dgm:pt modelId="{974F395B-3FD2-4253-81C1-D4E43BC3F440}" type="pres">
      <dgm:prSet presAssocID="{AB449832-C099-4942-BA3F-DBA69E77AB11}" presName="parentText" presStyleLbl="node1" presStyleIdx="1" presStyleCnt="6">
        <dgm:presLayoutVars>
          <dgm:chMax val="0"/>
          <dgm:bulletEnabled val="1"/>
        </dgm:presLayoutVars>
      </dgm:prSet>
      <dgm:spPr/>
    </dgm:pt>
    <dgm:pt modelId="{E5F5D436-B463-4960-BCB0-A3A764249F2B}" type="pres">
      <dgm:prSet presAssocID="{AB449832-C099-4942-BA3F-DBA69E77AB11}" presName="negativeSpace" presStyleCnt="0"/>
      <dgm:spPr/>
    </dgm:pt>
    <dgm:pt modelId="{6A777C60-A96B-489A-9461-26D9024B46E2}" type="pres">
      <dgm:prSet presAssocID="{AB449832-C099-4942-BA3F-DBA69E77AB11}" presName="childText" presStyleLbl="conFgAcc1" presStyleIdx="1" presStyleCnt="6">
        <dgm:presLayoutVars>
          <dgm:bulletEnabled val="1"/>
        </dgm:presLayoutVars>
      </dgm:prSet>
      <dgm:spPr/>
    </dgm:pt>
    <dgm:pt modelId="{63CB6DF9-E369-42D4-B5C1-309CA8964A8C}" type="pres">
      <dgm:prSet presAssocID="{F675575F-397E-4259-9A7C-900BAB7616D2}" presName="spaceBetweenRectangles" presStyleCnt="0"/>
      <dgm:spPr/>
    </dgm:pt>
    <dgm:pt modelId="{659BE95E-89DA-4B34-8CF3-5DB6F8F96324}" type="pres">
      <dgm:prSet presAssocID="{EF596FF9-53F8-44B6-B71F-7CD78F3F892B}" presName="parentLin" presStyleCnt="0"/>
      <dgm:spPr/>
    </dgm:pt>
    <dgm:pt modelId="{8AA886AC-C9F8-48FB-9CBF-15BC95CAD944}" type="pres">
      <dgm:prSet presAssocID="{EF596FF9-53F8-44B6-B71F-7CD78F3F892B}" presName="parentLeftMargin" presStyleLbl="node1" presStyleIdx="1" presStyleCnt="6"/>
      <dgm:spPr/>
    </dgm:pt>
    <dgm:pt modelId="{73AFF42A-3E07-4FF5-A2CF-41BB970C331A}" type="pres">
      <dgm:prSet presAssocID="{EF596FF9-53F8-44B6-B71F-7CD78F3F892B}" presName="parentText" presStyleLbl="node1" presStyleIdx="2" presStyleCnt="6">
        <dgm:presLayoutVars>
          <dgm:chMax val="0"/>
          <dgm:bulletEnabled val="1"/>
        </dgm:presLayoutVars>
      </dgm:prSet>
      <dgm:spPr/>
    </dgm:pt>
    <dgm:pt modelId="{5A2311EC-A606-4184-BE6F-FB91DB95A510}" type="pres">
      <dgm:prSet presAssocID="{EF596FF9-53F8-44B6-B71F-7CD78F3F892B}" presName="negativeSpace" presStyleCnt="0"/>
      <dgm:spPr/>
    </dgm:pt>
    <dgm:pt modelId="{2B7B4AA4-4C68-46C9-86F1-46F3B15AFCC3}" type="pres">
      <dgm:prSet presAssocID="{EF596FF9-53F8-44B6-B71F-7CD78F3F892B}" presName="childText" presStyleLbl="conFgAcc1" presStyleIdx="2" presStyleCnt="6">
        <dgm:presLayoutVars>
          <dgm:bulletEnabled val="1"/>
        </dgm:presLayoutVars>
      </dgm:prSet>
      <dgm:spPr/>
    </dgm:pt>
    <dgm:pt modelId="{2E09A9B8-5DD3-402A-8A0F-90267E3BEBBE}" type="pres">
      <dgm:prSet presAssocID="{D661752C-28BC-4A0B-892D-B38FC432C2D7}" presName="spaceBetweenRectangles" presStyleCnt="0"/>
      <dgm:spPr/>
    </dgm:pt>
    <dgm:pt modelId="{4963E67C-B582-472B-A451-660FDDF7240B}" type="pres">
      <dgm:prSet presAssocID="{CBB2F2A8-B22A-4DAA-A051-2861540E1832}" presName="parentLin" presStyleCnt="0"/>
      <dgm:spPr/>
    </dgm:pt>
    <dgm:pt modelId="{729313DF-1A86-4F85-A44B-0D8A92519A85}" type="pres">
      <dgm:prSet presAssocID="{CBB2F2A8-B22A-4DAA-A051-2861540E1832}" presName="parentLeftMargin" presStyleLbl="node1" presStyleIdx="2" presStyleCnt="6"/>
      <dgm:spPr/>
    </dgm:pt>
    <dgm:pt modelId="{5641B412-EF17-423C-AB68-F8CE86C4A52B}" type="pres">
      <dgm:prSet presAssocID="{CBB2F2A8-B22A-4DAA-A051-2861540E1832}" presName="parentText" presStyleLbl="node1" presStyleIdx="3" presStyleCnt="6">
        <dgm:presLayoutVars>
          <dgm:chMax val="0"/>
          <dgm:bulletEnabled val="1"/>
        </dgm:presLayoutVars>
      </dgm:prSet>
      <dgm:spPr/>
    </dgm:pt>
    <dgm:pt modelId="{ADC10ED1-57C9-409F-B8C8-7F74A37D6D4A}" type="pres">
      <dgm:prSet presAssocID="{CBB2F2A8-B22A-4DAA-A051-2861540E1832}" presName="negativeSpace" presStyleCnt="0"/>
      <dgm:spPr/>
    </dgm:pt>
    <dgm:pt modelId="{344808C6-76FA-4029-AEBB-1335B77313CE}" type="pres">
      <dgm:prSet presAssocID="{CBB2F2A8-B22A-4DAA-A051-2861540E1832}" presName="childText" presStyleLbl="conFgAcc1" presStyleIdx="3" presStyleCnt="6">
        <dgm:presLayoutVars>
          <dgm:bulletEnabled val="1"/>
        </dgm:presLayoutVars>
      </dgm:prSet>
      <dgm:spPr/>
    </dgm:pt>
    <dgm:pt modelId="{B764FD12-B013-492B-8103-C9AC86154C5F}" type="pres">
      <dgm:prSet presAssocID="{AB22720B-BAB7-4C48-B1A3-A07E6CDB2E38}" presName="spaceBetweenRectangles" presStyleCnt="0"/>
      <dgm:spPr/>
    </dgm:pt>
    <dgm:pt modelId="{0683391A-A5C6-4AB2-AE34-8DC3CC32D15D}" type="pres">
      <dgm:prSet presAssocID="{A4FF5CBC-7514-4C60-9AF3-1B7800FE70E1}" presName="parentLin" presStyleCnt="0"/>
      <dgm:spPr/>
    </dgm:pt>
    <dgm:pt modelId="{235B9805-CF21-48FD-9A91-6533AA30C343}" type="pres">
      <dgm:prSet presAssocID="{A4FF5CBC-7514-4C60-9AF3-1B7800FE70E1}" presName="parentLeftMargin" presStyleLbl="node1" presStyleIdx="3" presStyleCnt="6"/>
      <dgm:spPr/>
    </dgm:pt>
    <dgm:pt modelId="{772A2802-51EE-4D26-9507-93115C5F91D2}" type="pres">
      <dgm:prSet presAssocID="{A4FF5CBC-7514-4C60-9AF3-1B7800FE70E1}" presName="parentText" presStyleLbl="node1" presStyleIdx="4" presStyleCnt="6">
        <dgm:presLayoutVars>
          <dgm:chMax val="0"/>
          <dgm:bulletEnabled val="1"/>
        </dgm:presLayoutVars>
      </dgm:prSet>
      <dgm:spPr/>
    </dgm:pt>
    <dgm:pt modelId="{C83C71F2-7044-4977-8E66-2811F875D68F}" type="pres">
      <dgm:prSet presAssocID="{A4FF5CBC-7514-4C60-9AF3-1B7800FE70E1}" presName="negativeSpace" presStyleCnt="0"/>
      <dgm:spPr/>
    </dgm:pt>
    <dgm:pt modelId="{7B45742E-D37B-40DA-9A67-616573F48719}" type="pres">
      <dgm:prSet presAssocID="{A4FF5CBC-7514-4C60-9AF3-1B7800FE70E1}" presName="childText" presStyleLbl="conFgAcc1" presStyleIdx="4" presStyleCnt="6">
        <dgm:presLayoutVars>
          <dgm:bulletEnabled val="1"/>
        </dgm:presLayoutVars>
      </dgm:prSet>
      <dgm:spPr/>
    </dgm:pt>
    <dgm:pt modelId="{F2BB301B-FB0E-4B80-BDEF-CB88287C3EAD}" type="pres">
      <dgm:prSet presAssocID="{68037679-C9C1-4204-B6B6-555AEE655E67}" presName="spaceBetweenRectangles" presStyleCnt="0"/>
      <dgm:spPr/>
    </dgm:pt>
    <dgm:pt modelId="{192F765F-3319-4E7A-A11F-771B619080B9}" type="pres">
      <dgm:prSet presAssocID="{893C6EA4-D9D5-419E-A4F1-E7A1E41E7CE3}" presName="parentLin" presStyleCnt="0"/>
      <dgm:spPr/>
    </dgm:pt>
    <dgm:pt modelId="{5771A358-C945-4922-99EA-C3FAA3F7D4DE}" type="pres">
      <dgm:prSet presAssocID="{893C6EA4-D9D5-419E-A4F1-E7A1E41E7CE3}" presName="parentLeftMargin" presStyleLbl="node1" presStyleIdx="4" presStyleCnt="6"/>
      <dgm:spPr/>
    </dgm:pt>
    <dgm:pt modelId="{1ADD500D-18B0-40E6-A73B-E58A4E6E5ED4}" type="pres">
      <dgm:prSet presAssocID="{893C6EA4-D9D5-419E-A4F1-E7A1E41E7CE3}" presName="parentText" presStyleLbl="node1" presStyleIdx="5" presStyleCnt="6">
        <dgm:presLayoutVars>
          <dgm:chMax val="0"/>
          <dgm:bulletEnabled val="1"/>
        </dgm:presLayoutVars>
      </dgm:prSet>
      <dgm:spPr/>
    </dgm:pt>
    <dgm:pt modelId="{ECDE3758-7738-42FB-8014-9ECF9D78AD93}" type="pres">
      <dgm:prSet presAssocID="{893C6EA4-D9D5-419E-A4F1-E7A1E41E7CE3}" presName="negativeSpace" presStyleCnt="0"/>
      <dgm:spPr/>
    </dgm:pt>
    <dgm:pt modelId="{0AC490F3-25B7-404A-A5AF-A67CB00A3CFD}" type="pres">
      <dgm:prSet presAssocID="{893C6EA4-D9D5-419E-A4F1-E7A1E41E7CE3}" presName="childText" presStyleLbl="conFgAcc1" presStyleIdx="5" presStyleCnt="6">
        <dgm:presLayoutVars>
          <dgm:bulletEnabled val="1"/>
        </dgm:presLayoutVars>
      </dgm:prSet>
      <dgm:spPr/>
    </dgm:pt>
  </dgm:ptLst>
  <dgm:cxnLst>
    <dgm:cxn modelId="{7B87B80B-90AE-4D8C-A9CD-9C89D5892BCE}" srcId="{3DD1FCDA-BBEB-4F12-A548-1B72AED1F7F0}" destId="{9457567B-08EF-45A4-87A6-1D35EDDD0EC4}" srcOrd="0" destOrd="0" parTransId="{432EAF11-2FEB-4B70-BB5A-4ED2A65B532B}" sibTransId="{CBFBC6BF-0C8D-4A1C-A637-178CFB1302FD}"/>
    <dgm:cxn modelId="{8C51ED19-E24E-465B-9376-7EE57A13C45C}" type="presOf" srcId="{9457567B-08EF-45A4-87A6-1D35EDDD0EC4}" destId="{5C51F870-5BD2-4E8C-8EC9-7A5463FC3600}" srcOrd="1" destOrd="0" presId="urn:microsoft.com/office/officeart/2005/8/layout/list1"/>
    <dgm:cxn modelId="{BB0F7E2E-4420-4B93-92EB-81AFA2C62416}" type="presOf" srcId="{AB449832-C099-4942-BA3F-DBA69E77AB11}" destId="{974F395B-3FD2-4253-81C1-D4E43BC3F440}" srcOrd="1" destOrd="0" presId="urn:microsoft.com/office/officeart/2005/8/layout/list1"/>
    <dgm:cxn modelId="{BB37053A-05BB-4703-AC1D-6BBE40563F4E}" type="presOf" srcId="{EF596FF9-53F8-44B6-B71F-7CD78F3F892B}" destId="{73AFF42A-3E07-4FF5-A2CF-41BB970C331A}" srcOrd="1" destOrd="0" presId="urn:microsoft.com/office/officeart/2005/8/layout/list1"/>
    <dgm:cxn modelId="{94AC075C-5599-40E6-9B54-023C5D32BAE8}" type="presOf" srcId="{A4FF5CBC-7514-4C60-9AF3-1B7800FE70E1}" destId="{772A2802-51EE-4D26-9507-93115C5F91D2}" srcOrd="1" destOrd="0" presId="urn:microsoft.com/office/officeart/2005/8/layout/list1"/>
    <dgm:cxn modelId="{B54ED569-E5EC-4D8B-BB88-90B94034BA07}" type="presOf" srcId="{893C6EA4-D9D5-419E-A4F1-E7A1E41E7CE3}" destId="{1ADD500D-18B0-40E6-A73B-E58A4E6E5ED4}" srcOrd="1" destOrd="0" presId="urn:microsoft.com/office/officeart/2005/8/layout/list1"/>
    <dgm:cxn modelId="{16E52D6D-61F2-4DF8-AABE-59DDA378EEBF}" type="presOf" srcId="{EF596FF9-53F8-44B6-B71F-7CD78F3F892B}" destId="{8AA886AC-C9F8-48FB-9CBF-15BC95CAD944}" srcOrd="0" destOrd="0" presId="urn:microsoft.com/office/officeart/2005/8/layout/list1"/>
    <dgm:cxn modelId="{EE9F644D-7200-4702-ACD2-7228353A316A}" type="presOf" srcId="{A4FF5CBC-7514-4C60-9AF3-1B7800FE70E1}" destId="{235B9805-CF21-48FD-9A91-6533AA30C343}" srcOrd="0" destOrd="0" presId="urn:microsoft.com/office/officeart/2005/8/layout/list1"/>
    <dgm:cxn modelId="{6BCD9070-0EB5-4530-98A3-09F169E7227B}" type="presOf" srcId="{893C6EA4-D9D5-419E-A4F1-E7A1E41E7CE3}" destId="{5771A358-C945-4922-99EA-C3FAA3F7D4DE}" srcOrd="0" destOrd="0" presId="urn:microsoft.com/office/officeart/2005/8/layout/list1"/>
    <dgm:cxn modelId="{2F0F8871-F3C8-4C09-AD42-E1AA6EE7BE91}" srcId="{3DD1FCDA-BBEB-4F12-A548-1B72AED1F7F0}" destId="{EF596FF9-53F8-44B6-B71F-7CD78F3F892B}" srcOrd="2" destOrd="0" parTransId="{62FDCECF-F2E3-4E47-9634-076F0690F731}" sibTransId="{D661752C-28BC-4A0B-892D-B38FC432C2D7}"/>
    <dgm:cxn modelId="{2433EC81-475A-4CF9-8AB1-3977BE40AD3E}" srcId="{3DD1FCDA-BBEB-4F12-A548-1B72AED1F7F0}" destId="{A4FF5CBC-7514-4C60-9AF3-1B7800FE70E1}" srcOrd="4" destOrd="0" parTransId="{BD85C593-821D-41F5-9222-AE91854F5D69}" sibTransId="{68037679-C9C1-4204-B6B6-555AEE655E67}"/>
    <dgm:cxn modelId="{7562009D-60D7-4E4F-96D4-6EB3241E0170}" type="presOf" srcId="{AB449832-C099-4942-BA3F-DBA69E77AB11}" destId="{35D0E344-FBDC-4626-A0B1-36F7B3A0456D}" srcOrd="0" destOrd="0" presId="urn:microsoft.com/office/officeart/2005/8/layout/list1"/>
    <dgm:cxn modelId="{38807CAE-162F-40CC-9DF9-044C0A4576F1}" type="presOf" srcId="{3DD1FCDA-BBEB-4F12-A548-1B72AED1F7F0}" destId="{2CF1BC7C-0E34-47B4-8619-CCA23BA8D284}" srcOrd="0" destOrd="0" presId="urn:microsoft.com/office/officeart/2005/8/layout/list1"/>
    <dgm:cxn modelId="{6A4DFAAE-6059-4979-BBF8-DE372F0119ED}" type="presOf" srcId="{CBB2F2A8-B22A-4DAA-A051-2861540E1832}" destId="{729313DF-1A86-4F85-A44B-0D8A92519A85}" srcOrd="0" destOrd="0" presId="urn:microsoft.com/office/officeart/2005/8/layout/list1"/>
    <dgm:cxn modelId="{D1A99CB8-9A5B-4F3B-9828-99C8EB5D73E1}" srcId="{3DD1FCDA-BBEB-4F12-A548-1B72AED1F7F0}" destId="{893C6EA4-D9D5-419E-A4F1-E7A1E41E7CE3}" srcOrd="5" destOrd="0" parTransId="{F8C0F7F6-CEB3-4434-A288-A19026553102}" sibTransId="{AB3010E6-B59C-427B-AD17-153747307F2C}"/>
    <dgm:cxn modelId="{F8D7DABB-E103-4EAD-9F90-3A44E7C87039}" srcId="{3DD1FCDA-BBEB-4F12-A548-1B72AED1F7F0}" destId="{CBB2F2A8-B22A-4DAA-A051-2861540E1832}" srcOrd="3" destOrd="0" parTransId="{956518D7-C563-47FC-8C40-3D9AA7F07C80}" sibTransId="{AB22720B-BAB7-4C48-B1A3-A07E6CDB2E38}"/>
    <dgm:cxn modelId="{9389F8E7-EF22-4C7D-BD63-6C95FF706445}" srcId="{3DD1FCDA-BBEB-4F12-A548-1B72AED1F7F0}" destId="{AB449832-C099-4942-BA3F-DBA69E77AB11}" srcOrd="1" destOrd="0" parTransId="{E285C686-08D3-47BB-8762-68FE074633E7}" sibTransId="{F675575F-397E-4259-9A7C-900BAB7616D2}"/>
    <dgm:cxn modelId="{0F6A02EE-E4B8-44F3-B59F-2E791710BBEC}" type="presOf" srcId="{CBB2F2A8-B22A-4DAA-A051-2861540E1832}" destId="{5641B412-EF17-423C-AB68-F8CE86C4A52B}" srcOrd="1" destOrd="0" presId="urn:microsoft.com/office/officeart/2005/8/layout/list1"/>
    <dgm:cxn modelId="{F28C03FF-1CDC-4E32-9380-C31E900DB497}" type="presOf" srcId="{9457567B-08EF-45A4-87A6-1D35EDDD0EC4}" destId="{A4908352-E4E0-4049-A056-3E1B8964DC3E}" srcOrd="0" destOrd="0" presId="urn:microsoft.com/office/officeart/2005/8/layout/list1"/>
    <dgm:cxn modelId="{C2B5C32C-63E9-4583-83D8-8413307FE63E}" type="presParOf" srcId="{2CF1BC7C-0E34-47B4-8619-CCA23BA8D284}" destId="{0AA744C4-7B2F-4FCD-B46F-BA887D3EBCE7}" srcOrd="0" destOrd="0" presId="urn:microsoft.com/office/officeart/2005/8/layout/list1"/>
    <dgm:cxn modelId="{E0FB9D5C-7EC1-4474-8294-3AA01FFFC2B6}" type="presParOf" srcId="{0AA744C4-7B2F-4FCD-B46F-BA887D3EBCE7}" destId="{A4908352-E4E0-4049-A056-3E1B8964DC3E}" srcOrd="0" destOrd="0" presId="urn:microsoft.com/office/officeart/2005/8/layout/list1"/>
    <dgm:cxn modelId="{6EA58448-F882-445F-A7A9-F4F3EF4A0626}" type="presParOf" srcId="{0AA744C4-7B2F-4FCD-B46F-BA887D3EBCE7}" destId="{5C51F870-5BD2-4E8C-8EC9-7A5463FC3600}" srcOrd="1" destOrd="0" presId="urn:microsoft.com/office/officeart/2005/8/layout/list1"/>
    <dgm:cxn modelId="{F62A55E1-00FF-44D5-9D54-5884147F3229}" type="presParOf" srcId="{2CF1BC7C-0E34-47B4-8619-CCA23BA8D284}" destId="{D28B86A1-6A66-490D-A523-4FAF8D606113}" srcOrd="1" destOrd="0" presId="urn:microsoft.com/office/officeart/2005/8/layout/list1"/>
    <dgm:cxn modelId="{6879E0EA-454A-40FC-86F5-AA91FA619736}" type="presParOf" srcId="{2CF1BC7C-0E34-47B4-8619-CCA23BA8D284}" destId="{3BFBFE83-F19A-4CA1-8271-E962C2CE6758}" srcOrd="2" destOrd="0" presId="urn:microsoft.com/office/officeart/2005/8/layout/list1"/>
    <dgm:cxn modelId="{0EC0822E-1518-4331-BC10-51DEB39F3839}" type="presParOf" srcId="{2CF1BC7C-0E34-47B4-8619-CCA23BA8D284}" destId="{0BC4849C-9972-4FF3-9C19-6DA099A95673}" srcOrd="3" destOrd="0" presId="urn:microsoft.com/office/officeart/2005/8/layout/list1"/>
    <dgm:cxn modelId="{761B6BD7-6F54-4EB2-AAF2-184914FAB3FB}" type="presParOf" srcId="{2CF1BC7C-0E34-47B4-8619-CCA23BA8D284}" destId="{33FB5463-F49E-4A16-BE1C-B6C9ED5931E1}" srcOrd="4" destOrd="0" presId="urn:microsoft.com/office/officeart/2005/8/layout/list1"/>
    <dgm:cxn modelId="{D8844BB7-A61F-41C0-8DC4-368BC5B31459}" type="presParOf" srcId="{33FB5463-F49E-4A16-BE1C-B6C9ED5931E1}" destId="{35D0E344-FBDC-4626-A0B1-36F7B3A0456D}" srcOrd="0" destOrd="0" presId="urn:microsoft.com/office/officeart/2005/8/layout/list1"/>
    <dgm:cxn modelId="{88F4B410-739C-43CC-AF5A-538E599C3D36}" type="presParOf" srcId="{33FB5463-F49E-4A16-BE1C-B6C9ED5931E1}" destId="{974F395B-3FD2-4253-81C1-D4E43BC3F440}" srcOrd="1" destOrd="0" presId="urn:microsoft.com/office/officeart/2005/8/layout/list1"/>
    <dgm:cxn modelId="{AE3FEAB7-4A78-4E7A-9535-7F117CDDAE8F}" type="presParOf" srcId="{2CF1BC7C-0E34-47B4-8619-CCA23BA8D284}" destId="{E5F5D436-B463-4960-BCB0-A3A764249F2B}" srcOrd="5" destOrd="0" presId="urn:microsoft.com/office/officeart/2005/8/layout/list1"/>
    <dgm:cxn modelId="{7A40005B-7BA0-4DD3-8A79-CAFAAF62B387}" type="presParOf" srcId="{2CF1BC7C-0E34-47B4-8619-CCA23BA8D284}" destId="{6A777C60-A96B-489A-9461-26D9024B46E2}" srcOrd="6" destOrd="0" presId="urn:microsoft.com/office/officeart/2005/8/layout/list1"/>
    <dgm:cxn modelId="{EC6057CE-A392-4E6A-B934-D06BC4996A1A}" type="presParOf" srcId="{2CF1BC7C-0E34-47B4-8619-CCA23BA8D284}" destId="{63CB6DF9-E369-42D4-B5C1-309CA8964A8C}" srcOrd="7" destOrd="0" presId="urn:microsoft.com/office/officeart/2005/8/layout/list1"/>
    <dgm:cxn modelId="{EB110F63-F722-4165-84E8-FDCED2EC18A7}" type="presParOf" srcId="{2CF1BC7C-0E34-47B4-8619-CCA23BA8D284}" destId="{659BE95E-89DA-4B34-8CF3-5DB6F8F96324}" srcOrd="8" destOrd="0" presId="urn:microsoft.com/office/officeart/2005/8/layout/list1"/>
    <dgm:cxn modelId="{DADEC7F1-1D3F-43C6-B223-987C0856B13E}" type="presParOf" srcId="{659BE95E-89DA-4B34-8CF3-5DB6F8F96324}" destId="{8AA886AC-C9F8-48FB-9CBF-15BC95CAD944}" srcOrd="0" destOrd="0" presId="urn:microsoft.com/office/officeart/2005/8/layout/list1"/>
    <dgm:cxn modelId="{1A725EC0-0CB6-4FB6-AA70-1F1E52A6C89A}" type="presParOf" srcId="{659BE95E-89DA-4B34-8CF3-5DB6F8F96324}" destId="{73AFF42A-3E07-4FF5-A2CF-41BB970C331A}" srcOrd="1" destOrd="0" presId="urn:microsoft.com/office/officeart/2005/8/layout/list1"/>
    <dgm:cxn modelId="{8446B209-EC15-4742-9EBD-B05A16CFEE83}" type="presParOf" srcId="{2CF1BC7C-0E34-47B4-8619-CCA23BA8D284}" destId="{5A2311EC-A606-4184-BE6F-FB91DB95A510}" srcOrd="9" destOrd="0" presId="urn:microsoft.com/office/officeart/2005/8/layout/list1"/>
    <dgm:cxn modelId="{27004F35-91BE-4C13-A908-076F512BB3E6}" type="presParOf" srcId="{2CF1BC7C-0E34-47B4-8619-CCA23BA8D284}" destId="{2B7B4AA4-4C68-46C9-86F1-46F3B15AFCC3}" srcOrd="10" destOrd="0" presId="urn:microsoft.com/office/officeart/2005/8/layout/list1"/>
    <dgm:cxn modelId="{8D37BE29-71D1-4257-82BA-33A326EB3433}" type="presParOf" srcId="{2CF1BC7C-0E34-47B4-8619-CCA23BA8D284}" destId="{2E09A9B8-5DD3-402A-8A0F-90267E3BEBBE}" srcOrd="11" destOrd="0" presId="urn:microsoft.com/office/officeart/2005/8/layout/list1"/>
    <dgm:cxn modelId="{C87984F2-6C1D-4507-9ABF-5060B246A9F4}" type="presParOf" srcId="{2CF1BC7C-0E34-47B4-8619-CCA23BA8D284}" destId="{4963E67C-B582-472B-A451-660FDDF7240B}" srcOrd="12" destOrd="0" presId="urn:microsoft.com/office/officeart/2005/8/layout/list1"/>
    <dgm:cxn modelId="{8B751EA8-37B8-41AB-AAB6-56859672BDB5}" type="presParOf" srcId="{4963E67C-B582-472B-A451-660FDDF7240B}" destId="{729313DF-1A86-4F85-A44B-0D8A92519A85}" srcOrd="0" destOrd="0" presId="urn:microsoft.com/office/officeart/2005/8/layout/list1"/>
    <dgm:cxn modelId="{08D9E53B-26E1-475C-94BB-1E693CA02A9E}" type="presParOf" srcId="{4963E67C-B582-472B-A451-660FDDF7240B}" destId="{5641B412-EF17-423C-AB68-F8CE86C4A52B}" srcOrd="1" destOrd="0" presId="urn:microsoft.com/office/officeart/2005/8/layout/list1"/>
    <dgm:cxn modelId="{22782DEA-A926-4505-91CE-4FF8FA6A5E5A}" type="presParOf" srcId="{2CF1BC7C-0E34-47B4-8619-CCA23BA8D284}" destId="{ADC10ED1-57C9-409F-B8C8-7F74A37D6D4A}" srcOrd="13" destOrd="0" presId="urn:microsoft.com/office/officeart/2005/8/layout/list1"/>
    <dgm:cxn modelId="{5BD0A6DA-3201-428A-840B-95D9760F4FFE}" type="presParOf" srcId="{2CF1BC7C-0E34-47B4-8619-CCA23BA8D284}" destId="{344808C6-76FA-4029-AEBB-1335B77313CE}" srcOrd="14" destOrd="0" presId="urn:microsoft.com/office/officeart/2005/8/layout/list1"/>
    <dgm:cxn modelId="{32131DAA-1952-4BB3-9BDB-683E89622B57}" type="presParOf" srcId="{2CF1BC7C-0E34-47B4-8619-CCA23BA8D284}" destId="{B764FD12-B013-492B-8103-C9AC86154C5F}" srcOrd="15" destOrd="0" presId="urn:microsoft.com/office/officeart/2005/8/layout/list1"/>
    <dgm:cxn modelId="{442E0CD4-D21D-4DCB-916E-2465DB80090A}" type="presParOf" srcId="{2CF1BC7C-0E34-47B4-8619-CCA23BA8D284}" destId="{0683391A-A5C6-4AB2-AE34-8DC3CC32D15D}" srcOrd="16" destOrd="0" presId="urn:microsoft.com/office/officeart/2005/8/layout/list1"/>
    <dgm:cxn modelId="{D3114740-EE11-43D0-8A35-678D76C45E60}" type="presParOf" srcId="{0683391A-A5C6-4AB2-AE34-8DC3CC32D15D}" destId="{235B9805-CF21-48FD-9A91-6533AA30C343}" srcOrd="0" destOrd="0" presId="urn:microsoft.com/office/officeart/2005/8/layout/list1"/>
    <dgm:cxn modelId="{2D5522AE-F33B-4B6F-AC88-CBB59A942239}" type="presParOf" srcId="{0683391A-A5C6-4AB2-AE34-8DC3CC32D15D}" destId="{772A2802-51EE-4D26-9507-93115C5F91D2}" srcOrd="1" destOrd="0" presId="urn:microsoft.com/office/officeart/2005/8/layout/list1"/>
    <dgm:cxn modelId="{E80540BD-15D6-430B-864B-745F8F0EADD6}" type="presParOf" srcId="{2CF1BC7C-0E34-47B4-8619-CCA23BA8D284}" destId="{C83C71F2-7044-4977-8E66-2811F875D68F}" srcOrd="17" destOrd="0" presId="urn:microsoft.com/office/officeart/2005/8/layout/list1"/>
    <dgm:cxn modelId="{8C612EE7-D94C-4721-8026-CF05A5B5636B}" type="presParOf" srcId="{2CF1BC7C-0E34-47B4-8619-CCA23BA8D284}" destId="{7B45742E-D37B-40DA-9A67-616573F48719}" srcOrd="18" destOrd="0" presId="urn:microsoft.com/office/officeart/2005/8/layout/list1"/>
    <dgm:cxn modelId="{FDD9F5F2-3E98-4C90-845D-0BC2E357D7D9}" type="presParOf" srcId="{2CF1BC7C-0E34-47B4-8619-CCA23BA8D284}" destId="{F2BB301B-FB0E-4B80-BDEF-CB88287C3EAD}" srcOrd="19" destOrd="0" presId="urn:microsoft.com/office/officeart/2005/8/layout/list1"/>
    <dgm:cxn modelId="{8861A4A5-43C4-4CF9-8901-B0304F4B701F}" type="presParOf" srcId="{2CF1BC7C-0E34-47B4-8619-CCA23BA8D284}" destId="{192F765F-3319-4E7A-A11F-771B619080B9}" srcOrd="20" destOrd="0" presId="urn:microsoft.com/office/officeart/2005/8/layout/list1"/>
    <dgm:cxn modelId="{1F3977BD-C390-4344-9B6A-F7BD6D6D253A}" type="presParOf" srcId="{192F765F-3319-4E7A-A11F-771B619080B9}" destId="{5771A358-C945-4922-99EA-C3FAA3F7D4DE}" srcOrd="0" destOrd="0" presId="urn:microsoft.com/office/officeart/2005/8/layout/list1"/>
    <dgm:cxn modelId="{0DF7C317-F379-4530-988B-15C196289C22}" type="presParOf" srcId="{192F765F-3319-4E7A-A11F-771B619080B9}" destId="{1ADD500D-18B0-40E6-A73B-E58A4E6E5ED4}" srcOrd="1" destOrd="0" presId="urn:microsoft.com/office/officeart/2005/8/layout/list1"/>
    <dgm:cxn modelId="{7696532A-5658-4FF3-A4B1-81391077EBC2}" type="presParOf" srcId="{2CF1BC7C-0E34-47B4-8619-CCA23BA8D284}" destId="{ECDE3758-7738-42FB-8014-9ECF9D78AD93}" srcOrd="21" destOrd="0" presId="urn:microsoft.com/office/officeart/2005/8/layout/list1"/>
    <dgm:cxn modelId="{88D9C53F-C449-49EC-A6B4-42051DD787EE}" type="presParOf" srcId="{2CF1BC7C-0E34-47B4-8619-CCA23BA8D284}" destId="{0AC490F3-25B7-404A-A5AF-A67CB00A3CFD}" srcOrd="22" destOrd="0" presId="urn:microsoft.com/office/officeart/2005/8/layout/lis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CE29371-D0E8-4D56-B5B4-DA9619DB1762}" type="doc">
      <dgm:prSet loTypeId="urn:microsoft.com/office/officeart/2005/8/layout/list1" loCatId="list" qsTypeId="urn:microsoft.com/office/officeart/2005/8/quickstyle/simple3" qsCatId="simple" csTypeId="urn:microsoft.com/office/officeart/2005/8/colors/accent0_2" csCatId="mainScheme" phldr="1"/>
      <dgm:spPr/>
      <dgm:t>
        <a:bodyPr/>
        <a:lstStyle/>
        <a:p>
          <a:endParaRPr lang="en-US"/>
        </a:p>
      </dgm:t>
    </dgm:pt>
    <dgm:pt modelId="{752205B9-E99E-40A5-858E-260CFF995192}">
      <dgm:prSet phldrT="[Text]" custT="1"/>
      <dgm:spPr/>
      <dgm:t>
        <a:bodyPr/>
        <a:lstStyle/>
        <a:p>
          <a:r>
            <a:rPr lang="en-US" sz="1200">
              <a:solidFill>
                <a:sysClr val="windowText" lastClr="000000"/>
              </a:solidFill>
              <a:latin typeface="Times New Roman" pitchFamily="18" charset="0"/>
              <a:cs typeface="Times New Roman" pitchFamily="18" charset="0"/>
            </a:rPr>
            <a:t>Stakeholder Theory</a:t>
          </a:r>
        </a:p>
      </dgm:t>
    </dgm:pt>
    <dgm:pt modelId="{8355FEFF-C57C-4E74-827F-67A255D31267}" type="parTrans" cxnId="{D2F320E0-8E75-46BD-8E18-162343B9ED22}">
      <dgm:prSet/>
      <dgm:spPr/>
      <dgm:t>
        <a:bodyPr/>
        <a:lstStyle/>
        <a:p>
          <a:endParaRPr lang="en-US" sz="1200">
            <a:solidFill>
              <a:sysClr val="windowText" lastClr="000000"/>
            </a:solidFill>
            <a:latin typeface="Times New Roman" pitchFamily="18" charset="0"/>
            <a:cs typeface="Times New Roman" pitchFamily="18" charset="0"/>
          </a:endParaRPr>
        </a:p>
      </dgm:t>
    </dgm:pt>
    <dgm:pt modelId="{DC622CCC-4665-4ECD-B3B0-67A385EF158D}" type="sibTrans" cxnId="{D2F320E0-8E75-46BD-8E18-162343B9ED22}">
      <dgm:prSet/>
      <dgm:spPr/>
      <dgm:t>
        <a:bodyPr/>
        <a:lstStyle/>
        <a:p>
          <a:endParaRPr lang="en-US" sz="1200">
            <a:solidFill>
              <a:sysClr val="windowText" lastClr="000000"/>
            </a:solidFill>
            <a:latin typeface="Times New Roman" pitchFamily="18" charset="0"/>
            <a:cs typeface="Times New Roman" pitchFamily="18" charset="0"/>
          </a:endParaRPr>
        </a:p>
      </dgm:t>
    </dgm:pt>
    <dgm:pt modelId="{352F44D5-D009-473F-A5CB-4B9B91FFCE98}">
      <dgm:prSet phldrT="[Text]" custT="1"/>
      <dgm:spPr/>
      <dgm:t>
        <a:bodyPr/>
        <a:lstStyle/>
        <a:p>
          <a:r>
            <a:rPr lang="en-US" sz="1200">
              <a:solidFill>
                <a:sysClr val="windowText" lastClr="000000"/>
              </a:solidFill>
              <a:latin typeface="Times New Roman" pitchFamily="18" charset="0"/>
              <a:cs typeface="Times New Roman" pitchFamily="18" charset="0"/>
            </a:rPr>
            <a:t>Stakeholder Theory in Healthcare</a:t>
          </a:r>
        </a:p>
      </dgm:t>
    </dgm:pt>
    <dgm:pt modelId="{E1A6B0B3-3788-476E-9929-FE23D9174637}" type="parTrans" cxnId="{27FC3296-B50A-4741-80F9-4AD598F4E204}">
      <dgm:prSet/>
      <dgm:spPr/>
      <dgm:t>
        <a:bodyPr/>
        <a:lstStyle/>
        <a:p>
          <a:endParaRPr lang="en-US" sz="1200">
            <a:solidFill>
              <a:sysClr val="windowText" lastClr="000000"/>
            </a:solidFill>
            <a:latin typeface="Times New Roman" pitchFamily="18" charset="0"/>
            <a:cs typeface="Times New Roman" pitchFamily="18" charset="0"/>
          </a:endParaRPr>
        </a:p>
      </dgm:t>
    </dgm:pt>
    <dgm:pt modelId="{73462AC5-00C6-44F8-ACC2-A8DB975877CF}" type="sibTrans" cxnId="{27FC3296-B50A-4741-80F9-4AD598F4E204}">
      <dgm:prSet/>
      <dgm:spPr/>
      <dgm:t>
        <a:bodyPr/>
        <a:lstStyle/>
        <a:p>
          <a:endParaRPr lang="en-US" sz="1200">
            <a:solidFill>
              <a:sysClr val="windowText" lastClr="000000"/>
            </a:solidFill>
            <a:latin typeface="Times New Roman" pitchFamily="18" charset="0"/>
            <a:cs typeface="Times New Roman" pitchFamily="18" charset="0"/>
          </a:endParaRPr>
        </a:p>
      </dgm:t>
    </dgm:pt>
    <dgm:pt modelId="{EAC30C9E-8C45-409D-AE95-B1B736988B7A}">
      <dgm:prSet phldrT="[Text]" custT="1"/>
      <dgm:spPr/>
      <dgm:t>
        <a:bodyPr/>
        <a:lstStyle/>
        <a:p>
          <a:r>
            <a:rPr lang="en-US" sz="1200">
              <a:solidFill>
                <a:sysClr val="windowText" lastClr="000000"/>
              </a:solidFill>
              <a:latin typeface="Times New Roman" pitchFamily="18" charset="0"/>
              <a:cs typeface="Times New Roman" pitchFamily="18" charset="0"/>
            </a:rPr>
            <a:t>The UTAUT Model</a:t>
          </a:r>
        </a:p>
      </dgm:t>
    </dgm:pt>
    <dgm:pt modelId="{2BEC88E4-1EA7-4518-BB18-E418C01D92D5}" type="parTrans" cxnId="{E0B587B5-ED5A-4956-89C6-CB34AEB13570}">
      <dgm:prSet/>
      <dgm:spPr/>
      <dgm:t>
        <a:bodyPr/>
        <a:lstStyle/>
        <a:p>
          <a:endParaRPr lang="en-US" sz="1200">
            <a:solidFill>
              <a:sysClr val="windowText" lastClr="000000"/>
            </a:solidFill>
            <a:latin typeface="Times New Roman" pitchFamily="18" charset="0"/>
            <a:cs typeface="Times New Roman" pitchFamily="18" charset="0"/>
          </a:endParaRPr>
        </a:p>
      </dgm:t>
    </dgm:pt>
    <dgm:pt modelId="{6E750D59-2516-4039-B75C-E8A6C59DF5F7}" type="sibTrans" cxnId="{E0B587B5-ED5A-4956-89C6-CB34AEB13570}">
      <dgm:prSet/>
      <dgm:spPr/>
      <dgm:t>
        <a:bodyPr/>
        <a:lstStyle/>
        <a:p>
          <a:endParaRPr lang="en-US" sz="1200">
            <a:solidFill>
              <a:sysClr val="windowText" lastClr="000000"/>
            </a:solidFill>
            <a:latin typeface="Times New Roman" pitchFamily="18" charset="0"/>
            <a:cs typeface="Times New Roman" pitchFamily="18" charset="0"/>
          </a:endParaRPr>
        </a:p>
      </dgm:t>
    </dgm:pt>
    <dgm:pt modelId="{37702BE3-FD40-4D71-BF3E-B5D9D242B920}">
      <dgm:prSet custT="1"/>
      <dgm:spPr/>
      <dgm:t>
        <a:bodyPr/>
        <a:lstStyle/>
        <a:p>
          <a:r>
            <a:rPr lang="en-US" sz="1200">
              <a:solidFill>
                <a:sysClr val="windowText" lastClr="000000"/>
              </a:solidFill>
              <a:latin typeface="Times New Roman" pitchFamily="18" charset="0"/>
              <a:cs typeface="Times New Roman" pitchFamily="18" charset="0"/>
            </a:rPr>
            <a:t>The UTAUT Model in Healthcare</a:t>
          </a:r>
        </a:p>
      </dgm:t>
    </dgm:pt>
    <dgm:pt modelId="{CD490E0E-7D6B-4304-9476-E495C2EFC926}" type="parTrans" cxnId="{A008CB34-14DB-404A-92A2-D336C8079600}">
      <dgm:prSet/>
      <dgm:spPr/>
      <dgm:t>
        <a:bodyPr/>
        <a:lstStyle/>
        <a:p>
          <a:endParaRPr lang="en-US" sz="1200">
            <a:solidFill>
              <a:sysClr val="windowText" lastClr="000000"/>
            </a:solidFill>
            <a:latin typeface="Times New Roman" pitchFamily="18" charset="0"/>
            <a:cs typeface="Times New Roman" pitchFamily="18" charset="0"/>
          </a:endParaRPr>
        </a:p>
      </dgm:t>
    </dgm:pt>
    <dgm:pt modelId="{AFD42ABF-D07D-4D46-846C-15D83DA5B4E9}" type="sibTrans" cxnId="{A008CB34-14DB-404A-92A2-D336C8079600}">
      <dgm:prSet/>
      <dgm:spPr/>
      <dgm:t>
        <a:bodyPr/>
        <a:lstStyle/>
        <a:p>
          <a:endParaRPr lang="en-US" sz="1200">
            <a:solidFill>
              <a:sysClr val="windowText" lastClr="000000"/>
            </a:solidFill>
            <a:latin typeface="Times New Roman" pitchFamily="18" charset="0"/>
            <a:cs typeface="Times New Roman" pitchFamily="18" charset="0"/>
          </a:endParaRPr>
        </a:p>
      </dgm:t>
    </dgm:pt>
    <dgm:pt modelId="{BDAC0D7C-A998-4064-93F2-00148C2B3883}">
      <dgm:prSet custT="1"/>
      <dgm:spPr/>
      <dgm:t>
        <a:bodyPr/>
        <a:lstStyle/>
        <a:p>
          <a:r>
            <a:rPr lang="en-US" sz="1200">
              <a:solidFill>
                <a:sysClr val="windowText" lastClr="000000"/>
              </a:solidFill>
              <a:latin typeface="Times New Roman" pitchFamily="18" charset="0"/>
              <a:cs typeface="Times New Roman" pitchFamily="18" charset="0"/>
            </a:rPr>
            <a:t>The Present Research</a:t>
          </a:r>
        </a:p>
      </dgm:t>
    </dgm:pt>
    <dgm:pt modelId="{E350EC81-3713-4E96-ABDD-044E8626357C}" type="parTrans" cxnId="{57C8DFF8-1473-4447-B599-B6BAECB15287}">
      <dgm:prSet/>
      <dgm:spPr/>
      <dgm:t>
        <a:bodyPr/>
        <a:lstStyle/>
        <a:p>
          <a:endParaRPr lang="en-US" sz="1200">
            <a:solidFill>
              <a:sysClr val="windowText" lastClr="000000"/>
            </a:solidFill>
            <a:latin typeface="Times New Roman" pitchFamily="18" charset="0"/>
            <a:cs typeface="Times New Roman" pitchFamily="18" charset="0"/>
          </a:endParaRPr>
        </a:p>
      </dgm:t>
    </dgm:pt>
    <dgm:pt modelId="{10847008-4B91-45EC-932F-07B8C4CE5521}" type="sibTrans" cxnId="{57C8DFF8-1473-4447-B599-B6BAECB15287}">
      <dgm:prSet/>
      <dgm:spPr/>
      <dgm:t>
        <a:bodyPr/>
        <a:lstStyle/>
        <a:p>
          <a:endParaRPr lang="en-US" sz="1200">
            <a:solidFill>
              <a:sysClr val="windowText" lastClr="000000"/>
            </a:solidFill>
            <a:latin typeface="Times New Roman" pitchFamily="18" charset="0"/>
            <a:cs typeface="Times New Roman" pitchFamily="18" charset="0"/>
          </a:endParaRPr>
        </a:p>
      </dgm:t>
    </dgm:pt>
    <dgm:pt modelId="{7AB1CFB6-8B41-419E-824D-EAC33AD049B7}">
      <dgm:prSet custT="1"/>
      <dgm:spPr/>
      <dgm:t>
        <a:bodyPr/>
        <a:lstStyle/>
        <a:p>
          <a:r>
            <a:rPr lang="en-US" sz="1200">
              <a:latin typeface="Times New Roman" pitchFamily="18" charset="0"/>
              <a:cs typeface="Times New Roman" pitchFamily="18" charset="0"/>
            </a:rPr>
            <a:t>Summary</a:t>
          </a:r>
        </a:p>
      </dgm:t>
    </dgm:pt>
    <dgm:pt modelId="{9736DB1B-57A2-43AA-BDEA-D0656A83B2CC}" type="parTrans" cxnId="{0982239A-4974-4D0C-A387-8ABABA50F610}">
      <dgm:prSet/>
      <dgm:spPr/>
      <dgm:t>
        <a:bodyPr/>
        <a:lstStyle/>
        <a:p>
          <a:endParaRPr lang="en-US" sz="1200"/>
        </a:p>
      </dgm:t>
    </dgm:pt>
    <dgm:pt modelId="{4E6212F9-8024-4557-912C-99CE85D926EE}" type="sibTrans" cxnId="{0982239A-4974-4D0C-A387-8ABABA50F610}">
      <dgm:prSet/>
      <dgm:spPr/>
      <dgm:t>
        <a:bodyPr/>
        <a:lstStyle/>
        <a:p>
          <a:endParaRPr lang="en-US" sz="1200"/>
        </a:p>
      </dgm:t>
    </dgm:pt>
    <dgm:pt modelId="{52053CF2-B41D-4C58-BF74-AA47A6C103C0}" type="pres">
      <dgm:prSet presAssocID="{8CE29371-D0E8-4D56-B5B4-DA9619DB1762}" presName="linear" presStyleCnt="0">
        <dgm:presLayoutVars>
          <dgm:dir/>
          <dgm:animLvl val="lvl"/>
          <dgm:resizeHandles val="exact"/>
        </dgm:presLayoutVars>
      </dgm:prSet>
      <dgm:spPr/>
    </dgm:pt>
    <dgm:pt modelId="{C35371B4-1EFA-45B3-A25C-1BA1F3F84355}" type="pres">
      <dgm:prSet presAssocID="{752205B9-E99E-40A5-858E-260CFF995192}" presName="parentLin" presStyleCnt="0"/>
      <dgm:spPr/>
    </dgm:pt>
    <dgm:pt modelId="{93497CC9-E653-4D44-9D72-17606DA33B3D}" type="pres">
      <dgm:prSet presAssocID="{752205B9-E99E-40A5-858E-260CFF995192}" presName="parentLeftMargin" presStyleLbl="node1" presStyleIdx="0" presStyleCnt="6"/>
      <dgm:spPr/>
    </dgm:pt>
    <dgm:pt modelId="{9741EE74-22C6-43DA-BFE4-8CFCE32E8C24}" type="pres">
      <dgm:prSet presAssocID="{752205B9-E99E-40A5-858E-260CFF995192}" presName="parentText" presStyleLbl="node1" presStyleIdx="0" presStyleCnt="6">
        <dgm:presLayoutVars>
          <dgm:chMax val="0"/>
          <dgm:bulletEnabled val="1"/>
        </dgm:presLayoutVars>
      </dgm:prSet>
      <dgm:spPr/>
    </dgm:pt>
    <dgm:pt modelId="{63F70A39-F258-4AF5-83CC-2ABC53949175}" type="pres">
      <dgm:prSet presAssocID="{752205B9-E99E-40A5-858E-260CFF995192}" presName="negativeSpace" presStyleCnt="0"/>
      <dgm:spPr/>
    </dgm:pt>
    <dgm:pt modelId="{D7FEEEE7-4953-4A36-A6F7-2C90AFB6F567}" type="pres">
      <dgm:prSet presAssocID="{752205B9-E99E-40A5-858E-260CFF995192}" presName="childText" presStyleLbl="conFgAcc1" presStyleIdx="0" presStyleCnt="6">
        <dgm:presLayoutVars>
          <dgm:bulletEnabled val="1"/>
        </dgm:presLayoutVars>
      </dgm:prSet>
      <dgm:spPr/>
    </dgm:pt>
    <dgm:pt modelId="{F8ABFC35-FA3F-4228-B9D2-B77315B493D7}" type="pres">
      <dgm:prSet presAssocID="{DC622CCC-4665-4ECD-B3B0-67A385EF158D}" presName="spaceBetweenRectangles" presStyleCnt="0"/>
      <dgm:spPr/>
    </dgm:pt>
    <dgm:pt modelId="{6DA3E046-93E1-40DC-9DED-E98D769B26AE}" type="pres">
      <dgm:prSet presAssocID="{352F44D5-D009-473F-A5CB-4B9B91FFCE98}" presName="parentLin" presStyleCnt="0"/>
      <dgm:spPr/>
    </dgm:pt>
    <dgm:pt modelId="{F8B1FB2E-F791-48B2-95EB-FE554CF92D22}" type="pres">
      <dgm:prSet presAssocID="{352F44D5-D009-473F-A5CB-4B9B91FFCE98}" presName="parentLeftMargin" presStyleLbl="node1" presStyleIdx="0" presStyleCnt="6"/>
      <dgm:spPr/>
    </dgm:pt>
    <dgm:pt modelId="{D72956BE-0059-4068-885C-ACE60523C33C}" type="pres">
      <dgm:prSet presAssocID="{352F44D5-D009-473F-A5CB-4B9B91FFCE98}" presName="parentText" presStyleLbl="node1" presStyleIdx="1" presStyleCnt="6">
        <dgm:presLayoutVars>
          <dgm:chMax val="0"/>
          <dgm:bulletEnabled val="1"/>
        </dgm:presLayoutVars>
      </dgm:prSet>
      <dgm:spPr/>
    </dgm:pt>
    <dgm:pt modelId="{DEBBFA1C-C343-4396-B85A-A76C7AB714CB}" type="pres">
      <dgm:prSet presAssocID="{352F44D5-D009-473F-A5CB-4B9B91FFCE98}" presName="negativeSpace" presStyleCnt="0"/>
      <dgm:spPr/>
    </dgm:pt>
    <dgm:pt modelId="{895F8944-01AE-40E8-90D0-6FDE700F984F}" type="pres">
      <dgm:prSet presAssocID="{352F44D5-D009-473F-A5CB-4B9B91FFCE98}" presName="childText" presStyleLbl="conFgAcc1" presStyleIdx="1" presStyleCnt="6">
        <dgm:presLayoutVars>
          <dgm:bulletEnabled val="1"/>
        </dgm:presLayoutVars>
      </dgm:prSet>
      <dgm:spPr/>
    </dgm:pt>
    <dgm:pt modelId="{2B33E929-2429-488C-A16B-5893884ADCCA}" type="pres">
      <dgm:prSet presAssocID="{73462AC5-00C6-44F8-ACC2-A8DB975877CF}" presName="spaceBetweenRectangles" presStyleCnt="0"/>
      <dgm:spPr/>
    </dgm:pt>
    <dgm:pt modelId="{754F3104-8D7E-405A-9EC4-D8E2586AF172}" type="pres">
      <dgm:prSet presAssocID="{EAC30C9E-8C45-409D-AE95-B1B736988B7A}" presName="parentLin" presStyleCnt="0"/>
      <dgm:spPr/>
    </dgm:pt>
    <dgm:pt modelId="{2A4E538E-EA06-4CFA-BE0A-1B82E1673A2B}" type="pres">
      <dgm:prSet presAssocID="{EAC30C9E-8C45-409D-AE95-B1B736988B7A}" presName="parentLeftMargin" presStyleLbl="node1" presStyleIdx="1" presStyleCnt="6"/>
      <dgm:spPr/>
    </dgm:pt>
    <dgm:pt modelId="{0B0F6AB6-BA81-4D18-AA9A-5739C43303F4}" type="pres">
      <dgm:prSet presAssocID="{EAC30C9E-8C45-409D-AE95-B1B736988B7A}" presName="parentText" presStyleLbl="node1" presStyleIdx="2" presStyleCnt="6">
        <dgm:presLayoutVars>
          <dgm:chMax val="0"/>
          <dgm:bulletEnabled val="1"/>
        </dgm:presLayoutVars>
      </dgm:prSet>
      <dgm:spPr/>
    </dgm:pt>
    <dgm:pt modelId="{4AA21B78-FCB3-4EA9-8E2C-0D3934F52271}" type="pres">
      <dgm:prSet presAssocID="{EAC30C9E-8C45-409D-AE95-B1B736988B7A}" presName="negativeSpace" presStyleCnt="0"/>
      <dgm:spPr/>
    </dgm:pt>
    <dgm:pt modelId="{B405DD94-4B98-4CC3-A276-217B45FE1C9D}" type="pres">
      <dgm:prSet presAssocID="{EAC30C9E-8C45-409D-AE95-B1B736988B7A}" presName="childText" presStyleLbl="conFgAcc1" presStyleIdx="2" presStyleCnt="6">
        <dgm:presLayoutVars>
          <dgm:bulletEnabled val="1"/>
        </dgm:presLayoutVars>
      </dgm:prSet>
      <dgm:spPr/>
    </dgm:pt>
    <dgm:pt modelId="{21671D27-6C28-45C9-84A6-98914C45787E}" type="pres">
      <dgm:prSet presAssocID="{6E750D59-2516-4039-B75C-E8A6C59DF5F7}" presName="spaceBetweenRectangles" presStyleCnt="0"/>
      <dgm:spPr/>
    </dgm:pt>
    <dgm:pt modelId="{95C85190-B1B4-4FBC-9124-DE845FCA7197}" type="pres">
      <dgm:prSet presAssocID="{37702BE3-FD40-4D71-BF3E-B5D9D242B920}" presName="parentLin" presStyleCnt="0"/>
      <dgm:spPr/>
    </dgm:pt>
    <dgm:pt modelId="{1D40384F-9216-4AC8-9D23-D90A746DC421}" type="pres">
      <dgm:prSet presAssocID="{37702BE3-FD40-4D71-BF3E-B5D9D242B920}" presName="parentLeftMargin" presStyleLbl="node1" presStyleIdx="2" presStyleCnt="6"/>
      <dgm:spPr/>
    </dgm:pt>
    <dgm:pt modelId="{FA0969ED-2A16-4B1F-89D8-978D5171A645}" type="pres">
      <dgm:prSet presAssocID="{37702BE3-FD40-4D71-BF3E-B5D9D242B920}" presName="parentText" presStyleLbl="node1" presStyleIdx="3" presStyleCnt="6">
        <dgm:presLayoutVars>
          <dgm:chMax val="0"/>
          <dgm:bulletEnabled val="1"/>
        </dgm:presLayoutVars>
      </dgm:prSet>
      <dgm:spPr/>
    </dgm:pt>
    <dgm:pt modelId="{C306B624-1D0A-48EE-A5D9-2A4949D7EC60}" type="pres">
      <dgm:prSet presAssocID="{37702BE3-FD40-4D71-BF3E-B5D9D242B920}" presName="negativeSpace" presStyleCnt="0"/>
      <dgm:spPr/>
    </dgm:pt>
    <dgm:pt modelId="{AE87AD2E-AAB7-4EA3-8D93-2831969F329D}" type="pres">
      <dgm:prSet presAssocID="{37702BE3-FD40-4D71-BF3E-B5D9D242B920}" presName="childText" presStyleLbl="conFgAcc1" presStyleIdx="3" presStyleCnt="6">
        <dgm:presLayoutVars>
          <dgm:bulletEnabled val="1"/>
        </dgm:presLayoutVars>
      </dgm:prSet>
      <dgm:spPr/>
    </dgm:pt>
    <dgm:pt modelId="{BF34FCAC-F3C3-4D24-AF6A-A2115FB9B985}" type="pres">
      <dgm:prSet presAssocID="{AFD42ABF-D07D-4D46-846C-15D83DA5B4E9}" presName="spaceBetweenRectangles" presStyleCnt="0"/>
      <dgm:spPr/>
    </dgm:pt>
    <dgm:pt modelId="{DB1C5099-5C6D-4548-B7C2-3D90E309145A}" type="pres">
      <dgm:prSet presAssocID="{BDAC0D7C-A998-4064-93F2-00148C2B3883}" presName="parentLin" presStyleCnt="0"/>
      <dgm:spPr/>
    </dgm:pt>
    <dgm:pt modelId="{14BF0D84-7726-49C5-993A-B9A26F363D62}" type="pres">
      <dgm:prSet presAssocID="{BDAC0D7C-A998-4064-93F2-00148C2B3883}" presName="parentLeftMargin" presStyleLbl="node1" presStyleIdx="3" presStyleCnt="6"/>
      <dgm:spPr/>
    </dgm:pt>
    <dgm:pt modelId="{2282A236-FD01-4348-81D1-5AAE61EF4FD4}" type="pres">
      <dgm:prSet presAssocID="{BDAC0D7C-A998-4064-93F2-00148C2B3883}" presName="parentText" presStyleLbl="node1" presStyleIdx="4" presStyleCnt="6">
        <dgm:presLayoutVars>
          <dgm:chMax val="0"/>
          <dgm:bulletEnabled val="1"/>
        </dgm:presLayoutVars>
      </dgm:prSet>
      <dgm:spPr/>
    </dgm:pt>
    <dgm:pt modelId="{AED762C3-4400-461F-AD95-D1B876E489AF}" type="pres">
      <dgm:prSet presAssocID="{BDAC0D7C-A998-4064-93F2-00148C2B3883}" presName="negativeSpace" presStyleCnt="0"/>
      <dgm:spPr/>
    </dgm:pt>
    <dgm:pt modelId="{D721B527-47A0-4D00-9746-D64DF0E23320}" type="pres">
      <dgm:prSet presAssocID="{BDAC0D7C-A998-4064-93F2-00148C2B3883}" presName="childText" presStyleLbl="conFgAcc1" presStyleIdx="4" presStyleCnt="6">
        <dgm:presLayoutVars>
          <dgm:bulletEnabled val="1"/>
        </dgm:presLayoutVars>
      </dgm:prSet>
      <dgm:spPr/>
    </dgm:pt>
    <dgm:pt modelId="{49CA9847-243F-4F53-80CD-63834254BDD5}" type="pres">
      <dgm:prSet presAssocID="{10847008-4B91-45EC-932F-07B8C4CE5521}" presName="spaceBetweenRectangles" presStyleCnt="0"/>
      <dgm:spPr/>
    </dgm:pt>
    <dgm:pt modelId="{582C573D-617B-4252-A64C-83BFAAE1F5B3}" type="pres">
      <dgm:prSet presAssocID="{7AB1CFB6-8B41-419E-824D-EAC33AD049B7}" presName="parentLin" presStyleCnt="0"/>
      <dgm:spPr/>
    </dgm:pt>
    <dgm:pt modelId="{D70095A3-FB9E-4FD5-902F-DC8DB48F964F}" type="pres">
      <dgm:prSet presAssocID="{7AB1CFB6-8B41-419E-824D-EAC33AD049B7}" presName="parentLeftMargin" presStyleLbl="node1" presStyleIdx="4" presStyleCnt="6"/>
      <dgm:spPr/>
    </dgm:pt>
    <dgm:pt modelId="{1EEAC323-D728-42CE-8E84-F8EA537C8780}" type="pres">
      <dgm:prSet presAssocID="{7AB1CFB6-8B41-419E-824D-EAC33AD049B7}" presName="parentText" presStyleLbl="node1" presStyleIdx="5" presStyleCnt="6">
        <dgm:presLayoutVars>
          <dgm:chMax val="0"/>
          <dgm:bulletEnabled val="1"/>
        </dgm:presLayoutVars>
      </dgm:prSet>
      <dgm:spPr/>
    </dgm:pt>
    <dgm:pt modelId="{3B17EC0E-F9F5-468C-96D3-BD8D71AA8EA2}" type="pres">
      <dgm:prSet presAssocID="{7AB1CFB6-8B41-419E-824D-EAC33AD049B7}" presName="negativeSpace" presStyleCnt="0"/>
      <dgm:spPr/>
    </dgm:pt>
    <dgm:pt modelId="{0D21E851-ECE4-433F-94AE-1BB0F0BA86E0}" type="pres">
      <dgm:prSet presAssocID="{7AB1CFB6-8B41-419E-824D-EAC33AD049B7}" presName="childText" presStyleLbl="conFgAcc1" presStyleIdx="5" presStyleCnt="6">
        <dgm:presLayoutVars>
          <dgm:bulletEnabled val="1"/>
        </dgm:presLayoutVars>
      </dgm:prSet>
      <dgm:spPr/>
    </dgm:pt>
  </dgm:ptLst>
  <dgm:cxnLst>
    <dgm:cxn modelId="{8A35C504-DE83-40A5-BE82-4990FE18B840}" type="presOf" srcId="{7AB1CFB6-8B41-419E-824D-EAC33AD049B7}" destId="{1EEAC323-D728-42CE-8E84-F8EA537C8780}" srcOrd="1" destOrd="0" presId="urn:microsoft.com/office/officeart/2005/8/layout/list1"/>
    <dgm:cxn modelId="{D8F8AF09-ED1A-486B-AC59-E1090DF87EC5}" type="presOf" srcId="{352F44D5-D009-473F-A5CB-4B9B91FFCE98}" destId="{D72956BE-0059-4068-885C-ACE60523C33C}" srcOrd="1" destOrd="0" presId="urn:microsoft.com/office/officeart/2005/8/layout/list1"/>
    <dgm:cxn modelId="{607FAE0A-A592-4B13-8C92-135A11AB3700}" type="presOf" srcId="{BDAC0D7C-A998-4064-93F2-00148C2B3883}" destId="{14BF0D84-7726-49C5-993A-B9A26F363D62}" srcOrd="0" destOrd="0" presId="urn:microsoft.com/office/officeart/2005/8/layout/list1"/>
    <dgm:cxn modelId="{CA70820E-DA66-496D-91E8-051C72A639D0}" type="presOf" srcId="{37702BE3-FD40-4D71-BF3E-B5D9D242B920}" destId="{1D40384F-9216-4AC8-9D23-D90A746DC421}" srcOrd="0" destOrd="0" presId="urn:microsoft.com/office/officeart/2005/8/layout/list1"/>
    <dgm:cxn modelId="{A008CB34-14DB-404A-92A2-D336C8079600}" srcId="{8CE29371-D0E8-4D56-B5B4-DA9619DB1762}" destId="{37702BE3-FD40-4D71-BF3E-B5D9D242B920}" srcOrd="3" destOrd="0" parTransId="{CD490E0E-7D6B-4304-9476-E495C2EFC926}" sibTransId="{AFD42ABF-D07D-4D46-846C-15D83DA5B4E9}"/>
    <dgm:cxn modelId="{EC04D256-1182-483A-AF97-63EA68555607}" type="presOf" srcId="{752205B9-E99E-40A5-858E-260CFF995192}" destId="{9741EE74-22C6-43DA-BFE4-8CFCE32E8C24}" srcOrd="1" destOrd="0" presId="urn:microsoft.com/office/officeart/2005/8/layout/list1"/>
    <dgm:cxn modelId="{7900A289-F63C-430A-89A8-C2C50CF42C05}" type="presOf" srcId="{BDAC0D7C-A998-4064-93F2-00148C2B3883}" destId="{2282A236-FD01-4348-81D1-5AAE61EF4FD4}" srcOrd="1" destOrd="0" presId="urn:microsoft.com/office/officeart/2005/8/layout/list1"/>
    <dgm:cxn modelId="{6989D889-47C9-4037-95DE-A4CE817AA901}" type="presOf" srcId="{352F44D5-D009-473F-A5CB-4B9B91FFCE98}" destId="{F8B1FB2E-F791-48B2-95EB-FE554CF92D22}" srcOrd="0" destOrd="0" presId="urn:microsoft.com/office/officeart/2005/8/layout/list1"/>
    <dgm:cxn modelId="{27FC3296-B50A-4741-80F9-4AD598F4E204}" srcId="{8CE29371-D0E8-4D56-B5B4-DA9619DB1762}" destId="{352F44D5-D009-473F-A5CB-4B9B91FFCE98}" srcOrd="1" destOrd="0" parTransId="{E1A6B0B3-3788-476E-9929-FE23D9174637}" sibTransId="{73462AC5-00C6-44F8-ACC2-A8DB975877CF}"/>
    <dgm:cxn modelId="{0982239A-4974-4D0C-A387-8ABABA50F610}" srcId="{8CE29371-D0E8-4D56-B5B4-DA9619DB1762}" destId="{7AB1CFB6-8B41-419E-824D-EAC33AD049B7}" srcOrd="5" destOrd="0" parTransId="{9736DB1B-57A2-43AA-BDEA-D0656A83B2CC}" sibTransId="{4E6212F9-8024-4557-912C-99CE85D926EE}"/>
    <dgm:cxn modelId="{558AC1A7-5A74-4FC9-9A25-473DC9CA13C6}" type="presOf" srcId="{EAC30C9E-8C45-409D-AE95-B1B736988B7A}" destId="{2A4E538E-EA06-4CFA-BE0A-1B82E1673A2B}" srcOrd="0" destOrd="0" presId="urn:microsoft.com/office/officeart/2005/8/layout/list1"/>
    <dgm:cxn modelId="{5483CAAB-D1B5-4CE0-90FA-B481E67E9D93}" type="presOf" srcId="{752205B9-E99E-40A5-858E-260CFF995192}" destId="{93497CC9-E653-4D44-9D72-17606DA33B3D}" srcOrd="0" destOrd="0" presId="urn:microsoft.com/office/officeart/2005/8/layout/list1"/>
    <dgm:cxn modelId="{E0B587B5-ED5A-4956-89C6-CB34AEB13570}" srcId="{8CE29371-D0E8-4D56-B5B4-DA9619DB1762}" destId="{EAC30C9E-8C45-409D-AE95-B1B736988B7A}" srcOrd="2" destOrd="0" parTransId="{2BEC88E4-1EA7-4518-BB18-E418C01D92D5}" sibTransId="{6E750D59-2516-4039-B75C-E8A6C59DF5F7}"/>
    <dgm:cxn modelId="{0EEACDBE-1545-4803-B39B-242E71E4D15E}" type="presOf" srcId="{7AB1CFB6-8B41-419E-824D-EAC33AD049B7}" destId="{D70095A3-FB9E-4FD5-902F-DC8DB48F964F}" srcOrd="0" destOrd="0" presId="urn:microsoft.com/office/officeart/2005/8/layout/list1"/>
    <dgm:cxn modelId="{7ABF9DC7-DDE5-4170-8E3B-F93FA62C8471}" type="presOf" srcId="{8CE29371-D0E8-4D56-B5B4-DA9619DB1762}" destId="{52053CF2-B41D-4C58-BF74-AA47A6C103C0}" srcOrd="0" destOrd="0" presId="urn:microsoft.com/office/officeart/2005/8/layout/list1"/>
    <dgm:cxn modelId="{02BE96CA-693E-4F4C-90B5-72540150A126}" type="presOf" srcId="{EAC30C9E-8C45-409D-AE95-B1B736988B7A}" destId="{0B0F6AB6-BA81-4D18-AA9A-5739C43303F4}" srcOrd="1" destOrd="0" presId="urn:microsoft.com/office/officeart/2005/8/layout/list1"/>
    <dgm:cxn modelId="{E83A5CD4-D1FE-4BFA-938F-91336218501E}" type="presOf" srcId="{37702BE3-FD40-4D71-BF3E-B5D9D242B920}" destId="{FA0969ED-2A16-4B1F-89D8-978D5171A645}" srcOrd="1" destOrd="0" presId="urn:microsoft.com/office/officeart/2005/8/layout/list1"/>
    <dgm:cxn modelId="{D2F320E0-8E75-46BD-8E18-162343B9ED22}" srcId="{8CE29371-D0E8-4D56-B5B4-DA9619DB1762}" destId="{752205B9-E99E-40A5-858E-260CFF995192}" srcOrd="0" destOrd="0" parTransId="{8355FEFF-C57C-4E74-827F-67A255D31267}" sibTransId="{DC622CCC-4665-4ECD-B3B0-67A385EF158D}"/>
    <dgm:cxn modelId="{57C8DFF8-1473-4447-B599-B6BAECB15287}" srcId="{8CE29371-D0E8-4D56-B5B4-DA9619DB1762}" destId="{BDAC0D7C-A998-4064-93F2-00148C2B3883}" srcOrd="4" destOrd="0" parTransId="{E350EC81-3713-4E96-ABDD-044E8626357C}" sibTransId="{10847008-4B91-45EC-932F-07B8C4CE5521}"/>
    <dgm:cxn modelId="{118D599A-A9EE-46E5-8FB4-1BBF2C0A5CEC}" type="presParOf" srcId="{52053CF2-B41D-4C58-BF74-AA47A6C103C0}" destId="{C35371B4-1EFA-45B3-A25C-1BA1F3F84355}" srcOrd="0" destOrd="0" presId="urn:microsoft.com/office/officeart/2005/8/layout/list1"/>
    <dgm:cxn modelId="{FF5116BA-17A1-402A-9545-806A290DA9E2}" type="presParOf" srcId="{C35371B4-1EFA-45B3-A25C-1BA1F3F84355}" destId="{93497CC9-E653-4D44-9D72-17606DA33B3D}" srcOrd="0" destOrd="0" presId="urn:microsoft.com/office/officeart/2005/8/layout/list1"/>
    <dgm:cxn modelId="{11E61F7C-4402-4829-9172-DE6A884B750F}" type="presParOf" srcId="{C35371B4-1EFA-45B3-A25C-1BA1F3F84355}" destId="{9741EE74-22C6-43DA-BFE4-8CFCE32E8C24}" srcOrd="1" destOrd="0" presId="urn:microsoft.com/office/officeart/2005/8/layout/list1"/>
    <dgm:cxn modelId="{5AA90688-E2D0-4CC5-9874-6C8957F1AC4F}" type="presParOf" srcId="{52053CF2-B41D-4C58-BF74-AA47A6C103C0}" destId="{63F70A39-F258-4AF5-83CC-2ABC53949175}" srcOrd="1" destOrd="0" presId="urn:microsoft.com/office/officeart/2005/8/layout/list1"/>
    <dgm:cxn modelId="{60081F51-1B16-4223-97D5-93D9902157F8}" type="presParOf" srcId="{52053CF2-B41D-4C58-BF74-AA47A6C103C0}" destId="{D7FEEEE7-4953-4A36-A6F7-2C90AFB6F567}" srcOrd="2" destOrd="0" presId="urn:microsoft.com/office/officeart/2005/8/layout/list1"/>
    <dgm:cxn modelId="{0BC0AF18-6262-4D65-88B0-8ABE799E1F30}" type="presParOf" srcId="{52053CF2-B41D-4C58-BF74-AA47A6C103C0}" destId="{F8ABFC35-FA3F-4228-B9D2-B77315B493D7}" srcOrd="3" destOrd="0" presId="urn:microsoft.com/office/officeart/2005/8/layout/list1"/>
    <dgm:cxn modelId="{D6170539-BD59-400B-B603-AED93E58FD50}" type="presParOf" srcId="{52053CF2-B41D-4C58-BF74-AA47A6C103C0}" destId="{6DA3E046-93E1-40DC-9DED-E98D769B26AE}" srcOrd="4" destOrd="0" presId="urn:microsoft.com/office/officeart/2005/8/layout/list1"/>
    <dgm:cxn modelId="{35C02040-62AE-41F5-80EA-1DAA2A2AF43D}" type="presParOf" srcId="{6DA3E046-93E1-40DC-9DED-E98D769B26AE}" destId="{F8B1FB2E-F791-48B2-95EB-FE554CF92D22}" srcOrd="0" destOrd="0" presId="urn:microsoft.com/office/officeart/2005/8/layout/list1"/>
    <dgm:cxn modelId="{F7B3951A-8D14-4BC0-AC2C-7DF070D54DEC}" type="presParOf" srcId="{6DA3E046-93E1-40DC-9DED-E98D769B26AE}" destId="{D72956BE-0059-4068-885C-ACE60523C33C}" srcOrd="1" destOrd="0" presId="urn:microsoft.com/office/officeart/2005/8/layout/list1"/>
    <dgm:cxn modelId="{406D809D-2819-492C-A691-C1EA0E82AC7B}" type="presParOf" srcId="{52053CF2-B41D-4C58-BF74-AA47A6C103C0}" destId="{DEBBFA1C-C343-4396-B85A-A76C7AB714CB}" srcOrd="5" destOrd="0" presId="urn:microsoft.com/office/officeart/2005/8/layout/list1"/>
    <dgm:cxn modelId="{FDD9756F-80E1-4F8F-A141-A7BF2C68A031}" type="presParOf" srcId="{52053CF2-B41D-4C58-BF74-AA47A6C103C0}" destId="{895F8944-01AE-40E8-90D0-6FDE700F984F}" srcOrd="6" destOrd="0" presId="urn:microsoft.com/office/officeart/2005/8/layout/list1"/>
    <dgm:cxn modelId="{2889CBE7-88E2-452B-A0C1-CB92BD43E6E9}" type="presParOf" srcId="{52053CF2-B41D-4C58-BF74-AA47A6C103C0}" destId="{2B33E929-2429-488C-A16B-5893884ADCCA}" srcOrd="7" destOrd="0" presId="urn:microsoft.com/office/officeart/2005/8/layout/list1"/>
    <dgm:cxn modelId="{7E118590-32EB-4721-8982-D71BEF81088A}" type="presParOf" srcId="{52053CF2-B41D-4C58-BF74-AA47A6C103C0}" destId="{754F3104-8D7E-405A-9EC4-D8E2586AF172}" srcOrd="8" destOrd="0" presId="urn:microsoft.com/office/officeart/2005/8/layout/list1"/>
    <dgm:cxn modelId="{552869CE-2745-44C5-812F-8AE765F06472}" type="presParOf" srcId="{754F3104-8D7E-405A-9EC4-D8E2586AF172}" destId="{2A4E538E-EA06-4CFA-BE0A-1B82E1673A2B}" srcOrd="0" destOrd="0" presId="urn:microsoft.com/office/officeart/2005/8/layout/list1"/>
    <dgm:cxn modelId="{6B0C8FBD-FEF8-405E-A1F6-9972BA95EDDB}" type="presParOf" srcId="{754F3104-8D7E-405A-9EC4-D8E2586AF172}" destId="{0B0F6AB6-BA81-4D18-AA9A-5739C43303F4}" srcOrd="1" destOrd="0" presId="urn:microsoft.com/office/officeart/2005/8/layout/list1"/>
    <dgm:cxn modelId="{4A393CB0-4B6E-4ECC-988B-565E96CABE90}" type="presParOf" srcId="{52053CF2-B41D-4C58-BF74-AA47A6C103C0}" destId="{4AA21B78-FCB3-4EA9-8E2C-0D3934F52271}" srcOrd="9" destOrd="0" presId="urn:microsoft.com/office/officeart/2005/8/layout/list1"/>
    <dgm:cxn modelId="{901C529D-2E6A-4684-935F-EA7F9C2B9F94}" type="presParOf" srcId="{52053CF2-B41D-4C58-BF74-AA47A6C103C0}" destId="{B405DD94-4B98-4CC3-A276-217B45FE1C9D}" srcOrd="10" destOrd="0" presId="urn:microsoft.com/office/officeart/2005/8/layout/list1"/>
    <dgm:cxn modelId="{B9C43EA4-564E-4081-ADC3-8873841D940A}" type="presParOf" srcId="{52053CF2-B41D-4C58-BF74-AA47A6C103C0}" destId="{21671D27-6C28-45C9-84A6-98914C45787E}" srcOrd="11" destOrd="0" presId="urn:microsoft.com/office/officeart/2005/8/layout/list1"/>
    <dgm:cxn modelId="{12834295-55A6-4964-80D5-08A400565882}" type="presParOf" srcId="{52053CF2-B41D-4C58-BF74-AA47A6C103C0}" destId="{95C85190-B1B4-4FBC-9124-DE845FCA7197}" srcOrd="12" destOrd="0" presId="urn:microsoft.com/office/officeart/2005/8/layout/list1"/>
    <dgm:cxn modelId="{DDDA43C2-B5CD-4BFE-B99F-D1A9B061EC8D}" type="presParOf" srcId="{95C85190-B1B4-4FBC-9124-DE845FCA7197}" destId="{1D40384F-9216-4AC8-9D23-D90A746DC421}" srcOrd="0" destOrd="0" presId="urn:microsoft.com/office/officeart/2005/8/layout/list1"/>
    <dgm:cxn modelId="{E00DC504-3CD7-4490-8014-1185EA5C6077}" type="presParOf" srcId="{95C85190-B1B4-4FBC-9124-DE845FCA7197}" destId="{FA0969ED-2A16-4B1F-89D8-978D5171A645}" srcOrd="1" destOrd="0" presId="urn:microsoft.com/office/officeart/2005/8/layout/list1"/>
    <dgm:cxn modelId="{9CDCCECE-A16A-455D-9AF0-28CB1F13FC93}" type="presParOf" srcId="{52053CF2-B41D-4C58-BF74-AA47A6C103C0}" destId="{C306B624-1D0A-48EE-A5D9-2A4949D7EC60}" srcOrd="13" destOrd="0" presId="urn:microsoft.com/office/officeart/2005/8/layout/list1"/>
    <dgm:cxn modelId="{7B290982-4F5C-4011-B7AC-29A393BAA8B4}" type="presParOf" srcId="{52053CF2-B41D-4C58-BF74-AA47A6C103C0}" destId="{AE87AD2E-AAB7-4EA3-8D93-2831969F329D}" srcOrd="14" destOrd="0" presId="urn:microsoft.com/office/officeart/2005/8/layout/list1"/>
    <dgm:cxn modelId="{2ABD07D2-44B2-4374-B72B-96ECE2FFA2E2}" type="presParOf" srcId="{52053CF2-B41D-4C58-BF74-AA47A6C103C0}" destId="{BF34FCAC-F3C3-4D24-AF6A-A2115FB9B985}" srcOrd="15" destOrd="0" presId="urn:microsoft.com/office/officeart/2005/8/layout/list1"/>
    <dgm:cxn modelId="{AA779C5B-D911-4525-9A9E-9CFE9FF59B37}" type="presParOf" srcId="{52053CF2-B41D-4C58-BF74-AA47A6C103C0}" destId="{DB1C5099-5C6D-4548-B7C2-3D90E309145A}" srcOrd="16" destOrd="0" presId="urn:microsoft.com/office/officeart/2005/8/layout/list1"/>
    <dgm:cxn modelId="{AC802991-E081-4955-A3F4-5CAF828FB19B}" type="presParOf" srcId="{DB1C5099-5C6D-4548-B7C2-3D90E309145A}" destId="{14BF0D84-7726-49C5-993A-B9A26F363D62}" srcOrd="0" destOrd="0" presId="urn:microsoft.com/office/officeart/2005/8/layout/list1"/>
    <dgm:cxn modelId="{E59DE9F1-F041-42A0-AA0B-0A7DF1C13C8D}" type="presParOf" srcId="{DB1C5099-5C6D-4548-B7C2-3D90E309145A}" destId="{2282A236-FD01-4348-81D1-5AAE61EF4FD4}" srcOrd="1" destOrd="0" presId="urn:microsoft.com/office/officeart/2005/8/layout/list1"/>
    <dgm:cxn modelId="{DBA29DA9-F77B-4903-A125-D59141D11207}" type="presParOf" srcId="{52053CF2-B41D-4C58-BF74-AA47A6C103C0}" destId="{AED762C3-4400-461F-AD95-D1B876E489AF}" srcOrd="17" destOrd="0" presId="urn:microsoft.com/office/officeart/2005/8/layout/list1"/>
    <dgm:cxn modelId="{A5B3095E-4D96-405E-A47C-7B560B606642}" type="presParOf" srcId="{52053CF2-B41D-4C58-BF74-AA47A6C103C0}" destId="{D721B527-47A0-4D00-9746-D64DF0E23320}" srcOrd="18" destOrd="0" presId="urn:microsoft.com/office/officeart/2005/8/layout/list1"/>
    <dgm:cxn modelId="{5DB7A525-1212-48F2-BCF0-FC29074C215C}" type="presParOf" srcId="{52053CF2-B41D-4C58-BF74-AA47A6C103C0}" destId="{49CA9847-243F-4F53-80CD-63834254BDD5}" srcOrd="19" destOrd="0" presId="urn:microsoft.com/office/officeart/2005/8/layout/list1"/>
    <dgm:cxn modelId="{7D1FC7EB-C2AB-426A-912A-C6DF8DE52002}" type="presParOf" srcId="{52053CF2-B41D-4C58-BF74-AA47A6C103C0}" destId="{582C573D-617B-4252-A64C-83BFAAE1F5B3}" srcOrd="20" destOrd="0" presId="urn:microsoft.com/office/officeart/2005/8/layout/list1"/>
    <dgm:cxn modelId="{BD5CE090-3F26-4E80-973C-69E8D1FD9078}" type="presParOf" srcId="{582C573D-617B-4252-A64C-83BFAAE1F5B3}" destId="{D70095A3-FB9E-4FD5-902F-DC8DB48F964F}" srcOrd="0" destOrd="0" presId="urn:microsoft.com/office/officeart/2005/8/layout/list1"/>
    <dgm:cxn modelId="{C31E96BA-C97C-4994-B5DD-7E5AD1076D5B}" type="presParOf" srcId="{582C573D-617B-4252-A64C-83BFAAE1F5B3}" destId="{1EEAC323-D728-42CE-8E84-F8EA537C8780}" srcOrd="1" destOrd="0" presId="urn:microsoft.com/office/officeart/2005/8/layout/list1"/>
    <dgm:cxn modelId="{0FBF9C9D-C176-4D66-B95F-CF768128FD6E}" type="presParOf" srcId="{52053CF2-B41D-4C58-BF74-AA47A6C103C0}" destId="{3B17EC0E-F9F5-468C-96D3-BD8D71AA8EA2}" srcOrd="21" destOrd="0" presId="urn:microsoft.com/office/officeart/2005/8/layout/list1"/>
    <dgm:cxn modelId="{3A0F366F-EA22-4451-9118-76CB4F909DE5}" type="presParOf" srcId="{52053CF2-B41D-4C58-BF74-AA47A6C103C0}" destId="{0D21E851-ECE4-433F-94AE-1BB0F0BA86E0}" srcOrd="22" destOrd="0" presId="urn:microsoft.com/office/officeart/2005/8/layout/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4CC1A25-347C-4E7F-9AE1-7D532A01FB9C}" type="doc">
      <dgm:prSet loTypeId="urn:microsoft.com/office/officeart/2005/8/layout/list1" loCatId="list" qsTypeId="urn:microsoft.com/office/officeart/2005/8/quickstyle/simple1" qsCatId="simple" csTypeId="urn:microsoft.com/office/officeart/2005/8/colors/accent3_1" csCatId="accent3" phldr="1"/>
      <dgm:spPr/>
      <dgm:t>
        <a:bodyPr/>
        <a:lstStyle/>
        <a:p>
          <a:endParaRPr lang="en-US"/>
        </a:p>
      </dgm:t>
    </dgm:pt>
    <dgm:pt modelId="{0E765002-56DA-4ABA-A826-404BD205802A}">
      <dgm:prSet phldrT="[Text]" custT="1"/>
      <dgm:spPr/>
      <dgm:t>
        <a:bodyPr/>
        <a:lstStyle/>
        <a:p>
          <a:r>
            <a:rPr lang="en-US" sz="1200">
              <a:latin typeface="Times New Roman" pitchFamily="18" charset="0"/>
              <a:cs typeface="Times New Roman" pitchFamily="18" charset="0"/>
            </a:rPr>
            <a:t>Background of the Research Methodology</a:t>
          </a:r>
        </a:p>
      </dgm:t>
    </dgm:pt>
    <dgm:pt modelId="{2D5F8EF4-695B-4C76-A971-D61398529399}" type="parTrans" cxnId="{60FB3907-287A-4B59-831A-868349B9A1D1}">
      <dgm:prSet/>
      <dgm:spPr/>
      <dgm:t>
        <a:bodyPr/>
        <a:lstStyle/>
        <a:p>
          <a:endParaRPr lang="en-US" sz="1200">
            <a:latin typeface="Times New Roman" pitchFamily="18" charset="0"/>
            <a:cs typeface="Times New Roman" pitchFamily="18" charset="0"/>
          </a:endParaRPr>
        </a:p>
      </dgm:t>
    </dgm:pt>
    <dgm:pt modelId="{2E3A7DCB-F283-4CB0-836C-60B4D5C86B9D}" type="sibTrans" cxnId="{60FB3907-287A-4B59-831A-868349B9A1D1}">
      <dgm:prSet/>
      <dgm:spPr/>
      <dgm:t>
        <a:bodyPr/>
        <a:lstStyle/>
        <a:p>
          <a:endParaRPr lang="en-US" sz="1200">
            <a:latin typeface="Times New Roman" pitchFamily="18" charset="0"/>
            <a:cs typeface="Times New Roman" pitchFamily="18" charset="0"/>
          </a:endParaRPr>
        </a:p>
      </dgm:t>
    </dgm:pt>
    <dgm:pt modelId="{04365C30-C687-4CD6-AD49-EAE6919D5459}">
      <dgm:prSet phldrT="[Text]" custT="1"/>
      <dgm:spPr/>
      <dgm:t>
        <a:bodyPr/>
        <a:lstStyle/>
        <a:p>
          <a:r>
            <a:rPr lang="en-US" sz="1200">
              <a:latin typeface="Times New Roman" pitchFamily="18" charset="0"/>
              <a:cs typeface="Times New Roman" pitchFamily="18" charset="0"/>
            </a:rPr>
            <a:t>Step 1 (Qualitative): Exploratory Factor Analysis (EFA)</a:t>
          </a:r>
        </a:p>
      </dgm:t>
    </dgm:pt>
    <dgm:pt modelId="{A5FEA09D-6B0B-4F3E-A3BD-BA5D680D1D83}" type="parTrans" cxnId="{004CF5FE-3501-4ACA-8022-81ED2A155184}">
      <dgm:prSet/>
      <dgm:spPr/>
      <dgm:t>
        <a:bodyPr/>
        <a:lstStyle/>
        <a:p>
          <a:endParaRPr lang="en-US" sz="1200">
            <a:latin typeface="Times New Roman" pitchFamily="18" charset="0"/>
            <a:cs typeface="Times New Roman" pitchFamily="18" charset="0"/>
          </a:endParaRPr>
        </a:p>
      </dgm:t>
    </dgm:pt>
    <dgm:pt modelId="{CBC78211-1DDD-4729-9811-B5DD9467A407}" type="sibTrans" cxnId="{004CF5FE-3501-4ACA-8022-81ED2A155184}">
      <dgm:prSet/>
      <dgm:spPr/>
      <dgm:t>
        <a:bodyPr/>
        <a:lstStyle/>
        <a:p>
          <a:endParaRPr lang="en-US" sz="1200">
            <a:latin typeface="Times New Roman" pitchFamily="18" charset="0"/>
            <a:cs typeface="Times New Roman" pitchFamily="18" charset="0"/>
          </a:endParaRPr>
        </a:p>
      </dgm:t>
    </dgm:pt>
    <dgm:pt modelId="{5C6E4484-91BA-441C-B853-F4484A766ECA}">
      <dgm:prSet phldrT="[Text]" custT="1"/>
      <dgm:spPr/>
      <dgm:t>
        <a:bodyPr/>
        <a:lstStyle/>
        <a:p>
          <a:r>
            <a:rPr lang="en-US" sz="1200">
              <a:latin typeface="Times New Roman" pitchFamily="18" charset="0"/>
              <a:cs typeface="Times New Roman" pitchFamily="18" charset="0"/>
            </a:rPr>
            <a:t>Step 2 (Quantitative): Factor Analyses and Structural Equation Modeling (SEM)</a:t>
          </a:r>
        </a:p>
      </dgm:t>
    </dgm:pt>
    <dgm:pt modelId="{8CA69DA0-A572-4F27-A45D-5104C770DBBB}" type="parTrans" cxnId="{41BA150D-E5AF-4D08-9B8D-649AB3AFF2B0}">
      <dgm:prSet/>
      <dgm:spPr/>
      <dgm:t>
        <a:bodyPr/>
        <a:lstStyle/>
        <a:p>
          <a:endParaRPr lang="en-US" sz="1200">
            <a:latin typeface="Times New Roman" pitchFamily="18" charset="0"/>
            <a:cs typeface="Times New Roman" pitchFamily="18" charset="0"/>
          </a:endParaRPr>
        </a:p>
      </dgm:t>
    </dgm:pt>
    <dgm:pt modelId="{8F816309-1FAE-41DB-B815-115987DB40E0}" type="sibTrans" cxnId="{41BA150D-E5AF-4D08-9B8D-649AB3AFF2B0}">
      <dgm:prSet/>
      <dgm:spPr/>
      <dgm:t>
        <a:bodyPr/>
        <a:lstStyle/>
        <a:p>
          <a:endParaRPr lang="en-US" sz="1200">
            <a:latin typeface="Times New Roman" pitchFamily="18" charset="0"/>
            <a:cs typeface="Times New Roman" pitchFamily="18" charset="0"/>
          </a:endParaRPr>
        </a:p>
      </dgm:t>
    </dgm:pt>
    <dgm:pt modelId="{588D325D-BDDE-47A2-8A2B-D25C1FCC82E5}">
      <dgm:prSet custT="1"/>
      <dgm:spPr/>
      <dgm:t>
        <a:bodyPr/>
        <a:lstStyle/>
        <a:p>
          <a:r>
            <a:rPr lang="en-US" sz="1200">
              <a:latin typeface="Times New Roman" pitchFamily="18" charset="0"/>
              <a:cs typeface="Times New Roman" pitchFamily="18" charset="0"/>
            </a:rPr>
            <a:t>Justification for the Research Methodology</a:t>
          </a:r>
        </a:p>
      </dgm:t>
    </dgm:pt>
    <dgm:pt modelId="{0CDAC317-32AD-46EC-81FB-7B854C95AF7B}" type="parTrans" cxnId="{765D2F12-F15B-41F6-B20D-9A6D40C5AE8B}">
      <dgm:prSet/>
      <dgm:spPr/>
      <dgm:t>
        <a:bodyPr/>
        <a:lstStyle/>
        <a:p>
          <a:endParaRPr lang="en-US" sz="1200">
            <a:latin typeface="Times New Roman" pitchFamily="18" charset="0"/>
            <a:cs typeface="Times New Roman" pitchFamily="18" charset="0"/>
          </a:endParaRPr>
        </a:p>
      </dgm:t>
    </dgm:pt>
    <dgm:pt modelId="{053FEA81-61A8-46A6-B197-FBAF94F9BAAF}" type="sibTrans" cxnId="{765D2F12-F15B-41F6-B20D-9A6D40C5AE8B}">
      <dgm:prSet/>
      <dgm:spPr/>
      <dgm:t>
        <a:bodyPr/>
        <a:lstStyle/>
        <a:p>
          <a:endParaRPr lang="en-US" sz="1200">
            <a:latin typeface="Times New Roman" pitchFamily="18" charset="0"/>
            <a:cs typeface="Times New Roman" pitchFamily="18" charset="0"/>
          </a:endParaRPr>
        </a:p>
      </dgm:t>
    </dgm:pt>
    <dgm:pt modelId="{17F1A81B-BDE9-4FC6-9FEC-355566FAE6E7}">
      <dgm:prSet custT="1"/>
      <dgm:spPr/>
      <dgm:t>
        <a:bodyPr/>
        <a:lstStyle/>
        <a:p>
          <a:r>
            <a:rPr lang="en-US" sz="1200">
              <a:latin typeface="Times New Roman" pitchFamily="18" charset="0"/>
              <a:cs typeface="Times New Roman" pitchFamily="18" charset="0"/>
            </a:rPr>
            <a:t>Summary</a:t>
          </a:r>
        </a:p>
      </dgm:t>
    </dgm:pt>
    <dgm:pt modelId="{344B3FC2-612D-44CE-BFC5-3EB5549F7AA2}" type="parTrans" cxnId="{5CEBA095-C34B-4FD7-9BB2-D94D0689ED34}">
      <dgm:prSet/>
      <dgm:spPr/>
      <dgm:t>
        <a:bodyPr/>
        <a:lstStyle/>
        <a:p>
          <a:endParaRPr lang="en-US" sz="1200">
            <a:latin typeface="Times New Roman" pitchFamily="18" charset="0"/>
            <a:cs typeface="Times New Roman" pitchFamily="18" charset="0"/>
          </a:endParaRPr>
        </a:p>
      </dgm:t>
    </dgm:pt>
    <dgm:pt modelId="{24AD6412-0E22-403A-997A-1A747B4B690E}" type="sibTrans" cxnId="{5CEBA095-C34B-4FD7-9BB2-D94D0689ED34}">
      <dgm:prSet/>
      <dgm:spPr/>
      <dgm:t>
        <a:bodyPr/>
        <a:lstStyle/>
        <a:p>
          <a:endParaRPr lang="en-US" sz="1200">
            <a:latin typeface="Times New Roman" pitchFamily="18" charset="0"/>
            <a:cs typeface="Times New Roman" pitchFamily="18" charset="0"/>
          </a:endParaRPr>
        </a:p>
      </dgm:t>
    </dgm:pt>
    <dgm:pt modelId="{D3156FFB-456C-400C-B226-B9659FBD4CDC}" type="pres">
      <dgm:prSet presAssocID="{14CC1A25-347C-4E7F-9AE1-7D532A01FB9C}" presName="linear" presStyleCnt="0">
        <dgm:presLayoutVars>
          <dgm:dir/>
          <dgm:animLvl val="lvl"/>
          <dgm:resizeHandles val="exact"/>
        </dgm:presLayoutVars>
      </dgm:prSet>
      <dgm:spPr/>
    </dgm:pt>
    <dgm:pt modelId="{C32FEBF8-78AE-4130-B8E5-47835888D36A}" type="pres">
      <dgm:prSet presAssocID="{0E765002-56DA-4ABA-A826-404BD205802A}" presName="parentLin" presStyleCnt="0"/>
      <dgm:spPr/>
    </dgm:pt>
    <dgm:pt modelId="{D2D90F4E-21B0-49EE-9F6F-57317E7A9044}" type="pres">
      <dgm:prSet presAssocID="{0E765002-56DA-4ABA-A826-404BD205802A}" presName="parentLeftMargin" presStyleLbl="node1" presStyleIdx="0" presStyleCnt="5"/>
      <dgm:spPr/>
    </dgm:pt>
    <dgm:pt modelId="{A3706EA2-FAFE-4834-B30F-0421EA897254}" type="pres">
      <dgm:prSet presAssocID="{0E765002-56DA-4ABA-A826-404BD205802A}" presName="parentText" presStyleLbl="node1" presStyleIdx="0" presStyleCnt="5" custScaleX="119048" custScaleY="66376">
        <dgm:presLayoutVars>
          <dgm:chMax val="0"/>
          <dgm:bulletEnabled val="1"/>
        </dgm:presLayoutVars>
      </dgm:prSet>
      <dgm:spPr/>
    </dgm:pt>
    <dgm:pt modelId="{BC08E65C-3907-4552-93DA-372298448197}" type="pres">
      <dgm:prSet presAssocID="{0E765002-56DA-4ABA-A826-404BD205802A}" presName="negativeSpace" presStyleCnt="0"/>
      <dgm:spPr/>
    </dgm:pt>
    <dgm:pt modelId="{3E0C4AD7-CD2C-4400-8FBF-FE85D1C76CE5}" type="pres">
      <dgm:prSet presAssocID="{0E765002-56DA-4ABA-A826-404BD205802A}" presName="childText" presStyleLbl="conFgAcc1" presStyleIdx="0" presStyleCnt="5">
        <dgm:presLayoutVars>
          <dgm:bulletEnabled val="1"/>
        </dgm:presLayoutVars>
      </dgm:prSet>
      <dgm:spPr/>
    </dgm:pt>
    <dgm:pt modelId="{2E2B94BA-BA4E-4525-B338-6B79B834D4F2}" type="pres">
      <dgm:prSet presAssocID="{2E3A7DCB-F283-4CB0-836C-60B4D5C86B9D}" presName="spaceBetweenRectangles" presStyleCnt="0"/>
      <dgm:spPr/>
    </dgm:pt>
    <dgm:pt modelId="{BA6588AF-9C7E-4B99-8229-55A44C698E6E}" type="pres">
      <dgm:prSet presAssocID="{588D325D-BDDE-47A2-8A2B-D25C1FCC82E5}" presName="parentLin" presStyleCnt="0"/>
      <dgm:spPr/>
    </dgm:pt>
    <dgm:pt modelId="{0C618FB7-178F-40E7-BB0D-4498E665854F}" type="pres">
      <dgm:prSet presAssocID="{588D325D-BDDE-47A2-8A2B-D25C1FCC82E5}" presName="parentLeftMargin" presStyleLbl="node1" presStyleIdx="0" presStyleCnt="5"/>
      <dgm:spPr/>
    </dgm:pt>
    <dgm:pt modelId="{D5D2BDE1-9F7A-40ED-8BA4-70BB6E6EEC85}" type="pres">
      <dgm:prSet presAssocID="{588D325D-BDDE-47A2-8A2B-D25C1FCC82E5}" presName="parentText" presStyleLbl="node1" presStyleIdx="1" presStyleCnt="5" custScaleX="119048" custScaleY="66376">
        <dgm:presLayoutVars>
          <dgm:chMax val="0"/>
          <dgm:bulletEnabled val="1"/>
        </dgm:presLayoutVars>
      </dgm:prSet>
      <dgm:spPr/>
    </dgm:pt>
    <dgm:pt modelId="{B9D90C45-AC50-4B03-A364-FE68F86BEE82}" type="pres">
      <dgm:prSet presAssocID="{588D325D-BDDE-47A2-8A2B-D25C1FCC82E5}" presName="negativeSpace" presStyleCnt="0"/>
      <dgm:spPr/>
    </dgm:pt>
    <dgm:pt modelId="{D0D5E321-62C7-428A-B022-836432494EBF}" type="pres">
      <dgm:prSet presAssocID="{588D325D-BDDE-47A2-8A2B-D25C1FCC82E5}" presName="childText" presStyleLbl="conFgAcc1" presStyleIdx="1" presStyleCnt="5">
        <dgm:presLayoutVars>
          <dgm:bulletEnabled val="1"/>
        </dgm:presLayoutVars>
      </dgm:prSet>
      <dgm:spPr/>
    </dgm:pt>
    <dgm:pt modelId="{4A71A546-C508-4610-B89A-303EC412B3B1}" type="pres">
      <dgm:prSet presAssocID="{053FEA81-61A8-46A6-B197-FBAF94F9BAAF}" presName="spaceBetweenRectangles" presStyleCnt="0"/>
      <dgm:spPr/>
    </dgm:pt>
    <dgm:pt modelId="{448C5682-A353-49FC-B2FC-2C1C7259B908}" type="pres">
      <dgm:prSet presAssocID="{04365C30-C687-4CD6-AD49-EAE6919D5459}" presName="parentLin" presStyleCnt="0"/>
      <dgm:spPr/>
    </dgm:pt>
    <dgm:pt modelId="{2BA281AA-B6AE-47CD-AA9C-AA4F8CC5113B}" type="pres">
      <dgm:prSet presAssocID="{04365C30-C687-4CD6-AD49-EAE6919D5459}" presName="parentLeftMargin" presStyleLbl="node1" presStyleIdx="1" presStyleCnt="5"/>
      <dgm:spPr/>
    </dgm:pt>
    <dgm:pt modelId="{72317816-F2B4-4791-980C-477481BD19B2}" type="pres">
      <dgm:prSet presAssocID="{04365C30-C687-4CD6-AD49-EAE6919D5459}" presName="parentText" presStyleLbl="node1" presStyleIdx="2" presStyleCnt="5" custScaleX="119048" custScaleY="61951">
        <dgm:presLayoutVars>
          <dgm:chMax val="0"/>
          <dgm:bulletEnabled val="1"/>
        </dgm:presLayoutVars>
      </dgm:prSet>
      <dgm:spPr/>
    </dgm:pt>
    <dgm:pt modelId="{9110396F-CDBB-4109-914D-4FAA4865EFE6}" type="pres">
      <dgm:prSet presAssocID="{04365C30-C687-4CD6-AD49-EAE6919D5459}" presName="negativeSpace" presStyleCnt="0"/>
      <dgm:spPr/>
    </dgm:pt>
    <dgm:pt modelId="{E34418B7-F682-4036-B641-3341658FAAE0}" type="pres">
      <dgm:prSet presAssocID="{04365C30-C687-4CD6-AD49-EAE6919D5459}" presName="childText" presStyleLbl="conFgAcc1" presStyleIdx="2" presStyleCnt="5">
        <dgm:presLayoutVars>
          <dgm:bulletEnabled val="1"/>
        </dgm:presLayoutVars>
      </dgm:prSet>
      <dgm:spPr/>
    </dgm:pt>
    <dgm:pt modelId="{686C4774-EDAD-443B-88C8-06118C262926}" type="pres">
      <dgm:prSet presAssocID="{CBC78211-1DDD-4729-9811-B5DD9467A407}" presName="spaceBetweenRectangles" presStyleCnt="0"/>
      <dgm:spPr/>
    </dgm:pt>
    <dgm:pt modelId="{EA9620F5-9435-4FDC-91EB-D49172F5B729}" type="pres">
      <dgm:prSet presAssocID="{5C6E4484-91BA-441C-B853-F4484A766ECA}" presName="parentLin" presStyleCnt="0"/>
      <dgm:spPr/>
    </dgm:pt>
    <dgm:pt modelId="{E24E45A5-787D-444F-9B87-CBA2456B59E1}" type="pres">
      <dgm:prSet presAssocID="{5C6E4484-91BA-441C-B853-F4484A766ECA}" presName="parentLeftMargin" presStyleLbl="node1" presStyleIdx="2" presStyleCnt="5"/>
      <dgm:spPr/>
    </dgm:pt>
    <dgm:pt modelId="{C92E475E-9883-4DA2-ABA1-839DCDE25A49}" type="pres">
      <dgm:prSet presAssocID="{5C6E4484-91BA-441C-B853-F4484A766ECA}" presName="parentText" presStyleLbl="node1" presStyleIdx="3" presStyleCnt="5" custScaleX="119164" custScaleY="103252">
        <dgm:presLayoutVars>
          <dgm:chMax val="0"/>
          <dgm:bulletEnabled val="1"/>
        </dgm:presLayoutVars>
      </dgm:prSet>
      <dgm:spPr/>
    </dgm:pt>
    <dgm:pt modelId="{39442128-D63B-4843-AA5C-B677FEFF8B16}" type="pres">
      <dgm:prSet presAssocID="{5C6E4484-91BA-441C-B853-F4484A766ECA}" presName="negativeSpace" presStyleCnt="0"/>
      <dgm:spPr/>
    </dgm:pt>
    <dgm:pt modelId="{758D0B4D-5BDA-48EF-9F70-1E1EBD2E7968}" type="pres">
      <dgm:prSet presAssocID="{5C6E4484-91BA-441C-B853-F4484A766ECA}" presName="childText" presStyleLbl="conFgAcc1" presStyleIdx="3" presStyleCnt="5">
        <dgm:presLayoutVars>
          <dgm:bulletEnabled val="1"/>
        </dgm:presLayoutVars>
      </dgm:prSet>
      <dgm:spPr/>
    </dgm:pt>
    <dgm:pt modelId="{F91E5D44-FC64-4A7B-BD8E-8BDC72CAC47B}" type="pres">
      <dgm:prSet presAssocID="{8F816309-1FAE-41DB-B815-115987DB40E0}" presName="spaceBetweenRectangles" presStyleCnt="0"/>
      <dgm:spPr/>
    </dgm:pt>
    <dgm:pt modelId="{5B1CE058-4D1D-4591-8E1F-6AF437D13D58}" type="pres">
      <dgm:prSet presAssocID="{17F1A81B-BDE9-4FC6-9FEC-355566FAE6E7}" presName="parentLin" presStyleCnt="0"/>
      <dgm:spPr/>
    </dgm:pt>
    <dgm:pt modelId="{ACC212B1-520F-4B49-B560-3C66968464D3}" type="pres">
      <dgm:prSet presAssocID="{17F1A81B-BDE9-4FC6-9FEC-355566FAE6E7}" presName="parentLeftMargin" presStyleLbl="node1" presStyleIdx="3" presStyleCnt="5"/>
      <dgm:spPr/>
    </dgm:pt>
    <dgm:pt modelId="{205DA949-7E85-4436-AC9E-E42CE6A11B8E}" type="pres">
      <dgm:prSet presAssocID="{17F1A81B-BDE9-4FC6-9FEC-355566FAE6E7}" presName="parentText" presStyleLbl="node1" presStyleIdx="4" presStyleCnt="5" custScaleX="119048" custScaleY="66376">
        <dgm:presLayoutVars>
          <dgm:chMax val="0"/>
          <dgm:bulletEnabled val="1"/>
        </dgm:presLayoutVars>
      </dgm:prSet>
      <dgm:spPr/>
    </dgm:pt>
    <dgm:pt modelId="{A4C17898-6F6C-4702-ADAD-E1D077CE6920}" type="pres">
      <dgm:prSet presAssocID="{17F1A81B-BDE9-4FC6-9FEC-355566FAE6E7}" presName="negativeSpace" presStyleCnt="0"/>
      <dgm:spPr/>
    </dgm:pt>
    <dgm:pt modelId="{570A4D24-C3F1-4960-894D-E84EA1F4A110}" type="pres">
      <dgm:prSet presAssocID="{17F1A81B-BDE9-4FC6-9FEC-355566FAE6E7}" presName="childText" presStyleLbl="conFgAcc1" presStyleIdx="4" presStyleCnt="5">
        <dgm:presLayoutVars>
          <dgm:bulletEnabled val="1"/>
        </dgm:presLayoutVars>
      </dgm:prSet>
      <dgm:spPr/>
    </dgm:pt>
  </dgm:ptLst>
  <dgm:cxnLst>
    <dgm:cxn modelId="{60FB3907-287A-4B59-831A-868349B9A1D1}" srcId="{14CC1A25-347C-4E7F-9AE1-7D532A01FB9C}" destId="{0E765002-56DA-4ABA-A826-404BD205802A}" srcOrd="0" destOrd="0" parTransId="{2D5F8EF4-695B-4C76-A971-D61398529399}" sibTransId="{2E3A7DCB-F283-4CB0-836C-60B4D5C86B9D}"/>
    <dgm:cxn modelId="{41BA150D-E5AF-4D08-9B8D-649AB3AFF2B0}" srcId="{14CC1A25-347C-4E7F-9AE1-7D532A01FB9C}" destId="{5C6E4484-91BA-441C-B853-F4484A766ECA}" srcOrd="3" destOrd="0" parTransId="{8CA69DA0-A572-4F27-A45D-5104C770DBBB}" sibTransId="{8F816309-1FAE-41DB-B815-115987DB40E0}"/>
    <dgm:cxn modelId="{575B6C11-9CA1-48E4-B427-F58C96C8BAB4}" type="presOf" srcId="{17F1A81B-BDE9-4FC6-9FEC-355566FAE6E7}" destId="{205DA949-7E85-4436-AC9E-E42CE6A11B8E}" srcOrd="1" destOrd="0" presId="urn:microsoft.com/office/officeart/2005/8/layout/list1"/>
    <dgm:cxn modelId="{765D2F12-F15B-41F6-B20D-9A6D40C5AE8B}" srcId="{14CC1A25-347C-4E7F-9AE1-7D532A01FB9C}" destId="{588D325D-BDDE-47A2-8A2B-D25C1FCC82E5}" srcOrd="1" destOrd="0" parTransId="{0CDAC317-32AD-46EC-81FB-7B854C95AF7B}" sibTransId="{053FEA81-61A8-46A6-B197-FBAF94F9BAAF}"/>
    <dgm:cxn modelId="{936F4828-1D15-4AF5-9099-98AF233A3060}" type="presOf" srcId="{17F1A81B-BDE9-4FC6-9FEC-355566FAE6E7}" destId="{ACC212B1-520F-4B49-B560-3C66968464D3}" srcOrd="0" destOrd="0" presId="urn:microsoft.com/office/officeart/2005/8/layout/list1"/>
    <dgm:cxn modelId="{2833825B-16B0-41F3-A5F5-2C7879FA742C}" type="presOf" srcId="{04365C30-C687-4CD6-AD49-EAE6919D5459}" destId="{2BA281AA-B6AE-47CD-AA9C-AA4F8CC5113B}" srcOrd="0" destOrd="0" presId="urn:microsoft.com/office/officeart/2005/8/layout/list1"/>
    <dgm:cxn modelId="{8B3E7D4A-FD7C-4E24-906B-CB160093E9F1}" type="presOf" srcId="{04365C30-C687-4CD6-AD49-EAE6919D5459}" destId="{72317816-F2B4-4791-980C-477481BD19B2}" srcOrd="1" destOrd="0" presId="urn:microsoft.com/office/officeart/2005/8/layout/list1"/>
    <dgm:cxn modelId="{DF93E16F-BF23-4424-86A7-077F51960946}" type="presOf" srcId="{0E765002-56DA-4ABA-A826-404BD205802A}" destId="{D2D90F4E-21B0-49EE-9F6F-57317E7A9044}" srcOrd="0" destOrd="0" presId="urn:microsoft.com/office/officeart/2005/8/layout/list1"/>
    <dgm:cxn modelId="{FF2AC050-3DEF-45BC-8A3F-F74C9962AB6D}" type="presOf" srcId="{14CC1A25-347C-4E7F-9AE1-7D532A01FB9C}" destId="{D3156FFB-456C-400C-B226-B9659FBD4CDC}" srcOrd="0" destOrd="0" presId="urn:microsoft.com/office/officeart/2005/8/layout/list1"/>
    <dgm:cxn modelId="{6CB50083-0D5F-4FBC-814B-5D147F558E88}" type="presOf" srcId="{0E765002-56DA-4ABA-A826-404BD205802A}" destId="{A3706EA2-FAFE-4834-B30F-0421EA897254}" srcOrd="1" destOrd="0" presId="urn:microsoft.com/office/officeart/2005/8/layout/list1"/>
    <dgm:cxn modelId="{4F477985-E195-4170-8FF5-4D04A4D57810}" type="presOf" srcId="{588D325D-BDDE-47A2-8A2B-D25C1FCC82E5}" destId="{D5D2BDE1-9F7A-40ED-8BA4-70BB6E6EEC85}" srcOrd="1" destOrd="0" presId="urn:microsoft.com/office/officeart/2005/8/layout/list1"/>
    <dgm:cxn modelId="{5CEBA095-C34B-4FD7-9BB2-D94D0689ED34}" srcId="{14CC1A25-347C-4E7F-9AE1-7D532A01FB9C}" destId="{17F1A81B-BDE9-4FC6-9FEC-355566FAE6E7}" srcOrd="4" destOrd="0" parTransId="{344B3FC2-612D-44CE-BFC5-3EB5549F7AA2}" sibTransId="{24AD6412-0E22-403A-997A-1A747B4B690E}"/>
    <dgm:cxn modelId="{75F9E6A9-8B68-4452-A301-519FB6665BB6}" type="presOf" srcId="{5C6E4484-91BA-441C-B853-F4484A766ECA}" destId="{C92E475E-9883-4DA2-ABA1-839DCDE25A49}" srcOrd="1" destOrd="0" presId="urn:microsoft.com/office/officeart/2005/8/layout/list1"/>
    <dgm:cxn modelId="{179757C8-9931-4C9D-A7A4-4D35AB45682F}" type="presOf" srcId="{588D325D-BDDE-47A2-8A2B-D25C1FCC82E5}" destId="{0C618FB7-178F-40E7-BB0D-4498E665854F}" srcOrd="0" destOrd="0" presId="urn:microsoft.com/office/officeart/2005/8/layout/list1"/>
    <dgm:cxn modelId="{695796DA-9BD3-43EA-BAE9-BABDF3B78515}" type="presOf" srcId="{5C6E4484-91BA-441C-B853-F4484A766ECA}" destId="{E24E45A5-787D-444F-9B87-CBA2456B59E1}" srcOrd="0" destOrd="0" presId="urn:microsoft.com/office/officeart/2005/8/layout/list1"/>
    <dgm:cxn modelId="{004CF5FE-3501-4ACA-8022-81ED2A155184}" srcId="{14CC1A25-347C-4E7F-9AE1-7D532A01FB9C}" destId="{04365C30-C687-4CD6-AD49-EAE6919D5459}" srcOrd="2" destOrd="0" parTransId="{A5FEA09D-6B0B-4F3E-A3BD-BA5D680D1D83}" sibTransId="{CBC78211-1DDD-4729-9811-B5DD9467A407}"/>
    <dgm:cxn modelId="{680F0488-4E68-41CC-B863-8AFB0BE2C3BC}" type="presParOf" srcId="{D3156FFB-456C-400C-B226-B9659FBD4CDC}" destId="{C32FEBF8-78AE-4130-B8E5-47835888D36A}" srcOrd="0" destOrd="0" presId="urn:microsoft.com/office/officeart/2005/8/layout/list1"/>
    <dgm:cxn modelId="{C0821416-8F5D-460F-919D-ED934F0ACE40}" type="presParOf" srcId="{C32FEBF8-78AE-4130-B8E5-47835888D36A}" destId="{D2D90F4E-21B0-49EE-9F6F-57317E7A9044}" srcOrd="0" destOrd="0" presId="urn:microsoft.com/office/officeart/2005/8/layout/list1"/>
    <dgm:cxn modelId="{C3B59318-93AC-4FF9-806D-D30BCD578A02}" type="presParOf" srcId="{C32FEBF8-78AE-4130-B8E5-47835888D36A}" destId="{A3706EA2-FAFE-4834-B30F-0421EA897254}" srcOrd="1" destOrd="0" presId="urn:microsoft.com/office/officeart/2005/8/layout/list1"/>
    <dgm:cxn modelId="{7B4657B5-9B8D-43C1-BA8E-3D95DC2A329B}" type="presParOf" srcId="{D3156FFB-456C-400C-B226-B9659FBD4CDC}" destId="{BC08E65C-3907-4552-93DA-372298448197}" srcOrd="1" destOrd="0" presId="urn:microsoft.com/office/officeart/2005/8/layout/list1"/>
    <dgm:cxn modelId="{7389EE71-CFD3-414D-B5FF-4282FCF3C622}" type="presParOf" srcId="{D3156FFB-456C-400C-B226-B9659FBD4CDC}" destId="{3E0C4AD7-CD2C-4400-8FBF-FE85D1C76CE5}" srcOrd="2" destOrd="0" presId="urn:microsoft.com/office/officeart/2005/8/layout/list1"/>
    <dgm:cxn modelId="{9BE7A477-544C-4F28-BE6C-0BBADC86059F}" type="presParOf" srcId="{D3156FFB-456C-400C-B226-B9659FBD4CDC}" destId="{2E2B94BA-BA4E-4525-B338-6B79B834D4F2}" srcOrd="3" destOrd="0" presId="urn:microsoft.com/office/officeart/2005/8/layout/list1"/>
    <dgm:cxn modelId="{EDB944C5-D8CB-4415-823B-F5A24D6806CE}" type="presParOf" srcId="{D3156FFB-456C-400C-B226-B9659FBD4CDC}" destId="{BA6588AF-9C7E-4B99-8229-55A44C698E6E}" srcOrd="4" destOrd="0" presId="urn:microsoft.com/office/officeart/2005/8/layout/list1"/>
    <dgm:cxn modelId="{A77873DA-1C2E-4354-B6BB-F7DF630AF132}" type="presParOf" srcId="{BA6588AF-9C7E-4B99-8229-55A44C698E6E}" destId="{0C618FB7-178F-40E7-BB0D-4498E665854F}" srcOrd="0" destOrd="0" presId="urn:microsoft.com/office/officeart/2005/8/layout/list1"/>
    <dgm:cxn modelId="{CB1B56E2-82CF-477B-86F3-30E0439543CF}" type="presParOf" srcId="{BA6588AF-9C7E-4B99-8229-55A44C698E6E}" destId="{D5D2BDE1-9F7A-40ED-8BA4-70BB6E6EEC85}" srcOrd="1" destOrd="0" presId="urn:microsoft.com/office/officeart/2005/8/layout/list1"/>
    <dgm:cxn modelId="{99013E4A-A227-4C24-9566-2773DAA81DDF}" type="presParOf" srcId="{D3156FFB-456C-400C-B226-B9659FBD4CDC}" destId="{B9D90C45-AC50-4B03-A364-FE68F86BEE82}" srcOrd="5" destOrd="0" presId="urn:microsoft.com/office/officeart/2005/8/layout/list1"/>
    <dgm:cxn modelId="{602ED486-07E0-4C75-85CD-E20D4D61CB5C}" type="presParOf" srcId="{D3156FFB-456C-400C-B226-B9659FBD4CDC}" destId="{D0D5E321-62C7-428A-B022-836432494EBF}" srcOrd="6" destOrd="0" presId="urn:microsoft.com/office/officeart/2005/8/layout/list1"/>
    <dgm:cxn modelId="{6982BFD3-188F-4BBD-BA22-762A8581A1F3}" type="presParOf" srcId="{D3156FFB-456C-400C-B226-B9659FBD4CDC}" destId="{4A71A546-C508-4610-B89A-303EC412B3B1}" srcOrd="7" destOrd="0" presId="urn:microsoft.com/office/officeart/2005/8/layout/list1"/>
    <dgm:cxn modelId="{42700A4E-2C55-4BA0-8DDE-FEDC2815CB1F}" type="presParOf" srcId="{D3156FFB-456C-400C-B226-B9659FBD4CDC}" destId="{448C5682-A353-49FC-B2FC-2C1C7259B908}" srcOrd="8" destOrd="0" presId="urn:microsoft.com/office/officeart/2005/8/layout/list1"/>
    <dgm:cxn modelId="{8E7CE8DB-BB8E-4C92-84E3-0D767FE4BA6E}" type="presParOf" srcId="{448C5682-A353-49FC-B2FC-2C1C7259B908}" destId="{2BA281AA-B6AE-47CD-AA9C-AA4F8CC5113B}" srcOrd="0" destOrd="0" presId="urn:microsoft.com/office/officeart/2005/8/layout/list1"/>
    <dgm:cxn modelId="{F778AB56-5097-465D-82D3-ADD3B7A674E1}" type="presParOf" srcId="{448C5682-A353-49FC-B2FC-2C1C7259B908}" destId="{72317816-F2B4-4791-980C-477481BD19B2}" srcOrd="1" destOrd="0" presId="urn:microsoft.com/office/officeart/2005/8/layout/list1"/>
    <dgm:cxn modelId="{2455B084-843F-4E39-8202-E4D37A8E5642}" type="presParOf" srcId="{D3156FFB-456C-400C-B226-B9659FBD4CDC}" destId="{9110396F-CDBB-4109-914D-4FAA4865EFE6}" srcOrd="9" destOrd="0" presId="urn:microsoft.com/office/officeart/2005/8/layout/list1"/>
    <dgm:cxn modelId="{DD33BDC7-01E0-487D-ADAA-F363B3DF86F7}" type="presParOf" srcId="{D3156FFB-456C-400C-B226-B9659FBD4CDC}" destId="{E34418B7-F682-4036-B641-3341658FAAE0}" srcOrd="10" destOrd="0" presId="urn:microsoft.com/office/officeart/2005/8/layout/list1"/>
    <dgm:cxn modelId="{B18C3732-1CC3-4149-88AF-96981CBE96F3}" type="presParOf" srcId="{D3156FFB-456C-400C-B226-B9659FBD4CDC}" destId="{686C4774-EDAD-443B-88C8-06118C262926}" srcOrd="11" destOrd="0" presId="urn:microsoft.com/office/officeart/2005/8/layout/list1"/>
    <dgm:cxn modelId="{5D6D12CB-DEF4-4E4A-B700-92B92F7404EE}" type="presParOf" srcId="{D3156FFB-456C-400C-B226-B9659FBD4CDC}" destId="{EA9620F5-9435-4FDC-91EB-D49172F5B729}" srcOrd="12" destOrd="0" presId="urn:microsoft.com/office/officeart/2005/8/layout/list1"/>
    <dgm:cxn modelId="{DA392711-10AA-4D7F-824B-293D86107F90}" type="presParOf" srcId="{EA9620F5-9435-4FDC-91EB-D49172F5B729}" destId="{E24E45A5-787D-444F-9B87-CBA2456B59E1}" srcOrd="0" destOrd="0" presId="urn:microsoft.com/office/officeart/2005/8/layout/list1"/>
    <dgm:cxn modelId="{3AC673B5-6228-4F95-AC7A-06F1BB44CFD6}" type="presParOf" srcId="{EA9620F5-9435-4FDC-91EB-D49172F5B729}" destId="{C92E475E-9883-4DA2-ABA1-839DCDE25A49}" srcOrd="1" destOrd="0" presId="urn:microsoft.com/office/officeart/2005/8/layout/list1"/>
    <dgm:cxn modelId="{BB6277B5-0D47-403C-B066-2A7F29BA8A29}" type="presParOf" srcId="{D3156FFB-456C-400C-B226-B9659FBD4CDC}" destId="{39442128-D63B-4843-AA5C-B677FEFF8B16}" srcOrd="13" destOrd="0" presId="urn:microsoft.com/office/officeart/2005/8/layout/list1"/>
    <dgm:cxn modelId="{BA2CC5C6-D91A-452F-AB46-D4F8EFD4EA89}" type="presParOf" srcId="{D3156FFB-456C-400C-B226-B9659FBD4CDC}" destId="{758D0B4D-5BDA-48EF-9F70-1E1EBD2E7968}" srcOrd="14" destOrd="0" presId="urn:microsoft.com/office/officeart/2005/8/layout/list1"/>
    <dgm:cxn modelId="{736140A5-1EA7-4D3F-A495-242E9F6AAA03}" type="presParOf" srcId="{D3156FFB-456C-400C-B226-B9659FBD4CDC}" destId="{F91E5D44-FC64-4A7B-BD8E-8BDC72CAC47B}" srcOrd="15" destOrd="0" presId="urn:microsoft.com/office/officeart/2005/8/layout/list1"/>
    <dgm:cxn modelId="{84ADCB0B-D6A9-4701-9B5C-9029FEFF2B02}" type="presParOf" srcId="{D3156FFB-456C-400C-B226-B9659FBD4CDC}" destId="{5B1CE058-4D1D-4591-8E1F-6AF437D13D58}" srcOrd="16" destOrd="0" presId="urn:microsoft.com/office/officeart/2005/8/layout/list1"/>
    <dgm:cxn modelId="{438458B8-CE1D-4ADF-8133-D2CCBC60F13D}" type="presParOf" srcId="{5B1CE058-4D1D-4591-8E1F-6AF437D13D58}" destId="{ACC212B1-520F-4B49-B560-3C66968464D3}" srcOrd="0" destOrd="0" presId="urn:microsoft.com/office/officeart/2005/8/layout/list1"/>
    <dgm:cxn modelId="{CEA99890-B750-401D-8E8C-70106D027174}" type="presParOf" srcId="{5B1CE058-4D1D-4591-8E1F-6AF437D13D58}" destId="{205DA949-7E85-4436-AC9E-E42CE6A11B8E}" srcOrd="1" destOrd="0" presId="urn:microsoft.com/office/officeart/2005/8/layout/list1"/>
    <dgm:cxn modelId="{A0E42C4D-1096-4F99-8A2E-9432B2EAFEB5}" type="presParOf" srcId="{D3156FFB-456C-400C-B226-B9659FBD4CDC}" destId="{A4C17898-6F6C-4702-ADAD-E1D077CE6920}" srcOrd="17" destOrd="0" presId="urn:microsoft.com/office/officeart/2005/8/layout/list1"/>
    <dgm:cxn modelId="{E988C95C-4AAF-4563-ACA5-5B16175F616F}" type="presParOf" srcId="{D3156FFB-456C-400C-B226-B9659FBD4CDC}" destId="{570A4D24-C3F1-4960-894D-E84EA1F4A110}" srcOrd="18" destOrd="0" presId="urn:microsoft.com/office/officeart/2005/8/layout/lis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DCAA3D8-54A1-443A-906C-A0D2680921E0}" type="doc">
      <dgm:prSet loTypeId="urn:microsoft.com/office/officeart/2005/8/layout/list1" loCatId="list" qsTypeId="urn:microsoft.com/office/officeart/2005/8/quickstyle/simple1" qsCatId="simple" csTypeId="urn:microsoft.com/office/officeart/2005/8/colors/accent3_1" csCatId="accent3" phldr="1"/>
      <dgm:spPr/>
      <dgm:t>
        <a:bodyPr/>
        <a:lstStyle/>
        <a:p>
          <a:endParaRPr lang="en-US"/>
        </a:p>
      </dgm:t>
    </dgm:pt>
    <dgm:pt modelId="{8F42F4AD-D8B4-4439-8268-F4BB9EA6105B}">
      <dgm:prSet phldrT="[Text]" custT="1"/>
      <dgm:spPr/>
      <dgm:t>
        <a:bodyPr/>
        <a:lstStyle/>
        <a:p>
          <a:r>
            <a:rPr lang="en-US" sz="1200">
              <a:latin typeface="Times New Roman" pitchFamily="18" charset="0"/>
              <a:cs typeface="Times New Roman" pitchFamily="18" charset="0"/>
            </a:rPr>
            <a:t>Exploratory and Confirmatory Factor Analysis (EFA)</a:t>
          </a:r>
        </a:p>
      </dgm:t>
    </dgm:pt>
    <dgm:pt modelId="{97A4F90C-F428-4441-88F4-C4E33F78E80A}" type="parTrans" cxnId="{207BCA71-DA95-4C87-A28B-2C140F3950C2}">
      <dgm:prSet/>
      <dgm:spPr/>
      <dgm:t>
        <a:bodyPr/>
        <a:lstStyle/>
        <a:p>
          <a:endParaRPr lang="en-US" sz="1200">
            <a:latin typeface="Times New Roman" pitchFamily="18" charset="0"/>
            <a:cs typeface="Times New Roman" pitchFamily="18" charset="0"/>
          </a:endParaRPr>
        </a:p>
      </dgm:t>
    </dgm:pt>
    <dgm:pt modelId="{374B01EB-19D0-42CB-B204-23ED5DD0E78A}" type="sibTrans" cxnId="{207BCA71-DA95-4C87-A28B-2C140F3950C2}">
      <dgm:prSet/>
      <dgm:spPr/>
      <dgm:t>
        <a:bodyPr/>
        <a:lstStyle/>
        <a:p>
          <a:endParaRPr lang="en-US" sz="1200">
            <a:latin typeface="Times New Roman" pitchFamily="18" charset="0"/>
            <a:cs typeface="Times New Roman" pitchFamily="18" charset="0"/>
          </a:endParaRPr>
        </a:p>
      </dgm:t>
    </dgm:pt>
    <dgm:pt modelId="{43AA349B-DA3F-45AF-9129-F95398618F8D}">
      <dgm:prSet phldrT="[Text]" custT="1"/>
      <dgm:spPr/>
      <dgm:t>
        <a:bodyPr/>
        <a:lstStyle/>
        <a:p>
          <a:r>
            <a:rPr lang="en-US" sz="1200">
              <a:latin typeface="Times New Roman" pitchFamily="18" charset="0"/>
              <a:cs typeface="Times New Roman" pitchFamily="18" charset="0"/>
            </a:rPr>
            <a:t>Hypotheses Testing</a:t>
          </a:r>
        </a:p>
      </dgm:t>
    </dgm:pt>
    <dgm:pt modelId="{248F6668-C9A4-4E63-9373-F142AA2F9A53}" type="parTrans" cxnId="{C4D06044-E96A-4549-896A-DBACAF8B50C1}">
      <dgm:prSet/>
      <dgm:spPr/>
      <dgm:t>
        <a:bodyPr/>
        <a:lstStyle/>
        <a:p>
          <a:endParaRPr lang="en-US" sz="1200">
            <a:latin typeface="Times New Roman" pitchFamily="18" charset="0"/>
            <a:cs typeface="Times New Roman" pitchFamily="18" charset="0"/>
          </a:endParaRPr>
        </a:p>
      </dgm:t>
    </dgm:pt>
    <dgm:pt modelId="{0DE4F235-0427-42F3-9F39-196E99DCAD32}" type="sibTrans" cxnId="{C4D06044-E96A-4549-896A-DBACAF8B50C1}">
      <dgm:prSet/>
      <dgm:spPr/>
      <dgm:t>
        <a:bodyPr/>
        <a:lstStyle/>
        <a:p>
          <a:endParaRPr lang="en-US" sz="1200">
            <a:latin typeface="Times New Roman" pitchFamily="18" charset="0"/>
            <a:cs typeface="Times New Roman" pitchFamily="18" charset="0"/>
          </a:endParaRPr>
        </a:p>
      </dgm:t>
    </dgm:pt>
    <dgm:pt modelId="{82114132-2F58-4054-AD60-F91BDF6D23E9}">
      <dgm:prSet custT="1"/>
      <dgm:spPr/>
      <dgm:t>
        <a:bodyPr/>
        <a:lstStyle/>
        <a:p>
          <a:r>
            <a:rPr lang="en-US" sz="1200">
              <a:latin typeface="Times New Roman" pitchFamily="18" charset="0"/>
              <a:cs typeface="Times New Roman" pitchFamily="18" charset="0"/>
            </a:rPr>
            <a:t>Text for Assumptions</a:t>
          </a:r>
        </a:p>
      </dgm:t>
    </dgm:pt>
    <dgm:pt modelId="{1AFB2F76-B631-4F70-AC0C-2078A7CC3C96}" type="parTrans" cxnId="{936A2BC7-65A6-4562-91A1-865569D7AE53}">
      <dgm:prSet/>
      <dgm:spPr/>
      <dgm:t>
        <a:bodyPr/>
        <a:lstStyle/>
        <a:p>
          <a:endParaRPr lang="en-US"/>
        </a:p>
      </dgm:t>
    </dgm:pt>
    <dgm:pt modelId="{747D85AE-0B6C-4403-A0DE-D395184A0333}" type="sibTrans" cxnId="{936A2BC7-65A6-4562-91A1-865569D7AE53}">
      <dgm:prSet/>
      <dgm:spPr/>
      <dgm:t>
        <a:bodyPr/>
        <a:lstStyle/>
        <a:p>
          <a:endParaRPr lang="en-US"/>
        </a:p>
      </dgm:t>
    </dgm:pt>
    <dgm:pt modelId="{8AECBC8E-DC79-429F-A89D-400E5F64511F}">
      <dgm:prSet custT="1"/>
      <dgm:spPr/>
      <dgm:t>
        <a:bodyPr/>
        <a:lstStyle/>
        <a:p>
          <a:r>
            <a:rPr lang="en-US" sz="1200">
              <a:latin typeface="Times New Roman" pitchFamily="18" charset="0"/>
              <a:cs typeface="Times New Roman" pitchFamily="18" charset="0"/>
            </a:rPr>
            <a:t>Common method bias</a:t>
          </a:r>
        </a:p>
      </dgm:t>
    </dgm:pt>
    <dgm:pt modelId="{6687E0F7-3BD6-429E-87AB-16610E828A99}" type="parTrans" cxnId="{570847E3-D609-4918-B7B3-6BEC28CD0C51}">
      <dgm:prSet/>
      <dgm:spPr/>
      <dgm:t>
        <a:bodyPr/>
        <a:lstStyle/>
        <a:p>
          <a:endParaRPr lang="en-US"/>
        </a:p>
      </dgm:t>
    </dgm:pt>
    <dgm:pt modelId="{68070310-560D-4474-B01C-3478785127BD}" type="sibTrans" cxnId="{570847E3-D609-4918-B7B3-6BEC28CD0C51}">
      <dgm:prSet/>
      <dgm:spPr/>
      <dgm:t>
        <a:bodyPr/>
        <a:lstStyle/>
        <a:p>
          <a:endParaRPr lang="en-US"/>
        </a:p>
      </dgm:t>
    </dgm:pt>
    <dgm:pt modelId="{9818B99F-9EA7-4997-9192-8C7342A73C22}" type="pres">
      <dgm:prSet presAssocID="{FDCAA3D8-54A1-443A-906C-A0D2680921E0}" presName="linear" presStyleCnt="0">
        <dgm:presLayoutVars>
          <dgm:dir/>
          <dgm:animLvl val="lvl"/>
          <dgm:resizeHandles val="exact"/>
        </dgm:presLayoutVars>
      </dgm:prSet>
      <dgm:spPr/>
    </dgm:pt>
    <dgm:pt modelId="{1A2AEC51-99D7-4683-B338-659B4538F322}" type="pres">
      <dgm:prSet presAssocID="{82114132-2F58-4054-AD60-F91BDF6D23E9}" presName="parentLin" presStyleCnt="0"/>
      <dgm:spPr/>
    </dgm:pt>
    <dgm:pt modelId="{1F04B8B4-150F-4280-ABFB-AA7A92B0237A}" type="pres">
      <dgm:prSet presAssocID="{82114132-2F58-4054-AD60-F91BDF6D23E9}" presName="parentLeftMargin" presStyleLbl="node1" presStyleIdx="0" presStyleCnt="4"/>
      <dgm:spPr/>
    </dgm:pt>
    <dgm:pt modelId="{B5D78A91-1FAF-4412-AA1F-6258D2E11D7A}" type="pres">
      <dgm:prSet presAssocID="{82114132-2F58-4054-AD60-F91BDF6D23E9}" presName="parentText" presStyleLbl="node1" presStyleIdx="0" presStyleCnt="4">
        <dgm:presLayoutVars>
          <dgm:chMax val="0"/>
          <dgm:bulletEnabled val="1"/>
        </dgm:presLayoutVars>
      </dgm:prSet>
      <dgm:spPr/>
    </dgm:pt>
    <dgm:pt modelId="{4D4E43CD-1536-4649-8626-D8C7F26565D9}" type="pres">
      <dgm:prSet presAssocID="{82114132-2F58-4054-AD60-F91BDF6D23E9}" presName="negativeSpace" presStyleCnt="0"/>
      <dgm:spPr/>
    </dgm:pt>
    <dgm:pt modelId="{F1911339-611D-4BCB-BB4C-4806999EEDBA}" type="pres">
      <dgm:prSet presAssocID="{82114132-2F58-4054-AD60-F91BDF6D23E9}" presName="childText" presStyleLbl="conFgAcc1" presStyleIdx="0" presStyleCnt="4">
        <dgm:presLayoutVars>
          <dgm:bulletEnabled val="1"/>
        </dgm:presLayoutVars>
      </dgm:prSet>
      <dgm:spPr/>
    </dgm:pt>
    <dgm:pt modelId="{BA89EB67-F686-4EDD-8550-141E8E95335A}" type="pres">
      <dgm:prSet presAssocID="{747D85AE-0B6C-4403-A0DE-D395184A0333}" presName="spaceBetweenRectangles" presStyleCnt="0"/>
      <dgm:spPr/>
    </dgm:pt>
    <dgm:pt modelId="{DC6C4CBA-53EF-4D3D-9F11-07AF5DA306A7}" type="pres">
      <dgm:prSet presAssocID="{8AECBC8E-DC79-429F-A89D-400E5F64511F}" presName="parentLin" presStyleCnt="0"/>
      <dgm:spPr/>
    </dgm:pt>
    <dgm:pt modelId="{EF7B8E6F-C815-4A36-916B-346A45A744BF}" type="pres">
      <dgm:prSet presAssocID="{8AECBC8E-DC79-429F-A89D-400E5F64511F}" presName="parentLeftMargin" presStyleLbl="node1" presStyleIdx="0" presStyleCnt="4"/>
      <dgm:spPr/>
    </dgm:pt>
    <dgm:pt modelId="{60D0B54E-B55C-4D27-BBD1-A797BA91C247}" type="pres">
      <dgm:prSet presAssocID="{8AECBC8E-DC79-429F-A89D-400E5F64511F}" presName="parentText" presStyleLbl="node1" presStyleIdx="1" presStyleCnt="4">
        <dgm:presLayoutVars>
          <dgm:chMax val="0"/>
          <dgm:bulletEnabled val="1"/>
        </dgm:presLayoutVars>
      </dgm:prSet>
      <dgm:spPr/>
    </dgm:pt>
    <dgm:pt modelId="{01B0F7FA-699C-49F7-B39B-6D0FE696D377}" type="pres">
      <dgm:prSet presAssocID="{8AECBC8E-DC79-429F-A89D-400E5F64511F}" presName="negativeSpace" presStyleCnt="0"/>
      <dgm:spPr/>
    </dgm:pt>
    <dgm:pt modelId="{EF1DFBE9-7A1A-4EC3-A5B8-C4EB8E5F0CF4}" type="pres">
      <dgm:prSet presAssocID="{8AECBC8E-DC79-429F-A89D-400E5F64511F}" presName="childText" presStyleLbl="conFgAcc1" presStyleIdx="1" presStyleCnt="4">
        <dgm:presLayoutVars>
          <dgm:bulletEnabled val="1"/>
        </dgm:presLayoutVars>
      </dgm:prSet>
      <dgm:spPr/>
    </dgm:pt>
    <dgm:pt modelId="{9A282CD2-E581-4C58-9CCA-7D76531AAA52}" type="pres">
      <dgm:prSet presAssocID="{68070310-560D-4474-B01C-3478785127BD}" presName="spaceBetweenRectangles" presStyleCnt="0"/>
      <dgm:spPr/>
    </dgm:pt>
    <dgm:pt modelId="{B65156C1-EFA2-44FE-ACB1-AB4546784D6D}" type="pres">
      <dgm:prSet presAssocID="{8F42F4AD-D8B4-4439-8268-F4BB9EA6105B}" presName="parentLin" presStyleCnt="0"/>
      <dgm:spPr/>
    </dgm:pt>
    <dgm:pt modelId="{DA8D7691-9A76-468B-A8A4-CE643DD8A8F5}" type="pres">
      <dgm:prSet presAssocID="{8F42F4AD-D8B4-4439-8268-F4BB9EA6105B}" presName="parentLeftMargin" presStyleLbl="node1" presStyleIdx="1" presStyleCnt="4"/>
      <dgm:spPr/>
    </dgm:pt>
    <dgm:pt modelId="{CC5C9ED6-3C95-4B9C-8BA3-03E91EA82B07}" type="pres">
      <dgm:prSet presAssocID="{8F42F4AD-D8B4-4439-8268-F4BB9EA6105B}" presName="parentText" presStyleLbl="node1" presStyleIdx="2" presStyleCnt="4" custScaleX="127934" custScaleY="101862">
        <dgm:presLayoutVars>
          <dgm:chMax val="0"/>
          <dgm:bulletEnabled val="1"/>
        </dgm:presLayoutVars>
      </dgm:prSet>
      <dgm:spPr/>
    </dgm:pt>
    <dgm:pt modelId="{FD76AABA-3FED-4082-A850-84DD93653D66}" type="pres">
      <dgm:prSet presAssocID="{8F42F4AD-D8B4-4439-8268-F4BB9EA6105B}" presName="negativeSpace" presStyleCnt="0"/>
      <dgm:spPr/>
    </dgm:pt>
    <dgm:pt modelId="{4302FAD6-D425-49DA-9867-60220894165A}" type="pres">
      <dgm:prSet presAssocID="{8F42F4AD-D8B4-4439-8268-F4BB9EA6105B}" presName="childText" presStyleLbl="conFgAcc1" presStyleIdx="2" presStyleCnt="4">
        <dgm:presLayoutVars>
          <dgm:bulletEnabled val="1"/>
        </dgm:presLayoutVars>
      </dgm:prSet>
      <dgm:spPr/>
    </dgm:pt>
    <dgm:pt modelId="{C15114C4-6227-47D8-840E-032E630E3063}" type="pres">
      <dgm:prSet presAssocID="{374B01EB-19D0-42CB-B204-23ED5DD0E78A}" presName="spaceBetweenRectangles" presStyleCnt="0"/>
      <dgm:spPr/>
    </dgm:pt>
    <dgm:pt modelId="{AE51431D-1E24-4D75-8759-E38CBC4C49CC}" type="pres">
      <dgm:prSet presAssocID="{43AA349B-DA3F-45AF-9129-F95398618F8D}" presName="parentLin" presStyleCnt="0"/>
      <dgm:spPr/>
    </dgm:pt>
    <dgm:pt modelId="{E7CAA8BB-AB6D-4656-97F4-F01CF5D30278}" type="pres">
      <dgm:prSet presAssocID="{43AA349B-DA3F-45AF-9129-F95398618F8D}" presName="parentLeftMargin" presStyleLbl="node1" presStyleIdx="2" presStyleCnt="4"/>
      <dgm:spPr/>
    </dgm:pt>
    <dgm:pt modelId="{1AD9EA73-CF40-4AF8-9E2B-7719BC1B23D6}" type="pres">
      <dgm:prSet presAssocID="{43AA349B-DA3F-45AF-9129-F95398618F8D}" presName="parentText" presStyleLbl="node1" presStyleIdx="3" presStyleCnt="4" custScaleX="127771" custScaleY="104285">
        <dgm:presLayoutVars>
          <dgm:chMax val="0"/>
          <dgm:bulletEnabled val="1"/>
        </dgm:presLayoutVars>
      </dgm:prSet>
      <dgm:spPr/>
    </dgm:pt>
    <dgm:pt modelId="{DF194541-D2BE-4FCC-B0AB-36AA9EC110F2}" type="pres">
      <dgm:prSet presAssocID="{43AA349B-DA3F-45AF-9129-F95398618F8D}" presName="negativeSpace" presStyleCnt="0"/>
      <dgm:spPr/>
    </dgm:pt>
    <dgm:pt modelId="{1BF35216-618C-4151-8621-B9D64DB54218}" type="pres">
      <dgm:prSet presAssocID="{43AA349B-DA3F-45AF-9129-F95398618F8D}" presName="childText" presStyleLbl="conFgAcc1" presStyleIdx="3" presStyleCnt="4">
        <dgm:presLayoutVars>
          <dgm:bulletEnabled val="1"/>
        </dgm:presLayoutVars>
      </dgm:prSet>
      <dgm:spPr/>
    </dgm:pt>
  </dgm:ptLst>
  <dgm:cxnLst>
    <dgm:cxn modelId="{0CA4A42F-8526-400B-8FFE-D6B895AAFFEC}" type="presOf" srcId="{8F42F4AD-D8B4-4439-8268-F4BB9EA6105B}" destId="{CC5C9ED6-3C95-4B9C-8BA3-03E91EA82B07}" srcOrd="1" destOrd="0" presId="urn:microsoft.com/office/officeart/2005/8/layout/list1"/>
    <dgm:cxn modelId="{C4D06044-E96A-4549-896A-DBACAF8B50C1}" srcId="{FDCAA3D8-54A1-443A-906C-A0D2680921E0}" destId="{43AA349B-DA3F-45AF-9129-F95398618F8D}" srcOrd="3" destOrd="0" parTransId="{248F6668-C9A4-4E63-9373-F142AA2F9A53}" sibTransId="{0DE4F235-0427-42F3-9F39-196E99DCAD32}"/>
    <dgm:cxn modelId="{BB4FDB4F-7C58-4E93-9596-1D937EF2CB32}" type="presOf" srcId="{FDCAA3D8-54A1-443A-906C-A0D2680921E0}" destId="{9818B99F-9EA7-4997-9192-8C7342A73C22}" srcOrd="0" destOrd="0" presId="urn:microsoft.com/office/officeart/2005/8/layout/list1"/>
    <dgm:cxn modelId="{207BCA71-DA95-4C87-A28B-2C140F3950C2}" srcId="{FDCAA3D8-54A1-443A-906C-A0D2680921E0}" destId="{8F42F4AD-D8B4-4439-8268-F4BB9EA6105B}" srcOrd="2" destOrd="0" parTransId="{97A4F90C-F428-4441-88F4-C4E33F78E80A}" sibTransId="{374B01EB-19D0-42CB-B204-23ED5DD0E78A}"/>
    <dgm:cxn modelId="{0217AB78-6683-4272-B2C5-69550DB6AA09}" type="presOf" srcId="{8AECBC8E-DC79-429F-A89D-400E5F64511F}" destId="{60D0B54E-B55C-4D27-BBD1-A797BA91C247}" srcOrd="1" destOrd="0" presId="urn:microsoft.com/office/officeart/2005/8/layout/list1"/>
    <dgm:cxn modelId="{EFEFA4A0-D482-4EF8-AF3D-F2C79620E54C}" type="presOf" srcId="{43AA349B-DA3F-45AF-9129-F95398618F8D}" destId="{1AD9EA73-CF40-4AF8-9E2B-7719BC1B23D6}" srcOrd="1" destOrd="0" presId="urn:microsoft.com/office/officeart/2005/8/layout/list1"/>
    <dgm:cxn modelId="{230C3EAC-36E4-4E67-A5C7-66EF0F583016}" type="presOf" srcId="{82114132-2F58-4054-AD60-F91BDF6D23E9}" destId="{1F04B8B4-150F-4280-ABFB-AA7A92B0237A}" srcOrd="0" destOrd="0" presId="urn:microsoft.com/office/officeart/2005/8/layout/list1"/>
    <dgm:cxn modelId="{936A2BC7-65A6-4562-91A1-865569D7AE53}" srcId="{FDCAA3D8-54A1-443A-906C-A0D2680921E0}" destId="{82114132-2F58-4054-AD60-F91BDF6D23E9}" srcOrd="0" destOrd="0" parTransId="{1AFB2F76-B631-4F70-AC0C-2078A7CC3C96}" sibTransId="{747D85AE-0B6C-4403-A0DE-D395184A0333}"/>
    <dgm:cxn modelId="{761B7CC8-5A91-47B6-AA27-B737A7613046}" type="presOf" srcId="{8F42F4AD-D8B4-4439-8268-F4BB9EA6105B}" destId="{DA8D7691-9A76-468B-A8A4-CE643DD8A8F5}" srcOrd="0" destOrd="0" presId="urn:microsoft.com/office/officeart/2005/8/layout/list1"/>
    <dgm:cxn modelId="{D1CC0CCF-D0E1-4FAA-B12D-01B3240C4337}" type="presOf" srcId="{82114132-2F58-4054-AD60-F91BDF6D23E9}" destId="{B5D78A91-1FAF-4412-AA1F-6258D2E11D7A}" srcOrd="1" destOrd="0" presId="urn:microsoft.com/office/officeart/2005/8/layout/list1"/>
    <dgm:cxn modelId="{1BFF28D5-AA51-4A89-8E7E-C5C8B6C24DB1}" type="presOf" srcId="{43AA349B-DA3F-45AF-9129-F95398618F8D}" destId="{E7CAA8BB-AB6D-4656-97F4-F01CF5D30278}" srcOrd="0" destOrd="0" presId="urn:microsoft.com/office/officeart/2005/8/layout/list1"/>
    <dgm:cxn modelId="{570847E3-D609-4918-B7B3-6BEC28CD0C51}" srcId="{FDCAA3D8-54A1-443A-906C-A0D2680921E0}" destId="{8AECBC8E-DC79-429F-A89D-400E5F64511F}" srcOrd="1" destOrd="0" parTransId="{6687E0F7-3BD6-429E-87AB-16610E828A99}" sibTransId="{68070310-560D-4474-B01C-3478785127BD}"/>
    <dgm:cxn modelId="{4ABD2BFD-4B8A-4419-8A52-D0E035B52370}" type="presOf" srcId="{8AECBC8E-DC79-429F-A89D-400E5F64511F}" destId="{EF7B8E6F-C815-4A36-916B-346A45A744BF}" srcOrd="0" destOrd="0" presId="urn:microsoft.com/office/officeart/2005/8/layout/list1"/>
    <dgm:cxn modelId="{6D40B626-2E96-4DFC-BDD0-3B413B9D7A72}" type="presParOf" srcId="{9818B99F-9EA7-4997-9192-8C7342A73C22}" destId="{1A2AEC51-99D7-4683-B338-659B4538F322}" srcOrd="0" destOrd="0" presId="urn:microsoft.com/office/officeart/2005/8/layout/list1"/>
    <dgm:cxn modelId="{4BBD615B-7B62-4E9F-ABA2-A1821064D3C3}" type="presParOf" srcId="{1A2AEC51-99D7-4683-B338-659B4538F322}" destId="{1F04B8B4-150F-4280-ABFB-AA7A92B0237A}" srcOrd="0" destOrd="0" presId="urn:microsoft.com/office/officeart/2005/8/layout/list1"/>
    <dgm:cxn modelId="{644FAB04-A8A0-4039-9AFC-F86E4D3DD0BB}" type="presParOf" srcId="{1A2AEC51-99D7-4683-B338-659B4538F322}" destId="{B5D78A91-1FAF-4412-AA1F-6258D2E11D7A}" srcOrd="1" destOrd="0" presId="urn:microsoft.com/office/officeart/2005/8/layout/list1"/>
    <dgm:cxn modelId="{91FDEFC1-2E70-4C90-B0C2-33F556F03390}" type="presParOf" srcId="{9818B99F-9EA7-4997-9192-8C7342A73C22}" destId="{4D4E43CD-1536-4649-8626-D8C7F26565D9}" srcOrd="1" destOrd="0" presId="urn:microsoft.com/office/officeart/2005/8/layout/list1"/>
    <dgm:cxn modelId="{06EFE07F-C1D2-4921-9C39-9160DD7B6B47}" type="presParOf" srcId="{9818B99F-9EA7-4997-9192-8C7342A73C22}" destId="{F1911339-611D-4BCB-BB4C-4806999EEDBA}" srcOrd="2" destOrd="0" presId="urn:microsoft.com/office/officeart/2005/8/layout/list1"/>
    <dgm:cxn modelId="{FE244F84-A876-468E-8162-361CE2394B68}" type="presParOf" srcId="{9818B99F-9EA7-4997-9192-8C7342A73C22}" destId="{BA89EB67-F686-4EDD-8550-141E8E95335A}" srcOrd="3" destOrd="0" presId="urn:microsoft.com/office/officeart/2005/8/layout/list1"/>
    <dgm:cxn modelId="{71847CFD-0BDD-4217-A43D-491B748D3192}" type="presParOf" srcId="{9818B99F-9EA7-4997-9192-8C7342A73C22}" destId="{DC6C4CBA-53EF-4D3D-9F11-07AF5DA306A7}" srcOrd="4" destOrd="0" presId="urn:microsoft.com/office/officeart/2005/8/layout/list1"/>
    <dgm:cxn modelId="{E87BBDA7-8D6F-4DDB-B7B6-0D0FE0B79E46}" type="presParOf" srcId="{DC6C4CBA-53EF-4D3D-9F11-07AF5DA306A7}" destId="{EF7B8E6F-C815-4A36-916B-346A45A744BF}" srcOrd="0" destOrd="0" presId="urn:microsoft.com/office/officeart/2005/8/layout/list1"/>
    <dgm:cxn modelId="{A6BFD496-8CD0-401C-87F0-FA9117DEC29D}" type="presParOf" srcId="{DC6C4CBA-53EF-4D3D-9F11-07AF5DA306A7}" destId="{60D0B54E-B55C-4D27-BBD1-A797BA91C247}" srcOrd="1" destOrd="0" presId="urn:microsoft.com/office/officeart/2005/8/layout/list1"/>
    <dgm:cxn modelId="{68142B57-A2EB-4B0E-9AB4-73A1A9D2DD7C}" type="presParOf" srcId="{9818B99F-9EA7-4997-9192-8C7342A73C22}" destId="{01B0F7FA-699C-49F7-B39B-6D0FE696D377}" srcOrd="5" destOrd="0" presId="urn:microsoft.com/office/officeart/2005/8/layout/list1"/>
    <dgm:cxn modelId="{AF36EC7A-0BBA-473C-B081-EDCD0AD2A956}" type="presParOf" srcId="{9818B99F-9EA7-4997-9192-8C7342A73C22}" destId="{EF1DFBE9-7A1A-4EC3-A5B8-C4EB8E5F0CF4}" srcOrd="6" destOrd="0" presId="urn:microsoft.com/office/officeart/2005/8/layout/list1"/>
    <dgm:cxn modelId="{B6975827-A7D9-49E7-8617-5EEF3C9DE329}" type="presParOf" srcId="{9818B99F-9EA7-4997-9192-8C7342A73C22}" destId="{9A282CD2-E581-4C58-9CCA-7D76531AAA52}" srcOrd="7" destOrd="0" presId="urn:microsoft.com/office/officeart/2005/8/layout/list1"/>
    <dgm:cxn modelId="{701CE116-E886-4882-B1E7-161EAFFFC7DC}" type="presParOf" srcId="{9818B99F-9EA7-4997-9192-8C7342A73C22}" destId="{B65156C1-EFA2-44FE-ACB1-AB4546784D6D}" srcOrd="8" destOrd="0" presId="urn:microsoft.com/office/officeart/2005/8/layout/list1"/>
    <dgm:cxn modelId="{D2F483B9-46D4-4257-A01F-3EE7AF39632F}" type="presParOf" srcId="{B65156C1-EFA2-44FE-ACB1-AB4546784D6D}" destId="{DA8D7691-9A76-468B-A8A4-CE643DD8A8F5}" srcOrd="0" destOrd="0" presId="urn:microsoft.com/office/officeart/2005/8/layout/list1"/>
    <dgm:cxn modelId="{152A3C5F-486C-4786-B702-58D88E6D2ED0}" type="presParOf" srcId="{B65156C1-EFA2-44FE-ACB1-AB4546784D6D}" destId="{CC5C9ED6-3C95-4B9C-8BA3-03E91EA82B07}" srcOrd="1" destOrd="0" presId="urn:microsoft.com/office/officeart/2005/8/layout/list1"/>
    <dgm:cxn modelId="{9059FBA8-2984-4C11-A379-47B71D170E27}" type="presParOf" srcId="{9818B99F-9EA7-4997-9192-8C7342A73C22}" destId="{FD76AABA-3FED-4082-A850-84DD93653D66}" srcOrd="9" destOrd="0" presId="urn:microsoft.com/office/officeart/2005/8/layout/list1"/>
    <dgm:cxn modelId="{3AD96625-C792-4E82-B92B-DC937DDA76D3}" type="presParOf" srcId="{9818B99F-9EA7-4997-9192-8C7342A73C22}" destId="{4302FAD6-D425-49DA-9867-60220894165A}" srcOrd="10" destOrd="0" presId="urn:microsoft.com/office/officeart/2005/8/layout/list1"/>
    <dgm:cxn modelId="{A9B828D6-2C38-4F6C-B559-C6A70349EEE5}" type="presParOf" srcId="{9818B99F-9EA7-4997-9192-8C7342A73C22}" destId="{C15114C4-6227-47D8-840E-032E630E3063}" srcOrd="11" destOrd="0" presId="urn:microsoft.com/office/officeart/2005/8/layout/list1"/>
    <dgm:cxn modelId="{0891DA6D-CD3B-4DC6-986A-20CDE8EFA049}" type="presParOf" srcId="{9818B99F-9EA7-4997-9192-8C7342A73C22}" destId="{AE51431D-1E24-4D75-8759-E38CBC4C49CC}" srcOrd="12" destOrd="0" presId="urn:microsoft.com/office/officeart/2005/8/layout/list1"/>
    <dgm:cxn modelId="{9724FBEE-87DF-4A92-B4FE-A61010C5E4B6}" type="presParOf" srcId="{AE51431D-1E24-4D75-8759-E38CBC4C49CC}" destId="{E7CAA8BB-AB6D-4656-97F4-F01CF5D30278}" srcOrd="0" destOrd="0" presId="urn:microsoft.com/office/officeart/2005/8/layout/list1"/>
    <dgm:cxn modelId="{17D31D9A-433F-46CE-9CB8-2C24C00234FA}" type="presParOf" srcId="{AE51431D-1E24-4D75-8759-E38CBC4C49CC}" destId="{1AD9EA73-CF40-4AF8-9E2B-7719BC1B23D6}" srcOrd="1" destOrd="0" presId="urn:microsoft.com/office/officeart/2005/8/layout/list1"/>
    <dgm:cxn modelId="{FE6F524A-E606-4FAD-9E8C-4D08BD21A386}" type="presParOf" srcId="{9818B99F-9EA7-4997-9192-8C7342A73C22}" destId="{DF194541-D2BE-4FCC-B0AB-36AA9EC110F2}" srcOrd="13" destOrd="0" presId="urn:microsoft.com/office/officeart/2005/8/layout/list1"/>
    <dgm:cxn modelId="{EB2FC667-0100-469F-9D7D-AD8B76B583A2}" type="presParOf" srcId="{9818B99F-9EA7-4997-9192-8C7342A73C22}" destId="{1BF35216-618C-4151-8621-B9D64DB54218}" srcOrd="14" destOrd="0" presId="urn:microsoft.com/office/officeart/2005/8/layout/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965D31B-8848-4C35-AD2E-259C31835B89}" type="doc">
      <dgm:prSet loTypeId="urn:microsoft.com/office/officeart/2005/8/layout/list1" loCatId="list" qsTypeId="urn:microsoft.com/office/officeart/2005/8/quickstyle/simple1" qsCatId="simple" csTypeId="urn:microsoft.com/office/officeart/2005/8/colors/accent2_1" csCatId="accent2" phldr="1"/>
      <dgm:spPr/>
      <dgm:t>
        <a:bodyPr/>
        <a:lstStyle/>
        <a:p>
          <a:endParaRPr lang="en-US"/>
        </a:p>
      </dgm:t>
    </dgm:pt>
    <dgm:pt modelId="{4F29E203-454B-4B87-A471-14D1A614F1C2}">
      <dgm:prSet phldrT="[Text]" custT="1"/>
      <dgm:spPr/>
      <dgm:t>
        <a:bodyPr/>
        <a:lstStyle/>
        <a:p>
          <a:r>
            <a:rPr lang="en-US" sz="1200">
              <a:latin typeface="Times New Roman" pitchFamily="18" charset="0"/>
              <a:cs typeface="Times New Roman" pitchFamily="18" charset="0"/>
            </a:rPr>
            <a:t>Discussion of Results</a:t>
          </a:r>
        </a:p>
      </dgm:t>
    </dgm:pt>
    <dgm:pt modelId="{DDBF0539-91AB-430C-B6BC-5DFC6F607A66}" type="parTrans" cxnId="{3D538B87-00F6-4C9D-868B-143C9CD06EBE}">
      <dgm:prSet/>
      <dgm:spPr/>
      <dgm:t>
        <a:bodyPr/>
        <a:lstStyle/>
        <a:p>
          <a:endParaRPr lang="en-US" sz="1200">
            <a:latin typeface="Times New Roman" pitchFamily="18" charset="0"/>
            <a:cs typeface="Times New Roman" pitchFamily="18" charset="0"/>
          </a:endParaRPr>
        </a:p>
      </dgm:t>
    </dgm:pt>
    <dgm:pt modelId="{D801E6C3-1D37-4FD9-B338-722E0D9EBE44}" type="sibTrans" cxnId="{3D538B87-00F6-4C9D-868B-143C9CD06EBE}">
      <dgm:prSet/>
      <dgm:spPr/>
      <dgm:t>
        <a:bodyPr/>
        <a:lstStyle/>
        <a:p>
          <a:endParaRPr lang="en-US" sz="1200">
            <a:latin typeface="Times New Roman" pitchFamily="18" charset="0"/>
            <a:cs typeface="Times New Roman" pitchFamily="18" charset="0"/>
          </a:endParaRPr>
        </a:p>
      </dgm:t>
    </dgm:pt>
    <dgm:pt modelId="{CC33713D-81AA-42C7-88C8-B268621014E0}">
      <dgm:prSet phldrT="[Text]" custT="1"/>
      <dgm:spPr/>
      <dgm:t>
        <a:bodyPr/>
        <a:lstStyle/>
        <a:p>
          <a:r>
            <a:rPr lang="en-US" sz="1200">
              <a:latin typeface="Times New Roman" pitchFamily="18" charset="0"/>
              <a:cs typeface="Times New Roman" pitchFamily="18" charset="0"/>
            </a:rPr>
            <a:t>Motivators for HIT Adoption</a:t>
          </a:r>
        </a:p>
      </dgm:t>
    </dgm:pt>
    <dgm:pt modelId="{703235ED-5597-4A05-B983-563ECB6BEE5B}" type="parTrans" cxnId="{4EEEFDF3-8B25-49AA-8C71-93F72621D5B8}">
      <dgm:prSet/>
      <dgm:spPr/>
      <dgm:t>
        <a:bodyPr/>
        <a:lstStyle/>
        <a:p>
          <a:endParaRPr lang="en-US" sz="1200">
            <a:latin typeface="Times New Roman" pitchFamily="18" charset="0"/>
            <a:cs typeface="Times New Roman" pitchFamily="18" charset="0"/>
          </a:endParaRPr>
        </a:p>
      </dgm:t>
    </dgm:pt>
    <dgm:pt modelId="{4F3ABEFC-83F7-4A59-A291-4248B5E2FE40}" type="sibTrans" cxnId="{4EEEFDF3-8B25-49AA-8C71-93F72621D5B8}">
      <dgm:prSet/>
      <dgm:spPr/>
      <dgm:t>
        <a:bodyPr/>
        <a:lstStyle/>
        <a:p>
          <a:endParaRPr lang="en-US" sz="1200">
            <a:latin typeface="Times New Roman" pitchFamily="18" charset="0"/>
            <a:cs typeface="Times New Roman" pitchFamily="18" charset="0"/>
          </a:endParaRPr>
        </a:p>
      </dgm:t>
    </dgm:pt>
    <dgm:pt modelId="{E86A68C3-2C22-4CB0-9E8E-6265DF1B95BD}">
      <dgm:prSet phldrT="[Text]" custT="1"/>
      <dgm:spPr/>
      <dgm:t>
        <a:bodyPr/>
        <a:lstStyle/>
        <a:p>
          <a:r>
            <a:rPr lang="en-US" sz="1200">
              <a:latin typeface="Times New Roman" pitchFamily="18" charset="0"/>
              <a:cs typeface="Times New Roman" pitchFamily="18" charset="0"/>
            </a:rPr>
            <a:t>Barriers to HIT Adoption</a:t>
          </a:r>
        </a:p>
      </dgm:t>
    </dgm:pt>
    <dgm:pt modelId="{B8F0A461-ABB1-4FA8-9341-BFF2A557C591}" type="parTrans" cxnId="{D72890B7-6EC2-4EDA-978A-BB7EF7E6823B}">
      <dgm:prSet/>
      <dgm:spPr/>
      <dgm:t>
        <a:bodyPr/>
        <a:lstStyle/>
        <a:p>
          <a:endParaRPr lang="en-US" sz="1200">
            <a:latin typeface="Times New Roman" pitchFamily="18" charset="0"/>
            <a:cs typeface="Times New Roman" pitchFamily="18" charset="0"/>
          </a:endParaRPr>
        </a:p>
      </dgm:t>
    </dgm:pt>
    <dgm:pt modelId="{15CF7279-542E-4B46-9A7E-1FDFA1D75F0A}" type="sibTrans" cxnId="{D72890B7-6EC2-4EDA-978A-BB7EF7E6823B}">
      <dgm:prSet/>
      <dgm:spPr/>
      <dgm:t>
        <a:bodyPr/>
        <a:lstStyle/>
        <a:p>
          <a:endParaRPr lang="en-US" sz="1200">
            <a:latin typeface="Times New Roman" pitchFamily="18" charset="0"/>
            <a:cs typeface="Times New Roman" pitchFamily="18" charset="0"/>
          </a:endParaRPr>
        </a:p>
      </dgm:t>
    </dgm:pt>
    <dgm:pt modelId="{6AA94086-64F0-418A-A4F1-2B2C5A227948}" type="pres">
      <dgm:prSet presAssocID="{8965D31B-8848-4C35-AD2E-259C31835B89}" presName="linear" presStyleCnt="0">
        <dgm:presLayoutVars>
          <dgm:dir/>
          <dgm:animLvl val="lvl"/>
          <dgm:resizeHandles val="exact"/>
        </dgm:presLayoutVars>
      </dgm:prSet>
      <dgm:spPr/>
    </dgm:pt>
    <dgm:pt modelId="{329AC8FC-F8A2-4FDD-ABF4-720813E0E75B}" type="pres">
      <dgm:prSet presAssocID="{4F29E203-454B-4B87-A471-14D1A614F1C2}" presName="parentLin" presStyleCnt="0"/>
      <dgm:spPr/>
    </dgm:pt>
    <dgm:pt modelId="{B5D8FB5F-B746-42C9-BDBA-27B786250900}" type="pres">
      <dgm:prSet presAssocID="{4F29E203-454B-4B87-A471-14D1A614F1C2}" presName="parentLeftMargin" presStyleLbl="node1" presStyleIdx="0" presStyleCnt="3"/>
      <dgm:spPr/>
    </dgm:pt>
    <dgm:pt modelId="{28C386A5-B6E3-4B16-82EE-C460175B9178}" type="pres">
      <dgm:prSet presAssocID="{4F29E203-454B-4B87-A471-14D1A614F1C2}" presName="parentText" presStyleLbl="node1" presStyleIdx="0" presStyleCnt="3" custScaleX="115065">
        <dgm:presLayoutVars>
          <dgm:chMax val="0"/>
          <dgm:bulletEnabled val="1"/>
        </dgm:presLayoutVars>
      </dgm:prSet>
      <dgm:spPr/>
    </dgm:pt>
    <dgm:pt modelId="{C401DAA5-9D12-47F0-91B6-D9F55FA86918}" type="pres">
      <dgm:prSet presAssocID="{4F29E203-454B-4B87-A471-14D1A614F1C2}" presName="negativeSpace" presStyleCnt="0"/>
      <dgm:spPr/>
    </dgm:pt>
    <dgm:pt modelId="{76790D36-A09E-4048-B66F-F03412C37AE4}" type="pres">
      <dgm:prSet presAssocID="{4F29E203-454B-4B87-A471-14D1A614F1C2}" presName="childText" presStyleLbl="conFgAcc1" presStyleIdx="0" presStyleCnt="3" custScaleX="100000">
        <dgm:presLayoutVars>
          <dgm:bulletEnabled val="1"/>
        </dgm:presLayoutVars>
      </dgm:prSet>
      <dgm:spPr/>
    </dgm:pt>
    <dgm:pt modelId="{C22BCD1F-6EAE-45B2-A433-A6F27B16DE82}" type="pres">
      <dgm:prSet presAssocID="{D801E6C3-1D37-4FD9-B338-722E0D9EBE44}" presName="spaceBetweenRectangles" presStyleCnt="0"/>
      <dgm:spPr/>
    </dgm:pt>
    <dgm:pt modelId="{7C48A5C9-83F5-4E77-BF21-C82E816E9733}" type="pres">
      <dgm:prSet presAssocID="{CC33713D-81AA-42C7-88C8-B268621014E0}" presName="parentLin" presStyleCnt="0"/>
      <dgm:spPr/>
    </dgm:pt>
    <dgm:pt modelId="{32B46EC3-7814-4E2E-B145-C6CA3390C75A}" type="pres">
      <dgm:prSet presAssocID="{CC33713D-81AA-42C7-88C8-B268621014E0}" presName="parentLeftMargin" presStyleLbl="node1" presStyleIdx="0" presStyleCnt="3"/>
      <dgm:spPr/>
    </dgm:pt>
    <dgm:pt modelId="{818C98E7-0529-4751-A0CB-8E08DC9DBFD3}" type="pres">
      <dgm:prSet presAssocID="{CC33713D-81AA-42C7-88C8-B268621014E0}" presName="parentText" presStyleLbl="node1" presStyleIdx="1" presStyleCnt="3" custScaleX="115070">
        <dgm:presLayoutVars>
          <dgm:chMax val="0"/>
          <dgm:bulletEnabled val="1"/>
        </dgm:presLayoutVars>
      </dgm:prSet>
      <dgm:spPr/>
    </dgm:pt>
    <dgm:pt modelId="{50B0C9B3-C13E-4985-BF03-2AEDC5024600}" type="pres">
      <dgm:prSet presAssocID="{CC33713D-81AA-42C7-88C8-B268621014E0}" presName="negativeSpace" presStyleCnt="0"/>
      <dgm:spPr/>
    </dgm:pt>
    <dgm:pt modelId="{95628C98-D454-4505-92E5-3BFC3628806F}" type="pres">
      <dgm:prSet presAssocID="{CC33713D-81AA-42C7-88C8-B268621014E0}" presName="childText" presStyleLbl="conFgAcc1" presStyleIdx="1" presStyleCnt="3" custScaleX="100000">
        <dgm:presLayoutVars>
          <dgm:bulletEnabled val="1"/>
        </dgm:presLayoutVars>
      </dgm:prSet>
      <dgm:spPr/>
    </dgm:pt>
    <dgm:pt modelId="{03B41767-5A87-4D4B-B504-FAD055E698E9}" type="pres">
      <dgm:prSet presAssocID="{4F3ABEFC-83F7-4A59-A291-4248B5E2FE40}" presName="spaceBetweenRectangles" presStyleCnt="0"/>
      <dgm:spPr/>
    </dgm:pt>
    <dgm:pt modelId="{86210E04-04CB-4602-BC9F-C64C0FE480A9}" type="pres">
      <dgm:prSet presAssocID="{E86A68C3-2C22-4CB0-9E8E-6265DF1B95BD}" presName="parentLin" presStyleCnt="0"/>
      <dgm:spPr/>
    </dgm:pt>
    <dgm:pt modelId="{D3B8ABC4-CE2D-4FE0-B9BB-EB8D2243CC1C}" type="pres">
      <dgm:prSet presAssocID="{E86A68C3-2C22-4CB0-9E8E-6265DF1B95BD}" presName="parentLeftMargin" presStyleLbl="node1" presStyleIdx="1" presStyleCnt="3"/>
      <dgm:spPr/>
    </dgm:pt>
    <dgm:pt modelId="{BC1A21B5-F9E8-4F9D-AB1A-4C53E8C609CD}" type="pres">
      <dgm:prSet presAssocID="{E86A68C3-2C22-4CB0-9E8E-6265DF1B95BD}" presName="parentText" presStyleLbl="node1" presStyleIdx="2" presStyleCnt="3" custScaleX="115038">
        <dgm:presLayoutVars>
          <dgm:chMax val="0"/>
          <dgm:bulletEnabled val="1"/>
        </dgm:presLayoutVars>
      </dgm:prSet>
      <dgm:spPr/>
    </dgm:pt>
    <dgm:pt modelId="{184654A0-9ED9-4E62-925F-35143C360FC1}" type="pres">
      <dgm:prSet presAssocID="{E86A68C3-2C22-4CB0-9E8E-6265DF1B95BD}" presName="negativeSpace" presStyleCnt="0"/>
      <dgm:spPr/>
    </dgm:pt>
    <dgm:pt modelId="{B4F3B027-2E3D-493B-82EA-7075BB6E1826}" type="pres">
      <dgm:prSet presAssocID="{E86A68C3-2C22-4CB0-9E8E-6265DF1B95BD}" presName="childText" presStyleLbl="conFgAcc1" presStyleIdx="2" presStyleCnt="3" custScaleX="100000">
        <dgm:presLayoutVars>
          <dgm:bulletEnabled val="1"/>
        </dgm:presLayoutVars>
      </dgm:prSet>
      <dgm:spPr/>
    </dgm:pt>
  </dgm:ptLst>
  <dgm:cxnLst>
    <dgm:cxn modelId="{B3897509-EB1A-4E31-98F9-377579E6A706}" type="presOf" srcId="{E86A68C3-2C22-4CB0-9E8E-6265DF1B95BD}" destId="{BC1A21B5-F9E8-4F9D-AB1A-4C53E8C609CD}" srcOrd="1" destOrd="0" presId="urn:microsoft.com/office/officeart/2005/8/layout/list1"/>
    <dgm:cxn modelId="{9F99E14D-8E92-446A-B0FF-AD80330529CD}" type="presOf" srcId="{CC33713D-81AA-42C7-88C8-B268621014E0}" destId="{818C98E7-0529-4751-A0CB-8E08DC9DBFD3}" srcOrd="1" destOrd="0" presId="urn:microsoft.com/office/officeart/2005/8/layout/list1"/>
    <dgm:cxn modelId="{D4AE9654-25AC-46AB-A2D2-8DCC1D9B8B67}" type="presOf" srcId="{E86A68C3-2C22-4CB0-9E8E-6265DF1B95BD}" destId="{D3B8ABC4-CE2D-4FE0-B9BB-EB8D2243CC1C}" srcOrd="0" destOrd="0" presId="urn:microsoft.com/office/officeart/2005/8/layout/list1"/>
    <dgm:cxn modelId="{CACD667F-4DEF-4A8F-AB4E-8A38C1315FF7}" type="presOf" srcId="{4F29E203-454B-4B87-A471-14D1A614F1C2}" destId="{B5D8FB5F-B746-42C9-BDBA-27B786250900}" srcOrd="0" destOrd="0" presId="urn:microsoft.com/office/officeart/2005/8/layout/list1"/>
    <dgm:cxn modelId="{3D538B87-00F6-4C9D-868B-143C9CD06EBE}" srcId="{8965D31B-8848-4C35-AD2E-259C31835B89}" destId="{4F29E203-454B-4B87-A471-14D1A614F1C2}" srcOrd="0" destOrd="0" parTransId="{DDBF0539-91AB-430C-B6BC-5DFC6F607A66}" sibTransId="{D801E6C3-1D37-4FD9-B338-722E0D9EBE44}"/>
    <dgm:cxn modelId="{6F918492-AD52-41F0-AA2C-462EFEFEA85B}" type="presOf" srcId="{4F29E203-454B-4B87-A471-14D1A614F1C2}" destId="{28C386A5-B6E3-4B16-82EE-C460175B9178}" srcOrd="1" destOrd="0" presId="urn:microsoft.com/office/officeart/2005/8/layout/list1"/>
    <dgm:cxn modelId="{8018C9AE-88E8-46D7-A50C-BFAB9950E7BD}" type="presOf" srcId="{8965D31B-8848-4C35-AD2E-259C31835B89}" destId="{6AA94086-64F0-418A-A4F1-2B2C5A227948}" srcOrd="0" destOrd="0" presId="urn:microsoft.com/office/officeart/2005/8/layout/list1"/>
    <dgm:cxn modelId="{D72890B7-6EC2-4EDA-978A-BB7EF7E6823B}" srcId="{8965D31B-8848-4C35-AD2E-259C31835B89}" destId="{E86A68C3-2C22-4CB0-9E8E-6265DF1B95BD}" srcOrd="2" destOrd="0" parTransId="{B8F0A461-ABB1-4FA8-9341-BFF2A557C591}" sibTransId="{15CF7279-542E-4B46-9A7E-1FDFA1D75F0A}"/>
    <dgm:cxn modelId="{9D4831C4-D0C5-4628-AA6B-D459E659879F}" type="presOf" srcId="{CC33713D-81AA-42C7-88C8-B268621014E0}" destId="{32B46EC3-7814-4E2E-B145-C6CA3390C75A}" srcOrd="0" destOrd="0" presId="urn:microsoft.com/office/officeart/2005/8/layout/list1"/>
    <dgm:cxn modelId="{4EEEFDF3-8B25-49AA-8C71-93F72621D5B8}" srcId="{8965D31B-8848-4C35-AD2E-259C31835B89}" destId="{CC33713D-81AA-42C7-88C8-B268621014E0}" srcOrd="1" destOrd="0" parTransId="{703235ED-5597-4A05-B983-563ECB6BEE5B}" sibTransId="{4F3ABEFC-83F7-4A59-A291-4248B5E2FE40}"/>
    <dgm:cxn modelId="{D4AFE7B6-D070-444C-BB4B-F760B42F3C88}" type="presParOf" srcId="{6AA94086-64F0-418A-A4F1-2B2C5A227948}" destId="{329AC8FC-F8A2-4FDD-ABF4-720813E0E75B}" srcOrd="0" destOrd="0" presId="urn:microsoft.com/office/officeart/2005/8/layout/list1"/>
    <dgm:cxn modelId="{ECF5A26A-469E-452B-9019-DA5EDF5D01AE}" type="presParOf" srcId="{329AC8FC-F8A2-4FDD-ABF4-720813E0E75B}" destId="{B5D8FB5F-B746-42C9-BDBA-27B786250900}" srcOrd="0" destOrd="0" presId="urn:microsoft.com/office/officeart/2005/8/layout/list1"/>
    <dgm:cxn modelId="{56B543CE-C803-4DDC-BE85-F50877DDA87C}" type="presParOf" srcId="{329AC8FC-F8A2-4FDD-ABF4-720813E0E75B}" destId="{28C386A5-B6E3-4B16-82EE-C460175B9178}" srcOrd="1" destOrd="0" presId="urn:microsoft.com/office/officeart/2005/8/layout/list1"/>
    <dgm:cxn modelId="{30662470-16BC-436F-B381-53641C642A55}" type="presParOf" srcId="{6AA94086-64F0-418A-A4F1-2B2C5A227948}" destId="{C401DAA5-9D12-47F0-91B6-D9F55FA86918}" srcOrd="1" destOrd="0" presId="urn:microsoft.com/office/officeart/2005/8/layout/list1"/>
    <dgm:cxn modelId="{65EBD003-91B7-4F07-A1B5-2BB4EEDC8AA8}" type="presParOf" srcId="{6AA94086-64F0-418A-A4F1-2B2C5A227948}" destId="{76790D36-A09E-4048-B66F-F03412C37AE4}" srcOrd="2" destOrd="0" presId="urn:microsoft.com/office/officeart/2005/8/layout/list1"/>
    <dgm:cxn modelId="{071D5830-C1B8-44B5-92ED-94857C3C198E}" type="presParOf" srcId="{6AA94086-64F0-418A-A4F1-2B2C5A227948}" destId="{C22BCD1F-6EAE-45B2-A433-A6F27B16DE82}" srcOrd="3" destOrd="0" presId="urn:microsoft.com/office/officeart/2005/8/layout/list1"/>
    <dgm:cxn modelId="{514A0B5B-3032-4182-83EC-F524B82B9C96}" type="presParOf" srcId="{6AA94086-64F0-418A-A4F1-2B2C5A227948}" destId="{7C48A5C9-83F5-4E77-BF21-C82E816E9733}" srcOrd="4" destOrd="0" presId="urn:microsoft.com/office/officeart/2005/8/layout/list1"/>
    <dgm:cxn modelId="{B73FE38A-7BA3-485D-BC26-390F413D409C}" type="presParOf" srcId="{7C48A5C9-83F5-4E77-BF21-C82E816E9733}" destId="{32B46EC3-7814-4E2E-B145-C6CA3390C75A}" srcOrd="0" destOrd="0" presId="urn:microsoft.com/office/officeart/2005/8/layout/list1"/>
    <dgm:cxn modelId="{A40AB96A-A5BB-4DAA-819E-B22744865497}" type="presParOf" srcId="{7C48A5C9-83F5-4E77-BF21-C82E816E9733}" destId="{818C98E7-0529-4751-A0CB-8E08DC9DBFD3}" srcOrd="1" destOrd="0" presId="urn:microsoft.com/office/officeart/2005/8/layout/list1"/>
    <dgm:cxn modelId="{B20E2E3A-EE31-4DE0-8026-703141A45B31}" type="presParOf" srcId="{6AA94086-64F0-418A-A4F1-2B2C5A227948}" destId="{50B0C9B3-C13E-4985-BF03-2AEDC5024600}" srcOrd="5" destOrd="0" presId="urn:microsoft.com/office/officeart/2005/8/layout/list1"/>
    <dgm:cxn modelId="{9510B17F-C1B3-40FD-A315-564202B699D3}" type="presParOf" srcId="{6AA94086-64F0-418A-A4F1-2B2C5A227948}" destId="{95628C98-D454-4505-92E5-3BFC3628806F}" srcOrd="6" destOrd="0" presId="urn:microsoft.com/office/officeart/2005/8/layout/list1"/>
    <dgm:cxn modelId="{52384C4B-C7D6-4A23-BDFC-9A71EA07CA36}" type="presParOf" srcId="{6AA94086-64F0-418A-A4F1-2B2C5A227948}" destId="{03B41767-5A87-4D4B-B504-FAD055E698E9}" srcOrd="7" destOrd="0" presId="urn:microsoft.com/office/officeart/2005/8/layout/list1"/>
    <dgm:cxn modelId="{FCCD6E71-50E4-427F-9A7B-866B16A73CA4}" type="presParOf" srcId="{6AA94086-64F0-418A-A4F1-2B2C5A227948}" destId="{86210E04-04CB-4602-BC9F-C64C0FE480A9}" srcOrd="8" destOrd="0" presId="urn:microsoft.com/office/officeart/2005/8/layout/list1"/>
    <dgm:cxn modelId="{3341090A-EFD9-4EC7-84E4-5D77F44D5A4B}" type="presParOf" srcId="{86210E04-04CB-4602-BC9F-C64C0FE480A9}" destId="{D3B8ABC4-CE2D-4FE0-B9BB-EB8D2243CC1C}" srcOrd="0" destOrd="0" presId="urn:microsoft.com/office/officeart/2005/8/layout/list1"/>
    <dgm:cxn modelId="{C74B690B-8A5A-4FB0-9856-D43EEFBE42BA}" type="presParOf" srcId="{86210E04-04CB-4602-BC9F-C64C0FE480A9}" destId="{BC1A21B5-F9E8-4F9D-AB1A-4C53E8C609CD}" srcOrd="1" destOrd="0" presId="urn:microsoft.com/office/officeart/2005/8/layout/list1"/>
    <dgm:cxn modelId="{BAFB8F54-2A50-42A5-AB1F-ACA7CF6639C0}" type="presParOf" srcId="{6AA94086-64F0-418A-A4F1-2B2C5A227948}" destId="{184654A0-9ED9-4E62-925F-35143C360FC1}" srcOrd="9" destOrd="0" presId="urn:microsoft.com/office/officeart/2005/8/layout/list1"/>
    <dgm:cxn modelId="{AC7428FA-AB00-4F3A-8B4D-408C93DE5CDE}" type="presParOf" srcId="{6AA94086-64F0-418A-A4F1-2B2C5A227948}" destId="{B4F3B027-2E3D-493B-82EA-7075BB6E1826}" srcOrd="10" destOrd="0" presId="urn:microsoft.com/office/officeart/2005/8/layout/list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2888DB3-3CCF-4FCA-91B4-0E23C310C8FA}" type="doc">
      <dgm:prSet loTypeId="urn:microsoft.com/office/officeart/2005/8/layout/list1" loCatId="list" qsTypeId="urn:microsoft.com/office/officeart/2005/8/quickstyle/simple1" qsCatId="simple" csTypeId="urn:microsoft.com/office/officeart/2005/8/colors/accent3_1" csCatId="accent3" phldr="1"/>
      <dgm:spPr/>
      <dgm:t>
        <a:bodyPr/>
        <a:lstStyle/>
        <a:p>
          <a:endParaRPr lang="en-US"/>
        </a:p>
      </dgm:t>
    </dgm:pt>
    <dgm:pt modelId="{282ECCE9-D8E3-41BB-8F77-57ADC10FA567}">
      <dgm:prSet phldrT="[Text]" custT="1"/>
      <dgm:spPr/>
      <dgm:t>
        <a:bodyPr/>
        <a:lstStyle/>
        <a:p>
          <a:r>
            <a:rPr lang="en-US" sz="1200">
              <a:latin typeface="Times New Roman" pitchFamily="18" charset="0"/>
              <a:cs typeface="Times New Roman" pitchFamily="18" charset="0"/>
            </a:rPr>
            <a:t>Manegerial Implications </a:t>
          </a:r>
        </a:p>
      </dgm:t>
    </dgm:pt>
    <dgm:pt modelId="{09A3D71B-8EE4-4D23-A469-3DC808B13735}" type="parTrans" cxnId="{E3B334A9-1F68-4AC2-8472-D52F6A454E8D}">
      <dgm:prSet/>
      <dgm:spPr/>
      <dgm:t>
        <a:bodyPr/>
        <a:lstStyle/>
        <a:p>
          <a:endParaRPr lang="en-US" sz="1200">
            <a:latin typeface="Times New Roman" pitchFamily="18" charset="0"/>
            <a:cs typeface="Times New Roman" pitchFamily="18" charset="0"/>
          </a:endParaRPr>
        </a:p>
      </dgm:t>
    </dgm:pt>
    <dgm:pt modelId="{D3910A23-3DAC-48EC-99DA-20CDF07800B5}" type="sibTrans" cxnId="{E3B334A9-1F68-4AC2-8472-D52F6A454E8D}">
      <dgm:prSet/>
      <dgm:spPr/>
      <dgm:t>
        <a:bodyPr/>
        <a:lstStyle/>
        <a:p>
          <a:endParaRPr lang="en-US" sz="1200">
            <a:latin typeface="Times New Roman" pitchFamily="18" charset="0"/>
            <a:cs typeface="Times New Roman" pitchFamily="18" charset="0"/>
          </a:endParaRPr>
        </a:p>
      </dgm:t>
    </dgm:pt>
    <dgm:pt modelId="{78D36E74-98DF-44DD-8C22-D622ED218075}">
      <dgm:prSet phldrT="[Text]" custT="1"/>
      <dgm:spPr/>
      <dgm:t>
        <a:bodyPr/>
        <a:lstStyle/>
        <a:p>
          <a:r>
            <a:rPr lang="en-US" sz="1200">
              <a:latin typeface="Times New Roman" pitchFamily="18" charset="0"/>
              <a:cs typeface="Times New Roman" pitchFamily="18" charset="0"/>
            </a:rPr>
            <a:t>Theoretical Implications</a:t>
          </a:r>
        </a:p>
      </dgm:t>
    </dgm:pt>
    <dgm:pt modelId="{CE52848D-4610-44D6-A1A1-DC1FCC14A564}" type="parTrans" cxnId="{8B54B9EE-D238-46FC-A585-EDF6D8DB4D69}">
      <dgm:prSet/>
      <dgm:spPr/>
      <dgm:t>
        <a:bodyPr/>
        <a:lstStyle/>
        <a:p>
          <a:endParaRPr lang="en-US" sz="1200">
            <a:latin typeface="Times New Roman" pitchFamily="18" charset="0"/>
            <a:cs typeface="Times New Roman" pitchFamily="18" charset="0"/>
          </a:endParaRPr>
        </a:p>
      </dgm:t>
    </dgm:pt>
    <dgm:pt modelId="{4433C26D-CAE2-4099-AEB1-0B50EC4955D9}" type="sibTrans" cxnId="{8B54B9EE-D238-46FC-A585-EDF6D8DB4D69}">
      <dgm:prSet/>
      <dgm:spPr/>
      <dgm:t>
        <a:bodyPr/>
        <a:lstStyle/>
        <a:p>
          <a:endParaRPr lang="en-US" sz="1200">
            <a:latin typeface="Times New Roman" pitchFamily="18" charset="0"/>
            <a:cs typeface="Times New Roman" pitchFamily="18" charset="0"/>
          </a:endParaRPr>
        </a:p>
      </dgm:t>
    </dgm:pt>
    <dgm:pt modelId="{7D1F348A-CA56-4E4B-BFBD-612873F01115}">
      <dgm:prSet phldrT="[Text]" custT="1"/>
      <dgm:spPr/>
      <dgm:t>
        <a:bodyPr/>
        <a:lstStyle/>
        <a:p>
          <a:r>
            <a:rPr lang="en-US" sz="1200">
              <a:latin typeface="Times New Roman" pitchFamily="18" charset="0"/>
              <a:cs typeface="Times New Roman" pitchFamily="18" charset="0"/>
            </a:rPr>
            <a:t>Recommendations</a:t>
          </a:r>
        </a:p>
      </dgm:t>
    </dgm:pt>
    <dgm:pt modelId="{4E54DE92-AFB7-46C2-99C9-31FAC6E03303}" type="parTrans" cxnId="{15C6A974-2960-4562-AED3-CE2ED33B96C5}">
      <dgm:prSet/>
      <dgm:spPr/>
      <dgm:t>
        <a:bodyPr/>
        <a:lstStyle/>
        <a:p>
          <a:endParaRPr lang="en-US" sz="1200">
            <a:latin typeface="Times New Roman" pitchFamily="18" charset="0"/>
            <a:cs typeface="Times New Roman" pitchFamily="18" charset="0"/>
          </a:endParaRPr>
        </a:p>
      </dgm:t>
    </dgm:pt>
    <dgm:pt modelId="{E63CF300-9EDF-4B73-A554-3F858A3BF65F}" type="sibTrans" cxnId="{15C6A974-2960-4562-AED3-CE2ED33B96C5}">
      <dgm:prSet/>
      <dgm:spPr/>
      <dgm:t>
        <a:bodyPr/>
        <a:lstStyle/>
        <a:p>
          <a:endParaRPr lang="en-US" sz="1200">
            <a:latin typeface="Times New Roman" pitchFamily="18" charset="0"/>
            <a:cs typeface="Times New Roman" pitchFamily="18" charset="0"/>
          </a:endParaRPr>
        </a:p>
      </dgm:t>
    </dgm:pt>
    <dgm:pt modelId="{4FF42D50-0151-40D5-80D3-15C9204E490E}">
      <dgm:prSet custT="1"/>
      <dgm:spPr/>
      <dgm:t>
        <a:bodyPr/>
        <a:lstStyle/>
        <a:p>
          <a:r>
            <a:rPr lang="en-US" sz="1200">
              <a:latin typeface="Times New Roman" pitchFamily="18" charset="0"/>
              <a:cs typeface="Times New Roman" pitchFamily="18" charset="0"/>
            </a:rPr>
            <a:t>Limitations and Future Research Directions</a:t>
          </a:r>
        </a:p>
      </dgm:t>
    </dgm:pt>
    <dgm:pt modelId="{CF9033DA-7837-4115-BBC0-405DF1CE0B98}" type="parTrans" cxnId="{4734011D-7723-4458-A5F4-7C19077A726F}">
      <dgm:prSet/>
      <dgm:spPr/>
      <dgm:t>
        <a:bodyPr/>
        <a:lstStyle/>
        <a:p>
          <a:endParaRPr lang="en-US" sz="1200">
            <a:latin typeface="Times New Roman" pitchFamily="18" charset="0"/>
            <a:cs typeface="Times New Roman" pitchFamily="18" charset="0"/>
          </a:endParaRPr>
        </a:p>
      </dgm:t>
    </dgm:pt>
    <dgm:pt modelId="{676AE5B4-0B65-4655-9048-711601796BFB}" type="sibTrans" cxnId="{4734011D-7723-4458-A5F4-7C19077A726F}">
      <dgm:prSet/>
      <dgm:spPr/>
      <dgm:t>
        <a:bodyPr/>
        <a:lstStyle/>
        <a:p>
          <a:endParaRPr lang="en-US" sz="1200">
            <a:latin typeface="Times New Roman" pitchFamily="18" charset="0"/>
            <a:cs typeface="Times New Roman" pitchFamily="18" charset="0"/>
          </a:endParaRPr>
        </a:p>
      </dgm:t>
    </dgm:pt>
    <dgm:pt modelId="{EDDC2167-9CA8-41EA-8E29-C9D25024F2F8}">
      <dgm:prSet custT="1"/>
      <dgm:spPr/>
      <dgm:t>
        <a:bodyPr/>
        <a:lstStyle/>
        <a:p>
          <a:r>
            <a:rPr lang="en-US" sz="1200">
              <a:latin typeface="Times New Roman" pitchFamily="18" charset="0"/>
              <a:cs typeface="Times New Roman" pitchFamily="18" charset="0"/>
            </a:rPr>
            <a:t>Conclusion</a:t>
          </a:r>
        </a:p>
      </dgm:t>
    </dgm:pt>
    <dgm:pt modelId="{351102E6-6EF6-4830-A9EA-CEDB176938EF}" type="parTrans" cxnId="{E64C17F4-245E-4A78-B6CA-5FDEB8504F47}">
      <dgm:prSet/>
      <dgm:spPr/>
      <dgm:t>
        <a:bodyPr/>
        <a:lstStyle/>
        <a:p>
          <a:endParaRPr lang="en-US" sz="1200">
            <a:latin typeface="Times New Roman" pitchFamily="18" charset="0"/>
            <a:cs typeface="Times New Roman" pitchFamily="18" charset="0"/>
          </a:endParaRPr>
        </a:p>
      </dgm:t>
    </dgm:pt>
    <dgm:pt modelId="{86BE6117-D0BE-43DE-B8F0-FD33A69B599E}" type="sibTrans" cxnId="{E64C17F4-245E-4A78-B6CA-5FDEB8504F47}">
      <dgm:prSet/>
      <dgm:spPr/>
      <dgm:t>
        <a:bodyPr/>
        <a:lstStyle/>
        <a:p>
          <a:endParaRPr lang="en-US" sz="1200">
            <a:latin typeface="Times New Roman" pitchFamily="18" charset="0"/>
            <a:cs typeface="Times New Roman" pitchFamily="18" charset="0"/>
          </a:endParaRPr>
        </a:p>
      </dgm:t>
    </dgm:pt>
    <dgm:pt modelId="{98536921-9BDC-40E5-960E-BCF165B928D8}" type="pres">
      <dgm:prSet presAssocID="{52888DB3-3CCF-4FCA-91B4-0E23C310C8FA}" presName="linear" presStyleCnt="0">
        <dgm:presLayoutVars>
          <dgm:dir/>
          <dgm:animLvl val="lvl"/>
          <dgm:resizeHandles val="exact"/>
        </dgm:presLayoutVars>
      </dgm:prSet>
      <dgm:spPr/>
    </dgm:pt>
    <dgm:pt modelId="{1C538176-C0D8-4F1E-8FED-2FEA9F48D75A}" type="pres">
      <dgm:prSet presAssocID="{282ECCE9-D8E3-41BB-8F77-57ADC10FA567}" presName="parentLin" presStyleCnt="0"/>
      <dgm:spPr/>
    </dgm:pt>
    <dgm:pt modelId="{43B7F36A-599B-47B3-8EC1-3FDC45A4026A}" type="pres">
      <dgm:prSet presAssocID="{282ECCE9-D8E3-41BB-8F77-57ADC10FA567}" presName="parentLeftMargin" presStyleLbl="node1" presStyleIdx="0" presStyleCnt="5"/>
      <dgm:spPr/>
    </dgm:pt>
    <dgm:pt modelId="{49D81598-1644-499F-966F-9432271113B7}" type="pres">
      <dgm:prSet presAssocID="{282ECCE9-D8E3-41BB-8F77-57ADC10FA567}" presName="parentText" presStyleLbl="node1" presStyleIdx="0" presStyleCnt="5">
        <dgm:presLayoutVars>
          <dgm:chMax val="0"/>
          <dgm:bulletEnabled val="1"/>
        </dgm:presLayoutVars>
      </dgm:prSet>
      <dgm:spPr/>
    </dgm:pt>
    <dgm:pt modelId="{9F544416-21A3-4E41-8D98-5B12B966AFA5}" type="pres">
      <dgm:prSet presAssocID="{282ECCE9-D8E3-41BB-8F77-57ADC10FA567}" presName="negativeSpace" presStyleCnt="0"/>
      <dgm:spPr/>
    </dgm:pt>
    <dgm:pt modelId="{08222A89-67A2-49D0-8E31-0FC8D4938C89}" type="pres">
      <dgm:prSet presAssocID="{282ECCE9-D8E3-41BB-8F77-57ADC10FA567}" presName="childText" presStyleLbl="conFgAcc1" presStyleIdx="0" presStyleCnt="5">
        <dgm:presLayoutVars>
          <dgm:bulletEnabled val="1"/>
        </dgm:presLayoutVars>
      </dgm:prSet>
      <dgm:spPr/>
    </dgm:pt>
    <dgm:pt modelId="{CFA496D4-564D-4615-96C9-524F61E77336}" type="pres">
      <dgm:prSet presAssocID="{D3910A23-3DAC-48EC-99DA-20CDF07800B5}" presName="spaceBetweenRectangles" presStyleCnt="0"/>
      <dgm:spPr/>
    </dgm:pt>
    <dgm:pt modelId="{C33D27E0-D9E7-44CD-A318-80A314FA76B7}" type="pres">
      <dgm:prSet presAssocID="{78D36E74-98DF-44DD-8C22-D622ED218075}" presName="parentLin" presStyleCnt="0"/>
      <dgm:spPr/>
    </dgm:pt>
    <dgm:pt modelId="{9029994B-FFAA-4032-9DE9-D14E53D283C3}" type="pres">
      <dgm:prSet presAssocID="{78D36E74-98DF-44DD-8C22-D622ED218075}" presName="parentLeftMargin" presStyleLbl="node1" presStyleIdx="0" presStyleCnt="5"/>
      <dgm:spPr/>
    </dgm:pt>
    <dgm:pt modelId="{2C3C1175-F1D0-42C4-8B45-9C337AD207AF}" type="pres">
      <dgm:prSet presAssocID="{78D36E74-98DF-44DD-8C22-D622ED218075}" presName="parentText" presStyleLbl="node1" presStyleIdx="1" presStyleCnt="5">
        <dgm:presLayoutVars>
          <dgm:chMax val="0"/>
          <dgm:bulletEnabled val="1"/>
        </dgm:presLayoutVars>
      </dgm:prSet>
      <dgm:spPr/>
    </dgm:pt>
    <dgm:pt modelId="{308DCDD9-66EB-4233-A111-74BE6D80AB90}" type="pres">
      <dgm:prSet presAssocID="{78D36E74-98DF-44DD-8C22-D622ED218075}" presName="negativeSpace" presStyleCnt="0"/>
      <dgm:spPr/>
    </dgm:pt>
    <dgm:pt modelId="{B49033C6-A96C-4328-9B97-83F6CB970C14}" type="pres">
      <dgm:prSet presAssocID="{78D36E74-98DF-44DD-8C22-D622ED218075}" presName="childText" presStyleLbl="conFgAcc1" presStyleIdx="1" presStyleCnt="5">
        <dgm:presLayoutVars>
          <dgm:bulletEnabled val="1"/>
        </dgm:presLayoutVars>
      </dgm:prSet>
      <dgm:spPr/>
    </dgm:pt>
    <dgm:pt modelId="{3D13F2CB-EA54-4AA0-BCBD-E83A983EFED7}" type="pres">
      <dgm:prSet presAssocID="{4433C26D-CAE2-4099-AEB1-0B50EC4955D9}" presName="spaceBetweenRectangles" presStyleCnt="0"/>
      <dgm:spPr/>
    </dgm:pt>
    <dgm:pt modelId="{CA685D43-2BDE-44C2-A560-918D76A1705B}" type="pres">
      <dgm:prSet presAssocID="{7D1F348A-CA56-4E4B-BFBD-612873F01115}" presName="parentLin" presStyleCnt="0"/>
      <dgm:spPr/>
    </dgm:pt>
    <dgm:pt modelId="{D3FDD478-37D0-4E2A-9C7D-E6EFCA74A082}" type="pres">
      <dgm:prSet presAssocID="{7D1F348A-CA56-4E4B-BFBD-612873F01115}" presName="parentLeftMargin" presStyleLbl="node1" presStyleIdx="1" presStyleCnt="5"/>
      <dgm:spPr/>
    </dgm:pt>
    <dgm:pt modelId="{B1A2641A-C753-4253-89E1-0CBD11EEFBC3}" type="pres">
      <dgm:prSet presAssocID="{7D1F348A-CA56-4E4B-BFBD-612873F01115}" presName="parentText" presStyleLbl="node1" presStyleIdx="2" presStyleCnt="5">
        <dgm:presLayoutVars>
          <dgm:chMax val="0"/>
          <dgm:bulletEnabled val="1"/>
        </dgm:presLayoutVars>
      </dgm:prSet>
      <dgm:spPr/>
    </dgm:pt>
    <dgm:pt modelId="{7686F868-77A1-463F-BA02-B1B4F26A9AFA}" type="pres">
      <dgm:prSet presAssocID="{7D1F348A-CA56-4E4B-BFBD-612873F01115}" presName="negativeSpace" presStyleCnt="0"/>
      <dgm:spPr/>
    </dgm:pt>
    <dgm:pt modelId="{587582EF-B2A3-42C9-9F47-3BA669EB4CF7}" type="pres">
      <dgm:prSet presAssocID="{7D1F348A-CA56-4E4B-BFBD-612873F01115}" presName="childText" presStyleLbl="conFgAcc1" presStyleIdx="2" presStyleCnt="5">
        <dgm:presLayoutVars>
          <dgm:bulletEnabled val="1"/>
        </dgm:presLayoutVars>
      </dgm:prSet>
      <dgm:spPr/>
    </dgm:pt>
    <dgm:pt modelId="{1BA67569-D3F2-4313-99CB-CF570202F3B7}" type="pres">
      <dgm:prSet presAssocID="{E63CF300-9EDF-4B73-A554-3F858A3BF65F}" presName="spaceBetweenRectangles" presStyleCnt="0"/>
      <dgm:spPr/>
    </dgm:pt>
    <dgm:pt modelId="{CBC9F709-D8A0-44CD-ABE8-7DCF10508FC5}" type="pres">
      <dgm:prSet presAssocID="{4FF42D50-0151-40D5-80D3-15C9204E490E}" presName="parentLin" presStyleCnt="0"/>
      <dgm:spPr/>
    </dgm:pt>
    <dgm:pt modelId="{5179F4CF-8595-4E61-845C-73D1EF34CD31}" type="pres">
      <dgm:prSet presAssocID="{4FF42D50-0151-40D5-80D3-15C9204E490E}" presName="parentLeftMargin" presStyleLbl="node1" presStyleIdx="2" presStyleCnt="5"/>
      <dgm:spPr/>
    </dgm:pt>
    <dgm:pt modelId="{6F64CF14-8467-4484-9A12-C334C410F762}" type="pres">
      <dgm:prSet presAssocID="{4FF42D50-0151-40D5-80D3-15C9204E490E}" presName="parentText" presStyleLbl="node1" presStyleIdx="3" presStyleCnt="5">
        <dgm:presLayoutVars>
          <dgm:chMax val="0"/>
          <dgm:bulletEnabled val="1"/>
        </dgm:presLayoutVars>
      </dgm:prSet>
      <dgm:spPr/>
    </dgm:pt>
    <dgm:pt modelId="{4AB3459E-87FA-4B84-87A4-9E1BB327EC83}" type="pres">
      <dgm:prSet presAssocID="{4FF42D50-0151-40D5-80D3-15C9204E490E}" presName="negativeSpace" presStyleCnt="0"/>
      <dgm:spPr/>
    </dgm:pt>
    <dgm:pt modelId="{067B4B03-07FE-48B0-9977-1406031B1A2F}" type="pres">
      <dgm:prSet presAssocID="{4FF42D50-0151-40D5-80D3-15C9204E490E}" presName="childText" presStyleLbl="conFgAcc1" presStyleIdx="3" presStyleCnt="5">
        <dgm:presLayoutVars>
          <dgm:bulletEnabled val="1"/>
        </dgm:presLayoutVars>
      </dgm:prSet>
      <dgm:spPr/>
    </dgm:pt>
    <dgm:pt modelId="{964367A2-93D0-463F-815D-8849AE6CAF0E}" type="pres">
      <dgm:prSet presAssocID="{676AE5B4-0B65-4655-9048-711601796BFB}" presName="spaceBetweenRectangles" presStyleCnt="0"/>
      <dgm:spPr/>
    </dgm:pt>
    <dgm:pt modelId="{18B3AC6D-0A1E-43FB-B681-4A6C27293FD8}" type="pres">
      <dgm:prSet presAssocID="{EDDC2167-9CA8-41EA-8E29-C9D25024F2F8}" presName="parentLin" presStyleCnt="0"/>
      <dgm:spPr/>
    </dgm:pt>
    <dgm:pt modelId="{9F3E37EE-C5B1-4F3F-98E5-DD62B5027EC2}" type="pres">
      <dgm:prSet presAssocID="{EDDC2167-9CA8-41EA-8E29-C9D25024F2F8}" presName="parentLeftMargin" presStyleLbl="node1" presStyleIdx="3" presStyleCnt="5"/>
      <dgm:spPr/>
    </dgm:pt>
    <dgm:pt modelId="{EC51F40E-C935-484C-B5E3-8B86565CF772}" type="pres">
      <dgm:prSet presAssocID="{EDDC2167-9CA8-41EA-8E29-C9D25024F2F8}" presName="parentText" presStyleLbl="node1" presStyleIdx="4" presStyleCnt="5">
        <dgm:presLayoutVars>
          <dgm:chMax val="0"/>
          <dgm:bulletEnabled val="1"/>
        </dgm:presLayoutVars>
      </dgm:prSet>
      <dgm:spPr/>
    </dgm:pt>
    <dgm:pt modelId="{093F671A-DA1F-42C3-8722-4D05BF64DF9C}" type="pres">
      <dgm:prSet presAssocID="{EDDC2167-9CA8-41EA-8E29-C9D25024F2F8}" presName="negativeSpace" presStyleCnt="0"/>
      <dgm:spPr/>
    </dgm:pt>
    <dgm:pt modelId="{746A3FB8-B33C-418D-81C5-871AC46003F0}" type="pres">
      <dgm:prSet presAssocID="{EDDC2167-9CA8-41EA-8E29-C9D25024F2F8}" presName="childText" presStyleLbl="conFgAcc1" presStyleIdx="4" presStyleCnt="5">
        <dgm:presLayoutVars>
          <dgm:bulletEnabled val="1"/>
        </dgm:presLayoutVars>
      </dgm:prSet>
      <dgm:spPr/>
    </dgm:pt>
  </dgm:ptLst>
  <dgm:cxnLst>
    <dgm:cxn modelId="{58986E02-ECDB-465B-B987-1DEF7389B347}" type="presOf" srcId="{4FF42D50-0151-40D5-80D3-15C9204E490E}" destId="{6F64CF14-8467-4484-9A12-C334C410F762}" srcOrd="1" destOrd="0" presId="urn:microsoft.com/office/officeart/2005/8/layout/list1"/>
    <dgm:cxn modelId="{783DDB07-52A1-44B4-85FD-BAF0C67CA663}" type="presOf" srcId="{282ECCE9-D8E3-41BB-8F77-57ADC10FA567}" destId="{49D81598-1644-499F-966F-9432271113B7}" srcOrd="1" destOrd="0" presId="urn:microsoft.com/office/officeart/2005/8/layout/list1"/>
    <dgm:cxn modelId="{4734011D-7723-4458-A5F4-7C19077A726F}" srcId="{52888DB3-3CCF-4FCA-91B4-0E23C310C8FA}" destId="{4FF42D50-0151-40D5-80D3-15C9204E490E}" srcOrd="3" destOrd="0" parTransId="{CF9033DA-7837-4115-BBC0-405DF1CE0B98}" sibTransId="{676AE5B4-0B65-4655-9048-711601796BFB}"/>
    <dgm:cxn modelId="{07558535-56DB-43EF-AF5C-E8787AAD6B05}" type="presOf" srcId="{78D36E74-98DF-44DD-8C22-D622ED218075}" destId="{9029994B-FFAA-4032-9DE9-D14E53D283C3}" srcOrd="0" destOrd="0" presId="urn:microsoft.com/office/officeart/2005/8/layout/list1"/>
    <dgm:cxn modelId="{2D94A560-F694-497D-ACE1-2AFA652241DF}" type="presOf" srcId="{7D1F348A-CA56-4E4B-BFBD-612873F01115}" destId="{B1A2641A-C753-4253-89E1-0CBD11EEFBC3}" srcOrd="1" destOrd="0" presId="urn:microsoft.com/office/officeart/2005/8/layout/list1"/>
    <dgm:cxn modelId="{62F11F42-261E-4337-BFA8-193AA2C50B8E}" type="presOf" srcId="{EDDC2167-9CA8-41EA-8E29-C9D25024F2F8}" destId="{EC51F40E-C935-484C-B5E3-8B86565CF772}" srcOrd="1" destOrd="0" presId="urn:microsoft.com/office/officeart/2005/8/layout/list1"/>
    <dgm:cxn modelId="{AC010666-386D-4FFF-9BFC-18B6A178A7AD}" type="presOf" srcId="{52888DB3-3CCF-4FCA-91B4-0E23C310C8FA}" destId="{98536921-9BDC-40E5-960E-BCF165B928D8}" srcOrd="0" destOrd="0" presId="urn:microsoft.com/office/officeart/2005/8/layout/list1"/>
    <dgm:cxn modelId="{1B1E7C4C-189E-4EA0-84CB-9B7197D249AD}" type="presOf" srcId="{7D1F348A-CA56-4E4B-BFBD-612873F01115}" destId="{D3FDD478-37D0-4E2A-9C7D-E6EFCA74A082}" srcOrd="0" destOrd="0" presId="urn:microsoft.com/office/officeart/2005/8/layout/list1"/>
    <dgm:cxn modelId="{15C6A974-2960-4562-AED3-CE2ED33B96C5}" srcId="{52888DB3-3CCF-4FCA-91B4-0E23C310C8FA}" destId="{7D1F348A-CA56-4E4B-BFBD-612873F01115}" srcOrd="2" destOrd="0" parTransId="{4E54DE92-AFB7-46C2-99C9-31FAC6E03303}" sibTransId="{E63CF300-9EDF-4B73-A554-3F858A3BF65F}"/>
    <dgm:cxn modelId="{0E160E7C-BA7E-40FB-819A-9C8150DECD2E}" type="presOf" srcId="{282ECCE9-D8E3-41BB-8F77-57ADC10FA567}" destId="{43B7F36A-599B-47B3-8EC1-3FDC45A4026A}" srcOrd="0" destOrd="0" presId="urn:microsoft.com/office/officeart/2005/8/layout/list1"/>
    <dgm:cxn modelId="{6D730E89-C3C8-4717-994A-C245003C6CE8}" type="presOf" srcId="{78D36E74-98DF-44DD-8C22-D622ED218075}" destId="{2C3C1175-F1D0-42C4-8B45-9C337AD207AF}" srcOrd="1" destOrd="0" presId="urn:microsoft.com/office/officeart/2005/8/layout/list1"/>
    <dgm:cxn modelId="{E3B334A9-1F68-4AC2-8472-D52F6A454E8D}" srcId="{52888DB3-3CCF-4FCA-91B4-0E23C310C8FA}" destId="{282ECCE9-D8E3-41BB-8F77-57ADC10FA567}" srcOrd="0" destOrd="0" parTransId="{09A3D71B-8EE4-4D23-A469-3DC808B13735}" sibTransId="{D3910A23-3DAC-48EC-99DA-20CDF07800B5}"/>
    <dgm:cxn modelId="{90FCD8DB-5ABB-4276-928F-4DF6A60F1DCD}" type="presOf" srcId="{EDDC2167-9CA8-41EA-8E29-C9D25024F2F8}" destId="{9F3E37EE-C5B1-4F3F-98E5-DD62B5027EC2}" srcOrd="0" destOrd="0" presId="urn:microsoft.com/office/officeart/2005/8/layout/list1"/>
    <dgm:cxn modelId="{1CE866E4-59F0-4B1B-B06C-445F6374292A}" type="presOf" srcId="{4FF42D50-0151-40D5-80D3-15C9204E490E}" destId="{5179F4CF-8595-4E61-845C-73D1EF34CD31}" srcOrd="0" destOrd="0" presId="urn:microsoft.com/office/officeart/2005/8/layout/list1"/>
    <dgm:cxn modelId="{8B54B9EE-D238-46FC-A585-EDF6D8DB4D69}" srcId="{52888DB3-3CCF-4FCA-91B4-0E23C310C8FA}" destId="{78D36E74-98DF-44DD-8C22-D622ED218075}" srcOrd="1" destOrd="0" parTransId="{CE52848D-4610-44D6-A1A1-DC1FCC14A564}" sibTransId="{4433C26D-CAE2-4099-AEB1-0B50EC4955D9}"/>
    <dgm:cxn modelId="{E64C17F4-245E-4A78-B6CA-5FDEB8504F47}" srcId="{52888DB3-3CCF-4FCA-91B4-0E23C310C8FA}" destId="{EDDC2167-9CA8-41EA-8E29-C9D25024F2F8}" srcOrd="4" destOrd="0" parTransId="{351102E6-6EF6-4830-A9EA-CEDB176938EF}" sibTransId="{86BE6117-D0BE-43DE-B8F0-FD33A69B599E}"/>
    <dgm:cxn modelId="{1DF3574C-DA6E-40CA-9C38-E2B918BFE8DE}" type="presParOf" srcId="{98536921-9BDC-40E5-960E-BCF165B928D8}" destId="{1C538176-C0D8-4F1E-8FED-2FEA9F48D75A}" srcOrd="0" destOrd="0" presId="urn:microsoft.com/office/officeart/2005/8/layout/list1"/>
    <dgm:cxn modelId="{FC76C0BA-764F-4782-9491-659307CB344A}" type="presParOf" srcId="{1C538176-C0D8-4F1E-8FED-2FEA9F48D75A}" destId="{43B7F36A-599B-47B3-8EC1-3FDC45A4026A}" srcOrd="0" destOrd="0" presId="urn:microsoft.com/office/officeart/2005/8/layout/list1"/>
    <dgm:cxn modelId="{9092B0CC-4F29-45C7-9FD7-617785E8BB82}" type="presParOf" srcId="{1C538176-C0D8-4F1E-8FED-2FEA9F48D75A}" destId="{49D81598-1644-499F-966F-9432271113B7}" srcOrd="1" destOrd="0" presId="urn:microsoft.com/office/officeart/2005/8/layout/list1"/>
    <dgm:cxn modelId="{63964139-DC70-4FD5-AC45-07A8D8CD747E}" type="presParOf" srcId="{98536921-9BDC-40E5-960E-BCF165B928D8}" destId="{9F544416-21A3-4E41-8D98-5B12B966AFA5}" srcOrd="1" destOrd="0" presId="urn:microsoft.com/office/officeart/2005/8/layout/list1"/>
    <dgm:cxn modelId="{60F2B715-2E51-4760-A43A-7D2B18678E77}" type="presParOf" srcId="{98536921-9BDC-40E5-960E-BCF165B928D8}" destId="{08222A89-67A2-49D0-8E31-0FC8D4938C89}" srcOrd="2" destOrd="0" presId="urn:microsoft.com/office/officeart/2005/8/layout/list1"/>
    <dgm:cxn modelId="{B2A2E556-ECA7-44A6-B1E0-F8E9C1E7A84E}" type="presParOf" srcId="{98536921-9BDC-40E5-960E-BCF165B928D8}" destId="{CFA496D4-564D-4615-96C9-524F61E77336}" srcOrd="3" destOrd="0" presId="urn:microsoft.com/office/officeart/2005/8/layout/list1"/>
    <dgm:cxn modelId="{97FFE46A-F935-4D89-8FEB-D8737750C3CB}" type="presParOf" srcId="{98536921-9BDC-40E5-960E-BCF165B928D8}" destId="{C33D27E0-D9E7-44CD-A318-80A314FA76B7}" srcOrd="4" destOrd="0" presId="urn:microsoft.com/office/officeart/2005/8/layout/list1"/>
    <dgm:cxn modelId="{4E9DC7F5-E1F2-44FF-BEAE-0CE561C2D25E}" type="presParOf" srcId="{C33D27E0-D9E7-44CD-A318-80A314FA76B7}" destId="{9029994B-FFAA-4032-9DE9-D14E53D283C3}" srcOrd="0" destOrd="0" presId="urn:microsoft.com/office/officeart/2005/8/layout/list1"/>
    <dgm:cxn modelId="{87AF9186-1BDC-48E1-AE43-425C4C876909}" type="presParOf" srcId="{C33D27E0-D9E7-44CD-A318-80A314FA76B7}" destId="{2C3C1175-F1D0-42C4-8B45-9C337AD207AF}" srcOrd="1" destOrd="0" presId="urn:microsoft.com/office/officeart/2005/8/layout/list1"/>
    <dgm:cxn modelId="{5230E305-0DE7-446C-836E-E1ABD2082ACE}" type="presParOf" srcId="{98536921-9BDC-40E5-960E-BCF165B928D8}" destId="{308DCDD9-66EB-4233-A111-74BE6D80AB90}" srcOrd="5" destOrd="0" presId="urn:microsoft.com/office/officeart/2005/8/layout/list1"/>
    <dgm:cxn modelId="{50EE7799-3D9E-4053-9D3F-DC89E9B296FD}" type="presParOf" srcId="{98536921-9BDC-40E5-960E-BCF165B928D8}" destId="{B49033C6-A96C-4328-9B97-83F6CB970C14}" srcOrd="6" destOrd="0" presId="urn:microsoft.com/office/officeart/2005/8/layout/list1"/>
    <dgm:cxn modelId="{AD38F9A8-1D9B-4BB2-9C3C-19675A6D08B8}" type="presParOf" srcId="{98536921-9BDC-40E5-960E-BCF165B928D8}" destId="{3D13F2CB-EA54-4AA0-BCBD-E83A983EFED7}" srcOrd="7" destOrd="0" presId="urn:microsoft.com/office/officeart/2005/8/layout/list1"/>
    <dgm:cxn modelId="{5FFB919D-79F8-46AB-A423-4640578FC859}" type="presParOf" srcId="{98536921-9BDC-40E5-960E-BCF165B928D8}" destId="{CA685D43-2BDE-44C2-A560-918D76A1705B}" srcOrd="8" destOrd="0" presId="urn:microsoft.com/office/officeart/2005/8/layout/list1"/>
    <dgm:cxn modelId="{056252EA-5342-4F43-A707-DAAA3E75477E}" type="presParOf" srcId="{CA685D43-2BDE-44C2-A560-918D76A1705B}" destId="{D3FDD478-37D0-4E2A-9C7D-E6EFCA74A082}" srcOrd="0" destOrd="0" presId="urn:microsoft.com/office/officeart/2005/8/layout/list1"/>
    <dgm:cxn modelId="{A4A67997-046B-4F5E-80AF-B75D855A753B}" type="presParOf" srcId="{CA685D43-2BDE-44C2-A560-918D76A1705B}" destId="{B1A2641A-C753-4253-89E1-0CBD11EEFBC3}" srcOrd="1" destOrd="0" presId="urn:microsoft.com/office/officeart/2005/8/layout/list1"/>
    <dgm:cxn modelId="{30FA85F4-D7D8-4F80-94B4-CC0D7E10975C}" type="presParOf" srcId="{98536921-9BDC-40E5-960E-BCF165B928D8}" destId="{7686F868-77A1-463F-BA02-B1B4F26A9AFA}" srcOrd="9" destOrd="0" presId="urn:microsoft.com/office/officeart/2005/8/layout/list1"/>
    <dgm:cxn modelId="{100110ED-CA6A-47D5-8EAE-01F071396218}" type="presParOf" srcId="{98536921-9BDC-40E5-960E-BCF165B928D8}" destId="{587582EF-B2A3-42C9-9F47-3BA669EB4CF7}" srcOrd="10" destOrd="0" presId="urn:microsoft.com/office/officeart/2005/8/layout/list1"/>
    <dgm:cxn modelId="{D1052DA6-831A-4AD3-B0A5-35FC14D9740A}" type="presParOf" srcId="{98536921-9BDC-40E5-960E-BCF165B928D8}" destId="{1BA67569-D3F2-4313-99CB-CF570202F3B7}" srcOrd="11" destOrd="0" presId="urn:microsoft.com/office/officeart/2005/8/layout/list1"/>
    <dgm:cxn modelId="{3B904FA7-2F67-4888-B5AE-9A69745584BA}" type="presParOf" srcId="{98536921-9BDC-40E5-960E-BCF165B928D8}" destId="{CBC9F709-D8A0-44CD-ABE8-7DCF10508FC5}" srcOrd="12" destOrd="0" presId="urn:microsoft.com/office/officeart/2005/8/layout/list1"/>
    <dgm:cxn modelId="{6195F936-68F6-41E2-AACB-4F6B2A878842}" type="presParOf" srcId="{CBC9F709-D8A0-44CD-ABE8-7DCF10508FC5}" destId="{5179F4CF-8595-4E61-845C-73D1EF34CD31}" srcOrd="0" destOrd="0" presId="urn:microsoft.com/office/officeart/2005/8/layout/list1"/>
    <dgm:cxn modelId="{89C80A40-F198-44F6-BEA0-B98A64B8FE61}" type="presParOf" srcId="{CBC9F709-D8A0-44CD-ABE8-7DCF10508FC5}" destId="{6F64CF14-8467-4484-9A12-C334C410F762}" srcOrd="1" destOrd="0" presId="urn:microsoft.com/office/officeart/2005/8/layout/list1"/>
    <dgm:cxn modelId="{B7E90574-D02C-42A3-B123-84E0F552013E}" type="presParOf" srcId="{98536921-9BDC-40E5-960E-BCF165B928D8}" destId="{4AB3459E-87FA-4B84-87A4-9E1BB327EC83}" srcOrd="13" destOrd="0" presId="urn:microsoft.com/office/officeart/2005/8/layout/list1"/>
    <dgm:cxn modelId="{29375690-717A-46BF-A2E2-6AB365005A7E}" type="presParOf" srcId="{98536921-9BDC-40E5-960E-BCF165B928D8}" destId="{067B4B03-07FE-48B0-9977-1406031B1A2F}" srcOrd="14" destOrd="0" presId="urn:microsoft.com/office/officeart/2005/8/layout/list1"/>
    <dgm:cxn modelId="{FB2F1D41-A2E9-4D57-A20E-55EE37ABF476}" type="presParOf" srcId="{98536921-9BDC-40E5-960E-BCF165B928D8}" destId="{964367A2-93D0-463F-815D-8849AE6CAF0E}" srcOrd="15" destOrd="0" presId="urn:microsoft.com/office/officeart/2005/8/layout/list1"/>
    <dgm:cxn modelId="{77ED0610-827B-4F69-831B-42243C54DCBE}" type="presParOf" srcId="{98536921-9BDC-40E5-960E-BCF165B928D8}" destId="{18B3AC6D-0A1E-43FB-B681-4A6C27293FD8}" srcOrd="16" destOrd="0" presId="urn:microsoft.com/office/officeart/2005/8/layout/list1"/>
    <dgm:cxn modelId="{C094EAF7-94DE-40DF-98E7-C0598CEAA360}" type="presParOf" srcId="{18B3AC6D-0A1E-43FB-B681-4A6C27293FD8}" destId="{9F3E37EE-C5B1-4F3F-98E5-DD62B5027EC2}" srcOrd="0" destOrd="0" presId="urn:microsoft.com/office/officeart/2005/8/layout/list1"/>
    <dgm:cxn modelId="{E96E3DA7-01A1-4CED-B6BE-43DEB3CD9430}" type="presParOf" srcId="{18B3AC6D-0A1E-43FB-B681-4A6C27293FD8}" destId="{EC51F40E-C935-484C-B5E3-8B86565CF772}" srcOrd="1" destOrd="0" presId="urn:microsoft.com/office/officeart/2005/8/layout/list1"/>
    <dgm:cxn modelId="{690B36E4-2E7A-4D13-B5F2-5F4C98AA63B2}" type="presParOf" srcId="{98536921-9BDC-40E5-960E-BCF165B928D8}" destId="{093F671A-DA1F-42C3-8722-4D05BF64DF9C}" srcOrd="17" destOrd="0" presId="urn:microsoft.com/office/officeart/2005/8/layout/list1"/>
    <dgm:cxn modelId="{56297BEE-5E43-4721-9449-3E4BC6C9027A}" type="presParOf" srcId="{98536921-9BDC-40E5-960E-BCF165B928D8}" destId="{746A3FB8-B33C-418D-81C5-871AC46003F0}" srcOrd="18" destOrd="0" presId="urn:microsoft.com/office/officeart/2005/8/layout/list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0C4AD7-CD2C-4400-8FBF-FE85D1C76CE5}">
      <dsp:nvSpPr>
        <dsp:cNvPr id="0" name=""/>
        <dsp:cNvSpPr/>
      </dsp:nvSpPr>
      <dsp:spPr>
        <a:xfrm>
          <a:off x="0" y="187199"/>
          <a:ext cx="481965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3706EA2-FAFE-4834-B30F-0421EA897254}">
      <dsp:nvSpPr>
        <dsp:cNvPr id="0" name=""/>
        <dsp:cNvSpPr/>
      </dsp:nvSpPr>
      <dsp:spPr>
        <a:xfrm>
          <a:off x="240982" y="39599"/>
          <a:ext cx="3373755"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520" tIns="0" rIns="127520" bIns="0" numCol="1" spcCol="1270" anchor="ctr" anchorCtr="0">
          <a:noAutofit/>
        </a:bodyPr>
        <a:lstStyle/>
        <a:p>
          <a:pPr marL="0" lvl="0" indent="0" algn="l" defTabSz="444500">
            <a:lnSpc>
              <a:spcPct val="90000"/>
            </a:lnSpc>
            <a:spcBef>
              <a:spcPct val="0"/>
            </a:spcBef>
            <a:spcAft>
              <a:spcPct val="35000"/>
            </a:spcAft>
            <a:buNone/>
          </a:pPr>
          <a:r>
            <a:rPr lang="en-US" sz="1000" kern="1200">
              <a:latin typeface="Times New Roman" pitchFamily="18" charset="0"/>
              <a:cs typeface="Times New Roman" pitchFamily="18" charset="0"/>
            </a:rPr>
            <a:t>Chapter 1: Introduction</a:t>
          </a:r>
        </a:p>
      </dsp:txBody>
      <dsp:txXfrm>
        <a:off x="255392" y="54009"/>
        <a:ext cx="3344935" cy="266380"/>
      </dsp:txXfrm>
    </dsp:sp>
    <dsp:sp modelId="{E34418B7-F682-4036-B641-3341658FAAE0}">
      <dsp:nvSpPr>
        <dsp:cNvPr id="0" name=""/>
        <dsp:cNvSpPr/>
      </dsp:nvSpPr>
      <dsp:spPr>
        <a:xfrm>
          <a:off x="0" y="640799"/>
          <a:ext cx="481965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2317816-F2B4-4791-980C-477481BD19B2}">
      <dsp:nvSpPr>
        <dsp:cNvPr id="0" name=""/>
        <dsp:cNvSpPr/>
      </dsp:nvSpPr>
      <dsp:spPr>
        <a:xfrm>
          <a:off x="240982" y="493199"/>
          <a:ext cx="3373755"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520" tIns="0" rIns="127520" bIns="0" numCol="1" spcCol="1270" anchor="ctr" anchorCtr="0">
          <a:noAutofit/>
        </a:bodyPr>
        <a:lstStyle/>
        <a:p>
          <a:pPr marL="0" lvl="0" indent="0" algn="l" defTabSz="444500">
            <a:lnSpc>
              <a:spcPct val="90000"/>
            </a:lnSpc>
            <a:spcBef>
              <a:spcPct val="0"/>
            </a:spcBef>
            <a:spcAft>
              <a:spcPct val="35000"/>
            </a:spcAft>
            <a:buNone/>
          </a:pPr>
          <a:r>
            <a:rPr lang="en-US" sz="1000" kern="1200">
              <a:latin typeface="Times New Roman" pitchFamily="18" charset="0"/>
              <a:cs typeface="Times New Roman" pitchFamily="18" charset="0"/>
            </a:rPr>
            <a:t>Chapter 2: Literature Review</a:t>
          </a:r>
        </a:p>
      </dsp:txBody>
      <dsp:txXfrm>
        <a:off x="255392" y="507609"/>
        <a:ext cx="3344935" cy="266380"/>
      </dsp:txXfrm>
    </dsp:sp>
    <dsp:sp modelId="{758D0B4D-5BDA-48EF-9F70-1E1EBD2E7968}">
      <dsp:nvSpPr>
        <dsp:cNvPr id="0" name=""/>
        <dsp:cNvSpPr/>
      </dsp:nvSpPr>
      <dsp:spPr>
        <a:xfrm>
          <a:off x="0" y="1094400"/>
          <a:ext cx="481965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92E475E-9883-4DA2-ABA1-839DCDE25A49}">
      <dsp:nvSpPr>
        <dsp:cNvPr id="0" name=""/>
        <dsp:cNvSpPr/>
      </dsp:nvSpPr>
      <dsp:spPr>
        <a:xfrm>
          <a:off x="240982" y="946799"/>
          <a:ext cx="3373755"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520" tIns="0" rIns="127520" bIns="0" numCol="1" spcCol="1270" anchor="ctr" anchorCtr="0">
          <a:noAutofit/>
        </a:bodyPr>
        <a:lstStyle/>
        <a:p>
          <a:pPr marL="0" lvl="0" indent="0" algn="l" defTabSz="444500">
            <a:lnSpc>
              <a:spcPct val="90000"/>
            </a:lnSpc>
            <a:spcBef>
              <a:spcPct val="0"/>
            </a:spcBef>
            <a:spcAft>
              <a:spcPct val="35000"/>
            </a:spcAft>
            <a:buNone/>
          </a:pPr>
          <a:r>
            <a:rPr lang="en-US" sz="1000" kern="1200">
              <a:latin typeface="Times New Roman" pitchFamily="18" charset="0"/>
              <a:cs typeface="Times New Roman" pitchFamily="18" charset="0"/>
            </a:rPr>
            <a:t>Chapter 3: Theoretical Background</a:t>
          </a:r>
        </a:p>
      </dsp:txBody>
      <dsp:txXfrm>
        <a:off x="255392" y="961209"/>
        <a:ext cx="3344935" cy="266380"/>
      </dsp:txXfrm>
    </dsp:sp>
    <dsp:sp modelId="{1045A6CA-0DAC-4EA9-B1A4-54958A8177DB}">
      <dsp:nvSpPr>
        <dsp:cNvPr id="0" name=""/>
        <dsp:cNvSpPr/>
      </dsp:nvSpPr>
      <dsp:spPr>
        <a:xfrm>
          <a:off x="0" y="1548000"/>
          <a:ext cx="481965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81BA518-6FF7-4B74-9BB0-AF09D72DDF73}">
      <dsp:nvSpPr>
        <dsp:cNvPr id="0" name=""/>
        <dsp:cNvSpPr/>
      </dsp:nvSpPr>
      <dsp:spPr>
        <a:xfrm>
          <a:off x="240982" y="1400400"/>
          <a:ext cx="3373755"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520" tIns="0" rIns="127520" bIns="0" numCol="1" spcCol="1270" anchor="ctr" anchorCtr="0">
          <a:noAutofit/>
        </a:bodyPr>
        <a:lstStyle/>
        <a:p>
          <a:pPr marL="0" lvl="0" indent="0" algn="l" defTabSz="444500">
            <a:lnSpc>
              <a:spcPct val="90000"/>
            </a:lnSpc>
            <a:spcBef>
              <a:spcPct val="0"/>
            </a:spcBef>
            <a:spcAft>
              <a:spcPct val="35000"/>
            </a:spcAft>
            <a:buNone/>
          </a:pPr>
          <a:r>
            <a:rPr lang="en-US" sz="1000" kern="1200">
              <a:latin typeface="Times New Roman" pitchFamily="18" charset="0"/>
              <a:cs typeface="Times New Roman" pitchFamily="18" charset="0"/>
            </a:rPr>
            <a:t>Chapter 4: Data and Methodology</a:t>
          </a:r>
        </a:p>
      </dsp:txBody>
      <dsp:txXfrm>
        <a:off x="255392" y="1414810"/>
        <a:ext cx="3344935" cy="266380"/>
      </dsp:txXfrm>
    </dsp:sp>
    <dsp:sp modelId="{DAFF0728-8F41-41EC-835C-448883EF9847}">
      <dsp:nvSpPr>
        <dsp:cNvPr id="0" name=""/>
        <dsp:cNvSpPr/>
      </dsp:nvSpPr>
      <dsp:spPr>
        <a:xfrm>
          <a:off x="0" y="2001600"/>
          <a:ext cx="481965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2E5FF81-7E3D-4987-81A8-F6F157089515}">
      <dsp:nvSpPr>
        <dsp:cNvPr id="0" name=""/>
        <dsp:cNvSpPr/>
      </dsp:nvSpPr>
      <dsp:spPr>
        <a:xfrm>
          <a:off x="240982" y="1854000"/>
          <a:ext cx="3373755"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520" tIns="0" rIns="127520" bIns="0" numCol="1" spcCol="1270" anchor="ctr" anchorCtr="0">
          <a:noAutofit/>
        </a:bodyPr>
        <a:lstStyle/>
        <a:p>
          <a:pPr marL="0" lvl="0" indent="0" algn="l" defTabSz="444500">
            <a:lnSpc>
              <a:spcPct val="90000"/>
            </a:lnSpc>
            <a:spcBef>
              <a:spcPct val="0"/>
            </a:spcBef>
            <a:spcAft>
              <a:spcPct val="35000"/>
            </a:spcAft>
            <a:buNone/>
          </a:pPr>
          <a:r>
            <a:rPr lang="en-US" sz="1000" kern="1200">
              <a:latin typeface="Times New Roman" pitchFamily="18" charset="0"/>
              <a:cs typeface="Times New Roman" pitchFamily="18" charset="0"/>
            </a:rPr>
            <a:t>Chapter 5: Dissertation Findings and Analysis</a:t>
          </a:r>
        </a:p>
      </dsp:txBody>
      <dsp:txXfrm>
        <a:off x="255392" y="1868410"/>
        <a:ext cx="3344935" cy="266380"/>
      </dsp:txXfrm>
    </dsp:sp>
    <dsp:sp modelId="{9B3BFE3E-B617-421E-B2EA-A64A60467FEC}">
      <dsp:nvSpPr>
        <dsp:cNvPr id="0" name=""/>
        <dsp:cNvSpPr/>
      </dsp:nvSpPr>
      <dsp:spPr>
        <a:xfrm>
          <a:off x="0" y="2455200"/>
          <a:ext cx="481965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29B28B4-83C8-4A59-BEB9-3F72F4D4F256}">
      <dsp:nvSpPr>
        <dsp:cNvPr id="0" name=""/>
        <dsp:cNvSpPr/>
      </dsp:nvSpPr>
      <dsp:spPr>
        <a:xfrm>
          <a:off x="240982" y="2307599"/>
          <a:ext cx="3373755"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520" tIns="0" rIns="127520" bIns="0" numCol="1" spcCol="1270" anchor="ctr" anchorCtr="0">
          <a:noAutofit/>
        </a:bodyPr>
        <a:lstStyle/>
        <a:p>
          <a:pPr marL="0" lvl="0" indent="0" algn="l" defTabSz="444500">
            <a:lnSpc>
              <a:spcPct val="90000"/>
            </a:lnSpc>
            <a:spcBef>
              <a:spcPct val="0"/>
            </a:spcBef>
            <a:spcAft>
              <a:spcPct val="35000"/>
            </a:spcAft>
            <a:buNone/>
          </a:pPr>
          <a:r>
            <a:rPr lang="en-US" sz="1000" kern="1200">
              <a:latin typeface="Times New Roman" pitchFamily="18" charset="0"/>
              <a:cs typeface="Times New Roman" pitchFamily="18" charset="0"/>
            </a:rPr>
            <a:t>Chapter 6: </a:t>
          </a:r>
          <a:r>
            <a:rPr lang="en-GB" sz="1000" kern="1200">
              <a:latin typeface="Times New Roman" pitchFamily="18" charset="0"/>
              <a:cs typeface="Times New Roman" pitchFamily="18" charset="0"/>
            </a:rPr>
            <a:t>Implications and Suggestions for Future Research</a:t>
          </a:r>
          <a:endParaRPr lang="en-US" sz="1000" kern="1200">
            <a:latin typeface="Times New Roman" pitchFamily="18" charset="0"/>
            <a:cs typeface="Times New Roman" pitchFamily="18" charset="0"/>
          </a:endParaRPr>
        </a:p>
      </dsp:txBody>
      <dsp:txXfrm>
        <a:off x="255392" y="2322009"/>
        <a:ext cx="3344935" cy="266380"/>
      </dsp:txXfrm>
    </dsp:sp>
    <dsp:sp modelId="{2AB44A17-127D-47E6-84ED-11C0E4713C42}">
      <dsp:nvSpPr>
        <dsp:cNvPr id="0" name=""/>
        <dsp:cNvSpPr/>
      </dsp:nvSpPr>
      <dsp:spPr>
        <a:xfrm>
          <a:off x="0" y="2908800"/>
          <a:ext cx="481965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FBDB6A3-32C2-44DE-82C1-3AE6FDF5E088}">
      <dsp:nvSpPr>
        <dsp:cNvPr id="0" name=""/>
        <dsp:cNvSpPr/>
      </dsp:nvSpPr>
      <dsp:spPr>
        <a:xfrm>
          <a:off x="240982" y="2761200"/>
          <a:ext cx="3373755"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520" tIns="0" rIns="127520" bIns="0" numCol="1" spcCol="1270" anchor="ctr" anchorCtr="0">
          <a:noAutofit/>
        </a:bodyPr>
        <a:lstStyle/>
        <a:p>
          <a:pPr marL="0" lvl="0" indent="0" algn="l" defTabSz="444500">
            <a:lnSpc>
              <a:spcPct val="90000"/>
            </a:lnSpc>
            <a:spcBef>
              <a:spcPct val="0"/>
            </a:spcBef>
            <a:spcAft>
              <a:spcPct val="35000"/>
            </a:spcAft>
            <a:buNone/>
          </a:pPr>
          <a:r>
            <a:rPr lang="en-US" sz="1000" kern="1200">
              <a:latin typeface="Times New Roman" pitchFamily="18" charset="0"/>
              <a:cs typeface="Times New Roman" pitchFamily="18" charset="0"/>
            </a:rPr>
            <a:t>Chapter 7: Conclusion</a:t>
          </a:r>
        </a:p>
      </dsp:txBody>
      <dsp:txXfrm>
        <a:off x="255392" y="2775610"/>
        <a:ext cx="3344935" cy="2663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B6D56C-1A87-43CB-AA55-BDF9B070F010}">
      <dsp:nvSpPr>
        <dsp:cNvPr id="0" name=""/>
        <dsp:cNvSpPr/>
      </dsp:nvSpPr>
      <dsp:spPr>
        <a:xfrm>
          <a:off x="0" y="149099"/>
          <a:ext cx="548640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50AF21E-ED62-419D-8DE8-744F62B02BC8}">
      <dsp:nvSpPr>
        <dsp:cNvPr id="0" name=""/>
        <dsp:cNvSpPr/>
      </dsp:nvSpPr>
      <dsp:spPr>
        <a:xfrm>
          <a:off x="274320" y="1499"/>
          <a:ext cx="3840480"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Introduction</a:t>
          </a:r>
        </a:p>
      </dsp:txBody>
      <dsp:txXfrm>
        <a:off x="288730" y="15909"/>
        <a:ext cx="3811660" cy="266380"/>
      </dsp:txXfrm>
    </dsp:sp>
    <dsp:sp modelId="{2AB97D9E-3B3B-4DF2-A453-782AD237530F}">
      <dsp:nvSpPr>
        <dsp:cNvPr id="0" name=""/>
        <dsp:cNvSpPr/>
      </dsp:nvSpPr>
      <dsp:spPr>
        <a:xfrm>
          <a:off x="0" y="602699"/>
          <a:ext cx="548640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8A2E093-A274-4EFE-9F31-459FF526ECD9}">
      <dsp:nvSpPr>
        <dsp:cNvPr id="0" name=""/>
        <dsp:cNvSpPr/>
      </dsp:nvSpPr>
      <dsp:spPr>
        <a:xfrm>
          <a:off x="274320" y="455099"/>
          <a:ext cx="3840480"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Statement of the Problem</a:t>
          </a:r>
        </a:p>
      </dsp:txBody>
      <dsp:txXfrm>
        <a:off x="288730" y="469509"/>
        <a:ext cx="3811660" cy="266380"/>
      </dsp:txXfrm>
    </dsp:sp>
    <dsp:sp modelId="{6BC2DE2F-D47D-42E0-B693-72BF2AA12824}">
      <dsp:nvSpPr>
        <dsp:cNvPr id="0" name=""/>
        <dsp:cNvSpPr/>
      </dsp:nvSpPr>
      <dsp:spPr>
        <a:xfrm>
          <a:off x="0" y="1056299"/>
          <a:ext cx="548640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094D0C4-31E9-4D31-BD09-1B2A68CC66AE}">
      <dsp:nvSpPr>
        <dsp:cNvPr id="0" name=""/>
        <dsp:cNvSpPr/>
      </dsp:nvSpPr>
      <dsp:spPr>
        <a:xfrm>
          <a:off x="274320" y="908699"/>
          <a:ext cx="3840480"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Research Context</a:t>
          </a:r>
        </a:p>
      </dsp:txBody>
      <dsp:txXfrm>
        <a:off x="288730" y="923109"/>
        <a:ext cx="3811660" cy="266380"/>
      </dsp:txXfrm>
    </dsp:sp>
    <dsp:sp modelId="{905485EE-07FF-4500-9FDA-284CB135BA85}">
      <dsp:nvSpPr>
        <dsp:cNvPr id="0" name=""/>
        <dsp:cNvSpPr/>
      </dsp:nvSpPr>
      <dsp:spPr>
        <a:xfrm>
          <a:off x="0" y="1509899"/>
          <a:ext cx="548640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1FEB157-1B6D-4467-9AA0-8A5162B102C6}">
      <dsp:nvSpPr>
        <dsp:cNvPr id="0" name=""/>
        <dsp:cNvSpPr/>
      </dsp:nvSpPr>
      <dsp:spPr>
        <a:xfrm>
          <a:off x="274320" y="1362299"/>
          <a:ext cx="3840480"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Justification for the Study</a:t>
          </a:r>
        </a:p>
      </dsp:txBody>
      <dsp:txXfrm>
        <a:off x="288730" y="1376709"/>
        <a:ext cx="3811660" cy="266380"/>
      </dsp:txXfrm>
    </dsp:sp>
    <dsp:sp modelId="{D65A694D-CBF3-4CB5-9674-EB3A012D9467}">
      <dsp:nvSpPr>
        <dsp:cNvPr id="0" name=""/>
        <dsp:cNvSpPr/>
      </dsp:nvSpPr>
      <dsp:spPr>
        <a:xfrm>
          <a:off x="0" y="1963500"/>
          <a:ext cx="548640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A79F889-93E8-4859-ABE1-F2CCBDAF33E2}">
      <dsp:nvSpPr>
        <dsp:cNvPr id="0" name=""/>
        <dsp:cNvSpPr/>
      </dsp:nvSpPr>
      <dsp:spPr>
        <a:xfrm>
          <a:off x="274320" y="1815900"/>
          <a:ext cx="3840480"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Research Questions and Objectives</a:t>
          </a:r>
        </a:p>
      </dsp:txBody>
      <dsp:txXfrm>
        <a:off x="288730" y="1830310"/>
        <a:ext cx="3811660" cy="266380"/>
      </dsp:txXfrm>
    </dsp:sp>
    <dsp:sp modelId="{F6D07D80-5E05-40EF-A291-F8771B3B21C9}">
      <dsp:nvSpPr>
        <dsp:cNvPr id="0" name=""/>
        <dsp:cNvSpPr/>
      </dsp:nvSpPr>
      <dsp:spPr>
        <a:xfrm>
          <a:off x="0" y="2417100"/>
          <a:ext cx="548640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0017630-5636-444F-A49E-A6B435A69FFF}">
      <dsp:nvSpPr>
        <dsp:cNvPr id="0" name=""/>
        <dsp:cNvSpPr/>
      </dsp:nvSpPr>
      <dsp:spPr>
        <a:xfrm>
          <a:off x="274320" y="2269499"/>
          <a:ext cx="3840480"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Research Contribution</a:t>
          </a:r>
        </a:p>
      </dsp:txBody>
      <dsp:txXfrm>
        <a:off x="288730" y="2283909"/>
        <a:ext cx="3811660" cy="266380"/>
      </dsp:txXfrm>
    </dsp:sp>
    <dsp:sp modelId="{90EE4DA5-458D-405B-96A8-8067D1825E2F}">
      <dsp:nvSpPr>
        <dsp:cNvPr id="0" name=""/>
        <dsp:cNvSpPr/>
      </dsp:nvSpPr>
      <dsp:spPr>
        <a:xfrm>
          <a:off x="0" y="2870700"/>
          <a:ext cx="5486400" cy="252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8CF40BA-A475-4116-8FEE-0315A86955BE}">
      <dsp:nvSpPr>
        <dsp:cNvPr id="0" name=""/>
        <dsp:cNvSpPr/>
      </dsp:nvSpPr>
      <dsp:spPr>
        <a:xfrm>
          <a:off x="274320" y="2723100"/>
          <a:ext cx="3840480" cy="29520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Summary</a:t>
          </a:r>
        </a:p>
      </dsp:txBody>
      <dsp:txXfrm>
        <a:off x="288730" y="2737510"/>
        <a:ext cx="3811660" cy="2663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FBFE83-F19A-4CA1-8271-E962C2CE6758}">
      <dsp:nvSpPr>
        <dsp:cNvPr id="0" name=""/>
        <dsp:cNvSpPr/>
      </dsp:nvSpPr>
      <dsp:spPr>
        <a:xfrm>
          <a:off x="0" y="131367"/>
          <a:ext cx="4811150" cy="176400"/>
        </a:xfrm>
        <a:prstGeom prst="rect">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C51F870-5BD2-4E8C-8EC9-7A5463FC3600}">
      <dsp:nvSpPr>
        <dsp:cNvPr id="0" name=""/>
        <dsp:cNvSpPr/>
      </dsp:nvSpPr>
      <dsp:spPr>
        <a:xfrm>
          <a:off x="240557" y="28047"/>
          <a:ext cx="3367805" cy="20664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295" tIns="0" rIns="12729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HIT Overview</a:t>
          </a:r>
        </a:p>
      </dsp:txBody>
      <dsp:txXfrm>
        <a:off x="250644" y="38134"/>
        <a:ext cx="3347631" cy="186466"/>
      </dsp:txXfrm>
    </dsp:sp>
    <dsp:sp modelId="{6A777C60-A96B-489A-9461-26D9024B46E2}">
      <dsp:nvSpPr>
        <dsp:cNvPr id="0" name=""/>
        <dsp:cNvSpPr/>
      </dsp:nvSpPr>
      <dsp:spPr>
        <a:xfrm>
          <a:off x="0" y="448887"/>
          <a:ext cx="4811150" cy="176400"/>
        </a:xfrm>
        <a:prstGeom prst="rect">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74F395B-3FD2-4253-81C1-D4E43BC3F440}">
      <dsp:nvSpPr>
        <dsp:cNvPr id="0" name=""/>
        <dsp:cNvSpPr/>
      </dsp:nvSpPr>
      <dsp:spPr>
        <a:xfrm>
          <a:off x="240557" y="345567"/>
          <a:ext cx="3367805" cy="20664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295" tIns="0" rIns="12729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HIT in the Healthcare Systems</a:t>
          </a:r>
        </a:p>
      </dsp:txBody>
      <dsp:txXfrm>
        <a:off x="250644" y="355654"/>
        <a:ext cx="3347631" cy="186466"/>
      </dsp:txXfrm>
    </dsp:sp>
    <dsp:sp modelId="{2B7B4AA4-4C68-46C9-86F1-46F3B15AFCC3}">
      <dsp:nvSpPr>
        <dsp:cNvPr id="0" name=""/>
        <dsp:cNvSpPr/>
      </dsp:nvSpPr>
      <dsp:spPr>
        <a:xfrm>
          <a:off x="0" y="766407"/>
          <a:ext cx="4811150" cy="176400"/>
        </a:xfrm>
        <a:prstGeom prst="rect">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3AFF42A-3E07-4FF5-A2CF-41BB970C331A}">
      <dsp:nvSpPr>
        <dsp:cNvPr id="0" name=""/>
        <dsp:cNvSpPr/>
      </dsp:nvSpPr>
      <dsp:spPr>
        <a:xfrm>
          <a:off x="240557" y="663087"/>
          <a:ext cx="3367805" cy="20664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295" tIns="0" rIns="12729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The Role of Stakeholders</a:t>
          </a:r>
        </a:p>
      </dsp:txBody>
      <dsp:txXfrm>
        <a:off x="250644" y="673174"/>
        <a:ext cx="3347631" cy="186466"/>
      </dsp:txXfrm>
    </dsp:sp>
    <dsp:sp modelId="{344808C6-76FA-4029-AEBB-1335B77313CE}">
      <dsp:nvSpPr>
        <dsp:cNvPr id="0" name=""/>
        <dsp:cNvSpPr/>
      </dsp:nvSpPr>
      <dsp:spPr>
        <a:xfrm>
          <a:off x="0" y="1083927"/>
          <a:ext cx="4811150" cy="176400"/>
        </a:xfrm>
        <a:prstGeom prst="rect">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641B412-EF17-423C-AB68-F8CE86C4A52B}">
      <dsp:nvSpPr>
        <dsp:cNvPr id="0" name=""/>
        <dsp:cNvSpPr/>
      </dsp:nvSpPr>
      <dsp:spPr>
        <a:xfrm>
          <a:off x="240557" y="980607"/>
          <a:ext cx="3367805" cy="20664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295" tIns="0" rIns="12729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Motivators for HIT Adoption</a:t>
          </a:r>
        </a:p>
      </dsp:txBody>
      <dsp:txXfrm>
        <a:off x="250644" y="990694"/>
        <a:ext cx="3347631" cy="186466"/>
      </dsp:txXfrm>
    </dsp:sp>
    <dsp:sp modelId="{7B45742E-D37B-40DA-9A67-616573F48719}">
      <dsp:nvSpPr>
        <dsp:cNvPr id="0" name=""/>
        <dsp:cNvSpPr/>
      </dsp:nvSpPr>
      <dsp:spPr>
        <a:xfrm>
          <a:off x="0" y="1401447"/>
          <a:ext cx="4811150" cy="176400"/>
        </a:xfrm>
        <a:prstGeom prst="rect">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72A2802-51EE-4D26-9507-93115C5F91D2}">
      <dsp:nvSpPr>
        <dsp:cNvPr id="0" name=""/>
        <dsp:cNvSpPr/>
      </dsp:nvSpPr>
      <dsp:spPr>
        <a:xfrm>
          <a:off x="240557" y="1298127"/>
          <a:ext cx="3367805" cy="20664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295" tIns="0" rIns="12729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Barriers to HIT Adoption</a:t>
          </a:r>
        </a:p>
      </dsp:txBody>
      <dsp:txXfrm>
        <a:off x="250644" y="1308214"/>
        <a:ext cx="3347631" cy="186466"/>
      </dsp:txXfrm>
    </dsp:sp>
    <dsp:sp modelId="{0AC490F3-25B7-404A-A5AF-A67CB00A3CFD}">
      <dsp:nvSpPr>
        <dsp:cNvPr id="0" name=""/>
        <dsp:cNvSpPr/>
      </dsp:nvSpPr>
      <dsp:spPr>
        <a:xfrm>
          <a:off x="0" y="1718967"/>
          <a:ext cx="4811150" cy="176400"/>
        </a:xfrm>
        <a:prstGeom prst="rect">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ADD500D-18B0-40E6-A73B-E58A4E6E5ED4}">
      <dsp:nvSpPr>
        <dsp:cNvPr id="0" name=""/>
        <dsp:cNvSpPr/>
      </dsp:nvSpPr>
      <dsp:spPr>
        <a:xfrm>
          <a:off x="240557" y="1615647"/>
          <a:ext cx="3367805" cy="20664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295" tIns="0" rIns="12729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Summary</a:t>
          </a:r>
          <a:endParaRPr lang="en-US" sz="1200" kern="1200"/>
        </a:p>
      </dsp:txBody>
      <dsp:txXfrm>
        <a:off x="250644" y="1625734"/>
        <a:ext cx="3347631" cy="18646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FEEEE7-4953-4A36-A6F7-2C90AFB6F567}">
      <dsp:nvSpPr>
        <dsp:cNvPr id="0" name=""/>
        <dsp:cNvSpPr/>
      </dsp:nvSpPr>
      <dsp:spPr>
        <a:xfrm>
          <a:off x="0" y="158354"/>
          <a:ext cx="5064369" cy="176400"/>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9741EE74-22C6-43DA-BFE4-8CFCE32E8C24}">
      <dsp:nvSpPr>
        <dsp:cNvPr id="0" name=""/>
        <dsp:cNvSpPr/>
      </dsp:nvSpPr>
      <dsp:spPr>
        <a:xfrm>
          <a:off x="253218" y="55034"/>
          <a:ext cx="3545058" cy="20664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995" tIns="0" rIns="133995" bIns="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solidFill>
              <a:latin typeface="Times New Roman" pitchFamily="18" charset="0"/>
              <a:cs typeface="Times New Roman" pitchFamily="18" charset="0"/>
            </a:rPr>
            <a:t>Stakeholder Theory</a:t>
          </a:r>
        </a:p>
      </dsp:txBody>
      <dsp:txXfrm>
        <a:off x="263305" y="65121"/>
        <a:ext cx="3524884" cy="186466"/>
      </dsp:txXfrm>
    </dsp:sp>
    <dsp:sp modelId="{895F8944-01AE-40E8-90D0-6FDE700F984F}">
      <dsp:nvSpPr>
        <dsp:cNvPr id="0" name=""/>
        <dsp:cNvSpPr/>
      </dsp:nvSpPr>
      <dsp:spPr>
        <a:xfrm>
          <a:off x="0" y="475875"/>
          <a:ext cx="5064369" cy="176400"/>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D72956BE-0059-4068-885C-ACE60523C33C}">
      <dsp:nvSpPr>
        <dsp:cNvPr id="0" name=""/>
        <dsp:cNvSpPr/>
      </dsp:nvSpPr>
      <dsp:spPr>
        <a:xfrm>
          <a:off x="253218" y="372554"/>
          <a:ext cx="3545058" cy="20664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995" tIns="0" rIns="133995" bIns="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solidFill>
              <a:latin typeface="Times New Roman" pitchFamily="18" charset="0"/>
              <a:cs typeface="Times New Roman" pitchFamily="18" charset="0"/>
            </a:rPr>
            <a:t>Stakeholder Theory in Healthcare</a:t>
          </a:r>
        </a:p>
      </dsp:txBody>
      <dsp:txXfrm>
        <a:off x="263305" y="382641"/>
        <a:ext cx="3524884" cy="186466"/>
      </dsp:txXfrm>
    </dsp:sp>
    <dsp:sp modelId="{B405DD94-4B98-4CC3-A276-217B45FE1C9D}">
      <dsp:nvSpPr>
        <dsp:cNvPr id="0" name=""/>
        <dsp:cNvSpPr/>
      </dsp:nvSpPr>
      <dsp:spPr>
        <a:xfrm>
          <a:off x="0" y="793395"/>
          <a:ext cx="5064369" cy="176400"/>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0B0F6AB6-BA81-4D18-AA9A-5739C43303F4}">
      <dsp:nvSpPr>
        <dsp:cNvPr id="0" name=""/>
        <dsp:cNvSpPr/>
      </dsp:nvSpPr>
      <dsp:spPr>
        <a:xfrm>
          <a:off x="253218" y="690075"/>
          <a:ext cx="3545058" cy="20664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995" tIns="0" rIns="133995" bIns="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solidFill>
              <a:latin typeface="Times New Roman" pitchFamily="18" charset="0"/>
              <a:cs typeface="Times New Roman" pitchFamily="18" charset="0"/>
            </a:rPr>
            <a:t>The UTAUT Model</a:t>
          </a:r>
        </a:p>
      </dsp:txBody>
      <dsp:txXfrm>
        <a:off x="263305" y="700162"/>
        <a:ext cx="3524884" cy="186466"/>
      </dsp:txXfrm>
    </dsp:sp>
    <dsp:sp modelId="{AE87AD2E-AAB7-4EA3-8D93-2831969F329D}">
      <dsp:nvSpPr>
        <dsp:cNvPr id="0" name=""/>
        <dsp:cNvSpPr/>
      </dsp:nvSpPr>
      <dsp:spPr>
        <a:xfrm>
          <a:off x="0" y="1110915"/>
          <a:ext cx="5064369" cy="176400"/>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FA0969ED-2A16-4B1F-89D8-978D5171A645}">
      <dsp:nvSpPr>
        <dsp:cNvPr id="0" name=""/>
        <dsp:cNvSpPr/>
      </dsp:nvSpPr>
      <dsp:spPr>
        <a:xfrm>
          <a:off x="253218" y="1007595"/>
          <a:ext cx="3545058" cy="20664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995" tIns="0" rIns="133995" bIns="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solidFill>
              <a:latin typeface="Times New Roman" pitchFamily="18" charset="0"/>
              <a:cs typeface="Times New Roman" pitchFamily="18" charset="0"/>
            </a:rPr>
            <a:t>The UTAUT Model in Healthcare</a:t>
          </a:r>
        </a:p>
      </dsp:txBody>
      <dsp:txXfrm>
        <a:off x="263305" y="1017682"/>
        <a:ext cx="3524884" cy="186466"/>
      </dsp:txXfrm>
    </dsp:sp>
    <dsp:sp modelId="{D721B527-47A0-4D00-9746-D64DF0E23320}">
      <dsp:nvSpPr>
        <dsp:cNvPr id="0" name=""/>
        <dsp:cNvSpPr/>
      </dsp:nvSpPr>
      <dsp:spPr>
        <a:xfrm>
          <a:off x="0" y="1428435"/>
          <a:ext cx="5064369" cy="176400"/>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2282A236-FD01-4348-81D1-5AAE61EF4FD4}">
      <dsp:nvSpPr>
        <dsp:cNvPr id="0" name=""/>
        <dsp:cNvSpPr/>
      </dsp:nvSpPr>
      <dsp:spPr>
        <a:xfrm>
          <a:off x="253218" y="1325115"/>
          <a:ext cx="3545058" cy="20664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995" tIns="0" rIns="133995" bIns="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solidFill>
              <a:latin typeface="Times New Roman" pitchFamily="18" charset="0"/>
              <a:cs typeface="Times New Roman" pitchFamily="18" charset="0"/>
            </a:rPr>
            <a:t>The Present Research</a:t>
          </a:r>
        </a:p>
      </dsp:txBody>
      <dsp:txXfrm>
        <a:off x="263305" y="1335202"/>
        <a:ext cx="3524884" cy="186466"/>
      </dsp:txXfrm>
    </dsp:sp>
    <dsp:sp modelId="{0D21E851-ECE4-433F-94AE-1BB0F0BA86E0}">
      <dsp:nvSpPr>
        <dsp:cNvPr id="0" name=""/>
        <dsp:cNvSpPr/>
      </dsp:nvSpPr>
      <dsp:spPr>
        <a:xfrm>
          <a:off x="0" y="1745955"/>
          <a:ext cx="5064369" cy="176400"/>
        </a:xfrm>
        <a:prstGeom prst="rect">
          <a:avLst/>
        </a:prstGeom>
        <a:solidFill>
          <a:schemeClr val="dk2">
            <a:alpha val="90000"/>
            <a:tint val="4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1EEAC323-D728-42CE-8E84-F8EA537C8780}">
      <dsp:nvSpPr>
        <dsp:cNvPr id="0" name=""/>
        <dsp:cNvSpPr/>
      </dsp:nvSpPr>
      <dsp:spPr>
        <a:xfrm>
          <a:off x="253218" y="1642634"/>
          <a:ext cx="3545058" cy="206640"/>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995" tIns="0" rIns="13399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Summary</a:t>
          </a:r>
        </a:p>
      </dsp:txBody>
      <dsp:txXfrm>
        <a:off x="263305" y="1652721"/>
        <a:ext cx="3524884" cy="18646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0C4AD7-CD2C-4400-8FBF-FE85D1C76CE5}">
      <dsp:nvSpPr>
        <dsp:cNvPr id="0" name=""/>
        <dsp:cNvSpPr/>
      </dsp:nvSpPr>
      <dsp:spPr>
        <a:xfrm>
          <a:off x="0" y="75094"/>
          <a:ext cx="4958861" cy="378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3706EA2-FAFE-4834-B30F-0421EA897254}">
      <dsp:nvSpPr>
        <dsp:cNvPr id="0" name=""/>
        <dsp:cNvSpPr/>
      </dsp:nvSpPr>
      <dsp:spPr>
        <a:xfrm>
          <a:off x="247943" y="2581"/>
          <a:ext cx="4132397" cy="293912"/>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1203" tIns="0" rIns="13120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Background of the Research Methodology</a:t>
          </a:r>
        </a:p>
      </dsp:txBody>
      <dsp:txXfrm>
        <a:off x="262291" y="16929"/>
        <a:ext cx="4103701" cy="265216"/>
      </dsp:txXfrm>
    </dsp:sp>
    <dsp:sp modelId="{D0D5E321-62C7-428A-B022-836432494EBF}">
      <dsp:nvSpPr>
        <dsp:cNvPr id="0" name=""/>
        <dsp:cNvSpPr/>
      </dsp:nvSpPr>
      <dsp:spPr>
        <a:xfrm>
          <a:off x="0" y="606607"/>
          <a:ext cx="4958861" cy="378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5D2BDE1-9F7A-40ED-8BA4-70BB6E6EEC85}">
      <dsp:nvSpPr>
        <dsp:cNvPr id="0" name=""/>
        <dsp:cNvSpPr/>
      </dsp:nvSpPr>
      <dsp:spPr>
        <a:xfrm>
          <a:off x="247943" y="534094"/>
          <a:ext cx="4132397" cy="293912"/>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1203" tIns="0" rIns="13120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Justification for the Research Methodology</a:t>
          </a:r>
        </a:p>
      </dsp:txBody>
      <dsp:txXfrm>
        <a:off x="262291" y="548442"/>
        <a:ext cx="4103701" cy="265216"/>
      </dsp:txXfrm>
    </dsp:sp>
    <dsp:sp modelId="{E34418B7-F682-4036-B641-3341658FAAE0}">
      <dsp:nvSpPr>
        <dsp:cNvPr id="0" name=""/>
        <dsp:cNvSpPr/>
      </dsp:nvSpPr>
      <dsp:spPr>
        <a:xfrm>
          <a:off x="0" y="1118526"/>
          <a:ext cx="4958861" cy="378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2317816-F2B4-4791-980C-477481BD19B2}">
      <dsp:nvSpPr>
        <dsp:cNvPr id="0" name=""/>
        <dsp:cNvSpPr/>
      </dsp:nvSpPr>
      <dsp:spPr>
        <a:xfrm>
          <a:off x="247943" y="1065607"/>
          <a:ext cx="4132397" cy="274319"/>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1203" tIns="0" rIns="13120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Step 1 (Qualitative): Exploratory Factor Analysis (EFA)</a:t>
          </a:r>
        </a:p>
      </dsp:txBody>
      <dsp:txXfrm>
        <a:off x="261334" y="1078998"/>
        <a:ext cx="4105615" cy="247537"/>
      </dsp:txXfrm>
    </dsp:sp>
    <dsp:sp modelId="{758D0B4D-5BDA-48EF-9F70-1E1EBD2E7968}">
      <dsp:nvSpPr>
        <dsp:cNvPr id="0" name=""/>
        <dsp:cNvSpPr/>
      </dsp:nvSpPr>
      <dsp:spPr>
        <a:xfrm>
          <a:off x="0" y="1813325"/>
          <a:ext cx="4958861" cy="378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92E475E-9883-4DA2-ABA1-839DCDE25A49}">
      <dsp:nvSpPr>
        <dsp:cNvPr id="0" name=""/>
        <dsp:cNvSpPr/>
      </dsp:nvSpPr>
      <dsp:spPr>
        <a:xfrm>
          <a:off x="247943" y="1577526"/>
          <a:ext cx="4136423" cy="457199"/>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1203" tIns="0" rIns="13120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Step 2 (Quantitative): Factor Analyses and Structural Equation Modeling (SEM)</a:t>
          </a:r>
        </a:p>
      </dsp:txBody>
      <dsp:txXfrm>
        <a:off x="270262" y="1599845"/>
        <a:ext cx="4091785" cy="412561"/>
      </dsp:txXfrm>
    </dsp:sp>
    <dsp:sp modelId="{570A4D24-C3F1-4960-894D-E84EA1F4A110}">
      <dsp:nvSpPr>
        <dsp:cNvPr id="0" name=""/>
        <dsp:cNvSpPr/>
      </dsp:nvSpPr>
      <dsp:spPr>
        <a:xfrm>
          <a:off x="0" y="2344838"/>
          <a:ext cx="4958861" cy="3780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05DA949-7E85-4436-AC9E-E42CE6A11B8E}">
      <dsp:nvSpPr>
        <dsp:cNvPr id="0" name=""/>
        <dsp:cNvSpPr/>
      </dsp:nvSpPr>
      <dsp:spPr>
        <a:xfrm>
          <a:off x="247943" y="2272325"/>
          <a:ext cx="4132397" cy="293912"/>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1203" tIns="0" rIns="131203"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Summary</a:t>
          </a:r>
        </a:p>
      </dsp:txBody>
      <dsp:txXfrm>
        <a:off x="262291" y="2286673"/>
        <a:ext cx="4103701" cy="26521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911339-611D-4BCB-BB4C-4806999EEDBA}">
      <dsp:nvSpPr>
        <dsp:cNvPr id="0" name=""/>
        <dsp:cNvSpPr/>
      </dsp:nvSpPr>
      <dsp:spPr>
        <a:xfrm>
          <a:off x="0" y="227147"/>
          <a:ext cx="4953000" cy="2772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5D78A91-1FAF-4412-AA1F-6258D2E11D7A}">
      <dsp:nvSpPr>
        <dsp:cNvPr id="0" name=""/>
        <dsp:cNvSpPr/>
      </dsp:nvSpPr>
      <dsp:spPr>
        <a:xfrm>
          <a:off x="247650" y="64787"/>
          <a:ext cx="3467100" cy="32472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1048" tIns="0" rIns="131048"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Text for Assumptions</a:t>
          </a:r>
        </a:p>
      </dsp:txBody>
      <dsp:txXfrm>
        <a:off x="263502" y="80639"/>
        <a:ext cx="3435396" cy="293016"/>
      </dsp:txXfrm>
    </dsp:sp>
    <dsp:sp modelId="{EF1DFBE9-7A1A-4EC3-A5B8-C4EB8E5F0CF4}">
      <dsp:nvSpPr>
        <dsp:cNvPr id="0" name=""/>
        <dsp:cNvSpPr/>
      </dsp:nvSpPr>
      <dsp:spPr>
        <a:xfrm>
          <a:off x="0" y="726107"/>
          <a:ext cx="4953000" cy="2772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0D0B54E-B55C-4D27-BBD1-A797BA91C247}">
      <dsp:nvSpPr>
        <dsp:cNvPr id="0" name=""/>
        <dsp:cNvSpPr/>
      </dsp:nvSpPr>
      <dsp:spPr>
        <a:xfrm>
          <a:off x="247650" y="563747"/>
          <a:ext cx="3467100" cy="32472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1048" tIns="0" rIns="131048"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Common method bias</a:t>
          </a:r>
        </a:p>
      </dsp:txBody>
      <dsp:txXfrm>
        <a:off x="263502" y="579599"/>
        <a:ext cx="3435396" cy="293016"/>
      </dsp:txXfrm>
    </dsp:sp>
    <dsp:sp modelId="{4302FAD6-D425-49DA-9867-60220894165A}">
      <dsp:nvSpPr>
        <dsp:cNvPr id="0" name=""/>
        <dsp:cNvSpPr/>
      </dsp:nvSpPr>
      <dsp:spPr>
        <a:xfrm>
          <a:off x="0" y="1231113"/>
          <a:ext cx="4953000" cy="2772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C5C9ED6-3C95-4B9C-8BA3-03E91EA82B07}">
      <dsp:nvSpPr>
        <dsp:cNvPr id="0" name=""/>
        <dsp:cNvSpPr/>
      </dsp:nvSpPr>
      <dsp:spPr>
        <a:xfrm>
          <a:off x="247650" y="1062707"/>
          <a:ext cx="4435599" cy="330766"/>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1048" tIns="0" rIns="131048"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Exploratory and Confirmatory Factor Analysis (EFA)</a:t>
          </a:r>
        </a:p>
      </dsp:txBody>
      <dsp:txXfrm>
        <a:off x="263797" y="1078854"/>
        <a:ext cx="4403305" cy="298472"/>
      </dsp:txXfrm>
    </dsp:sp>
    <dsp:sp modelId="{1BF35216-618C-4151-8621-B9D64DB54218}">
      <dsp:nvSpPr>
        <dsp:cNvPr id="0" name=""/>
        <dsp:cNvSpPr/>
      </dsp:nvSpPr>
      <dsp:spPr>
        <a:xfrm>
          <a:off x="0" y="1743987"/>
          <a:ext cx="4953000" cy="2772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AD9EA73-CF40-4AF8-9E2B-7719BC1B23D6}">
      <dsp:nvSpPr>
        <dsp:cNvPr id="0" name=""/>
        <dsp:cNvSpPr/>
      </dsp:nvSpPr>
      <dsp:spPr>
        <a:xfrm>
          <a:off x="247650" y="1567713"/>
          <a:ext cx="4429948" cy="338634"/>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1048" tIns="0" rIns="131048"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Hypotheses Testing</a:t>
          </a:r>
        </a:p>
      </dsp:txBody>
      <dsp:txXfrm>
        <a:off x="264181" y="1584244"/>
        <a:ext cx="4396886" cy="30557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790D36-A09E-4048-B66F-F03412C37AE4}">
      <dsp:nvSpPr>
        <dsp:cNvPr id="0" name=""/>
        <dsp:cNvSpPr/>
      </dsp:nvSpPr>
      <dsp:spPr>
        <a:xfrm>
          <a:off x="0" y="144219"/>
          <a:ext cx="4881489" cy="226800"/>
        </a:xfrm>
        <a:prstGeom prst="rect">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8C386A5-B6E3-4B16-82EE-C460175B9178}">
      <dsp:nvSpPr>
        <dsp:cNvPr id="0" name=""/>
        <dsp:cNvSpPr/>
      </dsp:nvSpPr>
      <dsp:spPr>
        <a:xfrm>
          <a:off x="243836" y="11379"/>
          <a:ext cx="3927980" cy="26568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9156" tIns="0" rIns="129156"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Discussion of Results</a:t>
          </a:r>
        </a:p>
      </dsp:txBody>
      <dsp:txXfrm>
        <a:off x="256805" y="24348"/>
        <a:ext cx="3902042" cy="239742"/>
      </dsp:txXfrm>
    </dsp:sp>
    <dsp:sp modelId="{95628C98-D454-4505-92E5-3BFC3628806F}">
      <dsp:nvSpPr>
        <dsp:cNvPr id="0" name=""/>
        <dsp:cNvSpPr/>
      </dsp:nvSpPr>
      <dsp:spPr>
        <a:xfrm>
          <a:off x="0" y="552460"/>
          <a:ext cx="4881489" cy="226800"/>
        </a:xfrm>
        <a:prstGeom prst="rect">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18C98E7-0529-4751-A0CB-8E08DC9DBFD3}">
      <dsp:nvSpPr>
        <dsp:cNvPr id="0" name=""/>
        <dsp:cNvSpPr/>
      </dsp:nvSpPr>
      <dsp:spPr>
        <a:xfrm>
          <a:off x="243836" y="419620"/>
          <a:ext cx="3928150" cy="26568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9156" tIns="0" rIns="129156"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Motivators for HIT Adoption</a:t>
          </a:r>
        </a:p>
      </dsp:txBody>
      <dsp:txXfrm>
        <a:off x="256805" y="432589"/>
        <a:ext cx="3902212" cy="239742"/>
      </dsp:txXfrm>
    </dsp:sp>
    <dsp:sp modelId="{B4F3B027-2E3D-493B-82EA-7075BB6E1826}">
      <dsp:nvSpPr>
        <dsp:cNvPr id="0" name=""/>
        <dsp:cNvSpPr/>
      </dsp:nvSpPr>
      <dsp:spPr>
        <a:xfrm>
          <a:off x="0" y="960700"/>
          <a:ext cx="4881489" cy="226800"/>
        </a:xfrm>
        <a:prstGeom prst="rect">
          <a:avLst/>
        </a:prstGeom>
        <a:solidFill>
          <a:schemeClr val="accent2">
            <a:alpha val="90000"/>
            <a:tint val="4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C1A21B5-F9E8-4F9D-AB1A-4C53E8C609CD}">
      <dsp:nvSpPr>
        <dsp:cNvPr id="0" name=""/>
        <dsp:cNvSpPr/>
      </dsp:nvSpPr>
      <dsp:spPr>
        <a:xfrm>
          <a:off x="243836" y="827860"/>
          <a:ext cx="3927058" cy="265680"/>
        </a:xfrm>
        <a:prstGeom prst="round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9156" tIns="0" rIns="129156"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Barriers to HIT Adoption</a:t>
          </a:r>
        </a:p>
      </dsp:txBody>
      <dsp:txXfrm>
        <a:off x="256805" y="840829"/>
        <a:ext cx="3901120" cy="23974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222A89-67A2-49D0-8E31-0FC8D4938C89}">
      <dsp:nvSpPr>
        <dsp:cNvPr id="0" name=""/>
        <dsp:cNvSpPr/>
      </dsp:nvSpPr>
      <dsp:spPr>
        <a:xfrm>
          <a:off x="0" y="145554"/>
          <a:ext cx="4937760" cy="2268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9D81598-1644-499F-966F-9432271113B7}">
      <dsp:nvSpPr>
        <dsp:cNvPr id="0" name=""/>
        <dsp:cNvSpPr/>
      </dsp:nvSpPr>
      <dsp:spPr>
        <a:xfrm>
          <a:off x="246888" y="12714"/>
          <a:ext cx="3456432" cy="26568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0645" tIns="0" rIns="13064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Manegerial Implications </a:t>
          </a:r>
        </a:p>
      </dsp:txBody>
      <dsp:txXfrm>
        <a:off x="259857" y="25683"/>
        <a:ext cx="3430494" cy="239742"/>
      </dsp:txXfrm>
    </dsp:sp>
    <dsp:sp modelId="{B49033C6-A96C-4328-9B97-83F6CB970C14}">
      <dsp:nvSpPr>
        <dsp:cNvPr id="0" name=""/>
        <dsp:cNvSpPr/>
      </dsp:nvSpPr>
      <dsp:spPr>
        <a:xfrm>
          <a:off x="0" y="553794"/>
          <a:ext cx="4937760" cy="2268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C3C1175-F1D0-42C4-8B45-9C337AD207AF}">
      <dsp:nvSpPr>
        <dsp:cNvPr id="0" name=""/>
        <dsp:cNvSpPr/>
      </dsp:nvSpPr>
      <dsp:spPr>
        <a:xfrm>
          <a:off x="246888" y="420954"/>
          <a:ext cx="3456432" cy="26568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0645" tIns="0" rIns="13064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Theoretical Implications</a:t>
          </a:r>
        </a:p>
      </dsp:txBody>
      <dsp:txXfrm>
        <a:off x="259857" y="433923"/>
        <a:ext cx="3430494" cy="239742"/>
      </dsp:txXfrm>
    </dsp:sp>
    <dsp:sp modelId="{587582EF-B2A3-42C9-9F47-3BA669EB4CF7}">
      <dsp:nvSpPr>
        <dsp:cNvPr id="0" name=""/>
        <dsp:cNvSpPr/>
      </dsp:nvSpPr>
      <dsp:spPr>
        <a:xfrm>
          <a:off x="0" y="962034"/>
          <a:ext cx="4937760" cy="2268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1A2641A-C753-4253-89E1-0CBD11EEFBC3}">
      <dsp:nvSpPr>
        <dsp:cNvPr id="0" name=""/>
        <dsp:cNvSpPr/>
      </dsp:nvSpPr>
      <dsp:spPr>
        <a:xfrm>
          <a:off x="246888" y="829195"/>
          <a:ext cx="3456432" cy="26568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0645" tIns="0" rIns="13064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Recommendations</a:t>
          </a:r>
        </a:p>
      </dsp:txBody>
      <dsp:txXfrm>
        <a:off x="259857" y="842164"/>
        <a:ext cx="3430494" cy="239742"/>
      </dsp:txXfrm>
    </dsp:sp>
    <dsp:sp modelId="{067B4B03-07FE-48B0-9977-1406031B1A2F}">
      <dsp:nvSpPr>
        <dsp:cNvPr id="0" name=""/>
        <dsp:cNvSpPr/>
      </dsp:nvSpPr>
      <dsp:spPr>
        <a:xfrm>
          <a:off x="0" y="1370275"/>
          <a:ext cx="4937760" cy="2268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F64CF14-8467-4484-9A12-C334C410F762}">
      <dsp:nvSpPr>
        <dsp:cNvPr id="0" name=""/>
        <dsp:cNvSpPr/>
      </dsp:nvSpPr>
      <dsp:spPr>
        <a:xfrm>
          <a:off x="246888" y="1237435"/>
          <a:ext cx="3456432" cy="26568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0645" tIns="0" rIns="13064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Limitations and Future Research Directions</a:t>
          </a:r>
        </a:p>
      </dsp:txBody>
      <dsp:txXfrm>
        <a:off x="259857" y="1250404"/>
        <a:ext cx="3430494" cy="239742"/>
      </dsp:txXfrm>
    </dsp:sp>
    <dsp:sp modelId="{746A3FB8-B33C-418D-81C5-871AC46003F0}">
      <dsp:nvSpPr>
        <dsp:cNvPr id="0" name=""/>
        <dsp:cNvSpPr/>
      </dsp:nvSpPr>
      <dsp:spPr>
        <a:xfrm>
          <a:off x="0" y="1778515"/>
          <a:ext cx="4937760" cy="226800"/>
        </a:xfrm>
        <a:prstGeom prst="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C51F40E-C935-484C-B5E3-8B86565CF772}">
      <dsp:nvSpPr>
        <dsp:cNvPr id="0" name=""/>
        <dsp:cNvSpPr/>
      </dsp:nvSpPr>
      <dsp:spPr>
        <a:xfrm>
          <a:off x="246888" y="1645675"/>
          <a:ext cx="3456432" cy="265680"/>
        </a:xfrm>
        <a:prstGeom prst="round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0645" tIns="0" rIns="130645" bIns="0" numCol="1" spcCol="1270" anchor="ctr" anchorCtr="0">
          <a:noAutofit/>
        </a:bodyPr>
        <a:lstStyle/>
        <a:p>
          <a:pPr marL="0" lvl="0" indent="0" algn="l" defTabSz="533400">
            <a:lnSpc>
              <a:spcPct val="90000"/>
            </a:lnSpc>
            <a:spcBef>
              <a:spcPct val="0"/>
            </a:spcBef>
            <a:spcAft>
              <a:spcPct val="35000"/>
            </a:spcAft>
            <a:buNone/>
          </a:pPr>
          <a:r>
            <a:rPr lang="en-US" sz="1200" kern="1200">
              <a:latin typeface="Times New Roman" pitchFamily="18" charset="0"/>
              <a:cs typeface="Times New Roman" pitchFamily="18" charset="0"/>
            </a:rPr>
            <a:t>Conclusion</a:t>
          </a:r>
        </a:p>
      </dsp:txBody>
      <dsp:txXfrm>
        <a:off x="259857" y="1658644"/>
        <a:ext cx="3430494"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10BD-2C01-4927-8A59-25D0E6E69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168</Pages>
  <Words>44101</Words>
  <Characters>251382</Characters>
  <Application>Microsoft Office Word</Application>
  <DocSecurity>0</DocSecurity>
  <Lines>2094</Lines>
  <Paragraphs>589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294894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Sana Sayeed</cp:lastModifiedBy>
  <cp:revision>2</cp:revision>
  <cp:lastPrinted>2019-09-19T06:21:00Z</cp:lastPrinted>
  <dcterms:created xsi:type="dcterms:W3CDTF">2024-02-19T06:02:00Z</dcterms:created>
  <dcterms:modified xsi:type="dcterms:W3CDTF">2024-02-19T06:02:00Z</dcterms:modified>
</cp:coreProperties>
</file>