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4A6BDA2E" w14:textId="77777777" w:rsidR="00B2118F" w:rsidRDefault="001A00F8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A00F8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Maghaydah</w:t>
            </w:r>
            <w:proofErr w:type="spellEnd"/>
            <w:r w:rsidRPr="001A00F8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Safwan</w:t>
            </w:r>
          </w:p>
          <w:p w14:paraId="5710F2EB" w14:textId="77777777" w:rsidR="001A00F8" w:rsidRDefault="001A00F8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1A00F8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Al-Emran, Mostafa</w:t>
            </w:r>
          </w:p>
          <w:p w14:paraId="6072E719" w14:textId="77777777" w:rsidR="001A00F8" w:rsidRDefault="001A00F8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1A00F8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Maheshwari, Piyush</w:t>
            </w:r>
          </w:p>
          <w:p w14:paraId="0A7E0BF9" w14:textId="6AC3F20E" w:rsidR="001A00F8" w:rsidRPr="00B53E45" w:rsidRDefault="001A00F8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1A00F8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Al-</w:t>
            </w:r>
            <w:proofErr w:type="spellStart"/>
            <w:r w:rsidRPr="001A00F8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Sharafi</w:t>
            </w:r>
            <w:proofErr w:type="spellEnd"/>
            <w:r w:rsidRPr="001A00F8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Mohammed A.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6A20B077" w:rsidR="00464E59" w:rsidRPr="00B53E45" w:rsidRDefault="001A00F8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1A00F8">
              <w:rPr>
                <w:rFonts w:ascii="Century Gothic" w:hAnsi="Century Gothic" w:cstheme="majorHAnsi"/>
                <w:bCs/>
                <w:color w:val="000000" w:themeColor="text1"/>
              </w:rPr>
              <w:t>Factors affecting metaverse adoption in education: A systematic review, adoption framework, and future research agenda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3DCF30A0" w:rsidR="001E44C2" w:rsidRDefault="001A00F8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F8212D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https://doi.org/10.1016/j.heliyon.2024.e28602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2118F"/>
    <w:rsid w:val="00B53E45"/>
    <w:rsid w:val="00BA50EF"/>
    <w:rsid w:val="00BF343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heliyon.2024.e286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37</cp:revision>
  <dcterms:created xsi:type="dcterms:W3CDTF">2024-05-28T13:26:00Z</dcterms:created>
  <dcterms:modified xsi:type="dcterms:W3CDTF">2024-09-06T16:01:00Z</dcterms:modified>
</cp:coreProperties>
</file>