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16023" w14:textId="77777777" w:rsidR="008D3598" w:rsidRPr="00511330" w:rsidRDefault="008D3598" w:rsidP="00721566">
      <w:pPr>
        <w:spacing w:line="480" w:lineRule="auto"/>
        <w:ind w:right="-450"/>
        <w:jc w:val="both"/>
        <w:rPr>
          <w:rFonts w:asciiTheme="majorBidi" w:hAnsiTheme="majorBidi" w:cstheme="majorBidi"/>
          <w:sz w:val="24"/>
          <w:szCs w:val="24"/>
          <w:lang w:val="en-US"/>
        </w:rPr>
      </w:pPr>
      <w:bookmarkStart w:id="0" w:name="_top"/>
      <w:bookmarkStart w:id="1" w:name="_GoBack"/>
      <w:bookmarkEnd w:id="0"/>
      <w:bookmarkEnd w:id="1"/>
      <w:r w:rsidRPr="00511330">
        <w:rPr>
          <w:rFonts w:asciiTheme="majorBidi" w:hAnsiTheme="majorBidi" w:cstheme="majorBidi"/>
          <w:noProof/>
          <w:sz w:val="24"/>
          <w:szCs w:val="24"/>
          <w:lang w:val="en-US"/>
        </w:rPr>
        <w:drawing>
          <wp:anchor distT="0" distB="0" distL="114300" distR="114300" simplePos="0" relativeHeight="251657216" behindDoc="0" locked="0" layoutInCell="1" allowOverlap="1" wp14:anchorId="64416D36" wp14:editId="38BFFA5C">
            <wp:simplePos x="0" y="0"/>
            <wp:positionH relativeFrom="column">
              <wp:posOffset>1690216</wp:posOffset>
            </wp:positionH>
            <wp:positionV relativeFrom="paragraph">
              <wp:posOffset>-146765</wp:posOffset>
            </wp:positionV>
            <wp:extent cx="1317625" cy="1198245"/>
            <wp:effectExtent l="0" t="0" r="0" b="1905"/>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625" cy="1198245"/>
                    </a:xfrm>
                    <a:prstGeom prst="rect">
                      <a:avLst/>
                    </a:prstGeom>
                  </pic:spPr>
                </pic:pic>
              </a:graphicData>
            </a:graphic>
          </wp:anchor>
        </w:drawing>
      </w:r>
    </w:p>
    <w:p w14:paraId="64416024" w14:textId="77777777" w:rsidR="008D3598" w:rsidRPr="00511330" w:rsidRDefault="008D3598" w:rsidP="00721566">
      <w:pPr>
        <w:spacing w:line="480" w:lineRule="auto"/>
        <w:ind w:right="-450"/>
        <w:jc w:val="both"/>
        <w:rPr>
          <w:rFonts w:asciiTheme="majorBidi" w:hAnsiTheme="majorBidi" w:cstheme="majorBidi"/>
          <w:sz w:val="24"/>
          <w:szCs w:val="24"/>
          <w:lang w:val="en-US"/>
        </w:rPr>
      </w:pPr>
    </w:p>
    <w:p w14:paraId="64416025" w14:textId="77777777" w:rsidR="008D3598" w:rsidRPr="00511330" w:rsidRDefault="008D3598" w:rsidP="00721566">
      <w:pPr>
        <w:spacing w:line="480" w:lineRule="auto"/>
        <w:ind w:right="-450"/>
        <w:jc w:val="both"/>
        <w:rPr>
          <w:rFonts w:asciiTheme="majorBidi" w:hAnsiTheme="majorBidi" w:cstheme="majorBidi"/>
          <w:sz w:val="24"/>
          <w:szCs w:val="24"/>
          <w:lang w:val="en-US"/>
        </w:rPr>
      </w:pPr>
    </w:p>
    <w:p w14:paraId="22F589B8" w14:textId="00436DC7" w:rsidR="003D67D2" w:rsidRPr="00511330" w:rsidRDefault="003D67D2" w:rsidP="003D67D2">
      <w:pPr>
        <w:spacing w:after="0" w:line="480" w:lineRule="auto"/>
        <w:ind w:right="-450"/>
        <w:jc w:val="center"/>
        <w:rPr>
          <w:rFonts w:asciiTheme="majorBidi" w:hAnsiTheme="majorBidi" w:cstheme="majorBidi"/>
          <w:b/>
          <w:bCs/>
          <w:sz w:val="24"/>
          <w:szCs w:val="24"/>
          <w:lang w:val="en-US"/>
        </w:rPr>
      </w:pPr>
      <w:r w:rsidRPr="00511330">
        <w:rPr>
          <w:rFonts w:asciiTheme="majorBidi" w:hAnsiTheme="majorBidi" w:cstheme="majorBidi"/>
          <w:b/>
          <w:bCs/>
          <w:sz w:val="24"/>
          <w:szCs w:val="24"/>
          <w:lang w:val="en-US"/>
        </w:rPr>
        <w:t xml:space="preserve">Managing Change in the UAE Renewable Energy Market – </w:t>
      </w:r>
    </w:p>
    <w:p w14:paraId="7402C3E3" w14:textId="40B117AF" w:rsidR="003D67D2" w:rsidRPr="00511330" w:rsidRDefault="003D67D2" w:rsidP="003D67D2">
      <w:pPr>
        <w:spacing w:after="0" w:line="480" w:lineRule="auto"/>
        <w:ind w:right="-450"/>
        <w:jc w:val="center"/>
        <w:rPr>
          <w:rFonts w:asciiTheme="majorBidi" w:hAnsiTheme="majorBidi" w:cstheme="majorBidi"/>
          <w:b/>
          <w:bCs/>
          <w:sz w:val="24"/>
          <w:szCs w:val="24"/>
          <w:lang w:val="en-US"/>
        </w:rPr>
      </w:pPr>
      <w:r w:rsidRPr="00511330">
        <w:rPr>
          <w:rFonts w:asciiTheme="majorBidi" w:hAnsiTheme="majorBidi" w:cstheme="majorBidi"/>
          <w:b/>
          <w:bCs/>
          <w:sz w:val="24"/>
          <w:szCs w:val="24"/>
          <w:lang w:val="en-US"/>
        </w:rPr>
        <w:t>A Mixed Method Approach</w:t>
      </w:r>
    </w:p>
    <w:p w14:paraId="64416027" w14:textId="77777777" w:rsidR="008D3598" w:rsidRPr="00511330" w:rsidRDefault="008D3598" w:rsidP="00721566">
      <w:pPr>
        <w:spacing w:line="480" w:lineRule="auto"/>
        <w:ind w:right="-450"/>
        <w:jc w:val="both"/>
        <w:rPr>
          <w:rFonts w:asciiTheme="majorBidi" w:hAnsiTheme="majorBidi" w:cstheme="majorBidi"/>
          <w:sz w:val="24"/>
          <w:szCs w:val="24"/>
          <w:lang w:val="en-US"/>
        </w:rPr>
      </w:pPr>
    </w:p>
    <w:p w14:paraId="64416028" w14:textId="77777777" w:rsidR="008D3598" w:rsidRPr="00511330" w:rsidRDefault="008D3598" w:rsidP="00721566">
      <w:pPr>
        <w:spacing w:line="360" w:lineRule="auto"/>
        <w:ind w:right="-450"/>
        <w:jc w:val="center"/>
        <w:rPr>
          <w:rFonts w:asciiTheme="majorBidi" w:hAnsiTheme="majorBidi" w:cstheme="majorBidi"/>
          <w:sz w:val="24"/>
          <w:szCs w:val="24"/>
          <w:lang w:val="en-US"/>
        </w:rPr>
      </w:pPr>
      <w:r w:rsidRPr="00511330">
        <w:rPr>
          <w:rFonts w:asciiTheme="majorBidi" w:hAnsiTheme="majorBidi" w:cstheme="majorBidi"/>
          <w:sz w:val="24"/>
          <w:szCs w:val="24"/>
          <w:lang w:val="en-US"/>
        </w:rPr>
        <w:t>Dissertation</w:t>
      </w:r>
    </w:p>
    <w:p w14:paraId="64416029" w14:textId="77777777" w:rsidR="008D3598" w:rsidRPr="00511330" w:rsidRDefault="008D3598" w:rsidP="00721566">
      <w:pPr>
        <w:spacing w:line="360" w:lineRule="auto"/>
        <w:ind w:right="-450"/>
        <w:jc w:val="center"/>
        <w:rPr>
          <w:rFonts w:asciiTheme="majorBidi" w:hAnsiTheme="majorBidi" w:cstheme="majorBidi"/>
          <w:sz w:val="24"/>
          <w:szCs w:val="24"/>
          <w:lang w:val="en-US"/>
        </w:rPr>
      </w:pPr>
      <w:r w:rsidRPr="00511330">
        <w:rPr>
          <w:rFonts w:asciiTheme="majorBidi" w:hAnsiTheme="majorBidi" w:cstheme="majorBidi"/>
          <w:sz w:val="24"/>
          <w:szCs w:val="24"/>
          <w:lang w:val="en-US"/>
        </w:rPr>
        <w:t>Presented</w:t>
      </w:r>
    </w:p>
    <w:p w14:paraId="6441602A" w14:textId="77777777" w:rsidR="008D3598" w:rsidRPr="00511330" w:rsidRDefault="008D3598" w:rsidP="00721566">
      <w:pPr>
        <w:spacing w:line="360" w:lineRule="auto"/>
        <w:ind w:right="-450"/>
        <w:jc w:val="center"/>
        <w:rPr>
          <w:rFonts w:asciiTheme="majorBidi" w:hAnsiTheme="majorBidi" w:cstheme="majorBidi"/>
          <w:sz w:val="24"/>
          <w:szCs w:val="24"/>
          <w:lang w:val="en-US"/>
        </w:rPr>
      </w:pPr>
      <w:r w:rsidRPr="00511330">
        <w:rPr>
          <w:rFonts w:asciiTheme="majorBidi" w:hAnsiTheme="majorBidi" w:cstheme="majorBidi"/>
          <w:sz w:val="24"/>
          <w:szCs w:val="24"/>
          <w:lang w:val="en-US"/>
        </w:rPr>
        <w:t>The Academic Faculty</w:t>
      </w:r>
    </w:p>
    <w:p w14:paraId="6441602B" w14:textId="77777777" w:rsidR="008D3598" w:rsidRPr="00511330" w:rsidRDefault="008D3598" w:rsidP="00721566">
      <w:pPr>
        <w:spacing w:line="360" w:lineRule="auto"/>
        <w:ind w:right="-450"/>
        <w:jc w:val="center"/>
        <w:rPr>
          <w:rFonts w:asciiTheme="majorBidi" w:hAnsiTheme="majorBidi" w:cstheme="majorBidi"/>
          <w:sz w:val="24"/>
          <w:szCs w:val="24"/>
          <w:lang w:val="en-US"/>
        </w:rPr>
      </w:pPr>
      <w:r w:rsidRPr="00511330">
        <w:rPr>
          <w:rFonts w:asciiTheme="majorBidi" w:hAnsiTheme="majorBidi" w:cstheme="majorBidi"/>
          <w:sz w:val="24"/>
          <w:szCs w:val="24"/>
          <w:lang w:val="en-US"/>
        </w:rPr>
        <w:t>By</w:t>
      </w:r>
    </w:p>
    <w:p w14:paraId="6441602C" w14:textId="77777777" w:rsidR="008D3598" w:rsidRPr="00511330" w:rsidRDefault="008D3598" w:rsidP="00721566">
      <w:pPr>
        <w:spacing w:line="360" w:lineRule="auto"/>
        <w:ind w:right="-450"/>
        <w:jc w:val="center"/>
        <w:rPr>
          <w:rFonts w:asciiTheme="majorBidi" w:hAnsiTheme="majorBidi" w:cstheme="majorBidi"/>
          <w:sz w:val="24"/>
          <w:szCs w:val="24"/>
          <w:lang w:val="en-US"/>
        </w:rPr>
      </w:pPr>
      <w:r w:rsidRPr="00511330">
        <w:rPr>
          <w:rFonts w:asciiTheme="majorBidi" w:hAnsiTheme="majorBidi" w:cstheme="majorBidi"/>
          <w:sz w:val="24"/>
          <w:szCs w:val="24"/>
          <w:lang w:val="en-US"/>
        </w:rPr>
        <w:t>Husniya Mohammed Al Ali</w:t>
      </w:r>
    </w:p>
    <w:p w14:paraId="6441602D" w14:textId="77777777" w:rsidR="008D3598" w:rsidRPr="00511330" w:rsidRDefault="008D3598" w:rsidP="00721566">
      <w:pPr>
        <w:spacing w:line="360" w:lineRule="auto"/>
        <w:ind w:right="-450"/>
        <w:jc w:val="center"/>
        <w:rPr>
          <w:rFonts w:asciiTheme="majorBidi" w:hAnsiTheme="majorBidi" w:cstheme="majorBidi"/>
          <w:sz w:val="24"/>
          <w:szCs w:val="24"/>
          <w:lang w:val="en-US"/>
        </w:rPr>
      </w:pPr>
      <w:r w:rsidRPr="00511330">
        <w:rPr>
          <w:rFonts w:asciiTheme="majorBidi" w:hAnsiTheme="majorBidi" w:cstheme="majorBidi"/>
          <w:sz w:val="24"/>
          <w:szCs w:val="24"/>
          <w:lang w:val="en-US"/>
        </w:rPr>
        <w:t>In Partial Fulfillment</w:t>
      </w:r>
    </w:p>
    <w:p w14:paraId="6441602E" w14:textId="77777777" w:rsidR="008D3598" w:rsidRPr="00511330" w:rsidRDefault="008D3598" w:rsidP="00721566">
      <w:pPr>
        <w:spacing w:line="480" w:lineRule="auto"/>
        <w:ind w:right="-450"/>
        <w:jc w:val="center"/>
        <w:rPr>
          <w:rFonts w:asciiTheme="majorBidi" w:hAnsiTheme="majorBidi" w:cstheme="majorBidi"/>
          <w:sz w:val="24"/>
          <w:szCs w:val="24"/>
          <w:lang w:val="en-US"/>
        </w:rPr>
      </w:pPr>
      <w:r w:rsidRPr="00511330">
        <w:rPr>
          <w:rFonts w:asciiTheme="majorBidi" w:hAnsiTheme="majorBidi" w:cstheme="majorBidi"/>
          <w:sz w:val="24"/>
          <w:szCs w:val="24"/>
          <w:lang w:val="en-US"/>
        </w:rPr>
        <w:t>Of the requirement of the degree of</w:t>
      </w:r>
    </w:p>
    <w:p w14:paraId="6441602F" w14:textId="77777777" w:rsidR="008D3598" w:rsidRPr="00511330" w:rsidRDefault="008D3598" w:rsidP="005443BD">
      <w:pPr>
        <w:spacing w:line="480" w:lineRule="auto"/>
        <w:ind w:right="-450"/>
        <w:jc w:val="center"/>
        <w:rPr>
          <w:rFonts w:asciiTheme="majorBidi" w:hAnsiTheme="majorBidi" w:cstheme="majorBidi"/>
          <w:sz w:val="24"/>
          <w:szCs w:val="24"/>
          <w:lang w:val="en-US"/>
        </w:rPr>
      </w:pPr>
      <w:r w:rsidRPr="00511330">
        <w:rPr>
          <w:rFonts w:asciiTheme="majorBidi" w:hAnsiTheme="majorBidi" w:cstheme="majorBidi"/>
          <w:sz w:val="24"/>
          <w:szCs w:val="24"/>
          <w:lang w:val="en-US"/>
        </w:rPr>
        <w:t>Doctor of Business Administration</w:t>
      </w:r>
    </w:p>
    <w:p w14:paraId="64416030" w14:textId="28A309A3" w:rsidR="008D3598" w:rsidRPr="00511330" w:rsidRDefault="00F40664" w:rsidP="005443BD">
      <w:pPr>
        <w:spacing w:line="480" w:lineRule="auto"/>
        <w:ind w:right="-450"/>
        <w:jc w:val="center"/>
        <w:rPr>
          <w:rFonts w:asciiTheme="majorBidi" w:hAnsiTheme="majorBidi" w:cstheme="majorBidi"/>
          <w:sz w:val="24"/>
          <w:szCs w:val="24"/>
          <w:lang w:val="en-US"/>
        </w:rPr>
      </w:pPr>
      <w:r w:rsidRPr="00511330">
        <w:rPr>
          <w:rFonts w:asciiTheme="majorBidi" w:hAnsiTheme="majorBidi" w:cstheme="majorBidi"/>
          <w:sz w:val="24"/>
          <w:szCs w:val="24"/>
          <w:lang w:val="en-US"/>
        </w:rPr>
        <w:t>Abu Dhabi University</w:t>
      </w:r>
      <w:r w:rsidR="00140A4B" w:rsidRPr="00511330">
        <w:rPr>
          <w:rFonts w:asciiTheme="majorBidi" w:hAnsiTheme="majorBidi" w:cstheme="majorBidi"/>
          <w:sz w:val="24"/>
          <w:szCs w:val="24"/>
          <w:lang w:val="en-US"/>
        </w:rPr>
        <w:t>, UAE</w:t>
      </w:r>
    </w:p>
    <w:p w14:paraId="64416031" w14:textId="77777777" w:rsidR="008D3598" w:rsidRPr="00511330" w:rsidRDefault="008D3598" w:rsidP="005443BD">
      <w:pPr>
        <w:spacing w:line="480" w:lineRule="auto"/>
        <w:ind w:right="-450"/>
        <w:jc w:val="center"/>
        <w:rPr>
          <w:rFonts w:asciiTheme="majorBidi" w:hAnsiTheme="majorBidi" w:cstheme="majorBidi"/>
          <w:sz w:val="24"/>
          <w:szCs w:val="24"/>
          <w:lang w:val="en-US"/>
        </w:rPr>
      </w:pPr>
      <w:r w:rsidRPr="00511330">
        <w:rPr>
          <w:rFonts w:asciiTheme="majorBidi" w:hAnsiTheme="majorBidi" w:cstheme="majorBidi"/>
          <w:sz w:val="24"/>
          <w:szCs w:val="24"/>
          <w:lang w:val="en-US"/>
        </w:rPr>
        <w:t>College of Business</w:t>
      </w:r>
    </w:p>
    <w:p w14:paraId="64416032" w14:textId="41737903" w:rsidR="008D3598" w:rsidRPr="00511330" w:rsidRDefault="009D050E" w:rsidP="005443BD">
      <w:pPr>
        <w:spacing w:line="480" w:lineRule="auto"/>
        <w:ind w:right="-450"/>
        <w:jc w:val="center"/>
        <w:rPr>
          <w:rFonts w:asciiTheme="majorBidi" w:hAnsiTheme="majorBidi" w:cstheme="majorBidi"/>
          <w:sz w:val="24"/>
          <w:szCs w:val="24"/>
          <w:lang w:val="en-US"/>
        </w:rPr>
      </w:pPr>
      <w:r w:rsidRPr="00511330">
        <w:rPr>
          <w:rFonts w:asciiTheme="majorBidi" w:hAnsiTheme="majorBidi" w:cstheme="majorBidi"/>
          <w:sz w:val="24"/>
          <w:szCs w:val="24"/>
          <w:lang w:val="en-US"/>
        </w:rPr>
        <w:t>March</w:t>
      </w:r>
      <w:r w:rsidR="00F40664" w:rsidRPr="00511330">
        <w:rPr>
          <w:rFonts w:asciiTheme="majorBidi" w:hAnsiTheme="majorBidi" w:cstheme="majorBidi"/>
          <w:sz w:val="24"/>
          <w:szCs w:val="24"/>
          <w:lang w:val="en-US"/>
        </w:rPr>
        <w:t xml:space="preserve"> 10,</w:t>
      </w:r>
      <w:r w:rsidR="008D3598" w:rsidRPr="00511330">
        <w:rPr>
          <w:rFonts w:asciiTheme="majorBidi" w:hAnsiTheme="majorBidi" w:cstheme="majorBidi"/>
          <w:sz w:val="24"/>
          <w:szCs w:val="24"/>
          <w:lang w:val="en-US"/>
        </w:rPr>
        <w:t xml:space="preserve"> 2020</w:t>
      </w:r>
    </w:p>
    <w:p w14:paraId="64416033" w14:textId="77777777" w:rsidR="008D3598" w:rsidRPr="00511330" w:rsidRDefault="008D3598" w:rsidP="005443BD">
      <w:pPr>
        <w:spacing w:line="480" w:lineRule="auto"/>
        <w:ind w:right="-450"/>
        <w:jc w:val="center"/>
        <w:rPr>
          <w:rFonts w:asciiTheme="majorBidi" w:hAnsiTheme="majorBidi" w:cstheme="majorBidi"/>
          <w:sz w:val="24"/>
          <w:szCs w:val="24"/>
          <w:lang w:val="en-US"/>
        </w:rPr>
      </w:pPr>
      <w:r w:rsidRPr="00511330">
        <w:rPr>
          <w:rFonts w:asciiTheme="majorBidi" w:hAnsiTheme="majorBidi" w:cstheme="majorBidi"/>
          <w:sz w:val="24"/>
          <w:szCs w:val="24"/>
          <w:lang w:val="en-US"/>
        </w:rPr>
        <w:t>© Copyright by</w:t>
      </w:r>
    </w:p>
    <w:p w14:paraId="64416034" w14:textId="398522FC" w:rsidR="008D3598" w:rsidRPr="00511330" w:rsidRDefault="008D3598" w:rsidP="005443BD">
      <w:pPr>
        <w:spacing w:line="480" w:lineRule="auto"/>
        <w:ind w:right="-450"/>
        <w:jc w:val="center"/>
        <w:rPr>
          <w:rFonts w:asciiTheme="majorBidi" w:hAnsiTheme="majorBidi" w:cstheme="majorBidi"/>
          <w:sz w:val="24"/>
          <w:szCs w:val="24"/>
          <w:lang w:val="en-US"/>
        </w:rPr>
        <w:sectPr w:rsidR="008D3598" w:rsidRPr="00511330" w:rsidSect="00567CCA">
          <w:headerReference w:type="default" r:id="rId9"/>
          <w:footerReference w:type="even" r:id="rId10"/>
          <w:footerReference w:type="default" r:id="rId11"/>
          <w:pgSz w:w="11906" w:h="16838" w:code="9"/>
          <w:pgMar w:top="1728" w:right="2366" w:bottom="1728" w:left="2160" w:header="706" w:footer="706" w:gutter="0"/>
          <w:pgNumType w:fmt="lowerRoman" w:start="1"/>
          <w:cols w:space="708"/>
          <w:docGrid w:linePitch="360"/>
        </w:sectPr>
      </w:pPr>
      <w:r w:rsidRPr="00511330">
        <w:rPr>
          <w:rFonts w:asciiTheme="majorBidi" w:hAnsiTheme="majorBidi" w:cstheme="majorBidi"/>
          <w:sz w:val="24"/>
          <w:szCs w:val="24"/>
          <w:lang w:val="en-US"/>
        </w:rPr>
        <w:t xml:space="preserve">Husniya Mohammed Al </w:t>
      </w:r>
      <w:r w:rsidR="009D050E" w:rsidRPr="00511330">
        <w:rPr>
          <w:rFonts w:asciiTheme="majorBidi" w:hAnsiTheme="majorBidi" w:cstheme="majorBidi"/>
          <w:sz w:val="24"/>
          <w:szCs w:val="24"/>
          <w:lang w:val="en-US"/>
        </w:rPr>
        <w:t>Ali</w:t>
      </w:r>
    </w:p>
    <w:p w14:paraId="1145D445" w14:textId="0C2EF396" w:rsidR="003D67D2" w:rsidRPr="00511330" w:rsidRDefault="003D67D2" w:rsidP="003D67D2">
      <w:pPr>
        <w:spacing w:after="0" w:line="480" w:lineRule="auto"/>
        <w:ind w:right="-450"/>
        <w:jc w:val="center"/>
        <w:rPr>
          <w:rFonts w:asciiTheme="majorBidi" w:hAnsiTheme="majorBidi" w:cstheme="majorBidi"/>
          <w:b/>
          <w:bCs/>
          <w:sz w:val="24"/>
          <w:szCs w:val="24"/>
          <w:lang w:val="en-US"/>
        </w:rPr>
      </w:pPr>
      <w:r w:rsidRPr="00511330">
        <w:rPr>
          <w:rFonts w:asciiTheme="majorBidi" w:hAnsiTheme="majorBidi" w:cstheme="majorBidi"/>
          <w:b/>
          <w:bCs/>
          <w:sz w:val="24"/>
          <w:szCs w:val="24"/>
          <w:lang w:val="en-US"/>
        </w:rPr>
        <w:lastRenderedPageBreak/>
        <w:t xml:space="preserve">Managing Change in the UAE Renewable Energy Market – </w:t>
      </w:r>
    </w:p>
    <w:p w14:paraId="2921D06E" w14:textId="3EED1968" w:rsidR="003D67D2" w:rsidRPr="00511330" w:rsidRDefault="003D67D2" w:rsidP="003D67D2">
      <w:pPr>
        <w:spacing w:after="0" w:line="480" w:lineRule="auto"/>
        <w:ind w:right="-450"/>
        <w:jc w:val="center"/>
        <w:rPr>
          <w:rFonts w:asciiTheme="majorBidi" w:hAnsiTheme="majorBidi" w:cstheme="majorBidi"/>
          <w:b/>
          <w:bCs/>
          <w:sz w:val="24"/>
          <w:szCs w:val="24"/>
          <w:lang w:val="en-US"/>
        </w:rPr>
      </w:pPr>
      <w:r w:rsidRPr="00511330">
        <w:rPr>
          <w:rFonts w:asciiTheme="majorBidi" w:hAnsiTheme="majorBidi" w:cstheme="majorBidi"/>
          <w:b/>
          <w:bCs/>
          <w:sz w:val="24"/>
          <w:szCs w:val="24"/>
          <w:lang w:val="en-US"/>
        </w:rPr>
        <w:t>A Mixed Method Approach</w:t>
      </w:r>
    </w:p>
    <w:p w14:paraId="5C268ADF" w14:textId="77777777" w:rsidR="009D050E" w:rsidRPr="00511330" w:rsidRDefault="009D050E" w:rsidP="005443BD">
      <w:pPr>
        <w:pStyle w:val="Heading1"/>
        <w:spacing w:after="120" w:line="360" w:lineRule="auto"/>
        <w:jc w:val="right"/>
        <w:rPr>
          <w:b w:val="0"/>
          <w:sz w:val="28"/>
          <w:lang w:val="en-US"/>
        </w:rPr>
      </w:pPr>
    </w:p>
    <w:p w14:paraId="0FA23C03" w14:textId="6B52F52E" w:rsidR="009D050E" w:rsidRPr="00511330" w:rsidRDefault="009D050E" w:rsidP="005443BD">
      <w:pPr>
        <w:jc w:val="right"/>
        <w:rPr>
          <w:rFonts w:asciiTheme="majorBidi" w:hAnsiTheme="majorBidi" w:cstheme="majorBidi"/>
          <w:sz w:val="24"/>
          <w:szCs w:val="24"/>
        </w:rPr>
      </w:pPr>
      <w:bookmarkStart w:id="2" w:name="_Toc20350852"/>
      <w:bookmarkStart w:id="3" w:name="_Toc20351021"/>
      <w:r w:rsidRPr="00511330">
        <w:rPr>
          <w:rFonts w:asciiTheme="majorBidi" w:hAnsiTheme="majorBidi" w:cstheme="majorBidi"/>
          <w:sz w:val="24"/>
          <w:szCs w:val="24"/>
        </w:rPr>
        <w:t xml:space="preserve">__________________________ </w:t>
      </w:r>
      <w:r w:rsidRPr="00511330">
        <w:rPr>
          <w:rFonts w:asciiTheme="majorBidi" w:hAnsiTheme="majorBidi" w:cstheme="majorBidi"/>
          <w:sz w:val="24"/>
          <w:szCs w:val="24"/>
        </w:rPr>
        <w:br/>
      </w:r>
      <w:bookmarkEnd w:id="2"/>
      <w:bookmarkEnd w:id="3"/>
      <w:r w:rsidR="00046842" w:rsidRPr="00511330">
        <w:rPr>
          <w:rFonts w:asciiTheme="majorBidi" w:hAnsiTheme="majorBidi" w:cstheme="majorBidi"/>
          <w:sz w:val="24"/>
          <w:szCs w:val="24"/>
        </w:rPr>
        <w:t>Husniya Al Ali</w:t>
      </w:r>
    </w:p>
    <w:p w14:paraId="5DE502AC" w14:textId="77777777" w:rsidR="009D050E" w:rsidRPr="00511330" w:rsidRDefault="009D050E" w:rsidP="009D050E">
      <w:pPr>
        <w:pStyle w:val="Heading1"/>
        <w:spacing w:before="0" w:after="120" w:line="360" w:lineRule="auto"/>
        <w:jc w:val="right"/>
        <w:rPr>
          <w:b w:val="0"/>
          <w:sz w:val="24"/>
          <w:szCs w:val="24"/>
        </w:rPr>
      </w:pPr>
    </w:p>
    <w:p w14:paraId="35A47A8B" w14:textId="3219C965" w:rsidR="009D050E" w:rsidRPr="00511330" w:rsidRDefault="009D050E" w:rsidP="009D050E">
      <w:pPr>
        <w:jc w:val="right"/>
        <w:rPr>
          <w:rFonts w:asciiTheme="majorBidi" w:hAnsiTheme="majorBidi" w:cstheme="majorBidi"/>
          <w:b/>
          <w:bCs/>
          <w:sz w:val="24"/>
          <w:szCs w:val="24"/>
        </w:rPr>
      </w:pPr>
      <w:bookmarkStart w:id="4" w:name="_Toc20350853"/>
      <w:bookmarkStart w:id="5" w:name="_Toc20351022"/>
      <w:r w:rsidRPr="00511330">
        <w:rPr>
          <w:rFonts w:asciiTheme="majorBidi" w:hAnsiTheme="majorBidi" w:cstheme="majorBidi"/>
          <w:b/>
          <w:bCs/>
          <w:sz w:val="24"/>
          <w:szCs w:val="24"/>
        </w:rPr>
        <w:t>Approved:</w:t>
      </w:r>
      <w:bookmarkEnd w:id="4"/>
      <w:bookmarkEnd w:id="5"/>
    </w:p>
    <w:p w14:paraId="01FDFC38" w14:textId="00BDECE4" w:rsidR="009D050E" w:rsidRPr="00511330" w:rsidRDefault="00FE7B99" w:rsidP="00FE7B99">
      <w:pPr>
        <w:pStyle w:val="Heading1"/>
        <w:spacing w:after="120"/>
        <w:jc w:val="left"/>
        <w:rPr>
          <w:b w:val="0"/>
          <w:sz w:val="28"/>
        </w:rPr>
      </w:pPr>
      <w:r>
        <w:rPr>
          <w:b w:val="0"/>
          <w:sz w:val="28"/>
        </w:rPr>
        <w:t xml:space="preserve"> </w:t>
      </w:r>
    </w:p>
    <w:p w14:paraId="07C19C08" w14:textId="362B02D7" w:rsidR="009D050E" w:rsidRPr="00511330" w:rsidRDefault="009D050E" w:rsidP="009D050E">
      <w:pPr>
        <w:spacing w:after="0" w:line="240" w:lineRule="auto"/>
        <w:jc w:val="right"/>
        <w:rPr>
          <w:rFonts w:asciiTheme="majorBidi" w:hAnsiTheme="majorBidi" w:cstheme="majorBidi"/>
          <w:b/>
          <w:bCs/>
          <w:sz w:val="24"/>
          <w:szCs w:val="24"/>
        </w:rPr>
      </w:pPr>
      <w:bookmarkStart w:id="6" w:name="_Toc20350855"/>
      <w:bookmarkStart w:id="7" w:name="_Toc20351024"/>
      <w:r w:rsidRPr="00511330">
        <w:rPr>
          <w:rFonts w:asciiTheme="majorBidi" w:hAnsiTheme="majorBidi" w:cstheme="majorBidi"/>
          <w:b/>
          <w:bCs/>
          <w:sz w:val="24"/>
          <w:szCs w:val="24"/>
        </w:rPr>
        <w:t>___________________________</w:t>
      </w:r>
      <w:r w:rsidRPr="00511330">
        <w:rPr>
          <w:rFonts w:asciiTheme="majorBidi" w:hAnsiTheme="majorBidi" w:cstheme="majorBidi"/>
          <w:b/>
          <w:bCs/>
          <w:sz w:val="24"/>
          <w:szCs w:val="24"/>
        </w:rPr>
        <w:br/>
        <w:t xml:space="preserve">Mian </w:t>
      </w:r>
      <w:r w:rsidR="000C39EE" w:rsidRPr="00511330">
        <w:rPr>
          <w:rFonts w:asciiTheme="majorBidi" w:hAnsiTheme="majorBidi" w:cstheme="majorBidi"/>
          <w:b/>
          <w:bCs/>
          <w:sz w:val="24"/>
          <w:szCs w:val="24"/>
        </w:rPr>
        <w:t xml:space="preserve">M. </w:t>
      </w:r>
      <w:r w:rsidRPr="00511330">
        <w:rPr>
          <w:rFonts w:asciiTheme="majorBidi" w:hAnsiTheme="majorBidi" w:cstheme="majorBidi"/>
          <w:b/>
          <w:bCs/>
          <w:sz w:val="24"/>
          <w:szCs w:val="24"/>
        </w:rPr>
        <w:t>Ajmal, PhD</w:t>
      </w:r>
      <w:bookmarkEnd w:id="6"/>
      <w:bookmarkEnd w:id="7"/>
    </w:p>
    <w:p w14:paraId="298B8E6A" w14:textId="77777777" w:rsidR="009D050E" w:rsidRPr="00511330" w:rsidRDefault="009D050E" w:rsidP="009D050E">
      <w:pPr>
        <w:spacing w:after="0" w:line="240" w:lineRule="auto"/>
        <w:jc w:val="right"/>
        <w:rPr>
          <w:rFonts w:asciiTheme="majorBidi" w:hAnsiTheme="majorBidi" w:cstheme="majorBidi"/>
          <w:sz w:val="24"/>
          <w:szCs w:val="24"/>
        </w:rPr>
      </w:pPr>
      <w:bookmarkStart w:id="8" w:name="_Toc20350856"/>
      <w:bookmarkStart w:id="9" w:name="_Toc20351025"/>
      <w:r w:rsidRPr="00511330">
        <w:rPr>
          <w:rFonts w:asciiTheme="majorBidi" w:hAnsiTheme="majorBidi" w:cstheme="majorBidi"/>
          <w:sz w:val="24"/>
          <w:szCs w:val="24"/>
        </w:rPr>
        <w:t>Associate Professor, College of Business</w:t>
      </w:r>
      <w:bookmarkEnd w:id="8"/>
      <w:bookmarkEnd w:id="9"/>
    </w:p>
    <w:p w14:paraId="69E3491E" w14:textId="77777777" w:rsidR="009D050E" w:rsidRPr="00511330" w:rsidRDefault="009D050E" w:rsidP="009D050E">
      <w:pPr>
        <w:spacing w:after="0" w:line="240" w:lineRule="auto"/>
        <w:jc w:val="right"/>
        <w:rPr>
          <w:rFonts w:asciiTheme="majorBidi" w:hAnsiTheme="majorBidi" w:cstheme="majorBidi"/>
          <w:sz w:val="24"/>
          <w:szCs w:val="24"/>
        </w:rPr>
      </w:pPr>
      <w:bookmarkStart w:id="10" w:name="_Toc20350857"/>
      <w:bookmarkStart w:id="11" w:name="_Toc20351026"/>
      <w:r w:rsidRPr="00511330">
        <w:rPr>
          <w:rFonts w:asciiTheme="majorBidi" w:hAnsiTheme="majorBidi" w:cstheme="majorBidi"/>
          <w:sz w:val="24"/>
          <w:szCs w:val="24"/>
        </w:rPr>
        <w:t xml:space="preserve">Abu Dhabi University </w:t>
      </w:r>
    </w:p>
    <w:p w14:paraId="4F7905F0" w14:textId="3C431B2E" w:rsidR="009D050E" w:rsidRPr="00511330" w:rsidRDefault="009D050E" w:rsidP="009D050E">
      <w:pPr>
        <w:spacing w:after="0" w:line="240" w:lineRule="auto"/>
        <w:jc w:val="right"/>
        <w:rPr>
          <w:rFonts w:asciiTheme="majorBidi" w:hAnsiTheme="majorBidi" w:cstheme="majorBidi"/>
          <w:sz w:val="24"/>
          <w:szCs w:val="24"/>
        </w:rPr>
      </w:pPr>
      <w:r w:rsidRPr="00511330">
        <w:rPr>
          <w:rFonts w:asciiTheme="majorBidi" w:hAnsiTheme="majorBidi" w:cstheme="majorBidi"/>
          <w:sz w:val="24"/>
          <w:szCs w:val="24"/>
        </w:rPr>
        <w:t>Committee Chair</w:t>
      </w:r>
      <w:bookmarkEnd w:id="10"/>
      <w:bookmarkEnd w:id="11"/>
    </w:p>
    <w:p w14:paraId="70E597E9" w14:textId="0296D465" w:rsidR="009D050E" w:rsidRPr="00511330" w:rsidRDefault="009D050E" w:rsidP="009D050E">
      <w:pPr>
        <w:pStyle w:val="Heading1"/>
        <w:spacing w:after="120" w:line="360" w:lineRule="auto"/>
        <w:rPr>
          <w:b w:val="0"/>
          <w:sz w:val="28"/>
        </w:rPr>
      </w:pPr>
    </w:p>
    <w:p w14:paraId="3301A9AD" w14:textId="2048C428" w:rsidR="009D050E" w:rsidRPr="00511330" w:rsidRDefault="009D050E" w:rsidP="009D050E">
      <w:pPr>
        <w:spacing w:after="0" w:line="240" w:lineRule="auto"/>
        <w:jc w:val="right"/>
        <w:rPr>
          <w:rFonts w:asciiTheme="majorBidi" w:hAnsiTheme="majorBidi" w:cstheme="majorBidi"/>
          <w:b/>
          <w:bCs/>
          <w:sz w:val="24"/>
          <w:szCs w:val="24"/>
        </w:rPr>
      </w:pPr>
      <w:bookmarkStart w:id="12" w:name="_Toc20350859"/>
      <w:bookmarkStart w:id="13" w:name="_Toc20351028"/>
      <w:r w:rsidRPr="00511330">
        <w:rPr>
          <w:rFonts w:asciiTheme="majorBidi" w:hAnsiTheme="majorBidi" w:cstheme="majorBidi"/>
          <w:b/>
          <w:bCs/>
          <w:sz w:val="24"/>
          <w:szCs w:val="24"/>
        </w:rPr>
        <w:t>___________________________</w:t>
      </w:r>
      <w:r w:rsidRPr="00511330">
        <w:rPr>
          <w:rFonts w:asciiTheme="majorBidi" w:hAnsiTheme="majorBidi" w:cstheme="majorBidi"/>
          <w:b/>
          <w:bCs/>
          <w:sz w:val="24"/>
          <w:szCs w:val="24"/>
        </w:rPr>
        <w:br/>
        <w:t>Petri Helo, PhD</w:t>
      </w:r>
      <w:bookmarkEnd w:id="12"/>
      <w:bookmarkEnd w:id="13"/>
    </w:p>
    <w:p w14:paraId="61D71834" w14:textId="4AC4CD49" w:rsidR="009D050E" w:rsidRPr="00511330" w:rsidRDefault="009D050E" w:rsidP="009D050E">
      <w:pPr>
        <w:spacing w:after="0" w:line="240" w:lineRule="auto"/>
        <w:jc w:val="right"/>
        <w:rPr>
          <w:rFonts w:asciiTheme="majorBidi" w:hAnsiTheme="majorBidi" w:cstheme="majorBidi"/>
          <w:sz w:val="24"/>
          <w:szCs w:val="24"/>
        </w:rPr>
      </w:pPr>
      <w:bookmarkStart w:id="14" w:name="_Toc20350860"/>
      <w:bookmarkStart w:id="15" w:name="_Toc20351029"/>
      <w:r w:rsidRPr="00511330">
        <w:rPr>
          <w:rFonts w:asciiTheme="majorBidi" w:hAnsiTheme="majorBidi" w:cstheme="majorBidi"/>
          <w:sz w:val="24"/>
          <w:szCs w:val="24"/>
        </w:rPr>
        <w:t xml:space="preserve">Professor, Industrial Management </w:t>
      </w:r>
      <w:bookmarkEnd w:id="14"/>
      <w:bookmarkEnd w:id="15"/>
    </w:p>
    <w:p w14:paraId="13C8723D" w14:textId="2BA4847C" w:rsidR="009D050E" w:rsidRPr="00511330" w:rsidRDefault="009D050E" w:rsidP="009D050E">
      <w:pPr>
        <w:spacing w:after="0" w:line="240" w:lineRule="auto"/>
        <w:jc w:val="right"/>
        <w:rPr>
          <w:rFonts w:asciiTheme="majorBidi" w:hAnsiTheme="majorBidi" w:cstheme="majorBidi"/>
          <w:sz w:val="24"/>
          <w:szCs w:val="24"/>
        </w:rPr>
      </w:pPr>
      <w:bookmarkStart w:id="16" w:name="_Toc20350861"/>
      <w:bookmarkStart w:id="17" w:name="_Toc20351030"/>
      <w:r w:rsidRPr="00511330">
        <w:rPr>
          <w:rFonts w:asciiTheme="majorBidi" w:hAnsiTheme="majorBidi" w:cstheme="majorBidi"/>
          <w:sz w:val="24"/>
          <w:szCs w:val="24"/>
        </w:rPr>
        <w:t xml:space="preserve">University of Vaasa, Finland </w:t>
      </w:r>
    </w:p>
    <w:p w14:paraId="0BD33E7E" w14:textId="2830F180" w:rsidR="009D050E" w:rsidRPr="00511330" w:rsidRDefault="009D050E" w:rsidP="009D050E">
      <w:pPr>
        <w:spacing w:after="0" w:line="240" w:lineRule="auto"/>
        <w:jc w:val="right"/>
        <w:rPr>
          <w:rFonts w:asciiTheme="majorBidi" w:hAnsiTheme="majorBidi" w:cstheme="majorBidi"/>
          <w:sz w:val="24"/>
          <w:szCs w:val="24"/>
        </w:rPr>
      </w:pPr>
      <w:r w:rsidRPr="00511330">
        <w:rPr>
          <w:rFonts w:asciiTheme="majorBidi" w:hAnsiTheme="majorBidi" w:cstheme="majorBidi"/>
          <w:sz w:val="24"/>
          <w:szCs w:val="24"/>
        </w:rPr>
        <w:t>External Committee Member</w:t>
      </w:r>
      <w:bookmarkEnd w:id="16"/>
      <w:bookmarkEnd w:id="17"/>
    </w:p>
    <w:p w14:paraId="42112152" w14:textId="77777777" w:rsidR="009D050E" w:rsidRPr="00511330" w:rsidRDefault="009D050E" w:rsidP="009D050E">
      <w:pPr>
        <w:spacing w:after="0" w:line="240" w:lineRule="auto"/>
        <w:rPr>
          <w:rFonts w:asciiTheme="majorBidi" w:hAnsiTheme="majorBidi" w:cstheme="majorBidi"/>
          <w:sz w:val="24"/>
          <w:szCs w:val="24"/>
        </w:rPr>
      </w:pPr>
    </w:p>
    <w:p w14:paraId="26380D73" w14:textId="77777777" w:rsidR="009D050E" w:rsidRPr="00511330" w:rsidRDefault="009D050E" w:rsidP="009D050E">
      <w:pPr>
        <w:spacing w:after="0" w:line="240" w:lineRule="auto"/>
        <w:rPr>
          <w:rFonts w:asciiTheme="majorBidi" w:hAnsiTheme="majorBidi" w:cstheme="majorBidi"/>
          <w:sz w:val="24"/>
          <w:szCs w:val="24"/>
        </w:rPr>
      </w:pPr>
    </w:p>
    <w:p w14:paraId="4F68B344" w14:textId="35375371" w:rsidR="009D050E" w:rsidRPr="00511330" w:rsidRDefault="009D050E" w:rsidP="009D050E">
      <w:pPr>
        <w:spacing w:after="0" w:line="240" w:lineRule="auto"/>
        <w:rPr>
          <w:rFonts w:asciiTheme="majorBidi" w:hAnsiTheme="majorBidi" w:cstheme="majorBidi"/>
          <w:sz w:val="24"/>
          <w:szCs w:val="24"/>
        </w:rPr>
      </w:pPr>
    </w:p>
    <w:p w14:paraId="2688E9E6" w14:textId="241488B4" w:rsidR="009D050E" w:rsidRPr="00511330" w:rsidRDefault="009D050E" w:rsidP="009D050E">
      <w:pPr>
        <w:spacing w:after="0" w:line="240" w:lineRule="auto"/>
        <w:rPr>
          <w:rFonts w:asciiTheme="majorBidi" w:hAnsiTheme="majorBidi" w:cstheme="majorBidi"/>
          <w:sz w:val="24"/>
          <w:szCs w:val="24"/>
        </w:rPr>
      </w:pPr>
    </w:p>
    <w:p w14:paraId="42CD1B9C" w14:textId="045D760F" w:rsidR="009D050E" w:rsidRPr="00511330" w:rsidRDefault="009D050E" w:rsidP="009D050E">
      <w:pPr>
        <w:spacing w:after="0" w:line="240" w:lineRule="auto"/>
        <w:rPr>
          <w:rFonts w:asciiTheme="majorBidi" w:hAnsiTheme="majorBidi" w:cstheme="majorBidi"/>
          <w:sz w:val="24"/>
          <w:szCs w:val="24"/>
        </w:rPr>
      </w:pPr>
    </w:p>
    <w:p w14:paraId="1086C64A" w14:textId="77777777" w:rsidR="009D050E" w:rsidRPr="00511330" w:rsidRDefault="009D050E" w:rsidP="009D050E">
      <w:pPr>
        <w:spacing w:after="0" w:line="240" w:lineRule="auto"/>
        <w:rPr>
          <w:rFonts w:asciiTheme="majorBidi" w:hAnsiTheme="majorBidi" w:cstheme="majorBidi"/>
          <w:sz w:val="24"/>
          <w:szCs w:val="24"/>
        </w:rPr>
      </w:pPr>
    </w:p>
    <w:p w14:paraId="7EB22445" w14:textId="77777777" w:rsidR="009D050E" w:rsidRPr="00511330" w:rsidRDefault="009D050E" w:rsidP="009D050E">
      <w:pPr>
        <w:spacing w:after="0" w:line="240" w:lineRule="auto"/>
        <w:rPr>
          <w:rFonts w:asciiTheme="majorBidi" w:hAnsiTheme="majorBidi" w:cstheme="majorBidi"/>
          <w:sz w:val="24"/>
          <w:szCs w:val="24"/>
        </w:rPr>
      </w:pPr>
      <w:bookmarkStart w:id="18" w:name="_Toc20350858"/>
      <w:bookmarkStart w:id="19" w:name="_Toc20351027"/>
    </w:p>
    <w:p w14:paraId="132672D7" w14:textId="6A2C59D2" w:rsidR="009D050E" w:rsidRPr="00511330" w:rsidRDefault="009D050E" w:rsidP="00E419FA">
      <w:pPr>
        <w:spacing w:after="0" w:line="240" w:lineRule="auto"/>
        <w:rPr>
          <w:rFonts w:asciiTheme="majorBidi" w:hAnsiTheme="majorBidi" w:cstheme="majorBidi"/>
          <w:b/>
          <w:bCs/>
          <w:sz w:val="24"/>
          <w:szCs w:val="24"/>
        </w:rPr>
      </w:pPr>
      <w:r w:rsidRPr="00511330">
        <w:rPr>
          <w:rFonts w:asciiTheme="majorBidi" w:hAnsiTheme="majorBidi" w:cstheme="majorBidi"/>
          <w:b/>
          <w:bCs/>
          <w:sz w:val="24"/>
          <w:szCs w:val="24"/>
        </w:rPr>
        <w:t>___________________________</w:t>
      </w:r>
      <w:r w:rsidRPr="00511330">
        <w:rPr>
          <w:rFonts w:asciiTheme="majorBidi" w:hAnsiTheme="majorBidi" w:cstheme="majorBidi"/>
          <w:b/>
          <w:bCs/>
          <w:sz w:val="24"/>
          <w:szCs w:val="24"/>
        </w:rPr>
        <w:br/>
        <w:t xml:space="preserve">Prof. </w:t>
      </w:r>
      <w:r w:rsidR="00E419FA" w:rsidRPr="00511330">
        <w:rPr>
          <w:rFonts w:asciiTheme="majorBidi" w:hAnsiTheme="majorBidi" w:cstheme="majorBidi"/>
          <w:b/>
          <w:bCs/>
          <w:sz w:val="24"/>
          <w:szCs w:val="24"/>
        </w:rPr>
        <w:t>Barry O’Mahony</w:t>
      </w:r>
    </w:p>
    <w:p w14:paraId="45105AAD" w14:textId="62807E65" w:rsidR="009D050E" w:rsidRPr="00511330" w:rsidRDefault="009D050E" w:rsidP="00E419FA">
      <w:pPr>
        <w:spacing w:after="0" w:line="240" w:lineRule="auto"/>
        <w:rPr>
          <w:rFonts w:asciiTheme="majorBidi" w:hAnsiTheme="majorBidi" w:cstheme="majorBidi"/>
          <w:sz w:val="24"/>
          <w:szCs w:val="24"/>
        </w:rPr>
      </w:pPr>
      <w:r w:rsidRPr="00511330">
        <w:rPr>
          <w:rFonts w:asciiTheme="majorBidi" w:hAnsiTheme="majorBidi" w:cstheme="majorBidi"/>
          <w:sz w:val="24"/>
          <w:szCs w:val="24"/>
        </w:rPr>
        <w:t>Dean, College of Business</w:t>
      </w:r>
    </w:p>
    <w:p w14:paraId="1F737E02" w14:textId="77777777" w:rsidR="009D050E" w:rsidRPr="00511330" w:rsidRDefault="009D050E" w:rsidP="009D050E">
      <w:pPr>
        <w:spacing w:after="0" w:line="240" w:lineRule="auto"/>
        <w:rPr>
          <w:rFonts w:asciiTheme="majorBidi" w:hAnsiTheme="majorBidi" w:cstheme="majorBidi"/>
          <w:sz w:val="24"/>
          <w:szCs w:val="24"/>
        </w:rPr>
      </w:pPr>
      <w:r w:rsidRPr="00511330">
        <w:rPr>
          <w:rFonts w:asciiTheme="majorBidi" w:hAnsiTheme="majorBidi" w:cstheme="majorBidi"/>
          <w:sz w:val="24"/>
          <w:szCs w:val="24"/>
        </w:rPr>
        <w:t>Abu Dhabi University</w:t>
      </w:r>
      <w:bookmarkEnd w:id="18"/>
      <w:bookmarkEnd w:id="19"/>
    </w:p>
    <w:p w14:paraId="64416050" w14:textId="56B9C463" w:rsidR="008D3598" w:rsidRPr="00511330" w:rsidRDefault="008D3598" w:rsidP="00721566">
      <w:pPr>
        <w:spacing w:line="480" w:lineRule="auto"/>
        <w:ind w:right="-450"/>
        <w:rPr>
          <w:rFonts w:asciiTheme="majorBidi" w:hAnsiTheme="majorBidi" w:cstheme="majorBidi"/>
          <w:sz w:val="24"/>
          <w:szCs w:val="24"/>
        </w:rPr>
      </w:pPr>
    </w:p>
    <w:p w14:paraId="2FAFDAF7" w14:textId="7CA50762" w:rsidR="009D050E" w:rsidRPr="00511330" w:rsidRDefault="009D050E" w:rsidP="00721566">
      <w:pPr>
        <w:spacing w:line="480" w:lineRule="auto"/>
        <w:ind w:right="-450"/>
        <w:rPr>
          <w:rFonts w:asciiTheme="majorBidi" w:hAnsiTheme="majorBidi" w:cstheme="majorBidi"/>
          <w:sz w:val="24"/>
          <w:szCs w:val="24"/>
        </w:rPr>
      </w:pPr>
    </w:p>
    <w:p w14:paraId="2A9F6DBA" w14:textId="77777777" w:rsidR="009D050E" w:rsidRPr="00511330" w:rsidRDefault="009D050E" w:rsidP="00721566">
      <w:pPr>
        <w:spacing w:line="480" w:lineRule="auto"/>
        <w:ind w:right="-450"/>
        <w:rPr>
          <w:rFonts w:asciiTheme="majorBidi" w:hAnsiTheme="majorBidi" w:cstheme="majorBidi"/>
          <w:sz w:val="24"/>
          <w:szCs w:val="24"/>
        </w:rPr>
      </w:pPr>
    </w:p>
    <w:p w14:paraId="3751FBFB" w14:textId="77777777" w:rsidR="00C656A9" w:rsidRPr="00511330" w:rsidRDefault="00C656A9" w:rsidP="00C656A9">
      <w:pPr>
        <w:spacing w:line="480" w:lineRule="auto"/>
        <w:ind w:right="-450"/>
        <w:jc w:val="center"/>
        <w:rPr>
          <w:rFonts w:asciiTheme="majorBidi" w:hAnsiTheme="majorBidi" w:cstheme="majorBidi"/>
          <w:b/>
          <w:bCs/>
          <w:sz w:val="32"/>
          <w:szCs w:val="32"/>
          <w:lang w:val="en-US"/>
        </w:rPr>
      </w:pPr>
      <w:r w:rsidRPr="00511330">
        <w:rPr>
          <w:rFonts w:asciiTheme="majorBidi" w:hAnsiTheme="majorBidi" w:cstheme="majorBidi"/>
          <w:b/>
          <w:bCs/>
          <w:sz w:val="32"/>
          <w:szCs w:val="32"/>
          <w:lang w:val="en-US"/>
        </w:rPr>
        <w:t>STUDENT DECLARATION</w:t>
      </w:r>
    </w:p>
    <w:p w14:paraId="5F3C95D6" w14:textId="7AFAF6DA" w:rsidR="00C656A9" w:rsidRPr="00511330" w:rsidRDefault="00C656A9" w:rsidP="007B136D">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 Husniya Mohammed Hassan Al Ali, declare that the DBA Dissertation entitled. “Managing Change in the UAE Renewable Energy Market - A Mixed Method Approach” is not less than </w:t>
      </w:r>
      <w:r w:rsidR="007B136D" w:rsidRPr="00511330">
        <w:rPr>
          <w:rFonts w:asciiTheme="majorBidi" w:hAnsiTheme="majorBidi" w:cstheme="majorBidi"/>
          <w:sz w:val="24"/>
          <w:szCs w:val="24"/>
          <w:lang w:val="en-US"/>
        </w:rPr>
        <w:t>39</w:t>
      </w:r>
      <w:r w:rsidRPr="00511330">
        <w:rPr>
          <w:rFonts w:asciiTheme="majorBidi" w:hAnsiTheme="majorBidi" w:cstheme="majorBidi"/>
          <w:sz w:val="24"/>
          <w:szCs w:val="24"/>
          <w:lang w:val="en-US"/>
        </w:rPr>
        <w:t xml:space="preserve">,000 words in length, excluding appendices, bibliography and references. It contains no material which has been submitted in the past, in its entirety or in part, for the award of any other academic degree. Except for where otherwise indicated, it is my own work” </w:t>
      </w:r>
    </w:p>
    <w:p w14:paraId="64416052" w14:textId="5A399CC4" w:rsidR="008D3598" w:rsidRPr="00511330" w:rsidRDefault="00C656A9" w:rsidP="00C656A9">
      <w:pPr>
        <w:spacing w:after="0"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 </w:t>
      </w:r>
    </w:p>
    <w:p w14:paraId="64416053" w14:textId="77777777" w:rsidR="008D3598" w:rsidRPr="00511330" w:rsidRDefault="008D3598" w:rsidP="00721566">
      <w:pPr>
        <w:spacing w:line="480" w:lineRule="auto"/>
        <w:ind w:right="-450"/>
        <w:jc w:val="both"/>
        <w:rPr>
          <w:rFonts w:asciiTheme="majorBidi" w:hAnsiTheme="majorBidi" w:cstheme="majorBidi"/>
          <w:sz w:val="24"/>
          <w:szCs w:val="24"/>
          <w:lang w:val="en-US"/>
        </w:rPr>
      </w:pPr>
    </w:p>
    <w:p w14:paraId="64416054" w14:textId="77777777" w:rsidR="008D3598" w:rsidRPr="00511330" w:rsidRDefault="008D3598" w:rsidP="00721566">
      <w:pPr>
        <w:spacing w:line="480" w:lineRule="auto"/>
        <w:ind w:right="-450"/>
        <w:jc w:val="both"/>
        <w:rPr>
          <w:rFonts w:asciiTheme="majorBidi" w:hAnsiTheme="majorBidi" w:cstheme="majorBidi"/>
          <w:sz w:val="24"/>
          <w:szCs w:val="24"/>
          <w:lang w:val="en-US"/>
        </w:rPr>
      </w:pPr>
    </w:p>
    <w:p w14:paraId="64416055" w14:textId="77777777" w:rsidR="008D3598" w:rsidRPr="00511330" w:rsidRDefault="008D3598" w:rsidP="00721566">
      <w:pPr>
        <w:spacing w:line="480" w:lineRule="auto"/>
        <w:ind w:right="-450"/>
        <w:jc w:val="both"/>
        <w:rPr>
          <w:rFonts w:asciiTheme="majorBidi" w:hAnsiTheme="majorBidi" w:cstheme="majorBidi"/>
          <w:b/>
          <w:bCs/>
          <w:sz w:val="24"/>
          <w:szCs w:val="24"/>
          <w:lang w:val="en-US"/>
        </w:rPr>
      </w:pPr>
      <w:r w:rsidRPr="00511330">
        <w:rPr>
          <w:rFonts w:asciiTheme="majorBidi" w:hAnsiTheme="majorBidi" w:cstheme="majorBidi"/>
          <w:b/>
          <w:bCs/>
          <w:sz w:val="24"/>
          <w:szCs w:val="24"/>
          <w:lang w:val="en-US"/>
        </w:rPr>
        <w:t>Signature</w:t>
      </w:r>
      <w:r w:rsidRPr="00511330">
        <w:rPr>
          <w:rFonts w:asciiTheme="majorBidi" w:hAnsiTheme="majorBidi" w:cstheme="majorBidi"/>
          <w:b/>
          <w:bCs/>
          <w:sz w:val="24"/>
          <w:szCs w:val="24"/>
          <w:lang w:val="en-US"/>
        </w:rPr>
        <w:tab/>
      </w:r>
      <w:r w:rsidRPr="00511330">
        <w:rPr>
          <w:rFonts w:asciiTheme="majorBidi" w:hAnsiTheme="majorBidi" w:cstheme="majorBidi"/>
          <w:b/>
          <w:bCs/>
          <w:sz w:val="24"/>
          <w:szCs w:val="24"/>
          <w:lang w:val="en-US"/>
        </w:rPr>
        <w:tab/>
      </w:r>
      <w:r w:rsidRPr="00511330">
        <w:rPr>
          <w:rFonts w:asciiTheme="majorBidi" w:hAnsiTheme="majorBidi" w:cstheme="majorBidi"/>
          <w:b/>
          <w:bCs/>
          <w:sz w:val="24"/>
          <w:szCs w:val="24"/>
          <w:lang w:val="en-US"/>
        </w:rPr>
        <w:tab/>
      </w:r>
      <w:r w:rsidRPr="00511330">
        <w:rPr>
          <w:rFonts w:asciiTheme="majorBidi" w:hAnsiTheme="majorBidi" w:cstheme="majorBidi"/>
          <w:b/>
          <w:bCs/>
          <w:sz w:val="24"/>
          <w:szCs w:val="24"/>
          <w:lang w:val="en-US"/>
        </w:rPr>
        <w:tab/>
      </w:r>
      <w:r w:rsidRPr="00511330">
        <w:rPr>
          <w:rFonts w:asciiTheme="majorBidi" w:hAnsiTheme="majorBidi" w:cstheme="majorBidi"/>
          <w:b/>
          <w:bCs/>
          <w:sz w:val="24"/>
          <w:szCs w:val="24"/>
          <w:lang w:val="en-US"/>
        </w:rPr>
        <w:tab/>
      </w:r>
      <w:r w:rsidRPr="00511330">
        <w:rPr>
          <w:rFonts w:asciiTheme="majorBidi" w:hAnsiTheme="majorBidi" w:cstheme="majorBidi"/>
          <w:b/>
          <w:bCs/>
          <w:sz w:val="24"/>
          <w:szCs w:val="24"/>
          <w:lang w:val="en-US"/>
        </w:rPr>
        <w:tab/>
      </w:r>
      <w:r w:rsidRPr="00511330">
        <w:rPr>
          <w:rFonts w:asciiTheme="majorBidi" w:hAnsiTheme="majorBidi" w:cstheme="majorBidi"/>
          <w:b/>
          <w:bCs/>
          <w:sz w:val="24"/>
          <w:szCs w:val="24"/>
          <w:lang w:val="en-US"/>
        </w:rPr>
        <w:tab/>
        <w:t>Date</w:t>
      </w:r>
    </w:p>
    <w:p w14:paraId="64416056" w14:textId="225BEF0A" w:rsidR="008D3598" w:rsidRPr="00511330" w:rsidRDefault="00AF3420"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ab/>
      </w:r>
      <w:r w:rsidRPr="00511330">
        <w:rPr>
          <w:rFonts w:asciiTheme="majorBidi" w:hAnsiTheme="majorBidi" w:cstheme="majorBidi"/>
          <w:sz w:val="24"/>
          <w:szCs w:val="24"/>
          <w:lang w:val="en-US"/>
        </w:rPr>
        <w:tab/>
      </w:r>
      <w:r w:rsidRPr="00511330">
        <w:rPr>
          <w:rFonts w:asciiTheme="majorBidi" w:hAnsiTheme="majorBidi" w:cstheme="majorBidi"/>
          <w:sz w:val="24"/>
          <w:szCs w:val="24"/>
          <w:lang w:val="en-US"/>
        </w:rPr>
        <w:tab/>
      </w:r>
      <w:r w:rsidRPr="00511330">
        <w:rPr>
          <w:rFonts w:asciiTheme="majorBidi" w:hAnsiTheme="majorBidi" w:cstheme="majorBidi"/>
          <w:sz w:val="24"/>
          <w:szCs w:val="24"/>
          <w:lang w:val="en-US"/>
        </w:rPr>
        <w:tab/>
      </w:r>
      <w:r w:rsidRPr="00511330">
        <w:rPr>
          <w:rFonts w:asciiTheme="majorBidi" w:hAnsiTheme="majorBidi" w:cstheme="majorBidi"/>
          <w:sz w:val="24"/>
          <w:szCs w:val="24"/>
          <w:lang w:val="en-US"/>
        </w:rPr>
        <w:tab/>
      </w:r>
      <w:r w:rsidRPr="00511330">
        <w:rPr>
          <w:rFonts w:asciiTheme="majorBidi" w:hAnsiTheme="majorBidi" w:cstheme="majorBidi"/>
          <w:sz w:val="24"/>
          <w:szCs w:val="24"/>
          <w:lang w:val="en-US"/>
        </w:rPr>
        <w:tab/>
      </w:r>
      <w:r w:rsidRPr="00511330">
        <w:rPr>
          <w:rFonts w:asciiTheme="majorBidi" w:hAnsiTheme="majorBidi" w:cstheme="majorBidi"/>
          <w:sz w:val="24"/>
          <w:szCs w:val="24"/>
          <w:lang w:val="en-US"/>
        </w:rPr>
        <w:tab/>
      </w:r>
      <w:r w:rsidRPr="00511330">
        <w:rPr>
          <w:rFonts w:asciiTheme="majorBidi" w:hAnsiTheme="majorBidi" w:cstheme="majorBidi"/>
          <w:sz w:val="24"/>
          <w:szCs w:val="24"/>
          <w:lang w:val="en-US"/>
        </w:rPr>
        <w:tab/>
        <w:t>10/03</w:t>
      </w:r>
      <w:r w:rsidR="008D3598" w:rsidRPr="00511330">
        <w:rPr>
          <w:rFonts w:asciiTheme="majorBidi" w:hAnsiTheme="majorBidi" w:cstheme="majorBidi"/>
          <w:sz w:val="24"/>
          <w:szCs w:val="24"/>
          <w:lang w:val="en-US"/>
        </w:rPr>
        <w:t>/2020</w:t>
      </w:r>
    </w:p>
    <w:p w14:paraId="64416057" w14:textId="77777777" w:rsidR="008D3598" w:rsidRPr="00511330" w:rsidRDefault="008D3598" w:rsidP="00721566">
      <w:pPr>
        <w:bidi/>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ab/>
      </w:r>
      <w:r w:rsidRPr="00511330">
        <w:rPr>
          <w:rFonts w:asciiTheme="majorBidi" w:hAnsiTheme="majorBidi" w:cstheme="majorBidi"/>
          <w:sz w:val="24"/>
          <w:szCs w:val="24"/>
          <w:lang w:val="en-US"/>
        </w:rPr>
        <w:tab/>
      </w:r>
      <w:r w:rsidRPr="00511330">
        <w:rPr>
          <w:rFonts w:asciiTheme="majorBidi" w:hAnsiTheme="majorBidi" w:cstheme="majorBidi"/>
          <w:sz w:val="24"/>
          <w:szCs w:val="24"/>
          <w:lang w:val="en-US"/>
        </w:rPr>
        <w:tab/>
      </w:r>
      <w:r w:rsidRPr="00511330">
        <w:rPr>
          <w:rFonts w:asciiTheme="majorBidi" w:hAnsiTheme="majorBidi" w:cstheme="majorBidi"/>
          <w:sz w:val="24"/>
          <w:szCs w:val="24"/>
          <w:lang w:val="en-US"/>
        </w:rPr>
        <w:tab/>
      </w:r>
      <w:r w:rsidRPr="00511330">
        <w:rPr>
          <w:rFonts w:asciiTheme="majorBidi" w:hAnsiTheme="majorBidi" w:cstheme="majorBidi"/>
          <w:sz w:val="24"/>
          <w:szCs w:val="24"/>
          <w:lang w:val="en-US"/>
        </w:rPr>
        <w:tab/>
      </w:r>
      <w:r w:rsidRPr="00511330">
        <w:rPr>
          <w:rFonts w:asciiTheme="majorBidi" w:hAnsiTheme="majorBidi" w:cstheme="majorBidi"/>
          <w:sz w:val="24"/>
          <w:szCs w:val="24"/>
          <w:lang w:val="en-US"/>
        </w:rPr>
        <w:tab/>
      </w:r>
    </w:p>
    <w:p w14:paraId="7E1D9ACB" w14:textId="77777777" w:rsidR="00332523" w:rsidRPr="00511330" w:rsidRDefault="008D3598" w:rsidP="00332523">
      <w:pPr>
        <w:ind w:right="-450"/>
        <w:jc w:val="center"/>
        <w:rPr>
          <w:rFonts w:asciiTheme="majorBidi" w:hAnsiTheme="majorBidi" w:cstheme="majorBidi"/>
          <w:sz w:val="24"/>
          <w:szCs w:val="24"/>
          <w:lang w:val="en-US"/>
        </w:rPr>
      </w:pPr>
      <w:r w:rsidRPr="00511330">
        <w:rPr>
          <w:rFonts w:asciiTheme="majorBidi" w:hAnsiTheme="majorBidi" w:cstheme="majorBidi"/>
          <w:sz w:val="24"/>
          <w:szCs w:val="24"/>
          <w:lang w:val="en-US"/>
        </w:rPr>
        <w:br w:type="page"/>
      </w:r>
    </w:p>
    <w:p w14:paraId="724FE88A" w14:textId="77777777" w:rsidR="00C656A9" w:rsidRPr="00511330" w:rsidRDefault="00C656A9" w:rsidP="000C0C7C">
      <w:pPr>
        <w:ind w:right="-450"/>
        <w:jc w:val="center"/>
        <w:rPr>
          <w:rFonts w:asciiTheme="majorBidi" w:hAnsiTheme="majorBidi" w:cstheme="majorBidi"/>
          <w:b/>
          <w:bCs/>
          <w:sz w:val="24"/>
          <w:szCs w:val="24"/>
          <w:lang w:val="en-US"/>
        </w:rPr>
      </w:pPr>
      <w:r w:rsidRPr="00511330">
        <w:rPr>
          <w:rFonts w:asciiTheme="majorBidi" w:hAnsiTheme="majorBidi" w:cstheme="majorBidi"/>
          <w:b/>
          <w:bCs/>
          <w:sz w:val="32"/>
          <w:szCs w:val="32"/>
          <w:lang w:val="en-US"/>
        </w:rPr>
        <w:lastRenderedPageBreak/>
        <w:t xml:space="preserve">POTENTIAL PUBLICATIONS FROM THE DISSERTATION </w:t>
      </w:r>
    </w:p>
    <w:p w14:paraId="7E98FB21" w14:textId="77777777" w:rsidR="00C656A9" w:rsidRPr="00511330" w:rsidRDefault="00C656A9" w:rsidP="00C656A9">
      <w:pPr>
        <w:spacing w:line="480" w:lineRule="auto"/>
        <w:ind w:right="-450"/>
        <w:jc w:val="both"/>
        <w:rPr>
          <w:rFonts w:asciiTheme="majorBidi" w:hAnsiTheme="majorBidi" w:cstheme="majorBidi"/>
          <w:sz w:val="24"/>
          <w:szCs w:val="24"/>
          <w:lang w:val="en-US"/>
        </w:rPr>
      </w:pPr>
    </w:p>
    <w:p w14:paraId="4DE70AB6" w14:textId="77777777" w:rsidR="00C656A9" w:rsidRPr="00511330" w:rsidRDefault="00C656A9" w:rsidP="00C656A9">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This dissertation forms part of the total work efforts made on change management in the UAE’s renewable energy industry. The research is a crucible of four articles pertaining to change management, including Barriers to Change: a Case of Renewable Energy Sector in the Emerging Market, Motivators of Change: a Case of Renewable Energy in the Emerging Market and Enablers of Change: a Case of Renewable Energy in the Emerging Market and Managing Change in Constantly Evolving Energy Market: A Study of Motivators, Enablers and Barriers.</w:t>
      </w:r>
    </w:p>
    <w:p w14:paraId="3392CD59" w14:textId="77777777" w:rsidR="00C656A9" w:rsidRPr="00511330" w:rsidRDefault="00C656A9" w:rsidP="00C656A9">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So far, the first published paper by Elsevier was released in October 2018 with the commonality analysis on the subject of Managing Change in Constantly Evolving Energy Market: A Study of Motivators, Enablers and Barriers. The remaining three stated papers are pre-approved for publishing and are currently in final scrutiny and under review.</w:t>
      </w:r>
    </w:p>
    <w:p w14:paraId="21DC9205" w14:textId="77777777" w:rsidR="00C656A9" w:rsidRPr="00511330" w:rsidRDefault="00C656A9" w:rsidP="00C656A9">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dissertation is an advance step towards the total effort that serves the objective of adding values to researchers and the community alike in conjunctions with change management in the UAE’s renewable energy. </w:t>
      </w:r>
    </w:p>
    <w:p w14:paraId="6441605D" w14:textId="77777777" w:rsidR="008D3598" w:rsidRPr="00511330" w:rsidRDefault="008D3598" w:rsidP="00721566">
      <w:pPr>
        <w:ind w:right="-450"/>
        <w:rPr>
          <w:rFonts w:asciiTheme="majorBidi" w:hAnsiTheme="majorBidi" w:cstheme="majorBidi"/>
          <w:sz w:val="24"/>
          <w:szCs w:val="24"/>
          <w:lang w:val="en-US"/>
        </w:rPr>
      </w:pPr>
    </w:p>
    <w:p w14:paraId="6441605E" w14:textId="77777777" w:rsidR="008D3598" w:rsidRPr="00511330" w:rsidRDefault="008D3598" w:rsidP="00721566">
      <w:pPr>
        <w:ind w:right="-450"/>
        <w:rPr>
          <w:rFonts w:asciiTheme="majorBidi" w:hAnsiTheme="majorBidi" w:cstheme="majorBidi"/>
          <w:sz w:val="24"/>
          <w:szCs w:val="24"/>
          <w:lang w:val="en-US"/>
        </w:rPr>
      </w:pPr>
    </w:p>
    <w:p w14:paraId="6441605F" w14:textId="77777777" w:rsidR="008D3598" w:rsidRPr="00511330" w:rsidRDefault="008D3598" w:rsidP="00721566">
      <w:pPr>
        <w:ind w:right="-450"/>
        <w:rPr>
          <w:rFonts w:asciiTheme="majorBidi" w:hAnsiTheme="majorBidi" w:cstheme="majorBidi"/>
          <w:sz w:val="24"/>
          <w:szCs w:val="24"/>
          <w:lang w:val="en-US"/>
        </w:rPr>
      </w:pPr>
    </w:p>
    <w:p w14:paraId="6EAB3D0F" w14:textId="77777777" w:rsidR="00B95C7E" w:rsidRPr="00511330" w:rsidRDefault="00B95C7E" w:rsidP="00721566">
      <w:pPr>
        <w:ind w:right="-450"/>
        <w:rPr>
          <w:rFonts w:asciiTheme="majorBidi" w:hAnsiTheme="majorBidi" w:cstheme="majorBidi"/>
          <w:sz w:val="24"/>
          <w:szCs w:val="24"/>
          <w:lang w:val="en-US"/>
        </w:rPr>
      </w:pPr>
    </w:p>
    <w:p w14:paraId="64416060" w14:textId="77777777" w:rsidR="008D3598" w:rsidRPr="00511330" w:rsidRDefault="008D3598" w:rsidP="00721566">
      <w:pPr>
        <w:ind w:right="-450"/>
        <w:rPr>
          <w:rFonts w:asciiTheme="majorBidi" w:hAnsiTheme="majorBidi" w:cstheme="majorBidi"/>
          <w:sz w:val="24"/>
          <w:szCs w:val="24"/>
          <w:lang w:val="en-US"/>
        </w:rPr>
      </w:pPr>
    </w:p>
    <w:sdt>
      <w:sdtPr>
        <w:rPr>
          <w:rFonts w:ascii="Times New Roman" w:eastAsiaTheme="minorHAnsi" w:hAnsi="Times New Roman" w:cs="Times New Roman"/>
          <w:b w:val="0"/>
          <w:bCs w:val="0"/>
          <w:color w:val="auto"/>
          <w:sz w:val="24"/>
          <w:szCs w:val="24"/>
          <w:lang w:val="en-GB" w:eastAsia="en-US"/>
        </w:rPr>
        <w:id w:val="1478959120"/>
        <w:docPartObj>
          <w:docPartGallery w:val="Table of Contents"/>
          <w:docPartUnique/>
        </w:docPartObj>
      </w:sdtPr>
      <w:sdtEndPr>
        <w:rPr>
          <w:noProof/>
        </w:rPr>
      </w:sdtEndPr>
      <w:sdtContent>
        <w:p w14:paraId="64416061" w14:textId="77777777" w:rsidR="008D3598" w:rsidRPr="00511330" w:rsidRDefault="008D3598" w:rsidP="00FD1D6D">
          <w:pPr>
            <w:pStyle w:val="TOCHeading"/>
            <w:spacing w:line="240" w:lineRule="auto"/>
            <w:ind w:right="-450"/>
            <w:rPr>
              <w:rFonts w:ascii="Times New Roman" w:hAnsi="Times New Roman" w:cs="Times New Roman"/>
              <w:color w:val="auto"/>
              <w:sz w:val="24"/>
              <w:szCs w:val="24"/>
            </w:rPr>
          </w:pPr>
          <w:r w:rsidRPr="00511330">
            <w:rPr>
              <w:rFonts w:ascii="Times New Roman" w:hAnsi="Times New Roman" w:cs="Times New Roman"/>
              <w:color w:val="auto"/>
              <w:sz w:val="24"/>
              <w:szCs w:val="24"/>
            </w:rPr>
            <w:t>Table of Contents</w:t>
          </w:r>
        </w:p>
        <w:p w14:paraId="3F4F534E" w14:textId="3DEEEDEA" w:rsidR="00FD1D6D" w:rsidRPr="00511330" w:rsidRDefault="008D3598" w:rsidP="00FD1D6D">
          <w:pPr>
            <w:pStyle w:val="TOC1"/>
            <w:tabs>
              <w:tab w:val="right" w:leader="dot" w:pos="7374"/>
            </w:tabs>
            <w:spacing w:line="240" w:lineRule="auto"/>
            <w:rPr>
              <w:rFonts w:ascii="Times New Roman" w:eastAsiaTheme="minorEastAsia" w:hAnsi="Times New Roman" w:cs="Times New Roman"/>
              <w:noProof/>
              <w:sz w:val="24"/>
              <w:szCs w:val="24"/>
              <w:lang w:val="en-US"/>
            </w:rPr>
          </w:pPr>
          <w:r w:rsidRPr="00511330">
            <w:rPr>
              <w:rFonts w:ascii="Times New Roman" w:hAnsi="Times New Roman" w:cs="Times New Roman"/>
              <w:sz w:val="24"/>
              <w:szCs w:val="24"/>
              <w:lang w:val="en-US"/>
            </w:rPr>
            <w:fldChar w:fldCharType="begin"/>
          </w:r>
          <w:r w:rsidRPr="00511330">
            <w:rPr>
              <w:rFonts w:ascii="Times New Roman" w:hAnsi="Times New Roman" w:cs="Times New Roman"/>
              <w:sz w:val="24"/>
              <w:szCs w:val="24"/>
              <w:lang w:val="en-US"/>
            </w:rPr>
            <w:instrText xml:space="preserve"> TOC \o "1-3" \h \z \u </w:instrText>
          </w:r>
          <w:r w:rsidRPr="00511330">
            <w:rPr>
              <w:rFonts w:ascii="Times New Roman" w:hAnsi="Times New Roman" w:cs="Times New Roman"/>
              <w:sz w:val="24"/>
              <w:szCs w:val="24"/>
              <w:lang w:val="en-US"/>
            </w:rPr>
            <w:fldChar w:fldCharType="separate"/>
          </w:r>
          <w:hyperlink w:anchor="_Toc43311592" w:history="1">
            <w:r w:rsidR="00FD1D6D" w:rsidRPr="00511330">
              <w:rPr>
                <w:rStyle w:val="Hyperlink"/>
                <w:rFonts w:ascii="Times New Roman" w:hAnsi="Times New Roman" w:cs="Times New Roman"/>
                <w:noProof/>
                <w:sz w:val="24"/>
                <w:szCs w:val="24"/>
                <w:lang w:val="en-US"/>
              </w:rPr>
              <w:t>ABSTRACT</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_Toc43311592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xi</w:t>
            </w:r>
            <w:r w:rsidR="00FD1D6D" w:rsidRPr="00511330">
              <w:rPr>
                <w:rFonts w:ascii="Times New Roman" w:hAnsi="Times New Roman" w:cs="Times New Roman"/>
                <w:noProof/>
                <w:webHidden/>
                <w:sz w:val="24"/>
                <w:szCs w:val="24"/>
              </w:rPr>
              <w:fldChar w:fldCharType="end"/>
            </w:r>
          </w:hyperlink>
        </w:p>
        <w:p w14:paraId="613BAA34" w14:textId="25EF4D15" w:rsidR="00FD1D6D" w:rsidRPr="00511330" w:rsidRDefault="003F7137" w:rsidP="00FD1D6D">
          <w:pPr>
            <w:pStyle w:val="TOC1"/>
            <w:tabs>
              <w:tab w:val="right" w:leader="dot" w:pos="7374"/>
            </w:tabs>
            <w:spacing w:line="240" w:lineRule="auto"/>
            <w:rPr>
              <w:rFonts w:ascii="Times New Roman" w:eastAsiaTheme="minorEastAsia" w:hAnsi="Times New Roman" w:cs="Times New Roman"/>
              <w:noProof/>
              <w:sz w:val="24"/>
              <w:szCs w:val="24"/>
              <w:lang w:val="en-US"/>
            </w:rPr>
          </w:pPr>
          <w:hyperlink w:anchor="_Toc43311593" w:history="1">
            <w:r w:rsidR="00FD1D6D" w:rsidRPr="00511330">
              <w:rPr>
                <w:rStyle w:val="Hyperlink"/>
                <w:rFonts w:ascii="Times New Roman" w:hAnsi="Times New Roman" w:cs="Times New Roman"/>
                <w:noProof/>
                <w:sz w:val="24"/>
                <w:szCs w:val="24"/>
                <w:lang w:val="en-US"/>
              </w:rPr>
              <w:t>ACKNOWLEDGEMENT</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_Toc43311593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xiii</w:t>
            </w:r>
            <w:r w:rsidR="00FD1D6D" w:rsidRPr="00511330">
              <w:rPr>
                <w:rFonts w:ascii="Times New Roman" w:hAnsi="Times New Roman" w:cs="Times New Roman"/>
                <w:noProof/>
                <w:webHidden/>
                <w:sz w:val="24"/>
                <w:szCs w:val="24"/>
              </w:rPr>
              <w:fldChar w:fldCharType="end"/>
            </w:r>
          </w:hyperlink>
        </w:p>
        <w:p w14:paraId="48FD890C" w14:textId="36248EF5" w:rsidR="00FD1D6D" w:rsidRPr="00511330" w:rsidRDefault="003F7137" w:rsidP="00FD1D6D">
          <w:pPr>
            <w:pStyle w:val="TOC1"/>
            <w:tabs>
              <w:tab w:val="right" w:leader="dot" w:pos="7374"/>
            </w:tabs>
            <w:spacing w:line="240" w:lineRule="auto"/>
            <w:rPr>
              <w:rFonts w:ascii="Times New Roman" w:eastAsiaTheme="minorEastAsia" w:hAnsi="Times New Roman" w:cs="Times New Roman"/>
              <w:noProof/>
              <w:sz w:val="24"/>
              <w:szCs w:val="24"/>
              <w:lang w:val="en-US"/>
            </w:rPr>
          </w:pPr>
          <w:hyperlink w:anchor="_Toc43311594" w:history="1">
            <w:r w:rsidR="00FD1D6D" w:rsidRPr="00511330">
              <w:rPr>
                <w:rStyle w:val="Hyperlink"/>
                <w:rFonts w:ascii="Times New Roman" w:hAnsi="Times New Roman" w:cs="Times New Roman"/>
                <w:noProof/>
                <w:sz w:val="24"/>
                <w:szCs w:val="24"/>
                <w:lang w:val="en-US"/>
              </w:rPr>
              <w:t>STRUCTURE OF THE DESERTATION</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_Toc43311594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xiv</w:t>
            </w:r>
            <w:r w:rsidR="00FD1D6D" w:rsidRPr="00511330">
              <w:rPr>
                <w:rFonts w:ascii="Times New Roman" w:hAnsi="Times New Roman" w:cs="Times New Roman"/>
                <w:noProof/>
                <w:webHidden/>
                <w:sz w:val="24"/>
                <w:szCs w:val="24"/>
              </w:rPr>
              <w:fldChar w:fldCharType="end"/>
            </w:r>
          </w:hyperlink>
        </w:p>
        <w:p w14:paraId="417F6A60" w14:textId="274062CA" w:rsidR="00FD1D6D" w:rsidRPr="00511330" w:rsidRDefault="003F7137" w:rsidP="00FD1D6D">
          <w:pPr>
            <w:pStyle w:val="TOC1"/>
            <w:tabs>
              <w:tab w:val="right" w:leader="dot" w:pos="7374"/>
            </w:tabs>
            <w:spacing w:line="240" w:lineRule="auto"/>
            <w:rPr>
              <w:rFonts w:ascii="Times New Roman" w:eastAsiaTheme="minorEastAsia" w:hAnsi="Times New Roman" w:cs="Times New Roman"/>
              <w:noProof/>
              <w:sz w:val="24"/>
              <w:szCs w:val="24"/>
              <w:lang w:val="en-US"/>
            </w:rPr>
          </w:pPr>
          <w:hyperlink w:anchor="_Toc43311595" w:history="1">
            <w:r w:rsidR="00FD1D6D" w:rsidRPr="00511330">
              <w:rPr>
                <w:rStyle w:val="Hyperlink"/>
                <w:rFonts w:ascii="Times New Roman" w:hAnsi="Times New Roman" w:cs="Times New Roman"/>
                <w:noProof/>
                <w:sz w:val="24"/>
                <w:szCs w:val="24"/>
                <w:lang w:val="en-US"/>
              </w:rPr>
              <w:t>CHAPTER 1: INTRODUCTION</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_Toc43311595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w:t>
            </w:r>
            <w:r w:rsidR="00FD1D6D" w:rsidRPr="00511330">
              <w:rPr>
                <w:rFonts w:ascii="Times New Roman" w:hAnsi="Times New Roman" w:cs="Times New Roman"/>
                <w:noProof/>
                <w:webHidden/>
                <w:sz w:val="24"/>
                <w:szCs w:val="24"/>
              </w:rPr>
              <w:fldChar w:fldCharType="end"/>
            </w:r>
          </w:hyperlink>
        </w:p>
        <w:p w14:paraId="5020B69F" w14:textId="3EE9DA35"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596" w:history="1">
            <w:r w:rsidR="00FD1D6D" w:rsidRPr="00511330">
              <w:rPr>
                <w:rStyle w:val="Hyperlink"/>
                <w:rFonts w:ascii="Times New Roman" w:hAnsi="Times New Roman" w:cs="Times New Roman"/>
                <w:noProof/>
                <w:sz w:val="24"/>
                <w:szCs w:val="24"/>
                <w:lang w:val="en-US"/>
              </w:rPr>
              <w:t>1.1.</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Introduction</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_Toc43311596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w:t>
            </w:r>
            <w:r w:rsidR="00FD1D6D" w:rsidRPr="00511330">
              <w:rPr>
                <w:rFonts w:ascii="Times New Roman" w:hAnsi="Times New Roman" w:cs="Times New Roman"/>
                <w:noProof/>
                <w:webHidden/>
                <w:sz w:val="24"/>
                <w:szCs w:val="24"/>
              </w:rPr>
              <w:fldChar w:fldCharType="end"/>
            </w:r>
          </w:hyperlink>
        </w:p>
        <w:p w14:paraId="120AD21F" w14:textId="75B1F4A1"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597" w:history="1">
            <w:r w:rsidR="00FD1D6D" w:rsidRPr="00511330">
              <w:rPr>
                <w:rStyle w:val="Hyperlink"/>
                <w:rFonts w:ascii="Times New Roman" w:hAnsi="Times New Roman" w:cs="Times New Roman"/>
                <w:noProof/>
                <w:sz w:val="24"/>
                <w:szCs w:val="24"/>
                <w:lang w:val="en-US"/>
              </w:rPr>
              <w:t>1.2.</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Statement of Problem</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_Toc43311597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7</w:t>
            </w:r>
            <w:r w:rsidR="00FD1D6D" w:rsidRPr="00511330">
              <w:rPr>
                <w:rFonts w:ascii="Times New Roman" w:hAnsi="Times New Roman" w:cs="Times New Roman"/>
                <w:noProof/>
                <w:webHidden/>
                <w:sz w:val="24"/>
                <w:szCs w:val="24"/>
              </w:rPr>
              <w:fldChar w:fldCharType="end"/>
            </w:r>
          </w:hyperlink>
        </w:p>
        <w:p w14:paraId="442BB95E" w14:textId="385ED345"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598" w:history="1">
            <w:r w:rsidR="00FD1D6D" w:rsidRPr="00511330">
              <w:rPr>
                <w:rStyle w:val="Hyperlink"/>
                <w:rFonts w:ascii="Times New Roman" w:hAnsi="Times New Roman" w:cs="Times New Roman"/>
                <w:noProof/>
                <w:sz w:val="24"/>
                <w:szCs w:val="24"/>
                <w:lang w:val="en-US"/>
              </w:rPr>
              <w:t>1.3.</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Research Context</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_Toc43311598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10</w:t>
            </w:r>
            <w:r w:rsidR="00FD1D6D" w:rsidRPr="00511330">
              <w:rPr>
                <w:rFonts w:ascii="Times New Roman" w:hAnsi="Times New Roman" w:cs="Times New Roman"/>
                <w:noProof/>
                <w:webHidden/>
                <w:sz w:val="24"/>
                <w:szCs w:val="24"/>
              </w:rPr>
              <w:fldChar w:fldCharType="end"/>
            </w:r>
          </w:hyperlink>
        </w:p>
        <w:p w14:paraId="5C731746" w14:textId="6D1249CD"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03" w:history="1">
            <w:r w:rsidR="00FD1D6D" w:rsidRPr="00511330">
              <w:rPr>
                <w:rStyle w:val="Hyperlink"/>
                <w:rFonts w:ascii="Times New Roman" w:hAnsi="Times New Roman" w:cs="Times New Roman"/>
                <w:noProof/>
                <w:sz w:val="24"/>
                <w:szCs w:val="24"/>
                <w:lang w:val="en-US"/>
              </w:rPr>
              <w:t>1.3.1.</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Academic Perspective</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_Toc43311603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12</w:t>
            </w:r>
            <w:r w:rsidR="00FD1D6D" w:rsidRPr="00511330">
              <w:rPr>
                <w:rFonts w:ascii="Times New Roman" w:hAnsi="Times New Roman" w:cs="Times New Roman"/>
                <w:noProof/>
                <w:webHidden/>
                <w:sz w:val="24"/>
                <w:szCs w:val="24"/>
              </w:rPr>
              <w:fldChar w:fldCharType="end"/>
            </w:r>
          </w:hyperlink>
        </w:p>
        <w:p w14:paraId="4650C740" w14:textId="75B0945D"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04" w:history="1">
            <w:r w:rsidR="00FD1D6D" w:rsidRPr="00511330">
              <w:rPr>
                <w:rStyle w:val="Hyperlink"/>
                <w:rFonts w:ascii="Times New Roman" w:hAnsi="Times New Roman" w:cs="Times New Roman"/>
                <w:noProof/>
                <w:sz w:val="24"/>
                <w:szCs w:val="24"/>
                <w:lang w:val="en-US"/>
              </w:rPr>
              <w:t xml:space="preserve">1.3.2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Industry Perspectives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_Toc43311604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13</w:t>
            </w:r>
            <w:r w:rsidR="00FD1D6D" w:rsidRPr="00511330">
              <w:rPr>
                <w:rFonts w:ascii="Times New Roman" w:hAnsi="Times New Roman" w:cs="Times New Roman"/>
                <w:noProof/>
                <w:webHidden/>
                <w:sz w:val="24"/>
                <w:szCs w:val="24"/>
              </w:rPr>
              <w:fldChar w:fldCharType="end"/>
            </w:r>
          </w:hyperlink>
        </w:p>
        <w:p w14:paraId="23F8AE87" w14:textId="2A890B5E"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05" w:history="1">
            <w:r w:rsidR="00FD1D6D" w:rsidRPr="00511330">
              <w:rPr>
                <w:rStyle w:val="Hyperlink"/>
                <w:rFonts w:ascii="Times New Roman" w:hAnsi="Times New Roman" w:cs="Times New Roman"/>
                <w:noProof/>
                <w:sz w:val="24"/>
                <w:szCs w:val="24"/>
                <w:lang w:val="en-US"/>
              </w:rPr>
              <w:t>1.4.</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Research Questions and Objectives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_Toc43311605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15</w:t>
            </w:r>
            <w:r w:rsidR="00FD1D6D" w:rsidRPr="00511330">
              <w:rPr>
                <w:rFonts w:ascii="Times New Roman" w:hAnsi="Times New Roman" w:cs="Times New Roman"/>
                <w:noProof/>
                <w:webHidden/>
                <w:sz w:val="24"/>
                <w:szCs w:val="24"/>
              </w:rPr>
              <w:fldChar w:fldCharType="end"/>
            </w:r>
          </w:hyperlink>
        </w:p>
        <w:p w14:paraId="164C4770" w14:textId="04B85A0A"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06" w:history="1">
            <w:r w:rsidR="00FD1D6D" w:rsidRPr="00511330">
              <w:rPr>
                <w:rStyle w:val="Hyperlink"/>
                <w:rFonts w:ascii="Times New Roman" w:hAnsi="Times New Roman" w:cs="Times New Roman"/>
                <w:noProof/>
                <w:sz w:val="24"/>
                <w:szCs w:val="24"/>
                <w:lang w:val="en-US"/>
              </w:rPr>
              <w:t>1.5.</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Research Contribution</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_Toc43311606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16</w:t>
            </w:r>
            <w:r w:rsidR="00FD1D6D" w:rsidRPr="00511330">
              <w:rPr>
                <w:rFonts w:ascii="Times New Roman" w:hAnsi="Times New Roman" w:cs="Times New Roman"/>
                <w:noProof/>
                <w:webHidden/>
                <w:sz w:val="24"/>
                <w:szCs w:val="24"/>
              </w:rPr>
              <w:fldChar w:fldCharType="end"/>
            </w:r>
          </w:hyperlink>
        </w:p>
        <w:p w14:paraId="075D57BA" w14:textId="40D5FC77"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07" w:history="1">
            <w:r w:rsidR="00FD1D6D" w:rsidRPr="00511330">
              <w:rPr>
                <w:rStyle w:val="Hyperlink"/>
                <w:rFonts w:ascii="Times New Roman" w:hAnsi="Times New Roman" w:cs="Times New Roman"/>
                <w:noProof/>
                <w:sz w:val="24"/>
                <w:szCs w:val="24"/>
                <w:lang w:val="en-US"/>
              </w:rPr>
              <w:t>1.6.</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Summary</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_Toc43311607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17</w:t>
            </w:r>
            <w:r w:rsidR="00FD1D6D" w:rsidRPr="00511330">
              <w:rPr>
                <w:rFonts w:ascii="Times New Roman" w:hAnsi="Times New Roman" w:cs="Times New Roman"/>
                <w:noProof/>
                <w:webHidden/>
                <w:sz w:val="24"/>
                <w:szCs w:val="24"/>
              </w:rPr>
              <w:fldChar w:fldCharType="end"/>
            </w:r>
          </w:hyperlink>
        </w:p>
        <w:p w14:paraId="22FB2B5A" w14:textId="42734627" w:rsidR="00FD1D6D" w:rsidRPr="00511330" w:rsidRDefault="003F7137" w:rsidP="00FD1D6D">
          <w:pPr>
            <w:pStyle w:val="TOC1"/>
            <w:tabs>
              <w:tab w:val="right" w:leader="dot" w:pos="7374"/>
            </w:tabs>
            <w:spacing w:line="240" w:lineRule="auto"/>
            <w:rPr>
              <w:rFonts w:ascii="Times New Roman" w:eastAsiaTheme="minorEastAsia" w:hAnsi="Times New Roman" w:cs="Times New Roman"/>
              <w:noProof/>
              <w:sz w:val="24"/>
              <w:szCs w:val="24"/>
              <w:lang w:val="en-US"/>
            </w:rPr>
          </w:pPr>
          <w:hyperlink w:anchor="_Toc43311608" w:history="1">
            <w:r w:rsidR="00FD1D6D" w:rsidRPr="00511330">
              <w:rPr>
                <w:rStyle w:val="Hyperlink"/>
                <w:rFonts w:ascii="Times New Roman" w:hAnsi="Times New Roman" w:cs="Times New Roman"/>
                <w:noProof/>
                <w:sz w:val="24"/>
                <w:szCs w:val="24"/>
                <w:lang w:val="en-US"/>
              </w:rPr>
              <w:t>CHAPTER 2: LITERATURE REVIEW</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_Toc43311608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19</w:t>
            </w:r>
            <w:r w:rsidR="00FD1D6D" w:rsidRPr="00511330">
              <w:rPr>
                <w:rFonts w:ascii="Times New Roman" w:hAnsi="Times New Roman" w:cs="Times New Roman"/>
                <w:noProof/>
                <w:webHidden/>
                <w:sz w:val="24"/>
                <w:szCs w:val="24"/>
              </w:rPr>
              <w:fldChar w:fldCharType="end"/>
            </w:r>
          </w:hyperlink>
        </w:p>
        <w:p w14:paraId="18BAD8B1" w14:textId="02AE090E"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09" w:history="1">
            <w:r w:rsidR="00FD1D6D" w:rsidRPr="00511330">
              <w:rPr>
                <w:rStyle w:val="Hyperlink"/>
                <w:rFonts w:ascii="Times New Roman" w:hAnsi="Times New Roman" w:cs="Times New Roman"/>
                <w:noProof/>
                <w:sz w:val="24"/>
                <w:szCs w:val="24"/>
                <w:lang w:val="en-US"/>
              </w:rPr>
              <w:t xml:space="preserve">2.1.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Change Management Overview</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_Toc43311609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19</w:t>
            </w:r>
            <w:r w:rsidR="00FD1D6D" w:rsidRPr="00511330">
              <w:rPr>
                <w:rFonts w:ascii="Times New Roman" w:hAnsi="Times New Roman" w:cs="Times New Roman"/>
                <w:noProof/>
                <w:webHidden/>
                <w:sz w:val="24"/>
                <w:szCs w:val="24"/>
              </w:rPr>
              <w:fldChar w:fldCharType="end"/>
            </w:r>
          </w:hyperlink>
        </w:p>
        <w:p w14:paraId="5317AC3B" w14:textId="3D22CBEF"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10" w:history="1">
            <w:r w:rsidR="00FD1D6D" w:rsidRPr="00511330">
              <w:rPr>
                <w:rStyle w:val="Hyperlink"/>
                <w:rFonts w:ascii="Times New Roman" w:hAnsi="Times New Roman" w:cs="Times New Roman"/>
                <w:noProof/>
                <w:sz w:val="24"/>
                <w:szCs w:val="24"/>
                <w:lang w:val="en-US"/>
              </w:rPr>
              <w:t xml:space="preserve">2.2.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Change Management in Renewable Energy Market</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_Toc43311610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22</w:t>
            </w:r>
            <w:r w:rsidR="00FD1D6D" w:rsidRPr="00511330">
              <w:rPr>
                <w:rFonts w:ascii="Times New Roman" w:hAnsi="Times New Roman" w:cs="Times New Roman"/>
                <w:noProof/>
                <w:webHidden/>
                <w:sz w:val="24"/>
                <w:szCs w:val="24"/>
              </w:rPr>
              <w:fldChar w:fldCharType="end"/>
            </w:r>
          </w:hyperlink>
        </w:p>
        <w:p w14:paraId="4E373A89" w14:textId="7ADAB1B0"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11" w:history="1">
            <w:r w:rsidR="00FD1D6D" w:rsidRPr="00511330">
              <w:rPr>
                <w:rStyle w:val="Hyperlink"/>
                <w:rFonts w:ascii="Times New Roman" w:hAnsi="Times New Roman" w:cs="Times New Roman"/>
                <w:noProof/>
                <w:sz w:val="24"/>
                <w:szCs w:val="24"/>
                <w:lang w:val="en-US"/>
              </w:rPr>
              <w:t>2.3.</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Role of Stakeholders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_Toc43311611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23</w:t>
            </w:r>
            <w:r w:rsidR="00FD1D6D" w:rsidRPr="00511330">
              <w:rPr>
                <w:rFonts w:ascii="Times New Roman" w:hAnsi="Times New Roman" w:cs="Times New Roman"/>
                <w:noProof/>
                <w:webHidden/>
                <w:sz w:val="24"/>
                <w:szCs w:val="24"/>
              </w:rPr>
              <w:fldChar w:fldCharType="end"/>
            </w:r>
          </w:hyperlink>
        </w:p>
        <w:p w14:paraId="37CD7136" w14:textId="3663396E"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12" w:history="1">
            <w:r w:rsidR="00FD1D6D" w:rsidRPr="00511330">
              <w:rPr>
                <w:rStyle w:val="Hyperlink"/>
                <w:rFonts w:ascii="Times New Roman" w:hAnsi="Times New Roman" w:cs="Times New Roman"/>
                <w:noProof/>
                <w:sz w:val="24"/>
                <w:szCs w:val="24"/>
                <w:lang w:val="en-US"/>
              </w:rPr>
              <w:t>2.4.</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Motivators of Change Management</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_Toc43311612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30</w:t>
            </w:r>
            <w:r w:rsidR="00FD1D6D" w:rsidRPr="00511330">
              <w:rPr>
                <w:rFonts w:ascii="Times New Roman" w:hAnsi="Times New Roman" w:cs="Times New Roman"/>
                <w:noProof/>
                <w:webHidden/>
                <w:sz w:val="24"/>
                <w:szCs w:val="24"/>
              </w:rPr>
              <w:fldChar w:fldCharType="end"/>
            </w:r>
          </w:hyperlink>
        </w:p>
        <w:p w14:paraId="5F7CFD7B" w14:textId="48E0C98D"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13" w:history="1">
            <w:r w:rsidR="00FD1D6D" w:rsidRPr="00511330">
              <w:rPr>
                <w:rStyle w:val="Hyperlink"/>
                <w:rFonts w:ascii="Times New Roman" w:hAnsi="Times New Roman" w:cs="Times New Roman"/>
                <w:noProof/>
                <w:sz w:val="24"/>
                <w:szCs w:val="24"/>
                <w:rtl/>
                <w:lang w:val="en-US"/>
              </w:rPr>
              <w:t>2.4.1.</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Affiliate Viability, Feasibility and Satisfactory (AVFS)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_Toc43311613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34</w:t>
            </w:r>
            <w:r w:rsidR="00FD1D6D" w:rsidRPr="00511330">
              <w:rPr>
                <w:rFonts w:ascii="Times New Roman" w:hAnsi="Times New Roman" w:cs="Times New Roman"/>
                <w:noProof/>
                <w:webHidden/>
                <w:sz w:val="24"/>
                <w:szCs w:val="24"/>
              </w:rPr>
              <w:fldChar w:fldCharType="end"/>
            </w:r>
          </w:hyperlink>
        </w:p>
        <w:p w14:paraId="591541DB" w14:textId="67D9580E"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14" w:history="1">
            <w:r w:rsidR="00FD1D6D" w:rsidRPr="00511330">
              <w:rPr>
                <w:rStyle w:val="Hyperlink"/>
                <w:rFonts w:ascii="Times New Roman" w:hAnsi="Times New Roman" w:cs="Times New Roman"/>
                <w:noProof/>
                <w:sz w:val="24"/>
                <w:szCs w:val="24"/>
                <w:lang w:val="en-US"/>
              </w:rPr>
              <w:t>2.4.2.</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Trust and Evolving with Future Visions (TEFV)</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_Toc43311614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41</w:t>
            </w:r>
            <w:r w:rsidR="00FD1D6D" w:rsidRPr="00511330">
              <w:rPr>
                <w:rFonts w:ascii="Times New Roman" w:hAnsi="Times New Roman" w:cs="Times New Roman"/>
                <w:noProof/>
                <w:webHidden/>
                <w:sz w:val="24"/>
                <w:szCs w:val="24"/>
              </w:rPr>
              <w:fldChar w:fldCharType="end"/>
            </w:r>
          </w:hyperlink>
        </w:p>
        <w:p w14:paraId="1F8C5729" w14:textId="6CA1C57C"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15" w:history="1">
            <w:r w:rsidR="00FD1D6D" w:rsidRPr="00511330">
              <w:rPr>
                <w:rStyle w:val="Hyperlink"/>
                <w:rFonts w:ascii="Times New Roman" w:hAnsi="Times New Roman" w:cs="Times New Roman"/>
                <w:noProof/>
                <w:sz w:val="24"/>
                <w:szCs w:val="24"/>
                <w:lang w:val="en-US"/>
              </w:rPr>
              <w:t>2.4.3.</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Aligning Perpetual Change and Sustainability (APCS)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_Toc43311615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48</w:t>
            </w:r>
            <w:r w:rsidR="00FD1D6D" w:rsidRPr="00511330">
              <w:rPr>
                <w:rFonts w:ascii="Times New Roman" w:hAnsi="Times New Roman" w:cs="Times New Roman"/>
                <w:noProof/>
                <w:webHidden/>
                <w:sz w:val="24"/>
                <w:szCs w:val="24"/>
              </w:rPr>
              <w:fldChar w:fldCharType="end"/>
            </w:r>
          </w:hyperlink>
        </w:p>
        <w:p w14:paraId="65F8893F" w14:textId="54307186"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16" w:history="1">
            <w:r w:rsidR="00FD1D6D" w:rsidRPr="00511330">
              <w:rPr>
                <w:rStyle w:val="Hyperlink"/>
                <w:rFonts w:ascii="Times New Roman" w:hAnsi="Times New Roman" w:cs="Times New Roman"/>
                <w:noProof/>
                <w:sz w:val="24"/>
                <w:szCs w:val="24"/>
                <w:lang w:val="en-US"/>
              </w:rPr>
              <w:t>2.5.</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Enablers of Change Management</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_Toc43311616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52</w:t>
            </w:r>
            <w:r w:rsidR="00FD1D6D" w:rsidRPr="00511330">
              <w:rPr>
                <w:rFonts w:ascii="Times New Roman" w:hAnsi="Times New Roman" w:cs="Times New Roman"/>
                <w:noProof/>
                <w:webHidden/>
                <w:sz w:val="24"/>
                <w:szCs w:val="24"/>
              </w:rPr>
              <w:fldChar w:fldCharType="end"/>
            </w:r>
          </w:hyperlink>
        </w:p>
        <w:p w14:paraId="0AB62F6D" w14:textId="3908D2EC"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17" w:history="1">
            <w:r w:rsidR="00FD1D6D" w:rsidRPr="00511330">
              <w:rPr>
                <w:rStyle w:val="Hyperlink"/>
                <w:rFonts w:ascii="Times New Roman" w:hAnsi="Times New Roman" w:cs="Times New Roman"/>
                <w:noProof/>
                <w:sz w:val="24"/>
                <w:szCs w:val="24"/>
                <w:lang w:val="en-US"/>
              </w:rPr>
              <w:t>2.5.1.</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Engagement and Support (E&amp;S)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_Toc43311617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54</w:t>
            </w:r>
            <w:r w:rsidR="00FD1D6D" w:rsidRPr="00511330">
              <w:rPr>
                <w:rFonts w:ascii="Times New Roman" w:hAnsi="Times New Roman" w:cs="Times New Roman"/>
                <w:noProof/>
                <w:webHidden/>
                <w:sz w:val="24"/>
                <w:szCs w:val="24"/>
              </w:rPr>
              <w:fldChar w:fldCharType="end"/>
            </w:r>
          </w:hyperlink>
        </w:p>
        <w:p w14:paraId="0A460D8A" w14:textId="73CC7B5D"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18" w:history="1">
            <w:r w:rsidR="00FD1D6D" w:rsidRPr="00511330">
              <w:rPr>
                <w:rStyle w:val="Hyperlink"/>
                <w:rFonts w:ascii="Times New Roman" w:hAnsi="Times New Roman" w:cs="Times New Roman"/>
                <w:noProof/>
                <w:sz w:val="24"/>
                <w:szCs w:val="24"/>
                <w:lang w:val="en-US"/>
              </w:rPr>
              <w:t>2.5.2.</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Alignment of Strategy</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_Toc43311618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60</w:t>
            </w:r>
            <w:r w:rsidR="00FD1D6D" w:rsidRPr="00511330">
              <w:rPr>
                <w:rFonts w:ascii="Times New Roman" w:hAnsi="Times New Roman" w:cs="Times New Roman"/>
                <w:noProof/>
                <w:webHidden/>
                <w:sz w:val="24"/>
                <w:szCs w:val="24"/>
              </w:rPr>
              <w:fldChar w:fldCharType="end"/>
            </w:r>
          </w:hyperlink>
        </w:p>
        <w:p w14:paraId="3C822FAA" w14:textId="68110CBA"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19" w:history="1">
            <w:r w:rsidR="00FD1D6D" w:rsidRPr="00511330">
              <w:rPr>
                <w:rStyle w:val="Hyperlink"/>
                <w:rFonts w:ascii="Times New Roman" w:hAnsi="Times New Roman" w:cs="Times New Roman"/>
                <w:noProof/>
                <w:sz w:val="24"/>
                <w:szCs w:val="24"/>
                <w:lang w:val="en-US"/>
              </w:rPr>
              <w:t>2.5.3.</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Resources and Capabilities (R&amp;C)</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_Toc43311619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64</w:t>
            </w:r>
            <w:r w:rsidR="00FD1D6D" w:rsidRPr="00511330">
              <w:rPr>
                <w:rFonts w:ascii="Times New Roman" w:hAnsi="Times New Roman" w:cs="Times New Roman"/>
                <w:noProof/>
                <w:webHidden/>
                <w:sz w:val="24"/>
                <w:szCs w:val="24"/>
              </w:rPr>
              <w:fldChar w:fldCharType="end"/>
            </w:r>
          </w:hyperlink>
        </w:p>
        <w:p w14:paraId="696B6000" w14:textId="11DDA02D"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20" w:history="1">
            <w:r w:rsidR="00FD1D6D" w:rsidRPr="00511330">
              <w:rPr>
                <w:rStyle w:val="Hyperlink"/>
                <w:rFonts w:ascii="Times New Roman" w:hAnsi="Times New Roman" w:cs="Times New Roman"/>
                <w:noProof/>
                <w:sz w:val="24"/>
                <w:szCs w:val="24"/>
                <w:lang w:val="en-US"/>
              </w:rPr>
              <w:t>2.5.4.</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Flexibility and Feedback (F&amp;F)</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_Toc43311620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69</w:t>
            </w:r>
            <w:r w:rsidR="00FD1D6D" w:rsidRPr="00511330">
              <w:rPr>
                <w:rFonts w:ascii="Times New Roman" w:hAnsi="Times New Roman" w:cs="Times New Roman"/>
                <w:noProof/>
                <w:webHidden/>
                <w:sz w:val="24"/>
                <w:szCs w:val="24"/>
              </w:rPr>
              <w:fldChar w:fldCharType="end"/>
            </w:r>
          </w:hyperlink>
        </w:p>
        <w:p w14:paraId="574ED8A2" w14:textId="0FEA76AC"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21" w:history="1">
            <w:r w:rsidR="00FD1D6D" w:rsidRPr="00511330">
              <w:rPr>
                <w:rStyle w:val="Hyperlink"/>
                <w:rFonts w:ascii="Times New Roman" w:hAnsi="Times New Roman" w:cs="Times New Roman"/>
                <w:noProof/>
                <w:sz w:val="24"/>
                <w:szCs w:val="24"/>
                <w:lang w:val="en-US"/>
              </w:rPr>
              <w:t>2.6.</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Barriers to Change Management</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_Toc43311621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72</w:t>
            </w:r>
            <w:r w:rsidR="00FD1D6D" w:rsidRPr="00511330">
              <w:rPr>
                <w:rFonts w:ascii="Times New Roman" w:hAnsi="Times New Roman" w:cs="Times New Roman"/>
                <w:noProof/>
                <w:webHidden/>
                <w:sz w:val="24"/>
                <w:szCs w:val="24"/>
              </w:rPr>
              <w:fldChar w:fldCharType="end"/>
            </w:r>
          </w:hyperlink>
        </w:p>
        <w:p w14:paraId="06D9A9A1" w14:textId="56A80208"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22" w:history="1">
            <w:r w:rsidR="00FD1D6D" w:rsidRPr="00511330">
              <w:rPr>
                <w:rStyle w:val="Hyperlink"/>
                <w:rFonts w:ascii="Times New Roman" w:hAnsi="Times New Roman" w:cs="Times New Roman"/>
                <w:noProof/>
                <w:sz w:val="24"/>
                <w:szCs w:val="24"/>
                <w:lang w:val="en-US"/>
              </w:rPr>
              <w:t>2.6.1.</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Fear and Negative Perception (FNP)</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_Toc43311622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76</w:t>
            </w:r>
            <w:r w:rsidR="00FD1D6D" w:rsidRPr="00511330">
              <w:rPr>
                <w:rFonts w:ascii="Times New Roman" w:hAnsi="Times New Roman" w:cs="Times New Roman"/>
                <w:noProof/>
                <w:webHidden/>
                <w:sz w:val="24"/>
                <w:szCs w:val="24"/>
              </w:rPr>
              <w:fldChar w:fldCharType="end"/>
            </w:r>
          </w:hyperlink>
        </w:p>
        <w:p w14:paraId="674D32BE" w14:textId="50FBF1E1"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23" w:history="1">
            <w:r w:rsidR="00FD1D6D" w:rsidRPr="00511330">
              <w:rPr>
                <w:rStyle w:val="Hyperlink"/>
                <w:rFonts w:ascii="Times New Roman" w:hAnsi="Times New Roman" w:cs="Times New Roman"/>
                <w:noProof/>
                <w:sz w:val="24"/>
                <w:szCs w:val="24"/>
                <w:lang w:val="en-US"/>
              </w:rPr>
              <w:t>2.6.2.</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Feeble Communication (FC)</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_Toc43311623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79</w:t>
            </w:r>
            <w:r w:rsidR="00FD1D6D" w:rsidRPr="00511330">
              <w:rPr>
                <w:rFonts w:ascii="Times New Roman" w:hAnsi="Times New Roman" w:cs="Times New Roman"/>
                <w:noProof/>
                <w:webHidden/>
                <w:sz w:val="24"/>
                <w:szCs w:val="24"/>
              </w:rPr>
              <w:fldChar w:fldCharType="end"/>
            </w:r>
          </w:hyperlink>
        </w:p>
        <w:p w14:paraId="17A09824" w14:textId="6307D444"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24" w:history="1">
            <w:r w:rsidR="00FD1D6D" w:rsidRPr="00511330">
              <w:rPr>
                <w:rStyle w:val="Hyperlink"/>
                <w:rFonts w:ascii="Times New Roman" w:hAnsi="Times New Roman" w:cs="Times New Roman"/>
                <w:noProof/>
                <w:sz w:val="24"/>
                <w:szCs w:val="24"/>
                <w:lang w:val="en-US"/>
              </w:rPr>
              <w:t>2.6.3.</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Conflict of Working Force Commitment (CWFC)</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_Toc43311624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81</w:t>
            </w:r>
            <w:r w:rsidR="00FD1D6D" w:rsidRPr="00511330">
              <w:rPr>
                <w:rFonts w:ascii="Times New Roman" w:hAnsi="Times New Roman" w:cs="Times New Roman"/>
                <w:noProof/>
                <w:webHidden/>
                <w:sz w:val="24"/>
                <w:szCs w:val="24"/>
              </w:rPr>
              <w:fldChar w:fldCharType="end"/>
            </w:r>
          </w:hyperlink>
        </w:p>
        <w:p w14:paraId="06F94CE3" w14:textId="19FC2F5B"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25" w:history="1">
            <w:r w:rsidR="00FD1D6D" w:rsidRPr="00511330">
              <w:rPr>
                <w:rStyle w:val="Hyperlink"/>
                <w:rFonts w:ascii="Times New Roman" w:hAnsi="Times New Roman" w:cs="Times New Roman"/>
                <w:noProof/>
                <w:sz w:val="24"/>
                <w:szCs w:val="24"/>
                <w:lang w:val="en-US"/>
              </w:rPr>
              <w:t>2.6.4.</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Uncertain Objectives (UO)</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_Toc43311625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83</w:t>
            </w:r>
            <w:r w:rsidR="00FD1D6D" w:rsidRPr="00511330">
              <w:rPr>
                <w:rFonts w:ascii="Times New Roman" w:hAnsi="Times New Roman" w:cs="Times New Roman"/>
                <w:noProof/>
                <w:webHidden/>
                <w:sz w:val="24"/>
                <w:szCs w:val="24"/>
              </w:rPr>
              <w:fldChar w:fldCharType="end"/>
            </w:r>
          </w:hyperlink>
        </w:p>
        <w:p w14:paraId="25074F99" w14:textId="3F1E130B"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26" w:history="1">
            <w:r w:rsidR="00FD1D6D" w:rsidRPr="00511330">
              <w:rPr>
                <w:rStyle w:val="Hyperlink"/>
                <w:rFonts w:ascii="Times New Roman" w:hAnsi="Times New Roman" w:cs="Times New Roman"/>
                <w:noProof/>
                <w:sz w:val="24"/>
                <w:szCs w:val="24"/>
                <w:lang w:val="en-US"/>
              </w:rPr>
              <w:t>2.7.</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Summary</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_Toc43311626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85</w:t>
            </w:r>
            <w:r w:rsidR="00FD1D6D" w:rsidRPr="00511330">
              <w:rPr>
                <w:rFonts w:ascii="Times New Roman" w:hAnsi="Times New Roman" w:cs="Times New Roman"/>
                <w:noProof/>
                <w:webHidden/>
                <w:sz w:val="24"/>
                <w:szCs w:val="24"/>
              </w:rPr>
              <w:fldChar w:fldCharType="end"/>
            </w:r>
          </w:hyperlink>
        </w:p>
        <w:p w14:paraId="24855DBA" w14:textId="46B532E4" w:rsidR="00FD1D6D" w:rsidRPr="00511330" w:rsidRDefault="003F7137" w:rsidP="00FD1D6D">
          <w:pPr>
            <w:pStyle w:val="TOC1"/>
            <w:tabs>
              <w:tab w:val="right" w:leader="dot" w:pos="7374"/>
            </w:tabs>
            <w:spacing w:line="240" w:lineRule="auto"/>
            <w:rPr>
              <w:rFonts w:ascii="Times New Roman" w:eastAsiaTheme="minorEastAsia" w:hAnsi="Times New Roman" w:cs="Times New Roman"/>
              <w:noProof/>
              <w:sz w:val="24"/>
              <w:szCs w:val="24"/>
              <w:lang w:val="en-US"/>
            </w:rPr>
          </w:pPr>
          <w:hyperlink w:anchor="_Toc43311627" w:history="1">
            <w:r w:rsidR="00FD1D6D" w:rsidRPr="00511330">
              <w:rPr>
                <w:rStyle w:val="Hyperlink"/>
                <w:rFonts w:ascii="Times New Roman" w:hAnsi="Times New Roman" w:cs="Times New Roman"/>
                <w:noProof/>
                <w:sz w:val="24"/>
                <w:szCs w:val="24"/>
                <w:lang w:val="en-US"/>
              </w:rPr>
              <w:t>CHAPTER 3: METHODOLOGY OF RESEARCH</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_Toc43311627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87</w:t>
            </w:r>
            <w:r w:rsidR="00FD1D6D" w:rsidRPr="00511330">
              <w:rPr>
                <w:rFonts w:ascii="Times New Roman" w:hAnsi="Times New Roman" w:cs="Times New Roman"/>
                <w:noProof/>
                <w:webHidden/>
                <w:sz w:val="24"/>
                <w:szCs w:val="24"/>
              </w:rPr>
              <w:fldChar w:fldCharType="end"/>
            </w:r>
          </w:hyperlink>
        </w:p>
        <w:p w14:paraId="2B696471" w14:textId="713F2485"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28" w:history="1">
            <w:r w:rsidR="00FD1D6D" w:rsidRPr="00511330">
              <w:rPr>
                <w:rStyle w:val="Hyperlink"/>
                <w:rFonts w:ascii="Times New Roman" w:hAnsi="Times New Roman" w:cs="Times New Roman"/>
                <w:noProof/>
                <w:sz w:val="24"/>
                <w:szCs w:val="24"/>
                <w:lang w:val="en-US"/>
              </w:rPr>
              <w:t xml:space="preserve">3.1.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Research Design and Approach</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_Toc43311628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87</w:t>
            </w:r>
            <w:r w:rsidR="00FD1D6D" w:rsidRPr="00511330">
              <w:rPr>
                <w:rFonts w:ascii="Times New Roman" w:hAnsi="Times New Roman" w:cs="Times New Roman"/>
                <w:noProof/>
                <w:webHidden/>
                <w:sz w:val="24"/>
                <w:szCs w:val="24"/>
              </w:rPr>
              <w:fldChar w:fldCharType="end"/>
            </w:r>
          </w:hyperlink>
        </w:p>
        <w:p w14:paraId="053EFB8D" w14:textId="62ECC912"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29" w:history="1">
            <w:r w:rsidR="00FD1D6D" w:rsidRPr="00511330">
              <w:rPr>
                <w:rStyle w:val="Hyperlink"/>
                <w:rFonts w:ascii="Times New Roman" w:hAnsi="Times New Roman" w:cs="Times New Roman"/>
                <w:noProof/>
                <w:sz w:val="24"/>
                <w:szCs w:val="24"/>
                <w:lang w:val="en-US"/>
              </w:rPr>
              <w:t xml:space="preserve">3.2.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Phase 1. (Qualitative) Interviews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_Toc43311629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89</w:t>
            </w:r>
            <w:r w:rsidR="00FD1D6D" w:rsidRPr="00511330">
              <w:rPr>
                <w:rFonts w:ascii="Times New Roman" w:hAnsi="Times New Roman" w:cs="Times New Roman"/>
                <w:noProof/>
                <w:webHidden/>
                <w:sz w:val="24"/>
                <w:szCs w:val="24"/>
              </w:rPr>
              <w:fldChar w:fldCharType="end"/>
            </w:r>
          </w:hyperlink>
        </w:p>
        <w:p w14:paraId="5C45020C" w14:textId="4550F68B"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30" w:history="1">
            <w:r w:rsidR="00FD1D6D" w:rsidRPr="00511330">
              <w:rPr>
                <w:rStyle w:val="Hyperlink"/>
                <w:rFonts w:ascii="Times New Roman" w:hAnsi="Times New Roman" w:cs="Times New Roman"/>
                <w:noProof/>
                <w:sz w:val="24"/>
                <w:szCs w:val="24"/>
                <w:lang w:val="en-US"/>
              </w:rPr>
              <w:t>3.3.</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 xml:space="preserve"> Phase.2 (Quantitative) Survey</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_Toc43311630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94</w:t>
            </w:r>
            <w:r w:rsidR="00FD1D6D" w:rsidRPr="00511330">
              <w:rPr>
                <w:rFonts w:ascii="Times New Roman" w:hAnsi="Times New Roman" w:cs="Times New Roman"/>
                <w:noProof/>
                <w:webHidden/>
                <w:sz w:val="24"/>
                <w:szCs w:val="24"/>
              </w:rPr>
              <w:fldChar w:fldCharType="end"/>
            </w:r>
          </w:hyperlink>
        </w:p>
        <w:p w14:paraId="5E6C7E8B" w14:textId="33B052D9"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31" w:history="1">
            <w:r w:rsidR="00FD1D6D" w:rsidRPr="00511330">
              <w:rPr>
                <w:rStyle w:val="Hyperlink"/>
                <w:rFonts w:ascii="Times New Roman" w:hAnsi="Times New Roman" w:cs="Times New Roman"/>
                <w:noProof/>
                <w:sz w:val="24"/>
                <w:szCs w:val="24"/>
                <w:lang w:val="en-US"/>
              </w:rPr>
              <w:t xml:space="preserve">3.4.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Phase 3 (Tools for Data Analysis)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_Toc43311631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95</w:t>
            </w:r>
            <w:r w:rsidR="00FD1D6D" w:rsidRPr="00511330">
              <w:rPr>
                <w:rFonts w:ascii="Times New Roman" w:hAnsi="Times New Roman" w:cs="Times New Roman"/>
                <w:noProof/>
                <w:webHidden/>
                <w:sz w:val="24"/>
                <w:szCs w:val="24"/>
              </w:rPr>
              <w:fldChar w:fldCharType="end"/>
            </w:r>
          </w:hyperlink>
        </w:p>
        <w:p w14:paraId="033F81D4" w14:textId="373C1D25" w:rsidR="00FD1D6D" w:rsidRPr="00511330" w:rsidRDefault="003F7137" w:rsidP="00FD1D6D">
          <w:pPr>
            <w:pStyle w:val="TOC1"/>
            <w:tabs>
              <w:tab w:val="right" w:leader="dot" w:pos="7374"/>
            </w:tabs>
            <w:spacing w:line="240" w:lineRule="auto"/>
            <w:rPr>
              <w:rFonts w:ascii="Times New Roman" w:eastAsiaTheme="minorEastAsia" w:hAnsi="Times New Roman" w:cs="Times New Roman"/>
              <w:noProof/>
              <w:sz w:val="24"/>
              <w:szCs w:val="24"/>
              <w:lang w:val="en-US"/>
            </w:rPr>
          </w:pPr>
          <w:hyperlink w:anchor="_Toc43311632" w:history="1">
            <w:r w:rsidR="00FD1D6D" w:rsidRPr="00511330">
              <w:rPr>
                <w:rStyle w:val="Hyperlink"/>
                <w:rFonts w:ascii="Times New Roman" w:eastAsia="Calibri" w:hAnsi="Times New Roman" w:cs="Times New Roman"/>
                <w:noProof/>
                <w:sz w:val="24"/>
                <w:szCs w:val="24"/>
                <w:lang w:val="en-US"/>
              </w:rPr>
              <w:t>CHAPTER 4: DATA ANALYSIS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_Toc43311632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98</w:t>
            </w:r>
            <w:r w:rsidR="00FD1D6D" w:rsidRPr="00511330">
              <w:rPr>
                <w:rFonts w:ascii="Times New Roman" w:hAnsi="Times New Roman" w:cs="Times New Roman"/>
                <w:noProof/>
                <w:webHidden/>
                <w:sz w:val="24"/>
                <w:szCs w:val="24"/>
              </w:rPr>
              <w:fldChar w:fldCharType="end"/>
            </w:r>
          </w:hyperlink>
        </w:p>
        <w:p w14:paraId="366441A3" w14:textId="4E672070"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33" w:history="1">
            <w:r w:rsidR="00FD1D6D" w:rsidRPr="00511330">
              <w:rPr>
                <w:rStyle w:val="Hyperlink"/>
                <w:rFonts w:ascii="Times New Roman" w:eastAsia="Calibri" w:hAnsi="Times New Roman" w:cs="Times New Roman"/>
                <w:noProof/>
                <w:sz w:val="24"/>
                <w:szCs w:val="24"/>
                <w:lang w:val="en-US"/>
              </w:rPr>
              <w:t xml:space="preserve">4.1.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Qualitative Analysis (Thematic &amp; Commonality Approach)</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_Toc43311633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98</w:t>
            </w:r>
            <w:r w:rsidR="00FD1D6D" w:rsidRPr="00511330">
              <w:rPr>
                <w:rFonts w:ascii="Times New Roman" w:hAnsi="Times New Roman" w:cs="Times New Roman"/>
                <w:noProof/>
                <w:webHidden/>
                <w:sz w:val="24"/>
                <w:szCs w:val="24"/>
              </w:rPr>
              <w:fldChar w:fldCharType="end"/>
            </w:r>
          </w:hyperlink>
        </w:p>
        <w:p w14:paraId="3F36D6B8" w14:textId="6588200F"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34" w:history="1">
            <w:r w:rsidR="00FD1D6D" w:rsidRPr="00511330">
              <w:rPr>
                <w:rStyle w:val="Hyperlink"/>
                <w:rFonts w:ascii="Times New Roman" w:eastAsia="Calibri" w:hAnsi="Times New Roman" w:cs="Times New Roman"/>
                <w:noProof/>
                <w:sz w:val="24"/>
                <w:szCs w:val="24"/>
                <w:lang w:val="en-US"/>
              </w:rPr>
              <w:t xml:space="preserve">4.1.1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CM Motivators from Stakeholders’ Perspective</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_Toc43311634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100</w:t>
            </w:r>
            <w:r w:rsidR="00FD1D6D" w:rsidRPr="00511330">
              <w:rPr>
                <w:rFonts w:ascii="Times New Roman" w:hAnsi="Times New Roman" w:cs="Times New Roman"/>
                <w:noProof/>
                <w:webHidden/>
                <w:sz w:val="24"/>
                <w:szCs w:val="24"/>
              </w:rPr>
              <w:fldChar w:fldCharType="end"/>
            </w:r>
          </w:hyperlink>
        </w:p>
        <w:p w14:paraId="35D82CC8" w14:textId="056553C6"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35" w:history="1">
            <w:r w:rsidR="00FD1D6D" w:rsidRPr="00511330">
              <w:rPr>
                <w:rStyle w:val="Hyperlink"/>
                <w:rFonts w:ascii="Times New Roman" w:eastAsia="Calibri" w:hAnsi="Times New Roman" w:cs="Times New Roman"/>
                <w:noProof/>
                <w:sz w:val="24"/>
                <w:szCs w:val="24"/>
                <w:lang w:val="en-US"/>
              </w:rPr>
              <w:t xml:space="preserve">4.1.2.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CM Enablers from Stakeholders’ Perspective</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_Toc43311635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104</w:t>
            </w:r>
            <w:r w:rsidR="00FD1D6D" w:rsidRPr="00511330">
              <w:rPr>
                <w:rFonts w:ascii="Times New Roman" w:hAnsi="Times New Roman" w:cs="Times New Roman"/>
                <w:noProof/>
                <w:webHidden/>
                <w:sz w:val="24"/>
                <w:szCs w:val="24"/>
              </w:rPr>
              <w:fldChar w:fldCharType="end"/>
            </w:r>
          </w:hyperlink>
        </w:p>
        <w:p w14:paraId="413AC9A0" w14:textId="49B0B866"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36" w:history="1">
            <w:r w:rsidR="00FD1D6D" w:rsidRPr="00511330">
              <w:rPr>
                <w:rStyle w:val="Hyperlink"/>
                <w:rFonts w:ascii="Times New Roman" w:eastAsia="Calibri" w:hAnsi="Times New Roman" w:cs="Times New Roman"/>
                <w:noProof/>
                <w:sz w:val="24"/>
                <w:szCs w:val="24"/>
                <w:lang w:val="en-US"/>
              </w:rPr>
              <w:t xml:space="preserve">4.1.3.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CM Barriers from Stakeholders’ Perspective</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_Toc43311636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109</w:t>
            </w:r>
            <w:r w:rsidR="00FD1D6D" w:rsidRPr="00511330">
              <w:rPr>
                <w:rFonts w:ascii="Times New Roman" w:hAnsi="Times New Roman" w:cs="Times New Roman"/>
                <w:noProof/>
                <w:webHidden/>
                <w:sz w:val="24"/>
                <w:szCs w:val="24"/>
              </w:rPr>
              <w:fldChar w:fldCharType="end"/>
            </w:r>
          </w:hyperlink>
        </w:p>
        <w:p w14:paraId="0755D838" w14:textId="732439EC"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37" w:history="1">
            <w:r w:rsidR="00FD1D6D" w:rsidRPr="00511330">
              <w:rPr>
                <w:rStyle w:val="Hyperlink"/>
                <w:rFonts w:ascii="Times New Roman" w:eastAsia="Calibri" w:hAnsi="Times New Roman" w:cs="Times New Roman"/>
                <w:noProof/>
                <w:sz w:val="24"/>
                <w:szCs w:val="24"/>
                <w:lang w:val="en-US"/>
              </w:rPr>
              <w:t xml:space="preserve">4.2.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Tests for Assumptions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_Toc43311637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114</w:t>
            </w:r>
            <w:r w:rsidR="00FD1D6D" w:rsidRPr="00511330">
              <w:rPr>
                <w:rFonts w:ascii="Times New Roman" w:hAnsi="Times New Roman" w:cs="Times New Roman"/>
                <w:noProof/>
                <w:webHidden/>
                <w:sz w:val="24"/>
                <w:szCs w:val="24"/>
              </w:rPr>
              <w:fldChar w:fldCharType="end"/>
            </w:r>
          </w:hyperlink>
        </w:p>
        <w:p w14:paraId="03548EB3" w14:textId="62D49583"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38" w:history="1">
            <w:r w:rsidR="00FD1D6D" w:rsidRPr="00511330">
              <w:rPr>
                <w:rStyle w:val="Hyperlink"/>
                <w:rFonts w:ascii="Times New Roman" w:hAnsi="Times New Roman" w:cs="Times New Roman"/>
                <w:noProof/>
                <w:sz w:val="24"/>
                <w:szCs w:val="24"/>
                <w:lang w:val="en-US"/>
              </w:rPr>
              <w:t xml:space="preserve">4.3.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Quantitative Analysis of Motivators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_Toc43311638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114</w:t>
            </w:r>
            <w:r w:rsidR="00FD1D6D" w:rsidRPr="00511330">
              <w:rPr>
                <w:rFonts w:ascii="Times New Roman" w:hAnsi="Times New Roman" w:cs="Times New Roman"/>
                <w:noProof/>
                <w:webHidden/>
                <w:sz w:val="24"/>
                <w:szCs w:val="24"/>
              </w:rPr>
              <w:fldChar w:fldCharType="end"/>
            </w:r>
          </w:hyperlink>
        </w:p>
        <w:p w14:paraId="5DF31EE6" w14:textId="6B232335"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39" w:history="1">
            <w:r w:rsidR="00FD1D6D" w:rsidRPr="00511330">
              <w:rPr>
                <w:rStyle w:val="Hyperlink"/>
                <w:rFonts w:ascii="Times New Roman" w:hAnsi="Times New Roman" w:cs="Times New Roman"/>
                <w:noProof/>
                <w:sz w:val="24"/>
                <w:szCs w:val="24"/>
                <w:lang w:val="en-US"/>
              </w:rPr>
              <w:t xml:space="preserve">4.3.1.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Explanatory Factor Analysis (EFA) Results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_Toc43311639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114</w:t>
            </w:r>
            <w:r w:rsidR="00FD1D6D" w:rsidRPr="00511330">
              <w:rPr>
                <w:rFonts w:ascii="Times New Roman" w:hAnsi="Times New Roman" w:cs="Times New Roman"/>
                <w:noProof/>
                <w:webHidden/>
                <w:sz w:val="24"/>
                <w:szCs w:val="24"/>
              </w:rPr>
              <w:fldChar w:fldCharType="end"/>
            </w:r>
          </w:hyperlink>
        </w:p>
        <w:p w14:paraId="52F54E66" w14:textId="47C22449"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40" w:history="1">
            <w:r w:rsidR="00FD1D6D" w:rsidRPr="00511330">
              <w:rPr>
                <w:rStyle w:val="Hyperlink"/>
                <w:rFonts w:ascii="Times New Roman" w:eastAsia="Calibri" w:hAnsi="Times New Roman" w:cs="Times New Roman"/>
                <w:noProof/>
                <w:sz w:val="24"/>
                <w:szCs w:val="24"/>
                <w:lang w:val="en-US" w:bidi="ar-AE"/>
              </w:rPr>
              <w:t xml:space="preserve">4.3.2.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bidi="ar-AE"/>
              </w:rPr>
              <w:t>Internal consistency and content validity</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_Toc43311640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116</w:t>
            </w:r>
            <w:r w:rsidR="00FD1D6D" w:rsidRPr="00511330">
              <w:rPr>
                <w:rFonts w:ascii="Times New Roman" w:hAnsi="Times New Roman" w:cs="Times New Roman"/>
                <w:noProof/>
                <w:webHidden/>
                <w:sz w:val="24"/>
                <w:szCs w:val="24"/>
              </w:rPr>
              <w:fldChar w:fldCharType="end"/>
            </w:r>
          </w:hyperlink>
        </w:p>
        <w:p w14:paraId="27CD7EAA" w14:textId="5A9EE784"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41" w:history="1">
            <w:r w:rsidR="00FD1D6D" w:rsidRPr="00511330">
              <w:rPr>
                <w:rStyle w:val="Hyperlink"/>
                <w:rFonts w:ascii="Times New Roman" w:eastAsia="Calibri" w:hAnsi="Times New Roman" w:cs="Times New Roman"/>
                <w:noProof/>
                <w:sz w:val="24"/>
                <w:szCs w:val="24"/>
                <w:lang w:val="en-US" w:bidi="ar-AE"/>
              </w:rPr>
              <w:t xml:space="preserve">4.3.3.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bidi="ar-AE"/>
              </w:rPr>
              <w:t>Confirmatory factor analysis (CFA)</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_Toc43311641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117</w:t>
            </w:r>
            <w:r w:rsidR="00FD1D6D" w:rsidRPr="00511330">
              <w:rPr>
                <w:rFonts w:ascii="Times New Roman" w:hAnsi="Times New Roman" w:cs="Times New Roman"/>
                <w:noProof/>
                <w:webHidden/>
                <w:sz w:val="24"/>
                <w:szCs w:val="24"/>
              </w:rPr>
              <w:fldChar w:fldCharType="end"/>
            </w:r>
          </w:hyperlink>
        </w:p>
        <w:p w14:paraId="118110E9" w14:textId="3F131442"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42" w:history="1">
            <w:r w:rsidR="00FD1D6D" w:rsidRPr="00511330">
              <w:rPr>
                <w:rStyle w:val="Hyperlink"/>
                <w:rFonts w:ascii="Times New Roman" w:hAnsi="Times New Roman" w:cs="Times New Roman"/>
                <w:noProof/>
                <w:sz w:val="24"/>
                <w:szCs w:val="24"/>
              </w:rPr>
              <w:t xml:space="preserve">4.3.4. </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rPr>
              <w:t>Measurement Model for Motivators (First-Order CFA Model)</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_Toc43311642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118</w:t>
            </w:r>
            <w:r w:rsidR="00FD1D6D" w:rsidRPr="00511330">
              <w:rPr>
                <w:rFonts w:ascii="Times New Roman" w:hAnsi="Times New Roman" w:cs="Times New Roman"/>
                <w:noProof/>
                <w:webHidden/>
                <w:sz w:val="24"/>
                <w:szCs w:val="24"/>
              </w:rPr>
              <w:fldChar w:fldCharType="end"/>
            </w:r>
          </w:hyperlink>
        </w:p>
        <w:p w14:paraId="1F726342" w14:textId="7A5D62DA"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43" w:history="1">
            <w:r w:rsidR="00FD1D6D" w:rsidRPr="00511330">
              <w:rPr>
                <w:rStyle w:val="Hyperlink"/>
                <w:rFonts w:ascii="Times New Roman" w:eastAsia="Calibri" w:hAnsi="Times New Roman" w:cs="Times New Roman"/>
                <w:noProof/>
                <w:sz w:val="24"/>
                <w:szCs w:val="24"/>
                <w:lang w:val="en-US"/>
              </w:rPr>
              <w:t>4.3.5.</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Structural Model for Motivators (Second-Order CFA Model)</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_Toc43311643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120</w:t>
            </w:r>
            <w:r w:rsidR="00FD1D6D" w:rsidRPr="00511330">
              <w:rPr>
                <w:rFonts w:ascii="Times New Roman" w:hAnsi="Times New Roman" w:cs="Times New Roman"/>
                <w:noProof/>
                <w:webHidden/>
                <w:sz w:val="24"/>
                <w:szCs w:val="24"/>
              </w:rPr>
              <w:fldChar w:fldCharType="end"/>
            </w:r>
          </w:hyperlink>
        </w:p>
        <w:p w14:paraId="02569FB1" w14:textId="507A365A"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44" w:history="1">
            <w:r w:rsidR="00FD1D6D" w:rsidRPr="00511330">
              <w:rPr>
                <w:rStyle w:val="Hyperlink"/>
                <w:rFonts w:ascii="Times New Roman" w:hAnsi="Times New Roman" w:cs="Times New Roman"/>
                <w:noProof/>
                <w:sz w:val="24"/>
                <w:szCs w:val="24"/>
                <w:lang w:val="en-US"/>
              </w:rPr>
              <w:t>4.4.</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Quantitative Analysis of Enablers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_Toc43311644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122</w:t>
            </w:r>
            <w:r w:rsidR="00FD1D6D" w:rsidRPr="00511330">
              <w:rPr>
                <w:rFonts w:ascii="Times New Roman" w:hAnsi="Times New Roman" w:cs="Times New Roman"/>
                <w:noProof/>
                <w:webHidden/>
                <w:sz w:val="24"/>
                <w:szCs w:val="24"/>
              </w:rPr>
              <w:fldChar w:fldCharType="end"/>
            </w:r>
          </w:hyperlink>
        </w:p>
        <w:p w14:paraId="5038EC11" w14:textId="766BBBF1"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45" w:history="1">
            <w:r w:rsidR="00FD1D6D" w:rsidRPr="00511330">
              <w:rPr>
                <w:rStyle w:val="Hyperlink"/>
                <w:rFonts w:ascii="Times New Roman" w:hAnsi="Times New Roman" w:cs="Times New Roman"/>
                <w:noProof/>
                <w:sz w:val="24"/>
                <w:szCs w:val="24"/>
                <w:lang w:val="en-US"/>
              </w:rPr>
              <w:t>4.4.1.</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Explanatory Factor Analysis (EFA) Results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_Toc43311645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122</w:t>
            </w:r>
            <w:r w:rsidR="00FD1D6D" w:rsidRPr="00511330">
              <w:rPr>
                <w:rFonts w:ascii="Times New Roman" w:hAnsi="Times New Roman" w:cs="Times New Roman"/>
                <w:noProof/>
                <w:webHidden/>
                <w:sz w:val="24"/>
                <w:szCs w:val="24"/>
              </w:rPr>
              <w:fldChar w:fldCharType="end"/>
            </w:r>
          </w:hyperlink>
        </w:p>
        <w:p w14:paraId="32C52CCF" w14:textId="3F050C4B"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46" w:history="1">
            <w:r w:rsidR="00FD1D6D" w:rsidRPr="00511330">
              <w:rPr>
                <w:rStyle w:val="Hyperlink"/>
                <w:rFonts w:ascii="Times New Roman" w:hAnsi="Times New Roman" w:cs="Times New Roman"/>
                <w:noProof/>
                <w:sz w:val="24"/>
                <w:szCs w:val="24"/>
                <w:lang w:val="en-US"/>
              </w:rPr>
              <w:t>4.4.2.</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Internal consistency and content validity</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_Toc43311646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124</w:t>
            </w:r>
            <w:r w:rsidR="00FD1D6D" w:rsidRPr="00511330">
              <w:rPr>
                <w:rFonts w:ascii="Times New Roman" w:hAnsi="Times New Roman" w:cs="Times New Roman"/>
                <w:noProof/>
                <w:webHidden/>
                <w:sz w:val="24"/>
                <w:szCs w:val="24"/>
              </w:rPr>
              <w:fldChar w:fldCharType="end"/>
            </w:r>
          </w:hyperlink>
        </w:p>
        <w:p w14:paraId="5154C981" w14:textId="1105948E"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47" w:history="1">
            <w:r w:rsidR="00FD1D6D" w:rsidRPr="00511330">
              <w:rPr>
                <w:rStyle w:val="Hyperlink"/>
                <w:rFonts w:ascii="Times New Roman" w:hAnsi="Times New Roman" w:cs="Times New Roman"/>
                <w:noProof/>
                <w:sz w:val="24"/>
                <w:szCs w:val="24"/>
                <w:lang w:val="en-US"/>
              </w:rPr>
              <w:t>4.4.3.</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Confirmatory factor analysis (CFA)</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_Toc43311647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125</w:t>
            </w:r>
            <w:r w:rsidR="00FD1D6D" w:rsidRPr="00511330">
              <w:rPr>
                <w:rFonts w:ascii="Times New Roman" w:hAnsi="Times New Roman" w:cs="Times New Roman"/>
                <w:noProof/>
                <w:webHidden/>
                <w:sz w:val="24"/>
                <w:szCs w:val="24"/>
              </w:rPr>
              <w:fldChar w:fldCharType="end"/>
            </w:r>
          </w:hyperlink>
        </w:p>
        <w:p w14:paraId="3CC33E91" w14:textId="15752E6C"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48" w:history="1">
            <w:r w:rsidR="00FD1D6D" w:rsidRPr="00511330">
              <w:rPr>
                <w:rStyle w:val="Hyperlink"/>
                <w:rFonts w:ascii="Times New Roman" w:hAnsi="Times New Roman" w:cs="Times New Roman"/>
                <w:noProof/>
                <w:sz w:val="24"/>
                <w:szCs w:val="24"/>
                <w:lang w:val="en-US"/>
              </w:rPr>
              <w:t>4.4.4.</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Measurement Model for Enablers (First-Order CFA Model)</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_Toc43311648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126</w:t>
            </w:r>
            <w:r w:rsidR="00FD1D6D" w:rsidRPr="00511330">
              <w:rPr>
                <w:rFonts w:ascii="Times New Roman" w:hAnsi="Times New Roman" w:cs="Times New Roman"/>
                <w:noProof/>
                <w:webHidden/>
                <w:sz w:val="24"/>
                <w:szCs w:val="24"/>
              </w:rPr>
              <w:fldChar w:fldCharType="end"/>
            </w:r>
          </w:hyperlink>
        </w:p>
        <w:p w14:paraId="29441F50" w14:textId="15B382A6"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49" w:history="1">
            <w:r w:rsidR="00FD1D6D" w:rsidRPr="00511330">
              <w:rPr>
                <w:rStyle w:val="Hyperlink"/>
                <w:rFonts w:ascii="Times New Roman" w:hAnsi="Times New Roman" w:cs="Times New Roman"/>
                <w:noProof/>
                <w:sz w:val="24"/>
                <w:szCs w:val="24"/>
                <w:lang w:val="en-US"/>
              </w:rPr>
              <w:t>4.4.5.</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Structural Model for Enablers (Second-Order CFA Model)</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_Toc43311649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128</w:t>
            </w:r>
            <w:r w:rsidR="00FD1D6D" w:rsidRPr="00511330">
              <w:rPr>
                <w:rFonts w:ascii="Times New Roman" w:hAnsi="Times New Roman" w:cs="Times New Roman"/>
                <w:noProof/>
                <w:webHidden/>
                <w:sz w:val="24"/>
                <w:szCs w:val="24"/>
              </w:rPr>
              <w:fldChar w:fldCharType="end"/>
            </w:r>
          </w:hyperlink>
        </w:p>
        <w:p w14:paraId="35720359" w14:textId="5A315022"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50" w:history="1">
            <w:r w:rsidR="00FD1D6D" w:rsidRPr="00511330">
              <w:rPr>
                <w:rStyle w:val="Hyperlink"/>
                <w:rFonts w:ascii="Times New Roman" w:hAnsi="Times New Roman" w:cs="Times New Roman"/>
                <w:noProof/>
                <w:sz w:val="24"/>
                <w:szCs w:val="24"/>
                <w:lang w:val="en-US"/>
              </w:rPr>
              <w:t>4.5.</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Quantitative Analysis of Barriers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_Toc43311650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130</w:t>
            </w:r>
            <w:r w:rsidR="00FD1D6D" w:rsidRPr="00511330">
              <w:rPr>
                <w:rFonts w:ascii="Times New Roman" w:hAnsi="Times New Roman" w:cs="Times New Roman"/>
                <w:noProof/>
                <w:webHidden/>
                <w:sz w:val="24"/>
                <w:szCs w:val="24"/>
              </w:rPr>
              <w:fldChar w:fldCharType="end"/>
            </w:r>
          </w:hyperlink>
        </w:p>
        <w:p w14:paraId="71F74B84" w14:textId="42CB7369"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51" w:history="1">
            <w:r w:rsidR="00FD1D6D" w:rsidRPr="00511330">
              <w:rPr>
                <w:rStyle w:val="Hyperlink"/>
                <w:rFonts w:ascii="Times New Roman" w:hAnsi="Times New Roman" w:cs="Times New Roman"/>
                <w:noProof/>
                <w:sz w:val="24"/>
                <w:szCs w:val="24"/>
                <w:lang w:val="en-US"/>
              </w:rPr>
              <w:t>4.5.1.</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Explanatory Factor Analysis (EFA)</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_Toc43311651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130</w:t>
            </w:r>
            <w:r w:rsidR="00FD1D6D" w:rsidRPr="00511330">
              <w:rPr>
                <w:rFonts w:ascii="Times New Roman" w:hAnsi="Times New Roman" w:cs="Times New Roman"/>
                <w:noProof/>
                <w:webHidden/>
                <w:sz w:val="24"/>
                <w:szCs w:val="24"/>
              </w:rPr>
              <w:fldChar w:fldCharType="end"/>
            </w:r>
          </w:hyperlink>
        </w:p>
        <w:p w14:paraId="3718ED28" w14:textId="552162EA"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52" w:history="1">
            <w:r w:rsidR="00FD1D6D" w:rsidRPr="00511330">
              <w:rPr>
                <w:rStyle w:val="Hyperlink"/>
                <w:rFonts w:ascii="Times New Roman" w:hAnsi="Times New Roman" w:cs="Times New Roman"/>
                <w:noProof/>
                <w:sz w:val="24"/>
                <w:szCs w:val="24"/>
                <w:lang w:val="en-US"/>
              </w:rPr>
              <w:t>4.5.2.</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Internal consistency and content validity</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_Toc43311652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132</w:t>
            </w:r>
            <w:r w:rsidR="00FD1D6D" w:rsidRPr="00511330">
              <w:rPr>
                <w:rFonts w:ascii="Times New Roman" w:hAnsi="Times New Roman" w:cs="Times New Roman"/>
                <w:noProof/>
                <w:webHidden/>
                <w:sz w:val="24"/>
                <w:szCs w:val="24"/>
              </w:rPr>
              <w:fldChar w:fldCharType="end"/>
            </w:r>
          </w:hyperlink>
        </w:p>
        <w:p w14:paraId="524EE814" w14:textId="196F6C3A"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53" w:history="1">
            <w:r w:rsidR="00FD1D6D" w:rsidRPr="00511330">
              <w:rPr>
                <w:rStyle w:val="Hyperlink"/>
                <w:rFonts w:ascii="Times New Roman" w:hAnsi="Times New Roman" w:cs="Times New Roman"/>
                <w:noProof/>
                <w:sz w:val="24"/>
                <w:szCs w:val="24"/>
                <w:lang w:val="en-US"/>
              </w:rPr>
              <w:t>4.5.3.</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Confirmatory Factor Analysis (CFA)</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_Toc43311653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133</w:t>
            </w:r>
            <w:r w:rsidR="00FD1D6D" w:rsidRPr="00511330">
              <w:rPr>
                <w:rFonts w:ascii="Times New Roman" w:hAnsi="Times New Roman" w:cs="Times New Roman"/>
                <w:noProof/>
                <w:webHidden/>
                <w:sz w:val="24"/>
                <w:szCs w:val="24"/>
              </w:rPr>
              <w:fldChar w:fldCharType="end"/>
            </w:r>
          </w:hyperlink>
        </w:p>
        <w:p w14:paraId="382A2B39" w14:textId="4A645508"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54" w:history="1">
            <w:r w:rsidR="00FD1D6D" w:rsidRPr="00511330">
              <w:rPr>
                <w:rStyle w:val="Hyperlink"/>
                <w:rFonts w:ascii="Times New Roman" w:hAnsi="Times New Roman" w:cs="Times New Roman"/>
                <w:noProof/>
                <w:sz w:val="24"/>
                <w:szCs w:val="24"/>
                <w:lang w:val="en-US"/>
              </w:rPr>
              <w:t>4.5.4.</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Measurement Model for Barriers (First-Order CFA Model)</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_Toc43311654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133</w:t>
            </w:r>
            <w:r w:rsidR="00FD1D6D" w:rsidRPr="00511330">
              <w:rPr>
                <w:rFonts w:ascii="Times New Roman" w:hAnsi="Times New Roman" w:cs="Times New Roman"/>
                <w:noProof/>
                <w:webHidden/>
                <w:sz w:val="24"/>
                <w:szCs w:val="24"/>
              </w:rPr>
              <w:fldChar w:fldCharType="end"/>
            </w:r>
          </w:hyperlink>
        </w:p>
        <w:p w14:paraId="44C8E905" w14:textId="3D26F4F9" w:rsidR="00FD1D6D" w:rsidRPr="00511330" w:rsidRDefault="003F7137" w:rsidP="00FD1D6D">
          <w:pPr>
            <w:pStyle w:val="TOC3"/>
            <w:tabs>
              <w:tab w:val="left" w:pos="1320"/>
              <w:tab w:val="right" w:leader="dot" w:pos="7374"/>
            </w:tabs>
            <w:spacing w:line="240" w:lineRule="auto"/>
            <w:rPr>
              <w:rFonts w:ascii="Times New Roman" w:eastAsiaTheme="minorEastAsia" w:hAnsi="Times New Roman" w:cs="Times New Roman"/>
              <w:noProof/>
              <w:sz w:val="24"/>
              <w:szCs w:val="24"/>
              <w:lang w:val="en-US"/>
            </w:rPr>
          </w:pPr>
          <w:hyperlink w:anchor="_Toc43311655" w:history="1">
            <w:r w:rsidR="00FD1D6D" w:rsidRPr="00511330">
              <w:rPr>
                <w:rStyle w:val="Hyperlink"/>
                <w:rFonts w:ascii="Times New Roman" w:hAnsi="Times New Roman" w:cs="Times New Roman"/>
                <w:noProof/>
                <w:sz w:val="24"/>
                <w:szCs w:val="24"/>
                <w:lang w:val="en-US" w:bidi="ar-AE"/>
              </w:rPr>
              <w:t>4.5.5.</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eastAsia="Calibri" w:hAnsi="Times New Roman" w:cs="Times New Roman"/>
                <w:noProof/>
                <w:sz w:val="24"/>
                <w:szCs w:val="24"/>
                <w:lang w:val="en-US"/>
              </w:rPr>
              <w:t>Structural Model for Motivators (Second-Order CFA Model)</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_Toc43311655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136</w:t>
            </w:r>
            <w:r w:rsidR="00FD1D6D" w:rsidRPr="00511330">
              <w:rPr>
                <w:rFonts w:ascii="Times New Roman" w:hAnsi="Times New Roman" w:cs="Times New Roman"/>
                <w:noProof/>
                <w:webHidden/>
                <w:sz w:val="24"/>
                <w:szCs w:val="24"/>
              </w:rPr>
              <w:fldChar w:fldCharType="end"/>
            </w:r>
          </w:hyperlink>
        </w:p>
        <w:p w14:paraId="6AA0514F" w14:textId="53930202" w:rsidR="00FD1D6D" w:rsidRPr="00511330" w:rsidRDefault="003F7137" w:rsidP="00FD1D6D">
          <w:pPr>
            <w:pStyle w:val="TOC1"/>
            <w:tabs>
              <w:tab w:val="right" w:leader="dot" w:pos="7374"/>
            </w:tabs>
            <w:spacing w:line="240" w:lineRule="auto"/>
            <w:rPr>
              <w:rFonts w:ascii="Times New Roman" w:eastAsiaTheme="minorEastAsia" w:hAnsi="Times New Roman" w:cs="Times New Roman"/>
              <w:noProof/>
              <w:sz w:val="24"/>
              <w:szCs w:val="24"/>
              <w:lang w:val="en-US"/>
            </w:rPr>
          </w:pPr>
          <w:hyperlink w:anchor="_Toc43311656" w:history="1">
            <w:r w:rsidR="00FD1D6D" w:rsidRPr="00511330">
              <w:rPr>
                <w:rStyle w:val="Hyperlink"/>
                <w:rFonts w:ascii="Times New Roman" w:hAnsi="Times New Roman" w:cs="Times New Roman"/>
                <w:noProof/>
                <w:sz w:val="24"/>
                <w:szCs w:val="24"/>
                <w:lang w:val="en-US"/>
              </w:rPr>
              <w:t>CHAPTER FIVE: DISCUSSION AND CONCLUSION</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_Toc43311656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140</w:t>
            </w:r>
            <w:r w:rsidR="00FD1D6D" w:rsidRPr="00511330">
              <w:rPr>
                <w:rFonts w:ascii="Times New Roman" w:hAnsi="Times New Roman" w:cs="Times New Roman"/>
                <w:noProof/>
                <w:webHidden/>
                <w:sz w:val="24"/>
                <w:szCs w:val="24"/>
              </w:rPr>
              <w:fldChar w:fldCharType="end"/>
            </w:r>
          </w:hyperlink>
        </w:p>
        <w:p w14:paraId="235C4481" w14:textId="79783C04"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57" w:history="1">
            <w:r w:rsidR="00FD1D6D" w:rsidRPr="00511330">
              <w:rPr>
                <w:rStyle w:val="Hyperlink"/>
                <w:rFonts w:ascii="Times New Roman" w:hAnsi="Times New Roman" w:cs="Times New Roman"/>
                <w:noProof/>
                <w:sz w:val="24"/>
                <w:szCs w:val="24"/>
                <w:lang w:val="en-US"/>
              </w:rPr>
              <w:t>5.1.</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Discussion</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_Toc43311657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140</w:t>
            </w:r>
            <w:r w:rsidR="00FD1D6D" w:rsidRPr="00511330">
              <w:rPr>
                <w:rFonts w:ascii="Times New Roman" w:hAnsi="Times New Roman" w:cs="Times New Roman"/>
                <w:noProof/>
                <w:webHidden/>
                <w:sz w:val="24"/>
                <w:szCs w:val="24"/>
              </w:rPr>
              <w:fldChar w:fldCharType="end"/>
            </w:r>
          </w:hyperlink>
        </w:p>
        <w:p w14:paraId="25BCC58F" w14:textId="4D03BA14"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58" w:history="1">
            <w:r w:rsidR="00FD1D6D" w:rsidRPr="00511330">
              <w:rPr>
                <w:rStyle w:val="Hyperlink"/>
                <w:rFonts w:ascii="Times New Roman" w:hAnsi="Times New Roman" w:cs="Times New Roman"/>
                <w:noProof/>
                <w:sz w:val="24"/>
                <w:szCs w:val="24"/>
                <w:lang w:val="en-US"/>
              </w:rPr>
              <w:t>5.2.</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Implications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_Toc43311658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146</w:t>
            </w:r>
            <w:r w:rsidR="00FD1D6D" w:rsidRPr="00511330">
              <w:rPr>
                <w:rFonts w:ascii="Times New Roman" w:hAnsi="Times New Roman" w:cs="Times New Roman"/>
                <w:noProof/>
                <w:webHidden/>
                <w:sz w:val="24"/>
                <w:szCs w:val="24"/>
              </w:rPr>
              <w:fldChar w:fldCharType="end"/>
            </w:r>
          </w:hyperlink>
        </w:p>
        <w:p w14:paraId="55F3B75F" w14:textId="363D553B"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59" w:history="1">
            <w:r w:rsidR="00FD1D6D" w:rsidRPr="00511330">
              <w:rPr>
                <w:rStyle w:val="Hyperlink"/>
                <w:rFonts w:ascii="Times New Roman" w:hAnsi="Times New Roman" w:cs="Times New Roman"/>
                <w:noProof/>
                <w:sz w:val="24"/>
                <w:szCs w:val="24"/>
                <w:lang w:val="en-US"/>
              </w:rPr>
              <w:t>5.3.</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Limitations and Future Research Directions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_Toc43311659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148</w:t>
            </w:r>
            <w:r w:rsidR="00FD1D6D" w:rsidRPr="00511330">
              <w:rPr>
                <w:rFonts w:ascii="Times New Roman" w:hAnsi="Times New Roman" w:cs="Times New Roman"/>
                <w:noProof/>
                <w:webHidden/>
                <w:sz w:val="24"/>
                <w:szCs w:val="24"/>
              </w:rPr>
              <w:fldChar w:fldCharType="end"/>
            </w:r>
          </w:hyperlink>
        </w:p>
        <w:p w14:paraId="01CE88BD" w14:textId="02B1BC92" w:rsidR="00FD1D6D" w:rsidRPr="00511330" w:rsidRDefault="003F7137" w:rsidP="00FD1D6D">
          <w:pPr>
            <w:pStyle w:val="TOC2"/>
            <w:tabs>
              <w:tab w:val="left" w:pos="880"/>
              <w:tab w:val="right" w:leader="dot" w:pos="7374"/>
            </w:tabs>
            <w:spacing w:line="240" w:lineRule="auto"/>
            <w:rPr>
              <w:rFonts w:ascii="Times New Roman" w:eastAsiaTheme="minorEastAsia" w:hAnsi="Times New Roman" w:cs="Times New Roman"/>
              <w:noProof/>
              <w:sz w:val="24"/>
              <w:szCs w:val="24"/>
              <w:lang w:val="en-US"/>
            </w:rPr>
          </w:pPr>
          <w:hyperlink w:anchor="_Toc43311660" w:history="1">
            <w:r w:rsidR="00FD1D6D" w:rsidRPr="00511330">
              <w:rPr>
                <w:rStyle w:val="Hyperlink"/>
                <w:rFonts w:ascii="Times New Roman" w:hAnsi="Times New Roman" w:cs="Times New Roman"/>
                <w:noProof/>
                <w:sz w:val="24"/>
                <w:szCs w:val="24"/>
                <w:lang w:val="en-US"/>
              </w:rPr>
              <w:t>5.4.</w:t>
            </w:r>
            <w:r w:rsidR="00FD1D6D" w:rsidRPr="00511330">
              <w:rPr>
                <w:rFonts w:ascii="Times New Roman" w:eastAsiaTheme="minorEastAsia" w:hAnsi="Times New Roman" w:cs="Times New Roman"/>
                <w:noProof/>
                <w:sz w:val="24"/>
                <w:szCs w:val="24"/>
                <w:lang w:val="en-US"/>
              </w:rPr>
              <w:tab/>
            </w:r>
            <w:r w:rsidR="00FD1D6D" w:rsidRPr="00511330">
              <w:rPr>
                <w:rStyle w:val="Hyperlink"/>
                <w:rFonts w:ascii="Times New Roman" w:hAnsi="Times New Roman" w:cs="Times New Roman"/>
                <w:noProof/>
                <w:sz w:val="24"/>
                <w:szCs w:val="24"/>
                <w:lang w:val="en-US"/>
              </w:rPr>
              <w:t>Conclusion</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_Toc43311660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150</w:t>
            </w:r>
            <w:r w:rsidR="00FD1D6D" w:rsidRPr="00511330">
              <w:rPr>
                <w:rFonts w:ascii="Times New Roman" w:hAnsi="Times New Roman" w:cs="Times New Roman"/>
                <w:noProof/>
                <w:webHidden/>
                <w:sz w:val="24"/>
                <w:szCs w:val="24"/>
              </w:rPr>
              <w:fldChar w:fldCharType="end"/>
            </w:r>
          </w:hyperlink>
        </w:p>
        <w:p w14:paraId="6B606A3D" w14:textId="5A45563A" w:rsidR="00FD1D6D" w:rsidRPr="00511330" w:rsidRDefault="003F7137" w:rsidP="00FD1D6D">
          <w:pPr>
            <w:pStyle w:val="TOC1"/>
            <w:tabs>
              <w:tab w:val="right" w:leader="dot" w:pos="7374"/>
            </w:tabs>
            <w:spacing w:line="240" w:lineRule="auto"/>
            <w:rPr>
              <w:rFonts w:ascii="Times New Roman" w:eastAsiaTheme="minorEastAsia" w:hAnsi="Times New Roman" w:cs="Times New Roman"/>
              <w:noProof/>
              <w:sz w:val="24"/>
              <w:szCs w:val="24"/>
              <w:lang w:val="en-US"/>
            </w:rPr>
          </w:pPr>
          <w:hyperlink w:anchor="_Toc43311661" w:history="1">
            <w:r w:rsidR="00FD1D6D" w:rsidRPr="00511330">
              <w:rPr>
                <w:rStyle w:val="Hyperlink"/>
                <w:rFonts w:ascii="Times New Roman" w:hAnsi="Times New Roman" w:cs="Times New Roman"/>
                <w:noProof/>
                <w:sz w:val="24"/>
                <w:szCs w:val="24"/>
                <w:lang w:val="en-US"/>
              </w:rPr>
              <w:t>REFERENCES</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_Toc43311661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152</w:t>
            </w:r>
            <w:r w:rsidR="00FD1D6D" w:rsidRPr="00511330">
              <w:rPr>
                <w:rFonts w:ascii="Times New Roman" w:hAnsi="Times New Roman" w:cs="Times New Roman"/>
                <w:noProof/>
                <w:webHidden/>
                <w:sz w:val="24"/>
                <w:szCs w:val="24"/>
              </w:rPr>
              <w:fldChar w:fldCharType="end"/>
            </w:r>
          </w:hyperlink>
        </w:p>
        <w:p w14:paraId="6CD88D1D" w14:textId="43C0DFF4" w:rsidR="00FD1D6D" w:rsidRPr="00511330" w:rsidRDefault="003F7137" w:rsidP="00FD1D6D">
          <w:pPr>
            <w:pStyle w:val="TOC1"/>
            <w:tabs>
              <w:tab w:val="right" w:leader="dot" w:pos="7374"/>
            </w:tabs>
            <w:spacing w:line="240" w:lineRule="auto"/>
            <w:rPr>
              <w:rFonts w:ascii="Times New Roman" w:eastAsiaTheme="minorEastAsia" w:hAnsi="Times New Roman" w:cs="Times New Roman"/>
              <w:noProof/>
              <w:sz w:val="24"/>
              <w:szCs w:val="24"/>
              <w:lang w:val="en-US"/>
            </w:rPr>
          </w:pPr>
          <w:hyperlink w:anchor="_Toc43311662" w:history="1">
            <w:r w:rsidR="00FD1D6D" w:rsidRPr="00511330">
              <w:rPr>
                <w:rStyle w:val="Hyperlink"/>
                <w:rFonts w:ascii="Times New Roman" w:hAnsi="Times New Roman" w:cs="Times New Roman"/>
                <w:noProof/>
                <w:sz w:val="24"/>
                <w:szCs w:val="24"/>
                <w:lang w:val="en-US"/>
              </w:rPr>
              <w:t>APPENDIX</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_Toc43311662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176</w:t>
            </w:r>
            <w:r w:rsidR="00FD1D6D" w:rsidRPr="00511330">
              <w:rPr>
                <w:rFonts w:ascii="Times New Roman" w:hAnsi="Times New Roman" w:cs="Times New Roman"/>
                <w:noProof/>
                <w:webHidden/>
                <w:sz w:val="24"/>
                <w:szCs w:val="24"/>
              </w:rPr>
              <w:fldChar w:fldCharType="end"/>
            </w:r>
          </w:hyperlink>
        </w:p>
        <w:p w14:paraId="644160A3" w14:textId="4AAA721E" w:rsidR="008D3598" w:rsidRPr="00511330" w:rsidRDefault="008D3598" w:rsidP="00FD1D6D">
          <w:pPr>
            <w:spacing w:after="0" w:line="240" w:lineRule="auto"/>
            <w:ind w:right="-450"/>
            <w:rPr>
              <w:rFonts w:ascii="Times New Roman" w:hAnsi="Times New Roman" w:cs="Times New Roman"/>
              <w:noProof/>
              <w:sz w:val="24"/>
              <w:szCs w:val="24"/>
            </w:rPr>
          </w:pPr>
          <w:r w:rsidRPr="00511330">
            <w:rPr>
              <w:rFonts w:ascii="Times New Roman" w:hAnsi="Times New Roman" w:cs="Times New Roman"/>
              <w:b/>
              <w:bCs/>
              <w:noProof/>
              <w:sz w:val="24"/>
              <w:szCs w:val="24"/>
              <w:lang w:val="en-US"/>
            </w:rPr>
            <w:lastRenderedPageBreak/>
            <w:fldChar w:fldCharType="end"/>
          </w:r>
        </w:p>
      </w:sdtContent>
    </w:sdt>
    <w:p w14:paraId="644160A4" w14:textId="25E64CE1" w:rsidR="008D3598" w:rsidRPr="00511330" w:rsidRDefault="008D3598" w:rsidP="00FD1D6D">
      <w:pPr>
        <w:spacing w:after="0" w:line="480" w:lineRule="auto"/>
        <w:ind w:right="-450"/>
        <w:rPr>
          <w:rFonts w:ascii="Times New Roman" w:hAnsi="Times New Roman" w:cs="Times New Roman"/>
          <w:b/>
          <w:bCs/>
          <w:sz w:val="24"/>
          <w:szCs w:val="24"/>
          <w:lang w:val="en-US"/>
        </w:rPr>
      </w:pPr>
      <w:r w:rsidRPr="00511330">
        <w:rPr>
          <w:rFonts w:ascii="Times New Roman" w:hAnsi="Times New Roman" w:cs="Times New Roman"/>
          <w:b/>
          <w:bCs/>
          <w:sz w:val="24"/>
          <w:szCs w:val="24"/>
          <w:lang w:val="en-US"/>
        </w:rPr>
        <w:t>List of Tables</w:t>
      </w:r>
    </w:p>
    <w:p w14:paraId="5C553BD2" w14:textId="2DC89B52" w:rsidR="00AF5C7A" w:rsidRPr="00511330" w:rsidRDefault="00466864"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r w:rsidRPr="00511330">
        <w:rPr>
          <w:rFonts w:ascii="Times New Roman" w:hAnsi="Times New Roman" w:cs="Times New Roman"/>
          <w:b/>
          <w:bCs/>
          <w:sz w:val="24"/>
          <w:szCs w:val="24"/>
          <w:lang w:val="en-US"/>
        </w:rPr>
        <w:fldChar w:fldCharType="begin"/>
      </w:r>
      <w:r w:rsidRPr="00511330">
        <w:rPr>
          <w:rFonts w:ascii="Times New Roman" w:hAnsi="Times New Roman" w:cs="Times New Roman"/>
          <w:b/>
          <w:bCs/>
          <w:sz w:val="24"/>
          <w:szCs w:val="24"/>
          <w:lang w:val="en-US"/>
        </w:rPr>
        <w:instrText xml:space="preserve"> TOC \h \z \c "Table 2." </w:instrText>
      </w:r>
      <w:r w:rsidRPr="00511330">
        <w:rPr>
          <w:rFonts w:ascii="Times New Roman" w:hAnsi="Times New Roman" w:cs="Times New Roman"/>
          <w:b/>
          <w:bCs/>
          <w:sz w:val="24"/>
          <w:szCs w:val="24"/>
          <w:lang w:val="en-US"/>
        </w:rPr>
        <w:fldChar w:fldCharType="separate"/>
      </w:r>
      <w:hyperlink w:anchor="_Toc43310873" w:history="1">
        <w:r w:rsidR="00AF5C7A" w:rsidRPr="00511330">
          <w:rPr>
            <w:rStyle w:val="Hyperlink"/>
            <w:rFonts w:ascii="Times New Roman" w:hAnsi="Times New Roman" w:cs="Times New Roman"/>
            <w:noProof/>
            <w:sz w:val="24"/>
            <w:szCs w:val="24"/>
          </w:rPr>
          <w:t>Table 2. 1: Review of literature of CM in the UAE (Meta-Analysis)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_Toc43310873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FD1D6D" w:rsidRPr="00511330">
          <w:rPr>
            <w:rFonts w:ascii="Times New Roman" w:hAnsi="Times New Roman" w:cs="Times New Roman"/>
            <w:noProof/>
            <w:webHidden/>
            <w:sz w:val="24"/>
            <w:szCs w:val="24"/>
          </w:rPr>
          <w:t>27</w:t>
        </w:r>
        <w:r w:rsidR="00AF5C7A" w:rsidRPr="00511330">
          <w:rPr>
            <w:rFonts w:ascii="Times New Roman" w:hAnsi="Times New Roman" w:cs="Times New Roman"/>
            <w:noProof/>
            <w:webHidden/>
            <w:sz w:val="24"/>
            <w:szCs w:val="24"/>
          </w:rPr>
          <w:fldChar w:fldCharType="end"/>
        </w:r>
      </w:hyperlink>
    </w:p>
    <w:p w14:paraId="36B2C0B7" w14:textId="4CE4D8A8" w:rsidR="00543D6B" w:rsidRPr="00511330" w:rsidRDefault="00466864" w:rsidP="00FD1D6D">
      <w:pPr>
        <w:pStyle w:val="TableofFigures"/>
        <w:tabs>
          <w:tab w:val="right" w:leader="dot" w:pos="7370"/>
        </w:tabs>
        <w:spacing w:line="480" w:lineRule="auto"/>
        <w:ind w:right="-450"/>
        <w:jc w:val="both"/>
        <w:rPr>
          <w:rFonts w:ascii="Times New Roman" w:hAnsi="Times New Roman" w:cs="Times New Roman"/>
          <w:b/>
          <w:bCs/>
          <w:sz w:val="24"/>
          <w:szCs w:val="24"/>
          <w:lang w:val="en-US"/>
        </w:rPr>
      </w:pPr>
      <w:r w:rsidRPr="00511330">
        <w:rPr>
          <w:rFonts w:ascii="Times New Roman" w:hAnsi="Times New Roman" w:cs="Times New Roman"/>
          <w:b/>
          <w:bCs/>
          <w:sz w:val="24"/>
          <w:szCs w:val="24"/>
          <w:lang w:val="en-US"/>
        </w:rPr>
        <w:fldChar w:fldCharType="end"/>
      </w:r>
    </w:p>
    <w:p w14:paraId="4D91F577" w14:textId="50F2A12C" w:rsidR="00AF5C7A" w:rsidRPr="00511330" w:rsidRDefault="008D3598"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r w:rsidRPr="00511330">
        <w:rPr>
          <w:rFonts w:ascii="Times New Roman" w:hAnsi="Times New Roman" w:cs="Times New Roman"/>
          <w:b/>
          <w:bCs/>
          <w:sz w:val="24"/>
          <w:szCs w:val="24"/>
          <w:lang w:val="en-US"/>
        </w:rPr>
        <w:fldChar w:fldCharType="begin"/>
      </w:r>
      <w:r w:rsidRPr="00511330">
        <w:rPr>
          <w:rFonts w:ascii="Times New Roman" w:hAnsi="Times New Roman" w:cs="Times New Roman"/>
          <w:b/>
          <w:bCs/>
          <w:sz w:val="24"/>
          <w:szCs w:val="24"/>
          <w:lang w:val="en-US"/>
        </w:rPr>
        <w:instrText xml:space="preserve"> TOC \h \z \c "Table 3." </w:instrText>
      </w:r>
      <w:r w:rsidRPr="00511330">
        <w:rPr>
          <w:rFonts w:ascii="Times New Roman" w:hAnsi="Times New Roman" w:cs="Times New Roman"/>
          <w:b/>
          <w:bCs/>
          <w:sz w:val="24"/>
          <w:szCs w:val="24"/>
          <w:lang w:val="en-US"/>
        </w:rPr>
        <w:fldChar w:fldCharType="separate"/>
      </w:r>
      <w:hyperlink w:anchor="_Toc43310882" w:history="1">
        <w:r w:rsidR="00AF5C7A" w:rsidRPr="00511330">
          <w:rPr>
            <w:rStyle w:val="Hyperlink"/>
            <w:rFonts w:ascii="Times New Roman" w:hAnsi="Times New Roman" w:cs="Times New Roman"/>
            <w:noProof/>
            <w:sz w:val="24"/>
            <w:szCs w:val="24"/>
            <w:lang w:val="en-US"/>
          </w:rPr>
          <w:t>Table 3. 1. Interviews’ Breakdown</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_Toc43310882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840826" w:rsidRPr="00511330">
          <w:rPr>
            <w:rFonts w:ascii="Times New Roman" w:hAnsi="Times New Roman" w:cs="Times New Roman"/>
            <w:noProof/>
            <w:webHidden/>
            <w:sz w:val="24"/>
            <w:szCs w:val="24"/>
          </w:rPr>
          <w:t>91</w:t>
        </w:r>
        <w:r w:rsidR="00AF5C7A" w:rsidRPr="00511330">
          <w:rPr>
            <w:rFonts w:ascii="Times New Roman" w:hAnsi="Times New Roman" w:cs="Times New Roman"/>
            <w:noProof/>
            <w:webHidden/>
            <w:sz w:val="24"/>
            <w:szCs w:val="24"/>
          </w:rPr>
          <w:fldChar w:fldCharType="end"/>
        </w:r>
      </w:hyperlink>
    </w:p>
    <w:p w14:paraId="7382C472" w14:textId="034DB378"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883" w:history="1">
        <w:r w:rsidR="00AF5C7A" w:rsidRPr="00511330">
          <w:rPr>
            <w:rStyle w:val="Hyperlink"/>
            <w:rFonts w:ascii="Times New Roman" w:hAnsi="Times New Roman" w:cs="Times New Roman"/>
            <w:noProof/>
            <w:sz w:val="24"/>
            <w:szCs w:val="24"/>
            <w:lang w:val="en-US"/>
          </w:rPr>
          <w:t>Table 3. 2: Demography of the study Sample</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_Toc43310883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840826" w:rsidRPr="00511330">
          <w:rPr>
            <w:rFonts w:ascii="Times New Roman" w:hAnsi="Times New Roman" w:cs="Times New Roman"/>
            <w:noProof/>
            <w:webHidden/>
            <w:sz w:val="24"/>
            <w:szCs w:val="24"/>
          </w:rPr>
          <w:t>94</w:t>
        </w:r>
        <w:r w:rsidR="00AF5C7A" w:rsidRPr="00511330">
          <w:rPr>
            <w:rFonts w:ascii="Times New Roman" w:hAnsi="Times New Roman" w:cs="Times New Roman"/>
            <w:noProof/>
            <w:webHidden/>
            <w:sz w:val="24"/>
            <w:szCs w:val="24"/>
          </w:rPr>
          <w:fldChar w:fldCharType="end"/>
        </w:r>
      </w:hyperlink>
    </w:p>
    <w:p w14:paraId="0EC79175" w14:textId="77777777" w:rsidR="00AF5C7A" w:rsidRPr="00511330" w:rsidRDefault="008D3598" w:rsidP="00FD1D6D">
      <w:pPr>
        <w:pStyle w:val="TableofFigures"/>
        <w:tabs>
          <w:tab w:val="right" w:leader="dot" w:pos="7374"/>
        </w:tabs>
        <w:spacing w:line="480" w:lineRule="auto"/>
        <w:rPr>
          <w:rFonts w:ascii="Times New Roman" w:hAnsi="Times New Roman" w:cs="Times New Roman"/>
          <w:noProof/>
          <w:sz w:val="24"/>
          <w:szCs w:val="24"/>
        </w:rPr>
      </w:pPr>
      <w:r w:rsidRPr="00511330">
        <w:rPr>
          <w:rFonts w:ascii="Times New Roman" w:hAnsi="Times New Roman" w:cs="Times New Roman"/>
          <w:b/>
          <w:bCs/>
          <w:sz w:val="24"/>
          <w:szCs w:val="24"/>
          <w:lang w:val="en-US"/>
        </w:rPr>
        <w:fldChar w:fldCharType="end"/>
      </w:r>
      <w:r w:rsidRPr="00511330">
        <w:rPr>
          <w:rFonts w:ascii="Times New Roman" w:hAnsi="Times New Roman" w:cs="Times New Roman"/>
          <w:b/>
          <w:bCs/>
          <w:sz w:val="24"/>
          <w:szCs w:val="24"/>
          <w:lang w:val="en-US"/>
        </w:rPr>
        <w:fldChar w:fldCharType="begin"/>
      </w:r>
      <w:r w:rsidRPr="00511330">
        <w:rPr>
          <w:rFonts w:ascii="Times New Roman" w:hAnsi="Times New Roman" w:cs="Times New Roman"/>
          <w:b/>
          <w:bCs/>
          <w:sz w:val="24"/>
          <w:szCs w:val="24"/>
          <w:lang w:val="en-US"/>
        </w:rPr>
        <w:instrText xml:space="preserve"> TOC \h \z \c "Table 4." </w:instrText>
      </w:r>
      <w:r w:rsidRPr="00511330">
        <w:rPr>
          <w:rFonts w:ascii="Times New Roman" w:hAnsi="Times New Roman" w:cs="Times New Roman"/>
          <w:b/>
          <w:bCs/>
          <w:sz w:val="24"/>
          <w:szCs w:val="24"/>
          <w:lang w:val="en-US"/>
        </w:rPr>
        <w:fldChar w:fldCharType="separate"/>
      </w:r>
    </w:p>
    <w:p w14:paraId="1923F6B2" w14:textId="0365347D"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891" w:history="1">
        <w:r w:rsidR="00AF5C7A" w:rsidRPr="00511330">
          <w:rPr>
            <w:rStyle w:val="Hyperlink"/>
            <w:rFonts w:ascii="Times New Roman" w:hAnsi="Times New Roman" w:cs="Times New Roman"/>
            <w:noProof/>
            <w:sz w:val="24"/>
            <w:szCs w:val="24"/>
            <w:lang w:val="en-US"/>
          </w:rPr>
          <w:t xml:space="preserve">Table 4. 1. Motivators Reported by </w:t>
        </w:r>
        <w:r w:rsidR="00AF5C7A" w:rsidRPr="00511330">
          <w:rPr>
            <w:rStyle w:val="Hyperlink"/>
            <w:rFonts w:ascii="Times New Roman" w:eastAsia="Calibri" w:hAnsi="Times New Roman" w:cs="Times New Roman"/>
            <w:noProof/>
            <w:sz w:val="24"/>
            <w:szCs w:val="24"/>
            <w:lang w:val="en-US"/>
          </w:rPr>
          <w:t>Customer Perspective</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_Toc43310891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100</w:t>
        </w:r>
        <w:r w:rsidR="00AF5C7A" w:rsidRPr="00511330">
          <w:rPr>
            <w:rFonts w:ascii="Times New Roman" w:hAnsi="Times New Roman" w:cs="Times New Roman"/>
            <w:noProof/>
            <w:webHidden/>
            <w:sz w:val="24"/>
            <w:szCs w:val="24"/>
          </w:rPr>
          <w:fldChar w:fldCharType="end"/>
        </w:r>
      </w:hyperlink>
    </w:p>
    <w:p w14:paraId="13BBBF31" w14:textId="06501FAF"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892" w:history="1">
        <w:r w:rsidR="00AF5C7A" w:rsidRPr="00511330">
          <w:rPr>
            <w:rStyle w:val="Hyperlink"/>
            <w:rFonts w:ascii="Times New Roman" w:hAnsi="Times New Roman" w:cs="Times New Roman"/>
            <w:noProof/>
            <w:sz w:val="24"/>
            <w:szCs w:val="24"/>
            <w:lang w:val="en-US"/>
          </w:rPr>
          <w:t>Table 4. 2: Motivators Reported by Top Management Perspective</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_Toc43310892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101</w:t>
        </w:r>
        <w:r w:rsidR="00AF5C7A" w:rsidRPr="00511330">
          <w:rPr>
            <w:rFonts w:ascii="Times New Roman" w:hAnsi="Times New Roman" w:cs="Times New Roman"/>
            <w:noProof/>
            <w:webHidden/>
            <w:sz w:val="24"/>
            <w:szCs w:val="24"/>
          </w:rPr>
          <w:fldChar w:fldCharType="end"/>
        </w:r>
      </w:hyperlink>
    </w:p>
    <w:p w14:paraId="24A27AF1" w14:textId="36F110EE"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893" w:history="1">
        <w:r w:rsidR="00AF5C7A" w:rsidRPr="00511330">
          <w:rPr>
            <w:rStyle w:val="Hyperlink"/>
            <w:rFonts w:ascii="Times New Roman" w:hAnsi="Times New Roman" w:cs="Times New Roman"/>
            <w:noProof/>
            <w:sz w:val="24"/>
            <w:szCs w:val="24"/>
            <w:lang w:val="en-US"/>
          </w:rPr>
          <w:t>Table 4. 3: Motivators Reported by Employees Perspective</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_Toc43310893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101</w:t>
        </w:r>
        <w:r w:rsidR="00AF5C7A" w:rsidRPr="00511330">
          <w:rPr>
            <w:rFonts w:ascii="Times New Roman" w:hAnsi="Times New Roman" w:cs="Times New Roman"/>
            <w:noProof/>
            <w:webHidden/>
            <w:sz w:val="24"/>
            <w:szCs w:val="24"/>
          </w:rPr>
          <w:fldChar w:fldCharType="end"/>
        </w:r>
      </w:hyperlink>
    </w:p>
    <w:p w14:paraId="0853359D" w14:textId="1B590F64"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894" w:history="1">
        <w:r w:rsidR="00AF5C7A" w:rsidRPr="00511330">
          <w:rPr>
            <w:rStyle w:val="Hyperlink"/>
            <w:rFonts w:ascii="Times New Roman" w:hAnsi="Times New Roman" w:cs="Times New Roman"/>
            <w:noProof/>
            <w:sz w:val="24"/>
            <w:szCs w:val="24"/>
            <w:lang w:val="en-US"/>
          </w:rPr>
          <w:t>Table 4. 4: Motivators Reported by Governments Perspective</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_Toc43310894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101</w:t>
        </w:r>
        <w:r w:rsidR="00AF5C7A" w:rsidRPr="00511330">
          <w:rPr>
            <w:rFonts w:ascii="Times New Roman" w:hAnsi="Times New Roman" w:cs="Times New Roman"/>
            <w:noProof/>
            <w:webHidden/>
            <w:sz w:val="24"/>
            <w:szCs w:val="24"/>
          </w:rPr>
          <w:fldChar w:fldCharType="end"/>
        </w:r>
      </w:hyperlink>
    </w:p>
    <w:p w14:paraId="7B3C7524" w14:textId="0FFEC6E3"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895" w:history="1">
        <w:r w:rsidR="00AF5C7A" w:rsidRPr="00511330">
          <w:rPr>
            <w:rStyle w:val="Hyperlink"/>
            <w:rFonts w:ascii="Times New Roman" w:hAnsi="Times New Roman" w:cs="Times New Roman"/>
            <w:noProof/>
            <w:sz w:val="24"/>
            <w:szCs w:val="24"/>
            <w:lang w:val="en-US"/>
          </w:rPr>
          <w:t>Table 4. 5: Commonality in Stakeholders’ Perceptions of CM Motivators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_Toc43310895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102</w:t>
        </w:r>
        <w:r w:rsidR="00AF5C7A" w:rsidRPr="00511330">
          <w:rPr>
            <w:rFonts w:ascii="Times New Roman" w:hAnsi="Times New Roman" w:cs="Times New Roman"/>
            <w:noProof/>
            <w:webHidden/>
            <w:sz w:val="24"/>
            <w:szCs w:val="24"/>
          </w:rPr>
          <w:fldChar w:fldCharType="end"/>
        </w:r>
      </w:hyperlink>
    </w:p>
    <w:p w14:paraId="5966CD41" w14:textId="72198C2B"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896" w:history="1">
        <w:r w:rsidR="00AF5C7A" w:rsidRPr="00511330">
          <w:rPr>
            <w:rStyle w:val="Hyperlink"/>
            <w:rFonts w:ascii="Times New Roman" w:hAnsi="Times New Roman" w:cs="Times New Roman"/>
            <w:noProof/>
            <w:sz w:val="24"/>
            <w:szCs w:val="24"/>
            <w:lang w:val="en-US"/>
          </w:rPr>
          <w:t>Table 4. 6: Enablers Reported by Customer Perspective</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_Toc43310896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105</w:t>
        </w:r>
        <w:r w:rsidR="00AF5C7A" w:rsidRPr="00511330">
          <w:rPr>
            <w:rFonts w:ascii="Times New Roman" w:hAnsi="Times New Roman" w:cs="Times New Roman"/>
            <w:noProof/>
            <w:webHidden/>
            <w:sz w:val="24"/>
            <w:szCs w:val="24"/>
          </w:rPr>
          <w:fldChar w:fldCharType="end"/>
        </w:r>
      </w:hyperlink>
    </w:p>
    <w:p w14:paraId="57DD1519" w14:textId="10E4E1CD"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897" w:history="1">
        <w:r w:rsidR="00AF5C7A" w:rsidRPr="00511330">
          <w:rPr>
            <w:rStyle w:val="Hyperlink"/>
            <w:rFonts w:ascii="Times New Roman" w:hAnsi="Times New Roman" w:cs="Times New Roman"/>
            <w:noProof/>
            <w:sz w:val="24"/>
            <w:szCs w:val="24"/>
            <w:lang w:val="en-US"/>
          </w:rPr>
          <w:t>Table 4. 7: Enablers Reported by Top Management Perspective</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_Toc43310897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105</w:t>
        </w:r>
        <w:r w:rsidR="00AF5C7A" w:rsidRPr="00511330">
          <w:rPr>
            <w:rFonts w:ascii="Times New Roman" w:hAnsi="Times New Roman" w:cs="Times New Roman"/>
            <w:noProof/>
            <w:webHidden/>
            <w:sz w:val="24"/>
            <w:szCs w:val="24"/>
          </w:rPr>
          <w:fldChar w:fldCharType="end"/>
        </w:r>
      </w:hyperlink>
    </w:p>
    <w:p w14:paraId="577F3BCB" w14:textId="745595F4"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898" w:history="1">
        <w:r w:rsidR="00AF5C7A" w:rsidRPr="00511330">
          <w:rPr>
            <w:rStyle w:val="Hyperlink"/>
            <w:rFonts w:ascii="Times New Roman" w:hAnsi="Times New Roman" w:cs="Times New Roman"/>
            <w:noProof/>
            <w:sz w:val="24"/>
            <w:szCs w:val="24"/>
            <w:lang w:val="en-US"/>
          </w:rPr>
          <w:t>Table 4. 8. Enablers Reported by Employees Perspective</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_Toc43310898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105</w:t>
        </w:r>
        <w:r w:rsidR="00AF5C7A" w:rsidRPr="00511330">
          <w:rPr>
            <w:rFonts w:ascii="Times New Roman" w:hAnsi="Times New Roman" w:cs="Times New Roman"/>
            <w:noProof/>
            <w:webHidden/>
            <w:sz w:val="24"/>
            <w:szCs w:val="24"/>
          </w:rPr>
          <w:fldChar w:fldCharType="end"/>
        </w:r>
      </w:hyperlink>
    </w:p>
    <w:p w14:paraId="4725C12C" w14:textId="66762290"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899" w:history="1">
        <w:r w:rsidR="00AF5C7A" w:rsidRPr="00511330">
          <w:rPr>
            <w:rStyle w:val="Hyperlink"/>
            <w:rFonts w:ascii="Times New Roman" w:hAnsi="Times New Roman" w:cs="Times New Roman"/>
            <w:noProof/>
            <w:sz w:val="24"/>
            <w:szCs w:val="24"/>
            <w:lang w:val="en-US"/>
          </w:rPr>
          <w:t>Table 4. 9 Enablers Reported by  Government Perspective</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_Toc43310899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106</w:t>
        </w:r>
        <w:r w:rsidR="00AF5C7A" w:rsidRPr="00511330">
          <w:rPr>
            <w:rFonts w:ascii="Times New Roman" w:hAnsi="Times New Roman" w:cs="Times New Roman"/>
            <w:noProof/>
            <w:webHidden/>
            <w:sz w:val="24"/>
            <w:szCs w:val="24"/>
          </w:rPr>
          <w:fldChar w:fldCharType="end"/>
        </w:r>
      </w:hyperlink>
    </w:p>
    <w:p w14:paraId="0E709A71" w14:textId="3B881A4C"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00" w:history="1">
        <w:r w:rsidR="00AF5C7A" w:rsidRPr="00511330">
          <w:rPr>
            <w:rStyle w:val="Hyperlink"/>
            <w:rFonts w:ascii="Times New Roman" w:hAnsi="Times New Roman" w:cs="Times New Roman"/>
            <w:noProof/>
            <w:sz w:val="24"/>
            <w:szCs w:val="24"/>
            <w:lang w:val="en-US"/>
          </w:rPr>
          <w:t>Table 4. 10: Commonality in Stakeholders’ Perceptions of CM Enablers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_Toc43310900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107</w:t>
        </w:r>
        <w:r w:rsidR="00AF5C7A" w:rsidRPr="00511330">
          <w:rPr>
            <w:rFonts w:ascii="Times New Roman" w:hAnsi="Times New Roman" w:cs="Times New Roman"/>
            <w:noProof/>
            <w:webHidden/>
            <w:sz w:val="24"/>
            <w:szCs w:val="24"/>
          </w:rPr>
          <w:fldChar w:fldCharType="end"/>
        </w:r>
      </w:hyperlink>
    </w:p>
    <w:p w14:paraId="10E19248" w14:textId="0F1E3B19"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01" w:history="1">
        <w:r w:rsidR="00AF5C7A" w:rsidRPr="00511330">
          <w:rPr>
            <w:rStyle w:val="Hyperlink"/>
            <w:rFonts w:ascii="Times New Roman" w:hAnsi="Times New Roman" w:cs="Times New Roman"/>
            <w:noProof/>
            <w:sz w:val="24"/>
            <w:szCs w:val="24"/>
            <w:lang w:val="en-US"/>
          </w:rPr>
          <w:t>Table 4. 11: Barriers Reported by Customers Perspective</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_Toc43310901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109</w:t>
        </w:r>
        <w:r w:rsidR="00AF5C7A" w:rsidRPr="00511330">
          <w:rPr>
            <w:rFonts w:ascii="Times New Roman" w:hAnsi="Times New Roman" w:cs="Times New Roman"/>
            <w:noProof/>
            <w:webHidden/>
            <w:sz w:val="24"/>
            <w:szCs w:val="24"/>
          </w:rPr>
          <w:fldChar w:fldCharType="end"/>
        </w:r>
      </w:hyperlink>
    </w:p>
    <w:p w14:paraId="38B59498" w14:textId="1FE2413E"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02" w:history="1">
        <w:r w:rsidR="00AF5C7A" w:rsidRPr="00511330">
          <w:rPr>
            <w:rStyle w:val="Hyperlink"/>
            <w:rFonts w:ascii="Times New Roman" w:hAnsi="Times New Roman" w:cs="Times New Roman"/>
            <w:noProof/>
            <w:sz w:val="24"/>
            <w:szCs w:val="24"/>
            <w:lang w:val="en-US"/>
          </w:rPr>
          <w:t>Table 4. 12: Barriers Reported by Top Management Perspective</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_Toc43310902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110</w:t>
        </w:r>
        <w:r w:rsidR="00AF5C7A" w:rsidRPr="00511330">
          <w:rPr>
            <w:rFonts w:ascii="Times New Roman" w:hAnsi="Times New Roman" w:cs="Times New Roman"/>
            <w:noProof/>
            <w:webHidden/>
            <w:sz w:val="24"/>
            <w:szCs w:val="24"/>
          </w:rPr>
          <w:fldChar w:fldCharType="end"/>
        </w:r>
      </w:hyperlink>
    </w:p>
    <w:p w14:paraId="29126D27" w14:textId="6378BB37"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03" w:history="1">
        <w:r w:rsidR="00AF5C7A" w:rsidRPr="00511330">
          <w:rPr>
            <w:rStyle w:val="Hyperlink"/>
            <w:rFonts w:ascii="Times New Roman" w:hAnsi="Times New Roman" w:cs="Times New Roman"/>
            <w:noProof/>
            <w:sz w:val="24"/>
            <w:szCs w:val="24"/>
            <w:lang w:val="en-US"/>
          </w:rPr>
          <w:t>Table 4. 13: Barriers Reported by Employees Perspective</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_Toc43310903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110</w:t>
        </w:r>
        <w:r w:rsidR="00AF5C7A" w:rsidRPr="00511330">
          <w:rPr>
            <w:rFonts w:ascii="Times New Roman" w:hAnsi="Times New Roman" w:cs="Times New Roman"/>
            <w:noProof/>
            <w:webHidden/>
            <w:sz w:val="24"/>
            <w:szCs w:val="24"/>
          </w:rPr>
          <w:fldChar w:fldCharType="end"/>
        </w:r>
      </w:hyperlink>
    </w:p>
    <w:p w14:paraId="42F23427" w14:textId="248E0572"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04" w:history="1">
        <w:r w:rsidR="00AF5C7A" w:rsidRPr="00511330">
          <w:rPr>
            <w:rStyle w:val="Hyperlink"/>
            <w:rFonts w:ascii="Times New Roman" w:hAnsi="Times New Roman" w:cs="Times New Roman"/>
            <w:noProof/>
            <w:sz w:val="24"/>
            <w:szCs w:val="24"/>
            <w:lang w:val="en-US"/>
          </w:rPr>
          <w:t>Table 4. 14: Barriers Reported by Government Perspective</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_Toc43310904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110</w:t>
        </w:r>
        <w:r w:rsidR="00AF5C7A" w:rsidRPr="00511330">
          <w:rPr>
            <w:rFonts w:ascii="Times New Roman" w:hAnsi="Times New Roman" w:cs="Times New Roman"/>
            <w:noProof/>
            <w:webHidden/>
            <w:sz w:val="24"/>
            <w:szCs w:val="24"/>
          </w:rPr>
          <w:fldChar w:fldCharType="end"/>
        </w:r>
      </w:hyperlink>
    </w:p>
    <w:p w14:paraId="60C7A4D7" w14:textId="586EA25C"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05" w:history="1">
        <w:r w:rsidR="00AF5C7A" w:rsidRPr="00511330">
          <w:rPr>
            <w:rStyle w:val="Hyperlink"/>
            <w:rFonts w:ascii="Times New Roman" w:hAnsi="Times New Roman" w:cs="Times New Roman"/>
            <w:noProof/>
            <w:sz w:val="24"/>
            <w:szCs w:val="24"/>
            <w:lang w:val="en-US"/>
          </w:rPr>
          <w:t>Table 4. 15: Commonality in Stakeholders’ Perceptions of CM Barriers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_Toc43310905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111</w:t>
        </w:r>
        <w:r w:rsidR="00AF5C7A" w:rsidRPr="00511330">
          <w:rPr>
            <w:rFonts w:ascii="Times New Roman" w:hAnsi="Times New Roman" w:cs="Times New Roman"/>
            <w:noProof/>
            <w:webHidden/>
            <w:sz w:val="24"/>
            <w:szCs w:val="24"/>
          </w:rPr>
          <w:fldChar w:fldCharType="end"/>
        </w:r>
      </w:hyperlink>
    </w:p>
    <w:p w14:paraId="660BC2CA" w14:textId="5D6D42A9"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06" w:history="1">
        <w:r w:rsidR="00AF5C7A" w:rsidRPr="00511330">
          <w:rPr>
            <w:rStyle w:val="Hyperlink"/>
            <w:rFonts w:ascii="Times New Roman" w:hAnsi="Times New Roman" w:cs="Times New Roman"/>
            <w:noProof/>
            <w:sz w:val="24"/>
            <w:szCs w:val="24"/>
            <w:lang w:val="en-US"/>
          </w:rPr>
          <w:t>Table 4. 16: Test for Skewness and Kurtosis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_Toc43310906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114</w:t>
        </w:r>
        <w:r w:rsidR="00AF5C7A" w:rsidRPr="00511330">
          <w:rPr>
            <w:rFonts w:ascii="Times New Roman" w:hAnsi="Times New Roman" w:cs="Times New Roman"/>
            <w:noProof/>
            <w:webHidden/>
            <w:sz w:val="24"/>
            <w:szCs w:val="24"/>
          </w:rPr>
          <w:fldChar w:fldCharType="end"/>
        </w:r>
      </w:hyperlink>
    </w:p>
    <w:p w14:paraId="6C3CB4CB" w14:textId="628F73CB"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07" w:history="1">
        <w:r w:rsidR="00AF5C7A" w:rsidRPr="00511330">
          <w:rPr>
            <w:rStyle w:val="Hyperlink"/>
            <w:rFonts w:ascii="Times New Roman" w:hAnsi="Times New Roman" w:cs="Times New Roman"/>
            <w:noProof/>
            <w:sz w:val="24"/>
            <w:szCs w:val="24"/>
            <w:lang w:val="en-US"/>
          </w:rPr>
          <w:t>Table 4. 17: KMO Test and Bartlett’s Test for Change Motives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_Toc43310907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114</w:t>
        </w:r>
        <w:r w:rsidR="00AF5C7A" w:rsidRPr="00511330">
          <w:rPr>
            <w:rFonts w:ascii="Times New Roman" w:hAnsi="Times New Roman" w:cs="Times New Roman"/>
            <w:noProof/>
            <w:webHidden/>
            <w:sz w:val="24"/>
            <w:szCs w:val="24"/>
          </w:rPr>
          <w:fldChar w:fldCharType="end"/>
        </w:r>
      </w:hyperlink>
    </w:p>
    <w:p w14:paraId="6FF0C1C9" w14:textId="416BD7AB"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08" w:history="1">
        <w:r w:rsidR="00AF5C7A" w:rsidRPr="00511330">
          <w:rPr>
            <w:rStyle w:val="Hyperlink"/>
            <w:rFonts w:ascii="Times New Roman" w:hAnsi="Times New Roman" w:cs="Times New Roman"/>
            <w:noProof/>
            <w:sz w:val="24"/>
            <w:szCs w:val="24"/>
            <w:lang w:val="en-US"/>
          </w:rPr>
          <w:t>Table 4. 18: Rotated Component Matrix of Items on three Key Motives Factors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_Toc43310908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115</w:t>
        </w:r>
        <w:r w:rsidR="00AF5C7A" w:rsidRPr="00511330">
          <w:rPr>
            <w:rFonts w:ascii="Times New Roman" w:hAnsi="Times New Roman" w:cs="Times New Roman"/>
            <w:noProof/>
            <w:webHidden/>
            <w:sz w:val="24"/>
            <w:szCs w:val="24"/>
          </w:rPr>
          <w:fldChar w:fldCharType="end"/>
        </w:r>
      </w:hyperlink>
    </w:p>
    <w:p w14:paraId="0247278C" w14:textId="353265D6"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09" w:history="1">
        <w:r w:rsidR="00AF5C7A" w:rsidRPr="00511330">
          <w:rPr>
            <w:rStyle w:val="Hyperlink"/>
            <w:rFonts w:ascii="Times New Roman" w:hAnsi="Times New Roman" w:cs="Times New Roman"/>
            <w:noProof/>
            <w:sz w:val="24"/>
            <w:szCs w:val="24"/>
            <w:lang w:val="en-US"/>
          </w:rPr>
          <w:t>Table 4. 19. Convergent Validity Analysis Results for CM Motives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_Toc43310909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117</w:t>
        </w:r>
        <w:r w:rsidR="00AF5C7A" w:rsidRPr="00511330">
          <w:rPr>
            <w:rFonts w:ascii="Times New Roman" w:hAnsi="Times New Roman" w:cs="Times New Roman"/>
            <w:noProof/>
            <w:webHidden/>
            <w:sz w:val="24"/>
            <w:szCs w:val="24"/>
          </w:rPr>
          <w:fldChar w:fldCharType="end"/>
        </w:r>
      </w:hyperlink>
    </w:p>
    <w:p w14:paraId="7EC4CC25" w14:textId="79F4BEDF"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10" w:history="1">
        <w:r w:rsidR="00AF5C7A" w:rsidRPr="00511330">
          <w:rPr>
            <w:rStyle w:val="Hyperlink"/>
            <w:rFonts w:ascii="Times New Roman" w:hAnsi="Times New Roman" w:cs="Times New Roman"/>
            <w:noProof/>
            <w:sz w:val="24"/>
            <w:szCs w:val="24"/>
            <w:lang w:val="en-US"/>
          </w:rPr>
          <w:t>Table 4. 20: Goodness-of-Fit Indices the 1st-Order Model on Motives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_Toc43310910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118</w:t>
        </w:r>
        <w:r w:rsidR="00AF5C7A" w:rsidRPr="00511330">
          <w:rPr>
            <w:rFonts w:ascii="Times New Roman" w:hAnsi="Times New Roman" w:cs="Times New Roman"/>
            <w:noProof/>
            <w:webHidden/>
            <w:sz w:val="24"/>
            <w:szCs w:val="24"/>
          </w:rPr>
          <w:fldChar w:fldCharType="end"/>
        </w:r>
      </w:hyperlink>
    </w:p>
    <w:p w14:paraId="5ED8A0AD" w14:textId="62CCAABE"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11" w:history="1">
        <w:r w:rsidR="00AF5C7A" w:rsidRPr="00511330">
          <w:rPr>
            <w:rStyle w:val="Hyperlink"/>
            <w:rFonts w:ascii="Times New Roman" w:hAnsi="Times New Roman" w:cs="Times New Roman"/>
            <w:noProof/>
            <w:sz w:val="24"/>
            <w:szCs w:val="24"/>
            <w:lang w:val="en-US"/>
          </w:rPr>
          <w:t>Table 4. 21: Goodness-of-Fit Indices the 2nd-Order Model on Motives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_Toc43310911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120</w:t>
        </w:r>
        <w:r w:rsidR="00AF5C7A" w:rsidRPr="00511330">
          <w:rPr>
            <w:rFonts w:ascii="Times New Roman" w:hAnsi="Times New Roman" w:cs="Times New Roman"/>
            <w:noProof/>
            <w:webHidden/>
            <w:sz w:val="24"/>
            <w:szCs w:val="24"/>
          </w:rPr>
          <w:fldChar w:fldCharType="end"/>
        </w:r>
      </w:hyperlink>
    </w:p>
    <w:p w14:paraId="3798F9B8" w14:textId="35E8F46F"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12" w:history="1">
        <w:r w:rsidR="00AF5C7A" w:rsidRPr="00511330">
          <w:rPr>
            <w:rStyle w:val="Hyperlink"/>
            <w:rFonts w:ascii="Times New Roman" w:hAnsi="Times New Roman" w:cs="Times New Roman"/>
            <w:noProof/>
            <w:sz w:val="24"/>
            <w:szCs w:val="24"/>
            <w:lang w:val="en-US"/>
          </w:rPr>
          <w:t>Table 4. 22: Validity and Reliability of the Three Motive Constructs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_Toc43310912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122</w:t>
        </w:r>
        <w:r w:rsidR="00AF5C7A" w:rsidRPr="00511330">
          <w:rPr>
            <w:rFonts w:ascii="Times New Roman" w:hAnsi="Times New Roman" w:cs="Times New Roman"/>
            <w:noProof/>
            <w:webHidden/>
            <w:sz w:val="24"/>
            <w:szCs w:val="24"/>
          </w:rPr>
          <w:fldChar w:fldCharType="end"/>
        </w:r>
      </w:hyperlink>
    </w:p>
    <w:p w14:paraId="02B0DEC4" w14:textId="70AD73F4"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13" w:history="1">
        <w:r w:rsidR="00AF5C7A" w:rsidRPr="00511330">
          <w:rPr>
            <w:rStyle w:val="Hyperlink"/>
            <w:rFonts w:ascii="Times New Roman" w:hAnsi="Times New Roman" w:cs="Times New Roman"/>
            <w:noProof/>
            <w:sz w:val="24"/>
            <w:szCs w:val="24"/>
            <w:lang w:val="en-US"/>
          </w:rPr>
          <w:t>Table 4. 23: KMO Test and Bartlett’s Test for Change Enablers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_Toc43310913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122</w:t>
        </w:r>
        <w:r w:rsidR="00AF5C7A" w:rsidRPr="00511330">
          <w:rPr>
            <w:rFonts w:ascii="Times New Roman" w:hAnsi="Times New Roman" w:cs="Times New Roman"/>
            <w:noProof/>
            <w:webHidden/>
            <w:sz w:val="24"/>
            <w:szCs w:val="24"/>
          </w:rPr>
          <w:fldChar w:fldCharType="end"/>
        </w:r>
      </w:hyperlink>
    </w:p>
    <w:p w14:paraId="565EAD4A" w14:textId="7FDDBCD3"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14" w:history="1">
        <w:r w:rsidR="00AF5C7A" w:rsidRPr="00511330">
          <w:rPr>
            <w:rStyle w:val="Hyperlink"/>
            <w:rFonts w:ascii="Times New Roman" w:hAnsi="Times New Roman" w:cs="Times New Roman"/>
            <w:noProof/>
            <w:sz w:val="24"/>
            <w:szCs w:val="24"/>
            <w:lang w:val="en-US"/>
          </w:rPr>
          <w:t>Table 4. 24: Rotated Component Matrix Items on Four Key Enabler Factors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_Toc43310914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123</w:t>
        </w:r>
        <w:r w:rsidR="00AF5C7A" w:rsidRPr="00511330">
          <w:rPr>
            <w:rFonts w:ascii="Times New Roman" w:hAnsi="Times New Roman" w:cs="Times New Roman"/>
            <w:noProof/>
            <w:webHidden/>
            <w:sz w:val="24"/>
            <w:szCs w:val="24"/>
          </w:rPr>
          <w:fldChar w:fldCharType="end"/>
        </w:r>
      </w:hyperlink>
    </w:p>
    <w:p w14:paraId="092AD08C" w14:textId="7C665A3B"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15" w:history="1">
        <w:r w:rsidR="00AF5C7A" w:rsidRPr="00511330">
          <w:rPr>
            <w:rStyle w:val="Hyperlink"/>
            <w:rFonts w:ascii="Times New Roman" w:hAnsi="Times New Roman" w:cs="Times New Roman"/>
            <w:noProof/>
            <w:sz w:val="24"/>
            <w:szCs w:val="24"/>
            <w:lang w:val="en-US"/>
          </w:rPr>
          <w:t>Table 4. 25: Convergent Validity Analysis Results for CM Enablers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_Toc43310915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125</w:t>
        </w:r>
        <w:r w:rsidR="00AF5C7A" w:rsidRPr="00511330">
          <w:rPr>
            <w:rFonts w:ascii="Times New Roman" w:hAnsi="Times New Roman" w:cs="Times New Roman"/>
            <w:noProof/>
            <w:webHidden/>
            <w:sz w:val="24"/>
            <w:szCs w:val="24"/>
          </w:rPr>
          <w:fldChar w:fldCharType="end"/>
        </w:r>
      </w:hyperlink>
    </w:p>
    <w:p w14:paraId="4A8F3B1D" w14:textId="6A41DBD2"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16" w:history="1">
        <w:r w:rsidR="00AF5C7A" w:rsidRPr="00511330">
          <w:rPr>
            <w:rStyle w:val="Hyperlink"/>
            <w:rFonts w:ascii="Times New Roman" w:hAnsi="Times New Roman" w:cs="Times New Roman"/>
            <w:noProof/>
            <w:sz w:val="24"/>
            <w:szCs w:val="24"/>
            <w:lang w:val="en-US"/>
          </w:rPr>
          <w:t>Table 4. 26: Goodness-of-Fit Indices the 1st-Order Model on Enabler</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_Toc43310916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126</w:t>
        </w:r>
        <w:r w:rsidR="00AF5C7A" w:rsidRPr="00511330">
          <w:rPr>
            <w:rFonts w:ascii="Times New Roman" w:hAnsi="Times New Roman" w:cs="Times New Roman"/>
            <w:noProof/>
            <w:webHidden/>
            <w:sz w:val="24"/>
            <w:szCs w:val="24"/>
          </w:rPr>
          <w:fldChar w:fldCharType="end"/>
        </w:r>
      </w:hyperlink>
    </w:p>
    <w:p w14:paraId="73DBA079" w14:textId="5444C2D5"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17" w:history="1">
        <w:r w:rsidR="00AF5C7A" w:rsidRPr="00511330">
          <w:rPr>
            <w:rStyle w:val="Hyperlink"/>
            <w:rFonts w:ascii="Times New Roman" w:hAnsi="Times New Roman" w:cs="Times New Roman"/>
            <w:noProof/>
            <w:sz w:val="24"/>
            <w:szCs w:val="24"/>
            <w:lang w:val="en-US"/>
          </w:rPr>
          <w:t>Table 4. 27: Goodness-of-Fit Indices for the 2nd-Order Model on Enablers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_Toc43310917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128</w:t>
        </w:r>
        <w:r w:rsidR="00AF5C7A" w:rsidRPr="00511330">
          <w:rPr>
            <w:rFonts w:ascii="Times New Roman" w:hAnsi="Times New Roman" w:cs="Times New Roman"/>
            <w:noProof/>
            <w:webHidden/>
            <w:sz w:val="24"/>
            <w:szCs w:val="24"/>
          </w:rPr>
          <w:fldChar w:fldCharType="end"/>
        </w:r>
      </w:hyperlink>
    </w:p>
    <w:p w14:paraId="4BA83319" w14:textId="351A6878"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18" w:history="1">
        <w:r w:rsidR="00AF5C7A" w:rsidRPr="00511330">
          <w:rPr>
            <w:rStyle w:val="Hyperlink"/>
            <w:rFonts w:ascii="Times New Roman" w:hAnsi="Times New Roman" w:cs="Times New Roman"/>
            <w:noProof/>
            <w:sz w:val="24"/>
            <w:szCs w:val="24"/>
            <w:lang w:val="en-US"/>
          </w:rPr>
          <w:t>Table 4. 28: Validity and Reliability of the four Enablers Constructs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_Toc43310918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130</w:t>
        </w:r>
        <w:r w:rsidR="00AF5C7A" w:rsidRPr="00511330">
          <w:rPr>
            <w:rFonts w:ascii="Times New Roman" w:hAnsi="Times New Roman" w:cs="Times New Roman"/>
            <w:noProof/>
            <w:webHidden/>
            <w:sz w:val="24"/>
            <w:szCs w:val="24"/>
          </w:rPr>
          <w:fldChar w:fldCharType="end"/>
        </w:r>
      </w:hyperlink>
    </w:p>
    <w:p w14:paraId="0EBD2AB7" w14:textId="5979118B"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19" w:history="1">
        <w:r w:rsidR="00AF5C7A" w:rsidRPr="00511330">
          <w:rPr>
            <w:rStyle w:val="Hyperlink"/>
            <w:rFonts w:ascii="Times New Roman" w:hAnsi="Times New Roman" w:cs="Times New Roman"/>
            <w:noProof/>
            <w:sz w:val="24"/>
            <w:szCs w:val="24"/>
            <w:lang w:val="en-US"/>
          </w:rPr>
          <w:t>Table 4. 29: KMO Test and Bartlett’s Test for Change Barriers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_Toc43310919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130</w:t>
        </w:r>
        <w:r w:rsidR="00AF5C7A" w:rsidRPr="00511330">
          <w:rPr>
            <w:rFonts w:ascii="Times New Roman" w:hAnsi="Times New Roman" w:cs="Times New Roman"/>
            <w:noProof/>
            <w:webHidden/>
            <w:sz w:val="24"/>
            <w:szCs w:val="24"/>
          </w:rPr>
          <w:fldChar w:fldCharType="end"/>
        </w:r>
      </w:hyperlink>
    </w:p>
    <w:p w14:paraId="0A1C5FC9" w14:textId="228BEFEF"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20" w:history="1">
        <w:r w:rsidR="00AF5C7A" w:rsidRPr="00511330">
          <w:rPr>
            <w:rStyle w:val="Hyperlink"/>
            <w:rFonts w:ascii="Times New Roman" w:hAnsi="Times New Roman" w:cs="Times New Roman"/>
            <w:noProof/>
            <w:sz w:val="24"/>
            <w:szCs w:val="24"/>
            <w:lang w:val="en-US"/>
          </w:rPr>
          <w:t>Table 4. 30: Rotated-Component-Matrix Items on Four Key Barriers Factors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_Toc43310920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131</w:t>
        </w:r>
        <w:r w:rsidR="00AF5C7A" w:rsidRPr="00511330">
          <w:rPr>
            <w:rFonts w:ascii="Times New Roman" w:hAnsi="Times New Roman" w:cs="Times New Roman"/>
            <w:noProof/>
            <w:webHidden/>
            <w:sz w:val="24"/>
            <w:szCs w:val="24"/>
          </w:rPr>
          <w:fldChar w:fldCharType="end"/>
        </w:r>
      </w:hyperlink>
    </w:p>
    <w:p w14:paraId="7D93696C" w14:textId="1FA13D05"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21" w:history="1">
        <w:r w:rsidR="00AF5C7A" w:rsidRPr="00511330">
          <w:rPr>
            <w:rStyle w:val="Hyperlink"/>
            <w:rFonts w:ascii="Times New Roman" w:hAnsi="Times New Roman" w:cs="Times New Roman"/>
            <w:noProof/>
            <w:sz w:val="24"/>
            <w:szCs w:val="24"/>
            <w:lang w:val="en-US"/>
          </w:rPr>
          <w:t>Table 4. 31: Convergent Validity Analysis Results for CM Barriers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_Toc43310921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133</w:t>
        </w:r>
        <w:r w:rsidR="00AF5C7A" w:rsidRPr="00511330">
          <w:rPr>
            <w:rFonts w:ascii="Times New Roman" w:hAnsi="Times New Roman" w:cs="Times New Roman"/>
            <w:noProof/>
            <w:webHidden/>
            <w:sz w:val="24"/>
            <w:szCs w:val="24"/>
          </w:rPr>
          <w:fldChar w:fldCharType="end"/>
        </w:r>
      </w:hyperlink>
    </w:p>
    <w:p w14:paraId="1B405869" w14:textId="3024E17F"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22" w:history="1">
        <w:r w:rsidR="00AF5C7A" w:rsidRPr="00511330">
          <w:rPr>
            <w:rStyle w:val="Hyperlink"/>
            <w:rFonts w:ascii="Times New Roman" w:hAnsi="Times New Roman" w:cs="Times New Roman"/>
            <w:noProof/>
            <w:sz w:val="24"/>
            <w:szCs w:val="24"/>
            <w:lang w:val="en-US"/>
          </w:rPr>
          <w:t>Table 4. 32: Goodness-of-Fit Indices the 1st-Order Model on Barriers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_Toc43310922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134</w:t>
        </w:r>
        <w:r w:rsidR="00AF5C7A" w:rsidRPr="00511330">
          <w:rPr>
            <w:rFonts w:ascii="Times New Roman" w:hAnsi="Times New Roman" w:cs="Times New Roman"/>
            <w:noProof/>
            <w:webHidden/>
            <w:sz w:val="24"/>
            <w:szCs w:val="24"/>
          </w:rPr>
          <w:fldChar w:fldCharType="end"/>
        </w:r>
      </w:hyperlink>
    </w:p>
    <w:p w14:paraId="0E8C7782" w14:textId="1023EDB5"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23" w:history="1">
        <w:r w:rsidR="00AF5C7A" w:rsidRPr="00511330">
          <w:rPr>
            <w:rStyle w:val="Hyperlink"/>
            <w:rFonts w:ascii="Times New Roman" w:hAnsi="Times New Roman" w:cs="Times New Roman"/>
            <w:noProof/>
            <w:sz w:val="24"/>
            <w:szCs w:val="24"/>
            <w:lang w:val="en-US"/>
          </w:rPr>
          <w:t>Table 4. 33: Goodness-of-Fit Indices the 2nd-Order Model on Barriers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_Toc43310923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136</w:t>
        </w:r>
        <w:r w:rsidR="00AF5C7A" w:rsidRPr="00511330">
          <w:rPr>
            <w:rFonts w:ascii="Times New Roman" w:hAnsi="Times New Roman" w:cs="Times New Roman"/>
            <w:noProof/>
            <w:webHidden/>
            <w:sz w:val="24"/>
            <w:szCs w:val="24"/>
          </w:rPr>
          <w:fldChar w:fldCharType="end"/>
        </w:r>
      </w:hyperlink>
    </w:p>
    <w:p w14:paraId="3DD17504" w14:textId="6808F7E4" w:rsidR="00AF5C7A"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0924" w:history="1">
        <w:r w:rsidR="00AF5C7A" w:rsidRPr="00511330">
          <w:rPr>
            <w:rStyle w:val="Hyperlink"/>
            <w:rFonts w:ascii="Times New Roman" w:hAnsi="Times New Roman" w:cs="Times New Roman"/>
            <w:noProof/>
            <w:sz w:val="24"/>
            <w:szCs w:val="24"/>
            <w:lang w:val="en-US"/>
          </w:rPr>
          <w:t>Table 4. 34: Validity and Reliability of the Four Barriers Constructs</w:t>
        </w:r>
        <w:r w:rsidR="00AF5C7A" w:rsidRPr="00511330">
          <w:rPr>
            <w:rFonts w:ascii="Times New Roman" w:hAnsi="Times New Roman" w:cs="Times New Roman"/>
            <w:noProof/>
            <w:webHidden/>
            <w:sz w:val="24"/>
            <w:szCs w:val="24"/>
          </w:rPr>
          <w:tab/>
        </w:r>
        <w:r w:rsidR="00AF5C7A" w:rsidRPr="00511330">
          <w:rPr>
            <w:rFonts w:ascii="Times New Roman" w:hAnsi="Times New Roman" w:cs="Times New Roman"/>
            <w:noProof/>
            <w:webHidden/>
            <w:sz w:val="24"/>
            <w:szCs w:val="24"/>
          </w:rPr>
          <w:fldChar w:fldCharType="begin"/>
        </w:r>
        <w:r w:rsidR="00AF5C7A" w:rsidRPr="00511330">
          <w:rPr>
            <w:rFonts w:ascii="Times New Roman" w:hAnsi="Times New Roman" w:cs="Times New Roman"/>
            <w:noProof/>
            <w:webHidden/>
            <w:sz w:val="24"/>
            <w:szCs w:val="24"/>
          </w:rPr>
          <w:instrText xml:space="preserve"> PAGEREF _Toc43310924 \h </w:instrText>
        </w:r>
        <w:r w:rsidR="00AF5C7A" w:rsidRPr="00511330">
          <w:rPr>
            <w:rFonts w:ascii="Times New Roman" w:hAnsi="Times New Roman" w:cs="Times New Roman"/>
            <w:noProof/>
            <w:webHidden/>
            <w:sz w:val="24"/>
            <w:szCs w:val="24"/>
          </w:rPr>
        </w:r>
        <w:r w:rsidR="00AF5C7A" w:rsidRPr="00511330">
          <w:rPr>
            <w:rFonts w:ascii="Times New Roman" w:hAnsi="Times New Roman" w:cs="Times New Roman"/>
            <w:noProof/>
            <w:webHidden/>
            <w:sz w:val="24"/>
            <w:szCs w:val="24"/>
          </w:rPr>
          <w:fldChar w:fldCharType="separate"/>
        </w:r>
        <w:r w:rsidR="00163EC6" w:rsidRPr="00511330">
          <w:rPr>
            <w:rFonts w:ascii="Times New Roman" w:hAnsi="Times New Roman" w:cs="Times New Roman"/>
            <w:noProof/>
            <w:webHidden/>
            <w:sz w:val="24"/>
            <w:szCs w:val="24"/>
          </w:rPr>
          <w:t>139</w:t>
        </w:r>
        <w:r w:rsidR="00AF5C7A" w:rsidRPr="00511330">
          <w:rPr>
            <w:rFonts w:ascii="Times New Roman" w:hAnsi="Times New Roman" w:cs="Times New Roman"/>
            <w:noProof/>
            <w:webHidden/>
            <w:sz w:val="24"/>
            <w:szCs w:val="24"/>
          </w:rPr>
          <w:fldChar w:fldCharType="end"/>
        </w:r>
      </w:hyperlink>
    </w:p>
    <w:p w14:paraId="644160CA" w14:textId="77777777" w:rsidR="008D3598" w:rsidRPr="00511330" w:rsidRDefault="008D3598" w:rsidP="00FD1D6D">
      <w:pPr>
        <w:spacing w:after="0" w:line="480" w:lineRule="auto"/>
        <w:ind w:right="-450"/>
        <w:jc w:val="both"/>
        <w:rPr>
          <w:rFonts w:ascii="Times New Roman" w:hAnsi="Times New Roman" w:cs="Times New Roman"/>
          <w:b/>
          <w:bCs/>
          <w:sz w:val="24"/>
          <w:szCs w:val="24"/>
          <w:lang w:val="en-US"/>
        </w:rPr>
      </w:pPr>
      <w:r w:rsidRPr="00511330">
        <w:rPr>
          <w:rFonts w:ascii="Times New Roman" w:hAnsi="Times New Roman" w:cs="Times New Roman"/>
          <w:b/>
          <w:bCs/>
          <w:sz w:val="24"/>
          <w:szCs w:val="24"/>
          <w:lang w:val="en-US"/>
        </w:rPr>
        <w:fldChar w:fldCharType="end"/>
      </w:r>
      <w:r w:rsidRPr="00511330">
        <w:rPr>
          <w:rFonts w:ascii="Times New Roman" w:hAnsi="Times New Roman" w:cs="Times New Roman"/>
          <w:b/>
          <w:bCs/>
          <w:sz w:val="24"/>
          <w:szCs w:val="24"/>
          <w:lang w:val="en-US"/>
        </w:rPr>
        <w:br w:type="page"/>
      </w:r>
    </w:p>
    <w:p w14:paraId="644160CB" w14:textId="77777777" w:rsidR="008D3598" w:rsidRPr="00511330" w:rsidRDefault="008D3598">
      <w:pPr>
        <w:spacing w:after="0" w:line="480" w:lineRule="auto"/>
        <w:ind w:right="-450"/>
        <w:rPr>
          <w:rFonts w:asciiTheme="majorBidi" w:hAnsiTheme="majorBidi" w:cstheme="majorBidi"/>
          <w:b/>
          <w:bCs/>
          <w:sz w:val="24"/>
          <w:szCs w:val="24"/>
          <w:lang w:val="en-US"/>
        </w:rPr>
      </w:pPr>
      <w:r w:rsidRPr="00511330">
        <w:rPr>
          <w:rFonts w:ascii="Times New Roman" w:hAnsi="Times New Roman" w:cs="Times New Roman"/>
          <w:b/>
          <w:bCs/>
          <w:sz w:val="24"/>
          <w:szCs w:val="24"/>
          <w:lang w:val="en-US"/>
        </w:rPr>
        <w:lastRenderedPageBreak/>
        <w:t>L</w:t>
      </w:r>
      <w:r w:rsidRPr="00511330">
        <w:rPr>
          <w:rFonts w:asciiTheme="majorBidi" w:hAnsiTheme="majorBidi" w:cstheme="majorBidi"/>
          <w:b/>
          <w:bCs/>
          <w:sz w:val="24"/>
          <w:szCs w:val="24"/>
          <w:lang w:val="en-US"/>
        </w:rPr>
        <w:t>ist of Figures</w:t>
      </w:r>
    </w:p>
    <w:p w14:paraId="2FCDED0E" w14:textId="5F5CD06C" w:rsidR="00CC7333" w:rsidRPr="00511330" w:rsidRDefault="008D3598"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r w:rsidRPr="00511330">
        <w:rPr>
          <w:rFonts w:ascii="Times New Roman" w:hAnsi="Times New Roman" w:cs="Times New Roman"/>
          <w:b/>
          <w:bCs/>
          <w:sz w:val="24"/>
          <w:szCs w:val="24"/>
          <w:lang w:val="en-US"/>
        </w:rPr>
        <w:fldChar w:fldCharType="begin"/>
      </w:r>
      <w:r w:rsidRPr="00511330">
        <w:rPr>
          <w:rFonts w:ascii="Times New Roman" w:hAnsi="Times New Roman" w:cs="Times New Roman"/>
          <w:b/>
          <w:bCs/>
          <w:sz w:val="24"/>
          <w:szCs w:val="24"/>
          <w:lang w:val="en-US"/>
        </w:rPr>
        <w:instrText xml:space="preserve"> TOC \h \z \c "Figure 1." </w:instrText>
      </w:r>
      <w:r w:rsidRPr="00511330">
        <w:rPr>
          <w:rFonts w:ascii="Times New Roman" w:hAnsi="Times New Roman" w:cs="Times New Roman"/>
          <w:b/>
          <w:bCs/>
          <w:sz w:val="24"/>
          <w:szCs w:val="24"/>
          <w:lang w:val="en-US"/>
        </w:rPr>
        <w:fldChar w:fldCharType="separate"/>
      </w:r>
      <w:hyperlink w:anchor="_Toc43311338" w:history="1">
        <w:r w:rsidR="00CC7333" w:rsidRPr="00511330">
          <w:rPr>
            <w:rStyle w:val="Hyperlink"/>
            <w:rFonts w:ascii="Times New Roman" w:hAnsi="Times New Roman" w:cs="Times New Roman"/>
            <w:i/>
            <w:iCs/>
            <w:noProof/>
            <w:sz w:val="24"/>
            <w:szCs w:val="24"/>
            <w:lang w:val="en-US"/>
          </w:rPr>
          <w:t>Figure 1. 1</w:t>
        </w:r>
        <w:r w:rsidR="00CC7333" w:rsidRPr="00511330">
          <w:rPr>
            <w:rStyle w:val="Hyperlink"/>
            <w:rFonts w:ascii="Times New Roman" w:hAnsi="Times New Roman" w:cs="Times New Roman"/>
            <w:noProof/>
            <w:sz w:val="24"/>
            <w:szCs w:val="24"/>
            <w:lang w:val="en-US"/>
          </w:rPr>
          <w:t>:  World Energy Consumption Forecast</w:t>
        </w:r>
        <w:r w:rsidR="00CC7333" w:rsidRPr="00511330">
          <w:rPr>
            <w:rFonts w:ascii="Times New Roman" w:hAnsi="Times New Roman" w:cs="Times New Roman"/>
            <w:noProof/>
            <w:webHidden/>
            <w:sz w:val="24"/>
            <w:szCs w:val="24"/>
          </w:rPr>
          <w:tab/>
        </w:r>
        <w:r w:rsidR="00CC7333" w:rsidRPr="00511330">
          <w:rPr>
            <w:rFonts w:ascii="Times New Roman" w:hAnsi="Times New Roman" w:cs="Times New Roman"/>
            <w:noProof/>
            <w:webHidden/>
            <w:sz w:val="24"/>
            <w:szCs w:val="24"/>
          </w:rPr>
          <w:fldChar w:fldCharType="begin"/>
        </w:r>
        <w:r w:rsidR="00CC7333" w:rsidRPr="00511330">
          <w:rPr>
            <w:rFonts w:ascii="Times New Roman" w:hAnsi="Times New Roman" w:cs="Times New Roman"/>
            <w:noProof/>
            <w:webHidden/>
            <w:sz w:val="24"/>
            <w:szCs w:val="24"/>
          </w:rPr>
          <w:instrText xml:space="preserve"> PAGEREF _Toc43311338 \h </w:instrText>
        </w:r>
        <w:r w:rsidR="00CC7333" w:rsidRPr="00511330">
          <w:rPr>
            <w:rFonts w:ascii="Times New Roman" w:hAnsi="Times New Roman" w:cs="Times New Roman"/>
            <w:noProof/>
            <w:webHidden/>
            <w:sz w:val="24"/>
            <w:szCs w:val="24"/>
          </w:rPr>
        </w:r>
        <w:r w:rsidR="00CC7333"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4</w:t>
        </w:r>
        <w:r w:rsidR="00CC7333" w:rsidRPr="00511330">
          <w:rPr>
            <w:rFonts w:ascii="Times New Roman" w:hAnsi="Times New Roman" w:cs="Times New Roman"/>
            <w:noProof/>
            <w:webHidden/>
            <w:sz w:val="24"/>
            <w:szCs w:val="24"/>
          </w:rPr>
          <w:fldChar w:fldCharType="end"/>
        </w:r>
      </w:hyperlink>
    </w:p>
    <w:p w14:paraId="072F18E7" w14:textId="0A0C04E3" w:rsidR="00DD65D0" w:rsidRPr="00511330" w:rsidRDefault="008D3598" w:rsidP="00FD1D6D">
      <w:pPr>
        <w:spacing w:after="0" w:line="480" w:lineRule="auto"/>
        <w:ind w:right="-450"/>
        <w:rPr>
          <w:rFonts w:ascii="Times New Roman" w:hAnsi="Times New Roman" w:cs="Times New Roman"/>
          <w:noProof/>
          <w:sz w:val="24"/>
          <w:szCs w:val="24"/>
        </w:rPr>
      </w:pPr>
      <w:r w:rsidRPr="00511330">
        <w:rPr>
          <w:rFonts w:ascii="Times New Roman" w:hAnsi="Times New Roman" w:cs="Times New Roman"/>
          <w:b/>
          <w:bCs/>
          <w:sz w:val="24"/>
          <w:szCs w:val="24"/>
          <w:lang w:val="en-US"/>
        </w:rPr>
        <w:fldChar w:fldCharType="end"/>
      </w:r>
      <w:r w:rsidRPr="00511330">
        <w:rPr>
          <w:rFonts w:ascii="Times New Roman" w:hAnsi="Times New Roman" w:cs="Times New Roman"/>
          <w:b/>
          <w:bCs/>
          <w:sz w:val="24"/>
          <w:szCs w:val="24"/>
          <w:lang w:val="en-US"/>
        </w:rPr>
        <w:fldChar w:fldCharType="begin"/>
      </w:r>
      <w:r w:rsidRPr="00511330">
        <w:rPr>
          <w:rFonts w:ascii="Times New Roman" w:hAnsi="Times New Roman" w:cs="Times New Roman"/>
          <w:b/>
          <w:bCs/>
          <w:sz w:val="24"/>
          <w:szCs w:val="24"/>
          <w:lang w:val="en-US"/>
        </w:rPr>
        <w:instrText xml:space="preserve"> TOC \h \z \c "Figure 3." </w:instrText>
      </w:r>
      <w:r w:rsidRPr="00511330">
        <w:rPr>
          <w:rFonts w:ascii="Times New Roman" w:hAnsi="Times New Roman" w:cs="Times New Roman"/>
          <w:b/>
          <w:bCs/>
          <w:sz w:val="24"/>
          <w:szCs w:val="24"/>
          <w:lang w:val="en-US"/>
        </w:rPr>
        <w:fldChar w:fldCharType="separate"/>
      </w:r>
    </w:p>
    <w:p w14:paraId="34DB0D11" w14:textId="57604EAB" w:rsidR="00DD65D0"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r:id="rId12" w:anchor="_Toc43311153" w:history="1">
        <w:r w:rsidR="00DD65D0" w:rsidRPr="00511330">
          <w:rPr>
            <w:rStyle w:val="Hyperlink"/>
            <w:rFonts w:ascii="Times New Roman" w:hAnsi="Times New Roman" w:cs="Times New Roman"/>
            <w:noProof/>
            <w:sz w:val="24"/>
            <w:szCs w:val="24"/>
          </w:rPr>
          <w:t>Figure 3. 1: Research Design and Methodology.</w:t>
        </w:r>
        <w:r w:rsidR="00DD65D0" w:rsidRPr="00511330">
          <w:rPr>
            <w:rFonts w:ascii="Times New Roman" w:hAnsi="Times New Roman" w:cs="Times New Roman"/>
            <w:noProof/>
            <w:webHidden/>
            <w:sz w:val="24"/>
            <w:szCs w:val="24"/>
          </w:rPr>
          <w:tab/>
        </w:r>
        <w:r w:rsidR="00DD65D0" w:rsidRPr="00511330">
          <w:rPr>
            <w:rFonts w:ascii="Times New Roman" w:hAnsi="Times New Roman" w:cs="Times New Roman"/>
            <w:noProof/>
            <w:webHidden/>
            <w:sz w:val="24"/>
            <w:szCs w:val="24"/>
          </w:rPr>
          <w:fldChar w:fldCharType="begin"/>
        </w:r>
        <w:r w:rsidR="00DD65D0" w:rsidRPr="00511330">
          <w:rPr>
            <w:rFonts w:ascii="Times New Roman" w:hAnsi="Times New Roman" w:cs="Times New Roman"/>
            <w:noProof/>
            <w:webHidden/>
            <w:sz w:val="24"/>
            <w:szCs w:val="24"/>
          </w:rPr>
          <w:instrText xml:space="preserve"> PAGEREF _Toc43311153 \h </w:instrText>
        </w:r>
        <w:r w:rsidR="00DD65D0" w:rsidRPr="00511330">
          <w:rPr>
            <w:rFonts w:ascii="Times New Roman" w:hAnsi="Times New Roman" w:cs="Times New Roman"/>
            <w:noProof/>
            <w:webHidden/>
            <w:sz w:val="24"/>
            <w:szCs w:val="24"/>
          </w:rPr>
        </w:r>
        <w:r w:rsidR="00DD65D0"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89</w:t>
        </w:r>
        <w:r w:rsidR="00DD65D0" w:rsidRPr="00511330">
          <w:rPr>
            <w:rFonts w:ascii="Times New Roman" w:hAnsi="Times New Roman" w:cs="Times New Roman"/>
            <w:noProof/>
            <w:webHidden/>
            <w:sz w:val="24"/>
            <w:szCs w:val="24"/>
          </w:rPr>
          <w:fldChar w:fldCharType="end"/>
        </w:r>
      </w:hyperlink>
    </w:p>
    <w:p w14:paraId="52911307" w14:textId="18BBC58E" w:rsidR="00DD65D0"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1154" w:history="1">
        <w:r w:rsidR="00DD65D0" w:rsidRPr="00511330">
          <w:rPr>
            <w:rStyle w:val="Hyperlink"/>
            <w:rFonts w:ascii="Times New Roman" w:hAnsi="Times New Roman" w:cs="Times New Roman"/>
            <w:noProof/>
            <w:sz w:val="24"/>
            <w:szCs w:val="24"/>
          </w:rPr>
          <w:t>Figure 3. 2: CM Motivators, Barriers, &amp; Enablers from Stakeholders’ Point of View</w:t>
        </w:r>
        <w:r w:rsidR="00DD65D0" w:rsidRPr="00511330">
          <w:rPr>
            <w:rFonts w:ascii="Times New Roman" w:hAnsi="Times New Roman" w:cs="Times New Roman"/>
            <w:noProof/>
            <w:webHidden/>
            <w:sz w:val="24"/>
            <w:szCs w:val="24"/>
          </w:rPr>
          <w:tab/>
        </w:r>
        <w:r w:rsidR="00DD65D0" w:rsidRPr="00511330">
          <w:rPr>
            <w:rFonts w:ascii="Times New Roman" w:hAnsi="Times New Roman" w:cs="Times New Roman"/>
            <w:noProof/>
            <w:webHidden/>
            <w:sz w:val="24"/>
            <w:szCs w:val="24"/>
          </w:rPr>
          <w:fldChar w:fldCharType="begin"/>
        </w:r>
        <w:r w:rsidR="00DD65D0" w:rsidRPr="00511330">
          <w:rPr>
            <w:rFonts w:ascii="Times New Roman" w:hAnsi="Times New Roman" w:cs="Times New Roman"/>
            <w:noProof/>
            <w:webHidden/>
            <w:sz w:val="24"/>
            <w:szCs w:val="24"/>
          </w:rPr>
          <w:instrText xml:space="preserve"> PAGEREF _Toc43311154 \h </w:instrText>
        </w:r>
        <w:r w:rsidR="00DD65D0" w:rsidRPr="00511330">
          <w:rPr>
            <w:rFonts w:ascii="Times New Roman" w:hAnsi="Times New Roman" w:cs="Times New Roman"/>
            <w:noProof/>
            <w:webHidden/>
            <w:sz w:val="24"/>
            <w:szCs w:val="24"/>
          </w:rPr>
        </w:r>
        <w:r w:rsidR="00DD65D0"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90</w:t>
        </w:r>
        <w:r w:rsidR="00DD65D0" w:rsidRPr="00511330">
          <w:rPr>
            <w:rFonts w:ascii="Times New Roman" w:hAnsi="Times New Roman" w:cs="Times New Roman"/>
            <w:noProof/>
            <w:webHidden/>
            <w:sz w:val="24"/>
            <w:szCs w:val="24"/>
          </w:rPr>
          <w:fldChar w:fldCharType="end"/>
        </w:r>
      </w:hyperlink>
    </w:p>
    <w:p w14:paraId="231C6342" w14:textId="77777777" w:rsidR="00E34F1D" w:rsidRPr="00511330" w:rsidRDefault="008D3598" w:rsidP="00FD1D6D">
      <w:pPr>
        <w:spacing w:after="0" w:line="480" w:lineRule="auto"/>
        <w:ind w:right="-450"/>
        <w:jc w:val="both"/>
        <w:rPr>
          <w:rFonts w:ascii="Times New Roman" w:hAnsi="Times New Roman" w:cs="Times New Roman"/>
          <w:noProof/>
          <w:sz w:val="24"/>
          <w:szCs w:val="24"/>
        </w:rPr>
      </w:pPr>
      <w:r w:rsidRPr="00511330">
        <w:rPr>
          <w:rFonts w:ascii="Times New Roman" w:hAnsi="Times New Roman" w:cs="Times New Roman"/>
          <w:b/>
          <w:bCs/>
          <w:sz w:val="24"/>
          <w:szCs w:val="24"/>
          <w:lang w:val="en-US"/>
        </w:rPr>
        <w:fldChar w:fldCharType="end"/>
      </w:r>
      <w:r w:rsidRPr="00511330">
        <w:rPr>
          <w:rFonts w:ascii="Times New Roman" w:hAnsi="Times New Roman" w:cs="Times New Roman"/>
          <w:b/>
          <w:bCs/>
          <w:sz w:val="24"/>
          <w:szCs w:val="24"/>
          <w:lang w:val="en-US"/>
        </w:rPr>
        <w:fldChar w:fldCharType="begin"/>
      </w:r>
      <w:r w:rsidRPr="00511330">
        <w:rPr>
          <w:rFonts w:ascii="Times New Roman" w:hAnsi="Times New Roman" w:cs="Times New Roman"/>
          <w:b/>
          <w:bCs/>
          <w:sz w:val="24"/>
          <w:szCs w:val="24"/>
          <w:lang w:val="en-US"/>
        </w:rPr>
        <w:instrText xml:space="preserve"> TOC \h \z \c "Figure 4." </w:instrText>
      </w:r>
      <w:r w:rsidRPr="00511330">
        <w:rPr>
          <w:rFonts w:ascii="Times New Roman" w:hAnsi="Times New Roman" w:cs="Times New Roman"/>
          <w:b/>
          <w:bCs/>
          <w:sz w:val="24"/>
          <w:szCs w:val="24"/>
          <w:lang w:val="en-US"/>
        </w:rPr>
        <w:fldChar w:fldCharType="separate"/>
      </w:r>
    </w:p>
    <w:p w14:paraId="131892E0" w14:textId="63EAAE30" w:rsidR="00E34F1D"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r:id="rId13" w:anchor="_Toc43311496" w:history="1">
        <w:r w:rsidR="00E34F1D" w:rsidRPr="00511330">
          <w:rPr>
            <w:rStyle w:val="Hyperlink"/>
            <w:rFonts w:ascii="Times New Roman" w:hAnsi="Times New Roman" w:cs="Times New Roman"/>
            <w:i/>
            <w:iCs/>
            <w:noProof/>
            <w:sz w:val="24"/>
            <w:szCs w:val="24"/>
          </w:rPr>
          <w:t>Figure 4. 1:</w:t>
        </w:r>
        <w:r w:rsidR="00E34F1D" w:rsidRPr="00511330">
          <w:rPr>
            <w:rStyle w:val="Hyperlink"/>
            <w:rFonts w:ascii="Times New Roman" w:hAnsi="Times New Roman" w:cs="Times New Roman"/>
            <w:noProof/>
            <w:sz w:val="24"/>
            <w:szCs w:val="24"/>
          </w:rPr>
          <w:t xml:space="preserve"> C</w:t>
        </w:r>
        <w:r w:rsidR="00E34F1D" w:rsidRPr="00511330">
          <w:rPr>
            <w:rStyle w:val="Hyperlink"/>
            <w:rFonts w:ascii="Times New Roman" w:eastAsia="Calibri" w:hAnsi="Times New Roman" w:cs="Times New Roman"/>
            <w:noProof/>
            <w:sz w:val="24"/>
            <w:szCs w:val="24"/>
          </w:rPr>
          <w:t>ommonality of Stakeholders’ views of CM Motives, Enablers and Barriers</w:t>
        </w:r>
        <w:r w:rsidR="00E34F1D" w:rsidRPr="00511330">
          <w:rPr>
            <w:rFonts w:ascii="Times New Roman" w:hAnsi="Times New Roman" w:cs="Times New Roman"/>
            <w:noProof/>
            <w:webHidden/>
            <w:sz w:val="24"/>
            <w:szCs w:val="24"/>
          </w:rPr>
          <w:tab/>
        </w:r>
        <w:r w:rsidR="00E34F1D" w:rsidRPr="00511330">
          <w:rPr>
            <w:rFonts w:ascii="Times New Roman" w:hAnsi="Times New Roman" w:cs="Times New Roman"/>
            <w:noProof/>
            <w:webHidden/>
            <w:sz w:val="24"/>
            <w:szCs w:val="24"/>
          </w:rPr>
          <w:fldChar w:fldCharType="begin"/>
        </w:r>
        <w:r w:rsidR="00E34F1D" w:rsidRPr="00511330">
          <w:rPr>
            <w:rFonts w:ascii="Times New Roman" w:hAnsi="Times New Roman" w:cs="Times New Roman"/>
            <w:noProof/>
            <w:webHidden/>
            <w:sz w:val="24"/>
            <w:szCs w:val="24"/>
          </w:rPr>
          <w:instrText xml:space="preserve"> PAGEREF _Toc43311496 \h </w:instrText>
        </w:r>
        <w:r w:rsidR="00E34F1D" w:rsidRPr="00511330">
          <w:rPr>
            <w:rFonts w:ascii="Times New Roman" w:hAnsi="Times New Roman" w:cs="Times New Roman"/>
            <w:noProof/>
            <w:webHidden/>
            <w:sz w:val="24"/>
            <w:szCs w:val="24"/>
          </w:rPr>
        </w:r>
        <w:r w:rsidR="00E34F1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113</w:t>
        </w:r>
        <w:r w:rsidR="00E34F1D" w:rsidRPr="00511330">
          <w:rPr>
            <w:rFonts w:ascii="Times New Roman" w:hAnsi="Times New Roman" w:cs="Times New Roman"/>
            <w:noProof/>
            <w:webHidden/>
            <w:sz w:val="24"/>
            <w:szCs w:val="24"/>
          </w:rPr>
          <w:fldChar w:fldCharType="end"/>
        </w:r>
      </w:hyperlink>
    </w:p>
    <w:p w14:paraId="30C7622F" w14:textId="5B7D6BCF" w:rsidR="00E34F1D"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r:id="rId14" w:anchor="_Toc43311497" w:history="1">
        <w:r w:rsidR="00E34F1D" w:rsidRPr="00511330">
          <w:rPr>
            <w:rStyle w:val="Hyperlink"/>
            <w:rFonts w:ascii="Times New Roman" w:hAnsi="Times New Roman" w:cs="Times New Roman"/>
            <w:i/>
            <w:iCs/>
            <w:noProof/>
            <w:sz w:val="24"/>
            <w:szCs w:val="24"/>
          </w:rPr>
          <w:t>Figure 4. 2</w:t>
        </w:r>
        <w:r w:rsidR="00E34F1D" w:rsidRPr="00511330">
          <w:rPr>
            <w:rStyle w:val="Hyperlink"/>
            <w:rFonts w:ascii="Times New Roman" w:hAnsi="Times New Roman" w:cs="Times New Roman"/>
            <w:i/>
            <w:iCs/>
            <w:noProof/>
            <w:sz w:val="24"/>
            <w:szCs w:val="24"/>
            <w:lang w:val="en-US"/>
          </w:rPr>
          <w:t>:</w:t>
        </w:r>
        <w:r w:rsidR="00E34F1D" w:rsidRPr="00511330">
          <w:rPr>
            <w:rStyle w:val="Hyperlink"/>
            <w:rFonts w:ascii="Times New Roman" w:hAnsi="Times New Roman" w:cs="Times New Roman"/>
            <w:noProof/>
            <w:sz w:val="24"/>
            <w:szCs w:val="24"/>
            <w:lang w:val="en-US"/>
          </w:rPr>
          <w:t xml:space="preserve"> Structural models from the first-order CFA on Motives</w:t>
        </w:r>
        <w:r w:rsidR="00E34F1D" w:rsidRPr="00511330">
          <w:rPr>
            <w:rFonts w:ascii="Times New Roman" w:hAnsi="Times New Roman" w:cs="Times New Roman"/>
            <w:noProof/>
            <w:webHidden/>
            <w:sz w:val="24"/>
            <w:szCs w:val="24"/>
          </w:rPr>
          <w:tab/>
        </w:r>
        <w:r w:rsidR="00E34F1D" w:rsidRPr="00511330">
          <w:rPr>
            <w:rFonts w:ascii="Times New Roman" w:hAnsi="Times New Roman" w:cs="Times New Roman"/>
            <w:noProof/>
            <w:webHidden/>
            <w:sz w:val="24"/>
            <w:szCs w:val="24"/>
          </w:rPr>
          <w:fldChar w:fldCharType="begin"/>
        </w:r>
        <w:r w:rsidR="00E34F1D" w:rsidRPr="00511330">
          <w:rPr>
            <w:rFonts w:ascii="Times New Roman" w:hAnsi="Times New Roman" w:cs="Times New Roman"/>
            <w:noProof/>
            <w:webHidden/>
            <w:sz w:val="24"/>
            <w:szCs w:val="24"/>
          </w:rPr>
          <w:instrText xml:space="preserve"> PAGEREF _Toc43311497 \h </w:instrText>
        </w:r>
        <w:r w:rsidR="00E34F1D" w:rsidRPr="00511330">
          <w:rPr>
            <w:rFonts w:ascii="Times New Roman" w:hAnsi="Times New Roman" w:cs="Times New Roman"/>
            <w:noProof/>
            <w:webHidden/>
            <w:sz w:val="24"/>
            <w:szCs w:val="24"/>
          </w:rPr>
        </w:r>
        <w:r w:rsidR="00E34F1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119</w:t>
        </w:r>
        <w:r w:rsidR="00E34F1D" w:rsidRPr="00511330">
          <w:rPr>
            <w:rFonts w:ascii="Times New Roman" w:hAnsi="Times New Roman" w:cs="Times New Roman"/>
            <w:noProof/>
            <w:webHidden/>
            <w:sz w:val="24"/>
            <w:szCs w:val="24"/>
          </w:rPr>
          <w:fldChar w:fldCharType="end"/>
        </w:r>
      </w:hyperlink>
    </w:p>
    <w:p w14:paraId="6C0E7180" w14:textId="0D997183" w:rsidR="00E34F1D"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r:id="rId15" w:anchor="_Toc43311498" w:history="1">
        <w:r w:rsidR="00E34F1D" w:rsidRPr="00511330">
          <w:rPr>
            <w:rStyle w:val="Hyperlink"/>
            <w:rFonts w:ascii="Times New Roman" w:hAnsi="Times New Roman" w:cs="Times New Roman"/>
            <w:i/>
            <w:iCs/>
            <w:noProof/>
            <w:sz w:val="24"/>
            <w:szCs w:val="24"/>
          </w:rPr>
          <w:t>Figure 4. 3</w:t>
        </w:r>
        <w:r w:rsidR="00E34F1D" w:rsidRPr="00511330">
          <w:rPr>
            <w:rStyle w:val="Hyperlink"/>
            <w:rFonts w:ascii="Times New Roman" w:hAnsi="Times New Roman" w:cs="Times New Roman"/>
            <w:i/>
            <w:iCs/>
            <w:noProof/>
            <w:sz w:val="24"/>
            <w:szCs w:val="24"/>
            <w:lang w:val="en-US"/>
          </w:rPr>
          <w:t>:</w:t>
        </w:r>
        <w:r w:rsidR="00E34F1D" w:rsidRPr="00511330">
          <w:rPr>
            <w:rStyle w:val="Hyperlink"/>
            <w:rFonts w:ascii="Times New Roman" w:hAnsi="Times New Roman" w:cs="Times New Roman"/>
            <w:noProof/>
            <w:sz w:val="24"/>
            <w:szCs w:val="24"/>
            <w:lang w:val="en-US"/>
          </w:rPr>
          <w:t xml:space="preserve"> Structural models from the second-order CFA on Motives</w:t>
        </w:r>
        <w:r w:rsidR="00E34F1D" w:rsidRPr="00511330">
          <w:rPr>
            <w:rFonts w:ascii="Times New Roman" w:hAnsi="Times New Roman" w:cs="Times New Roman"/>
            <w:noProof/>
            <w:webHidden/>
            <w:sz w:val="24"/>
            <w:szCs w:val="24"/>
          </w:rPr>
          <w:tab/>
        </w:r>
        <w:r w:rsidR="00E34F1D" w:rsidRPr="00511330">
          <w:rPr>
            <w:rFonts w:ascii="Times New Roman" w:hAnsi="Times New Roman" w:cs="Times New Roman"/>
            <w:noProof/>
            <w:webHidden/>
            <w:sz w:val="24"/>
            <w:szCs w:val="24"/>
          </w:rPr>
          <w:fldChar w:fldCharType="begin"/>
        </w:r>
        <w:r w:rsidR="00E34F1D" w:rsidRPr="00511330">
          <w:rPr>
            <w:rFonts w:ascii="Times New Roman" w:hAnsi="Times New Roman" w:cs="Times New Roman"/>
            <w:noProof/>
            <w:webHidden/>
            <w:sz w:val="24"/>
            <w:szCs w:val="24"/>
          </w:rPr>
          <w:instrText xml:space="preserve"> PAGEREF _Toc43311498 \h </w:instrText>
        </w:r>
        <w:r w:rsidR="00E34F1D" w:rsidRPr="00511330">
          <w:rPr>
            <w:rFonts w:ascii="Times New Roman" w:hAnsi="Times New Roman" w:cs="Times New Roman"/>
            <w:noProof/>
            <w:webHidden/>
            <w:sz w:val="24"/>
            <w:szCs w:val="24"/>
          </w:rPr>
        </w:r>
        <w:r w:rsidR="00E34F1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121</w:t>
        </w:r>
        <w:r w:rsidR="00E34F1D" w:rsidRPr="00511330">
          <w:rPr>
            <w:rFonts w:ascii="Times New Roman" w:hAnsi="Times New Roman" w:cs="Times New Roman"/>
            <w:noProof/>
            <w:webHidden/>
            <w:sz w:val="24"/>
            <w:szCs w:val="24"/>
          </w:rPr>
          <w:fldChar w:fldCharType="end"/>
        </w:r>
      </w:hyperlink>
    </w:p>
    <w:p w14:paraId="01251FD5" w14:textId="771D7C16" w:rsidR="00E34F1D"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r:id="rId16" w:anchor="_Toc43311499" w:history="1">
        <w:r w:rsidR="00E34F1D" w:rsidRPr="00511330">
          <w:rPr>
            <w:rStyle w:val="Hyperlink"/>
            <w:rFonts w:ascii="Times New Roman" w:hAnsi="Times New Roman" w:cs="Times New Roman"/>
            <w:i/>
            <w:iCs/>
            <w:noProof/>
            <w:sz w:val="24"/>
            <w:szCs w:val="24"/>
          </w:rPr>
          <w:t>Figure 4. 4</w:t>
        </w:r>
        <w:r w:rsidR="00E34F1D" w:rsidRPr="00511330">
          <w:rPr>
            <w:rStyle w:val="Hyperlink"/>
            <w:rFonts w:ascii="Times New Roman" w:hAnsi="Times New Roman" w:cs="Times New Roman"/>
            <w:i/>
            <w:iCs/>
            <w:noProof/>
            <w:sz w:val="24"/>
            <w:szCs w:val="24"/>
            <w:lang w:val="en-US"/>
          </w:rPr>
          <w:t xml:space="preserve">: </w:t>
        </w:r>
        <w:r w:rsidR="00E34F1D" w:rsidRPr="00511330">
          <w:rPr>
            <w:rStyle w:val="Hyperlink"/>
            <w:rFonts w:ascii="Times New Roman" w:hAnsi="Times New Roman" w:cs="Times New Roman"/>
            <w:noProof/>
            <w:sz w:val="24"/>
            <w:szCs w:val="24"/>
            <w:lang w:val="en-US"/>
          </w:rPr>
          <w:t>Structural models from the first-order CFA on Enablers</w:t>
        </w:r>
        <w:r w:rsidR="00E34F1D" w:rsidRPr="00511330">
          <w:rPr>
            <w:rFonts w:ascii="Times New Roman" w:hAnsi="Times New Roman" w:cs="Times New Roman"/>
            <w:noProof/>
            <w:webHidden/>
            <w:sz w:val="24"/>
            <w:szCs w:val="24"/>
          </w:rPr>
          <w:tab/>
        </w:r>
        <w:r w:rsidR="00E34F1D" w:rsidRPr="00511330">
          <w:rPr>
            <w:rFonts w:ascii="Times New Roman" w:hAnsi="Times New Roman" w:cs="Times New Roman"/>
            <w:noProof/>
            <w:webHidden/>
            <w:sz w:val="24"/>
            <w:szCs w:val="24"/>
          </w:rPr>
          <w:fldChar w:fldCharType="begin"/>
        </w:r>
        <w:r w:rsidR="00E34F1D" w:rsidRPr="00511330">
          <w:rPr>
            <w:rFonts w:ascii="Times New Roman" w:hAnsi="Times New Roman" w:cs="Times New Roman"/>
            <w:noProof/>
            <w:webHidden/>
            <w:sz w:val="24"/>
            <w:szCs w:val="24"/>
          </w:rPr>
          <w:instrText xml:space="preserve"> PAGEREF _Toc43311499 \h </w:instrText>
        </w:r>
        <w:r w:rsidR="00E34F1D" w:rsidRPr="00511330">
          <w:rPr>
            <w:rFonts w:ascii="Times New Roman" w:hAnsi="Times New Roman" w:cs="Times New Roman"/>
            <w:noProof/>
            <w:webHidden/>
            <w:sz w:val="24"/>
            <w:szCs w:val="24"/>
          </w:rPr>
        </w:r>
        <w:r w:rsidR="00E34F1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127</w:t>
        </w:r>
        <w:r w:rsidR="00E34F1D" w:rsidRPr="00511330">
          <w:rPr>
            <w:rFonts w:ascii="Times New Roman" w:hAnsi="Times New Roman" w:cs="Times New Roman"/>
            <w:noProof/>
            <w:webHidden/>
            <w:sz w:val="24"/>
            <w:szCs w:val="24"/>
          </w:rPr>
          <w:fldChar w:fldCharType="end"/>
        </w:r>
      </w:hyperlink>
    </w:p>
    <w:p w14:paraId="0842EA40" w14:textId="0E07D73E" w:rsidR="00E34F1D"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w:anchor="_Toc43311500" w:history="1">
        <w:r w:rsidR="00E34F1D" w:rsidRPr="00511330">
          <w:rPr>
            <w:rStyle w:val="Hyperlink"/>
            <w:rFonts w:ascii="Times New Roman" w:hAnsi="Times New Roman" w:cs="Times New Roman"/>
            <w:i/>
            <w:iCs/>
            <w:noProof/>
            <w:sz w:val="24"/>
            <w:szCs w:val="24"/>
            <w:lang w:val="en-US"/>
          </w:rPr>
          <w:t>Figure 4. 5</w:t>
        </w:r>
        <w:r w:rsidR="00E34F1D" w:rsidRPr="00511330">
          <w:rPr>
            <w:rStyle w:val="Hyperlink"/>
            <w:rFonts w:ascii="Times New Roman" w:hAnsi="Times New Roman" w:cs="Times New Roman"/>
            <w:noProof/>
            <w:sz w:val="24"/>
            <w:szCs w:val="24"/>
            <w:lang w:val="en-US"/>
          </w:rPr>
          <w:t>: Second-order measurement model for enablers of CM</w:t>
        </w:r>
        <w:r w:rsidR="00E34F1D" w:rsidRPr="00511330">
          <w:rPr>
            <w:rFonts w:ascii="Times New Roman" w:hAnsi="Times New Roman" w:cs="Times New Roman"/>
            <w:noProof/>
            <w:webHidden/>
            <w:sz w:val="24"/>
            <w:szCs w:val="24"/>
          </w:rPr>
          <w:tab/>
        </w:r>
        <w:r w:rsidR="00E34F1D" w:rsidRPr="00511330">
          <w:rPr>
            <w:rFonts w:ascii="Times New Roman" w:hAnsi="Times New Roman" w:cs="Times New Roman"/>
            <w:noProof/>
            <w:webHidden/>
            <w:sz w:val="24"/>
            <w:szCs w:val="24"/>
          </w:rPr>
          <w:fldChar w:fldCharType="begin"/>
        </w:r>
        <w:r w:rsidR="00E34F1D" w:rsidRPr="00511330">
          <w:rPr>
            <w:rFonts w:ascii="Times New Roman" w:hAnsi="Times New Roman" w:cs="Times New Roman"/>
            <w:noProof/>
            <w:webHidden/>
            <w:sz w:val="24"/>
            <w:szCs w:val="24"/>
          </w:rPr>
          <w:instrText xml:space="preserve"> PAGEREF _Toc43311500 \h </w:instrText>
        </w:r>
        <w:r w:rsidR="00E34F1D" w:rsidRPr="00511330">
          <w:rPr>
            <w:rFonts w:ascii="Times New Roman" w:hAnsi="Times New Roman" w:cs="Times New Roman"/>
            <w:noProof/>
            <w:webHidden/>
            <w:sz w:val="24"/>
            <w:szCs w:val="24"/>
          </w:rPr>
        </w:r>
        <w:r w:rsidR="00E34F1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129</w:t>
        </w:r>
        <w:r w:rsidR="00E34F1D" w:rsidRPr="00511330">
          <w:rPr>
            <w:rFonts w:ascii="Times New Roman" w:hAnsi="Times New Roman" w:cs="Times New Roman"/>
            <w:noProof/>
            <w:webHidden/>
            <w:sz w:val="24"/>
            <w:szCs w:val="24"/>
          </w:rPr>
          <w:fldChar w:fldCharType="end"/>
        </w:r>
      </w:hyperlink>
    </w:p>
    <w:p w14:paraId="0A2151C0" w14:textId="6F35B71A" w:rsidR="00E34F1D"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r:id="rId17" w:anchor="_Toc43311501" w:history="1">
        <w:r w:rsidR="00E34F1D" w:rsidRPr="00511330">
          <w:rPr>
            <w:rStyle w:val="Hyperlink"/>
            <w:rFonts w:ascii="Times New Roman" w:hAnsi="Times New Roman" w:cs="Times New Roman"/>
            <w:noProof/>
            <w:sz w:val="24"/>
            <w:szCs w:val="24"/>
          </w:rPr>
          <w:t>Figure 4. 6</w:t>
        </w:r>
        <w:r w:rsidR="00E34F1D" w:rsidRPr="00511330">
          <w:rPr>
            <w:rStyle w:val="Hyperlink"/>
            <w:rFonts w:ascii="Times New Roman" w:hAnsi="Times New Roman" w:cs="Times New Roman"/>
            <w:noProof/>
            <w:sz w:val="24"/>
            <w:szCs w:val="24"/>
            <w:lang w:val="en-US"/>
          </w:rPr>
          <w:t xml:space="preserve">: </w:t>
        </w:r>
        <w:r w:rsidR="00E34F1D" w:rsidRPr="00511330">
          <w:rPr>
            <w:rStyle w:val="Hyperlink"/>
            <w:rFonts w:ascii="Times New Roman" w:hAnsi="Times New Roman" w:cs="Times New Roman"/>
            <w:i/>
            <w:iCs/>
            <w:noProof/>
            <w:sz w:val="24"/>
            <w:szCs w:val="24"/>
            <w:lang w:val="en-US"/>
          </w:rPr>
          <w:t>Structural models from the first-order CFA on Barriers</w:t>
        </w:r>
        <w:r w:rsidR="00E34F1D" w:rsidRPr="00511330">
          <w:rPr>
            <w:rFonts w:ascii="Times New Roman" w:hAnsi="Times New Roman" w:cs="Times New Roman"/>
            <w:noProof/>
            <w:webHidden/>
            <w:sz w:val="24"/>
            <w:szCs w:val="24"/>
          </w:rPr>
          <w:tab/>
        </w:r>
        <w:r w:rsidR="00E34F1D" w:rsidRPr="00511330">
          <w:rPr>
            <w:rFonts w:ascii="Times New Roman" w:hAnsi="Times New Roman" w:cs="Times New Roman"/>
            <w:noProof/>
            <w:webHidden/>
            <w:sz w:val="24"/>
            <w:szCs w:val="24"/>
          </w:rPr>
          <w:fldChar w:fldCharType="begin"/>
        </w:r>
        <w:r w:rsidR="00E34F1D" w:rsidRPr="00511330">
          <w:rPr>
            <w:rFonts w:ascii="Times New Roman" w:hAnsi="Times New Roman" w:cs="Times New Roman"/>
            <w:noProof/>
            <w:webHidden/>
            <w:sz w:val="24"/>
            <w:szCs w:val="24"/>
          </w:rPr>
          <w:instrText xml:space="preserve"> PAGEREF _Toc43311501 \h </w:instrText>
        </w:r>
        <w:r w:rsidR="00E34F1D" w:rsidRPr="00511330">
          <w:rPr>
            <w:rFonts w:ascii="Times New Roman" w:hAnsi="Times New Roman" w:cs="Times New Roman"/>
            <w:noProof/>
            <w:webHidden/>
            <w:sz w:val="24"/>
            <w:szCs w:val="24"/>
          </w:rPr>
        </w:r>
        <w:r w:rsidR="00E34F1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135</w:t>
        </w:r>
        <w:r w:rsidR="00E34F1D" w:rsidRPr="00511330">
          <w:rPr>
            <w:rFonts w:ascii="Times New Roman" w:hAnsi="Times New Roman" w:cs="Times New Roman"/>
            <w:noProof/>
            <w:webHidden/>
            <w:sz w:val="24"/>
            <w:szCs w:val="24"/>
          </w:rPr>
          <w:fldChar w:fldCharType="end"/>
        </w:r>
      </w:hyperlink>
    </w:p>
    <w:p w14:paraId="3B49F014" w14:textId="09048018" w:rsidR="00E34F1D"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r:id="rId18" w:anchor="_Toc43311502" w:history="1">
        <w:r w:rsidR="00E34F1D" w:rsidRPr="00511330">
          <w:rPr>
            <w:rStyle w:val="Hyperlink"/>
            <w:rFonts w:ascii="Times New Roman" w:hAnsi="Times New Roman" w:cs="Times New Roman"/>
            <w:i/>
            <w:iCs/>
            <w:noProof/>
            <w:sz w:val="24"/>
            <w:szCs w:val="24"/>
          </w:rPr>
          <w:t>Figure 4. 7</w:t>
        </w:r>
        <w:r w:rsidR="00E34F1D" w:rsidRPr="00511330">
          <w:rPr>
            <w:rStyle w:val="Hyperlink"/>
            <w:rFonts w:ascii="Times New Roman" w:hAnsi="Times New Roman" w:cs="Times New Roman"/>
            <w:i/>
            <w:iCs/>
            <w:noProof/>
            <w:sz w:val="24"/>
            <w:szCs w:val="24"/>
            <w:lang w:val="en-US"/>
          </w:rPr>
          <w:t>:</w:t>
        </w:r>
        <w:r w:rsidR="00E34F1D" w:rsidRPr="00511330">
          <w:rPr>
            <w:rStyle w:val="Hyperlink"/>
            <w:rFonts w:ascii="Times New Roman" w:hAnsi="Times New Roman" w:cs="Times New Roman"/>
            <w:noProof/>
            <w:sz w:val="24"/>
            <w:szCs w:val="24"/>
            <w:lang w:val="en-US"/>
          </w:rPr>
          <w:t xml:space="preserve"> Goodness-of-Fit Indices the 2nd-Order Model on Barriers</w:t>
        </w:r>
        <w:r w:rsidR="00E34F1D" w:rsidRPr="00511330">
          <w:rPr>
            <w:rFonts w:ascii="Times New Roman" w:hAnsi="Times New Roman" w:cs="Times New Roman"/>
            <w:noProof/>
            <w:webHidden/>
            <w:sz w:val="24"/>
            <w:szCs w:val="24"/>
          </w:rPr>
          <w:tab/>
        </w:r>
        <w:r w:rsidR="00E34F1D" w:rsidRPr="00511330">
          <w:rPr>
            <w:rFonts w:ascii="Times New Roman" w:hAnsi="Times New Roman" w:cs="Times New Roman"/>
            <w:noProof/>
            <w:webHidden/>
            <w:sz w:val="24"/>
            <w:szCs w:val="24"/>
          </w:rPr>
          <w:fldChar w:fldCharType="begin"/>
        </w:r>
        <w:r w:rsidR="00E34F1D" w:rsidRPr="00511330">
          <w:rPr>
            <w:rFonts w:ascii="Times New Roman" w:hAnsi="Times New Roman" w:cs="Times New Roman"/>
            <w:noProof/>
            <w:webHidden/>
            <w:sz w:val="24"/>
            <w:szCs w:val="24"/>
          </w:rPr>
          <w:instrText xml:space="preserve"> PAGEREF _Toc43311502 \h </w:instrText>
        </w:r>
        <w:r w:rsidR="00E34F1D" w:rsidRPr="00511330">
          <w:rPr>
            <w:rFonts w:ascii="Times New Roman" w:hAnsi="Times New Roman" w:cs="Times New Roman"/>
            <w:noProof/>
            <w:webHidden/>
            <w:sz w:val="24"/>
            <w:szCs w:val="24"/>
          </w:rPr>
        </w:r>
        <w:r w:rsidR="00E34F1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137</w:t>
        </w:r>
        <w:r w:rsidR="00E34F1D" w:rsidRPr="00511330">
          <w:rPr>
            <w:rFonts w:ascii="Times New Roman" w:hAnsi="Times New Roman" w:cs="Times New Roman"/>
            <w:noProof/>
            <w:webHidden/>
            <w:sz w:val="24"/>
            <w:szCs w:val="24"/>
          </w:rPr>
          <w:fldChar w:fldCharType="end"/>
        </w:r>
      </w:hyperlink>
    </w:p>
    <w:p w14:paraId="5166320F" w14:textId="77777777" w:rsidR="00FD1D6D" w:rsidRPr="00511330" w:rsidRDefault="008D3598" w:rsidP="00FD1D6D">
      <w:pPr>
        <w:spacing w:after="0" w:line="480" w:lineRule="auto"/>
        <w:ind w:right="-450"/>
        <w:jc w:val="both"/>
        <w:rPr>
          <w:rFonts w:ascii="Times New Roman" w:hAnsi="Times New Roman" w:cs="Times New Roman"/>
          <w:noProof/>
          <w:sz w:val="24"/>
          <w:szCs w:val="24"/>
        </w:rPr>
      </w:pPr>
      <w:r w:rsidRPr="00511330">
        <w:rPr>
          <w:rFonts w:ascii="Times New Roman" w:hAnsi="Times New Roman" w:cs="Times New Roman"/>
          <w:b/>
          <w:bCs/>
          <w:sz w:val="24"/>
          <w:szCs w:val="24"/>
          <w:lang w:val="en-US"/>
        </w:rPr>
        <w:fldChar w:fldCharType="end"/>
      </w:r>
      <w:r w:rsidRPr="00511330">
        <w:rPr>
          <w:rFonts w:ascii="Times New Roman" w:hAnsi="Times New Roman" w:cs="Times New Roman"/>
          <w:b/>
          <w:bCs/>
          <w:sz w:val="24"/>
          <w:szCs w:val="24"/>
          <w:lang w:val="en-US"/>
        </w:rPr>
        <w:fldChar w:fldCharType="begin"/>
      </w:r>
      <w:r w:rsidRPr="00511330">
        <w:rPr>
          <w:rFonts w:ascii="Times New Roman" w:hAnsi="Times New Roman" w:cs="Times New Roman"/>
          <w:b/>
          <w:bCs/>
          <w:sz w:val="24"/>
          <w:szCs w:val="24"/>
          <w:lang w:val="en-US"/>
        </w:rPr>
        <w:instrText xml:space="preserve"> TOC \h \z \c "Figure 5." </w:instrText>
      </w:r>
      <w:r w:rsidRPr="00511330">
        <w:rPr>
          <w:rFonts w:ascii="Times New Roman" w:hAnsi="Times New Roman" w:cs="Times New Roman"/>
          <w:b/>
          <w:bCs/>
          <w:sz w:val="24"/>
          <w:szCs w:val="24"/>
          <w:lang w:val="en-US"/>
        </w:rPr>
        <w:fldChar w:fldCharType="separate"/>
      </w:r>
    </w:p>
    <w:p w14:paraId="589B4CBA" w14:textId="24A27DB0" w:rsidR="00FD1D6D" w:rsidRPr="00511330" w:rsidRDefault="003F7137" w:rsidP="00FD1D6D">
      <w:pPr>
        <w:pStyle w:val="TableofFigures"/>
        <w:tabs>
          <w:tab w:val="right" w:leader="dot" w:pos="7374"/>
        </w:tabs>
        <w:spacing w:line="480" w:lineRule="auto"/>
        <w:rPr>
          <w:rFonts w:ascii="Times New Roman" w:eastAsiaTheme="minorEastAsia" w:hAnsi="Times New Roman" w:cs="Times New Roman"/>
          <w:noProof/>
          <w:sz w:val="24"/>
          <w:szCs w:val="24"/>
          <w:lang w:val="en-US"/>
        </w:rPr>
      </w:pPr>
      <w:hyperlink r:id="rId19" w:anchor="_Toc43311519" w:history="1">
        <w:r w:rsidR="00FD1D6D" w:rsidRPr="00511330">
          <w:rPr>
            <w:rStyle w:val="Hyperlink"/>
            <w:rFonts w:ascii="Times New Roman" w:hAnsi="Times New Roman" w:cs="Times New Roman"/>
            <w:i/>
            <w:iCs/>
            <w:noProof/>
            <w:sz w:val="24"/>
            <w:szCs w:val="24"/>
          </w:rPr>
          <w:t>Figure 5. 1</w:t>
        </w:r>
        <w:r w:rsidR="00FD1D6D" w:rsidRPr="00511330">
          <w:rPr>
            <w:rStyle w:val="Hyperlink"/>
            <w:rFonts w:ascii="Times New Roman" w:hAnsi="Times New Roman" w:cs="Times New Roman"/>
            <w:i/>
            <w:iCs/>
            <w:noProof/>
            <w:sz w:val="24"/>
            <w:szCs w:val="24"/>
            <w:lang w:val="en-US"/>
          </w:rPr>
          <w:t>:</w:t>
        </w:r>
        <w:r w:rsidR="00FD1D6D" w:rsidRPr="00511330">
          <w:rPr>
            <w:rStyle w:val="Hyperlink"/>
            <w:rFonts w:ascii="Times New Roman" w:hAnsi="Times New Roman" w:cs="Times New Roman"/>
            <w:noProof/>
            <w:sz w:val="24"/>
            <w:szCs w:val="24"/>
            <w:lang w:val="en-US"/>
          </w:rPr>
          <w:t xml:space="preserve"> Comprehensive Stakeholders’ Views of CM to Green Energy</w:t>
        </w:r>
        <w:r w:rsidR="00FD1D6D" w:rsidRPr="00511330">
          <w:rPr>
            <w:rFonts w:ascii="Times New Roman" w:hAnsi="Times New Roman" w:cs="Times New Roman"/>
            <w:noProof/>
            <w:webHidden/>
            <w:sz w:val="24"/>
            <w:szCs w:val="24"/>
          </w:rPr>
          <w:tab/>
        </w:r>
        <w:r w:rsidR="00FD1D6D" w:rsidRPr="00511330">
          <w:rPr>
            <w:rFonts w:ascii="Times New Roman" w:hAnsi="Times New Roman" w:cs="Times New Roman"/>
            <w:noProof/>
            <w:webHidden/>
            <w:sz w:val="24"/>
            <w:szCs w:val="24"/>
          </w:rPr>
          <w:fldChar w:fldCharType="begin"/>
        </w:r>
        <w:r w:rsidR="00FD1D6D" w:rsidRPr="00511330">
          <w:rPr>
            <w:rFonts w:ascii="Times New Roman" w:hAnsi="Times New Roman" w:cs="Times New Roman"/>
            <w:noProof/>
            <w:webHidden/>
            <w:sz w:val="24"/>
            <w:szCs w:val="24"/>
          </w:rPr>
          <w:instrText xml:space="preserve"> PAGEREF _Toc43311519 \h </w:instrText>
        </w:r>
        <w:r w:rsidR="00FD1D6D" w:rsidRPr="00511330">
          <w:rPr>
            <w:rFonts w:ascii="Times New Roman" w:hAnsi="Times New Roman" w:cs="Times New Roman"/>
            <w:noProof/>
            <w:webHidden/>
            <w:sz w:val="24"/>
            <w:szCs w:val="24"/>
          </w:rPr>
        </w:r>
        <w:r w:rsidR="00FD1D6D" w:rsidRPr="00511330">
          <w:rPr>
            <w:rFonts w:ascii="Times New Roman" w:hAnsi="Times New Roman" w:cs="Times New Roman"/>
            <w:noProof/>
            <w:webHidden/>
            <w:sz w:val="24"/>
            <w:szCs w:val="24"/>
          </w:rPr>
          <w:fldChar w:fldCharType="separate"/>
        </w:r>
        <w:r w:rsidR="00B43FA0" w:rsidRPr="00511330">
          <w:rPr>
            <w:rFonts w:ascii="Times New Roman" w:hAnsi="Times New Roman" w:cs="Times New Roman"/>
            <w:noProof/>
            <w:webHidden/>
            <w:sz w:val="24"/>
            <w:szCs w:val="24"/>
          </w:rPr>
          <w:t>142</w:t>
        </w:r>
        <w:r w:rsidR="00FD1D6D" w:rsidRPr="00511330">
          <w:rPr>
            <w:rFonts w:ascii="Times New Roman" w:hAnsi="Times New Roman" w:cs="Times New Roman"/>
            <w:noProof/>
            <w:webHidden/>
            <w:sz w:val="24"/>
            <w:szCs w:val="24"/>
          </w:rPr>
          <w:fldChar w:fldCharType="end"/>
        </w:r>
      </w:hyperlink>
    </w:p>
    <w:p w14:paraId="644160DA" w14:textId="77777777" w:rsidR="008D3598" w:rsidRPr="00511330" w:rsidRDefault="008D3598" w:rsidP="00FD1D6D">
      <w:pPr>
        <w:spacing w:after="0" w:line="480" w:lineRule="auto"/>
        <w:ind w:right="-450"/>
        <w:rPr>
          <w:rFonts w:asciiTheme="majorBidi" w:hAnsiTheme="majorBidi" w:cstheme="majorBidi"/>
          <w:b/>
          <w:bCs/>
          <w:sz w:val="24"/>
          <w:szCs w:val="24"/>
          <w:lang w:val="en-US"/>
        </w:rPr>
      </w:pPr>
      <w:r w:rsidRPr="00511330">
        <w:rPr>
          <w:rFonts w:ascii="Times New Roman" w:hAnsi="Times New Roman" w:cs="Times New Roman"/>
          <w:b/>
          <w:bCs/>
          <w:sz w:val="24"/>
          <w:szCs w:val="24"/>
          <w:lang w:val="en-US"/>
        </w:rPr>
        <w:fldChar w:fldCharType="end"/>
      </w:r>
      <w:r w:rsidRPr="00511330">
        <w:rPr>
          <w:rFonts w:asciiTheme="majorBidi" w:hAnsiTheme="majorBidi" w:cstheme="majorBidi"/>
          <w:b/>
          <w:bCs/>
          <w:sz w:val="24"/>
          <w:szCs w:val="24"/>
          <w:lang w:val="en-US"/>
        </w:rPr>
        <w:br w:type="page"/>
      </w:r>
    </w:p>
    <w:p w14:paraId="644160DB" w14:textId="43B03C32" w:rsidR="008D3598" w:rsidRPr="00511330" w:rsidRDefault="008D3598" w:rsidP="00721566">
      <w:pPr>
        <w:ind w:right="-450"/>
        <w:jc w:val="center"/>
        <w:rPr>
          <w:rFonts w:asciiTheme="majorBidi" w:hAnsiTheme="majorBidi" w:cstheme="majorBidi"/>
          <w:b/>
          <w:bCs/>
          <w:sz w:val="32"/>
          <w:szCs w:val="32"/>
          <w:lang w:val="en-US"/>
        </w:rPr>
      </w:pPr>
      <w:r w:rsidRPr="00511330">
        <w:rPr>
          <w:rFonts w:asciiTheme="majorBidi" w:hAnsiTheme="majorBidi" w:cstheme="majorBidi"/>
          <w:b/>
          <w:bCs/>
          <w:sz w:val="32"/>
          <w:szCs w:val="32"/>
          <w:lang w:val="en-US"/>
        </w:rPr>
        <w:lastRenderedPageBreak/>
        <w:t>LIST OF ABBR</w:t>
      </w:r>
      <w:r w:rsidR="00D67820" w:rsidRPr="00511330">
        <w:rPr>
          <w:rFonts w:asciiTheme="majorBidi" w:hAnsiTheme="majorBidi" w:cstheme="majorBidi"/>
          <w:b/>
          <w:bCs/>
          <w:sz w:val="32"/>
          <w:szCs w:val="32"/>
          <w:lang w:val="en-US"/>
        </w:rPr>
        <w:t>EV</w:t>
      </w:r>
      <w:r w:rsidRPr="00511330">
        <w:rPr>
          <w:rFonts w:asciiTheme="majorBidi" w:hAnsiTheme="majorBidi" w:cstheme="majorBidi"/>
          <w:b/>
          <w:bCs/>
          <w:sz w:val="32"/>
          <w:szCs w:val="32"/>
          <w:lang w:val="en-US"/>
        </w:rPr>
        <w:t>IATIONS</w:t>
      </w:r>
    </w:p>
    <w:tbl>
      <w:tblPr>
        <w:tblStyle w:val="TableGrid"/>
        <w:tblW w:w="0" w:type="auto"/>
        <w:tblLook w:val="04A0" w:firstRow="1" w:lastRow="0" w:firstColumn="1" w:lastColumn="0" w:noHBand="0" w:noVBand="1"/>
      </w:tblPr>
      <w:tblGrid>
        <w:gridCol w:w="7374"/>
      </w:tblGrid>
      <w:tr w:rsidR="00140A30" w:rsidRPr="00511330" w14:paraId="46D15479" w14:textId="77777777" w:rsidTr="009D104A">
        <w:tc>
          <w:tcPr>
            <w:tcW w:w="7374" w:type="dxa"/>
            <w:shd w:val="clear" w:color="auto" w:fill="auto"/>
            <w:vAlign w:val="center"/>
          </w:tcPr>
          <w:p w14:paraId="12A1088A" w14:textId="747C1BDA" w:rsidR="00140A30" w:rsidRPr="00511330" w:rsidRDefault="00140A30" w:rsidP="00140A30">
            <w:pPr>
              <w:rPr>
                <w:rFonts w:ascii="Times New Roman" w:hAnsi="Times New Roman" w:cs="Times New Roman"/>
              </w:rPr>
            </w:pPr>
            <w:r w:rsidRPr="00511330">
              <w:rPr>
                <w:rFonts w:ascii="Times New Roman" w:hAnsi="Times New Roman" w:cs="Times New Roman"/>
              </w:rPr>
              <w:t>ADCED</w:t>
            </w:r>
            <w:r w:rsidR="00AD4A22" w:rsidRPr="00511330">
              <w:rPr>
                <w:rFonts w:ascii="Times New Roman" w:hAnsi="Times New Roman" w:cs="Times New Roman"/>
              </w:rPr>
              <w:t xml:space="preserve"> </w:t>
            </w:r>
            <w:r w:rsidR="00AD4A22" w:rsidRPr="00511330">
              <w:rPr>
                <w:rFonts w:ascii="Times New Roman" w:eastAsia="Times New Roman" w:hAnsi="Times New Roman" w:cs="Times New Roman"/>
                <w:lang w:val="en-US"/>
              </w:rPr>
              <w:tab/>
            </w:r>
            <w:r w:rsidR="00AD4A22" w:rsidRPr="00511330">
              <w:rPr>
                <w:rFonts w:ascii="Times New Roman" w:eastAsia="Times New Roman" w:hAnsi="Times New Roman" w:cs="Times New Roman"/>
                <w:lang w:val="en-US"/>
              </w:rPr>
              <w:tab/>
            </w:r>
            <w:r w:rsidR="00AD4A22" w:rsidRPr="00511330">
              <w:rPr>
                <w:rFonts w:ascii="Times New Roman" w:hAnsi="Times New Roman" w:cs="Times New Roman"/>
              </w:rPr>
              <w:t>Abu Dhabi Council for Economic Development</w:t>
            </w:r>
          </w:p>
        </w:tc>
      </w:tr>
      <w:tr w:rsidR="002C40BC" w:rsidRPr="00511330" w14:paraId="70A922D5" w14:textId="77777777" w:rsidTr="009D104A">
        <w:tc>
          <w:tcPr>
            <w:tcW w:w="7374" w:type="dxa"/>
            <w:shd w:val="clear" w:color="auto" w:fill="auto"/>
            <w:vAlign w:val="center"/>
          </w:tcPr>
          <w:p w14:paraId="57BFB5AA" w14:textId="2B305C5E" w:rsidR="002C40BC" w:rsidRPr="00511330" w:rsidRDefault="00B92935" w:rsidP="00B92935">
            <w:pPr>
              <w:rPr>
                <w:rFonts w:ascii="Times New Roman" w:hAnsi="Times New Roman" w:cs="Times New Roman"/>
              </w:rPr>
            </w:pPr>
            <w:r w:rsidRPr="00511330">
              <w:rPr>
                <w:rFonts w:ascii="Times New Roman" w:hAnsi="Times New Roman" w:cs="Times New Roman"/>
              </w:rPr>
              <w:t xml:space="preserve">ADEC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hAnsi="Times New Roman" w:cs="Times New Roman"/>
              </w:rPr>
              <w:t xml:space="preserve">Abu Dhabi Education Council </w:t>
            </w:r>
          </w:p>
        </w:tc>
      </w:tr>
      <w:tr w:rsidR="00140A30" w:rsidRPr="00511330" w14:paraId="0036DB1B" w14:textId="77777777" w:rsidTr="009D104A">
        <w:tc>
          <w:tcPr>
            <w:tcW w:w="7374" w:type="dxa"/>
            <w:shd w:val="clear" w:color="auto" w:fill="auto"/>
            <w:vAlign w:val="center"/>
          </w:tcPr>
          <w:p w14:paraId="79CE73A1" w14:textId="4356E045" w:rsidR="00140A30" w:rsidRPr="00511330" w:rsidRDefault="00140A30" w:rsidP="00140A30">
            <w:pPr>
              <w:rPr>
                <w:rFonts w:ascii="Times New Roman" w:hAnsi="Times New Roman" w:cs="Times New Roman"/>
              </w:rPr>
            </w:pPr>
            <w:r w:rsidRPr="00511330">
              <w:rPr>
                <w:rFonts w:ascii="Times New Roman" w:eastAsia="Times New Roman" w:hAnsi="Times New Roman" w:cs="Times New Roman"/>
                <w:lang w:val="en-US"/>
              </w:rPr>
              <w:t xml:space="preserve">ADEWA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Abu Dhabi Electricity and Water Authority</w:t>
            </w:r>
          </w:p>
        </w:tc>
      </w:tr>
      <w:tr w:rsidR="009A791D" w:rsidRPr="00511330" w14:paraId="6C56E650" w14:textId="77777777" w:rsidTr="009D104A">
        <w:tc>
          <w:tcPr>
            <w:tcW w:w="7374" w:type="dxa"/>
            <w:shd w:val="clear" w:color="auto" w:fill="auto"/>
            <w:vAlign w:val="center"/>
          </w:tcPr>
          <w:p w14:paraId="4BE0061A" w14:textId="29B5A30A" w:rsidR="009A791D" w:rsidRPr="00511330" w:rsidRDefault="009A791D" w:rsidP="009A791D">
            <w:pPr>
              <w:rPr>
                <w:rFonts w:ascii="Times New Roman" w:eastAsia="Times New Roman" w:hAnsi="Times New Roman" w:cs="Times New Roman"/>
                <w:lang w:val="en-US"/>
              </w:rPr>
            </w:pPr>
            <w:r w:rsidRPr="00511330">
              <w:rPr>
                <w:rFonts w:ascii="Times New Roman" w:hAnsi="Times New Roman" w:cs="Times New Roman"/>
                <w:lang w:val="en-US"/>
              </w:rPr>
              <w:t>ADH                           Abdu Dhabi Habitat</w:t>
            </w:r>
          </w:p>
        </w:tc>
      </w:tr>
      <w:tr w:rsidR="00DD7CA1" w:rsidRPr="00511330" w14:paraId="56E02773" w14:textId="77777777" w:rsidTr="009D104A">
        <w:tc>
          <w:tcPr>
            <w:tcW w:w="7374" w:type="dxa"/>
            <w:shd w:val="clear" w:color="auto" w:fill="auto"/>
            <w:vAlign w:val="center"/>
          </w:tcPr>
          <w:p w14:paraId="16F52D86" w14:textId="1CB720C7" w:rsidR="00DD7CA1" w:rsidRPr="00511330" w:rsidRDefault="00DD7CA1" w:rsidP="00DD7CA1">
            <w:pPr>
              <w:rPr>
                <w:rFonts w:ascii="Times New Roman" w:hAnsi="Times New Roman" w:cs="Times New Roman"/>
              </w:rPr>
            </w:pPr>
            <w:r w:rsidRPr="00511330">
              <w:rPr>
                <w:rFonts w:ascii="Times New Roman" w:hAnsi="Times New Roman" w:cs="Times New Roman"/>
              </w:rPr>
              <w:t>AGP</w:t>
            </w:r>
            <w:r w:rsidR="006A3570" w:rsidRPr="00511330">
              <w:rPr>
                <w:rFonts w:ascii="Times New Roman" w:eastAsia="Times New Roman" w:hAnsi="Times New Roman" w:cs="Times New Roman"/>
                <w:lang w:val="en-US"/>
              </w:rPr>
              <w:tab/>
            </w:r>
            <w:r w:rsidR="006A3570" w:rsidRPr="00511330">
              <w:rPr>
                <w:rFonts w:ascii="Times New Roman" w:eastAsia="Times New Roman" w:hAnsi="Times New Roman" w:cs="Times New Roman"/>
                <w:lang w:val="en-US"/>
              </w:rPr>
              <w:tab/>
            </w:r>
            <w:r w:rsidR="006A3570" w:rsidRPr="00511330">
              <w:rPr>
                <w:rFonts w:ascii="Times New Roman" w:eastAsia="Times New Roman" w:hAnsi="Times New Roman" w:cs="Times New Roman"/>
                <w:lang w:val="en-US"/>
              </w:rPr>
              <w:tab/>
            </w:r>
            <w:r w:rsidR="0009631C" w:rsidRPr="00511330">
              <w:rPr>
                <w:rFonts w:ascii="Times New Roman" w:hAnsi="Times New Roman" w:cs="Times New Roman"/>
              </w:rPr>
              <w:t>Asia Generation Power Company</w:t>
            </w:r>
          </w:p>
        </w:tc>
      </w:tr>
      <w:tr w:rsidR="002C40BC" w:rsidRPr="00511330" w14:paraId="145CAAD7" w14:textId="77777777" w:rsidTr="009D104A">
        <w:tc>
          <w:tcPr>
            <w:tcW w:w="7374" w:type="dxa"/>
            <w:shd w:val="clear" w:color="auto" w:fill="auto"/>
            <w:vAlign w:val="center"/>
          </w:tcPr>
          <w:p w14:paraId="57F6064D" w14:textId="7578F925" w:rsidR="002C40BC" w:rsidRPr="00511330" w:rsidRDefault="002C40BC" w:rsidP="002C40BC">
            <w:pPr>
              <w:rPr>
                <w:rFonts w:ascii="Times New Roman" w:hAnsi="Times New Roman" w:cs="Times New Roman"/>
              </w:rPr>
            </w:pPr>
            <w:r w:rsidRPr="00511330">
              <w:rPr>
                <w:rFonts w:ascii="Times New Roman" w:hAnsi="Times New Roman" w:cs="Times New Roman"/>
              </w:rPr>
              <w:t>AI</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hAnsi="Times New Roman" w:cs="Times New Roman"/>
              </w:rPr>
              <w:t xml:space="preserve">Artificial Intelligence </w:t>
            </w:r>
          </w:p>
        </w:tc>
      </w:tr>
      <w:tr w:rsidR="009D104A" w:rsidRPr="00511330" w14:paraId="65E36A6D" w14:textId="77777777" w:rsidTr="009D104A">
        <w:tc>
          <w:tcPr>
            <w:tcW w:w="7374" w:type="dxa"/>
            <w:shd w:val="clear" w:color="auto" w:fill="auto"/>
            <w:vAlign w:val="center"/>
          </w:tcPr>
          <w:p w14:paraId="27C5AF50" w14:textId="1D63BF33" w:rsidR="009D104A" w:rsidRPr="00511330" w:rsidRDefault="00920E68" w:rsidP="00721566">
            <w:pPr>
              <w:ind w:right="-450"/>
              <w:rPr>
                <w:rFonts w:ascii="Times New Roman" w:eastAsia="Times New Roman" w:hAnsi="Times New Roman" w:cs="Times New Roman"/>
                <w:lang w:val="en-US"/>
              </w:rPr>
            </w:pPr>
            <w:r w:rsidRPr="00511330">
              <w:rPr>
                <w:rFonts w:ascii="Times New Roman" w:eastAsia="Times New Roman" w:hAnsi="Times New Roman" w:cs="Times New Roman"/>
                <w:lang w:val="en-US"/>
              </w:rPr>
              <w:t>APCS</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Aligning Perpetual C</w:t>
            </w:r>
            <w:r w:rsidR="009D104A" w:rsidRPr="00511330">
              <w:rPr>
                <w:rFonts w:ascii="Times New Roman" w:eastAsia="Times New Roman" w:hAnsi="Times New Roman" w:cs="Times New Roman"/>
                <w:lang w:val="en-US"/>
              </w:rPr>
              <w:t>hange &amp; Sustainability</w:t>
            </w:r>
          </w:p>
        </w:tc>
      </w:tr>
      <w:tr w:rsidR="009D104A" w:rsidRPr="00511330" w14:paraId="1CA3F830" w14:textId="77777777" w:rsidTr="009D104A">
        <w:tc>
          <w:tcPr>
            <w:tcW w:w="7374" w:type="dxa"/>
            <w:shd w:val="clear" w:color="auto" w:fill="auto"/>
            <w:vAlign w:val="center"/>
          </w:tcPr>
          <w:p w14:paraId="551EE0D4" w14:textId="1AD95433" w:rsidR="009D104A" w:rsidRPr="00511330" w:rsidRDefault="009D104A" w:rsidP="00721566">
            <w:pPr>
              <w:ind w:right="-450"/>
              <w:rPr>
                <w:rFonts w:ascii="Times New Roman" w:hAnsi="Times New Roman" w:cs="Times New Roman"/>
                <w:lang w:val="en-US"/>
              </w:rPr>
            </w:pPr>
            <w:r w:rsidRPr="00511330">
              <w:rPr>
                <w:rFonts w:ascii="Times New Roman" w:eastAsia="Calibri" w:hAnsi="Times New Roman" w:cs="Times New Roman"/>
                <w:lang w:val="en-US" w:bidi="ar-AE"/>
              </w:rPr>
              <w:t xml:space="preserve">AS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Calibri" w:hAnsi="Times New Roman" w:cs="Times New Roman"/>
                <w:lang w:val="en-US" w:bidi="ar-AE"/>
              </w:rPr>
              <w:t>Alignment of Strategy</w:t>
            </w:r>
          </w:p>
        </w:tc>
      </w:tr>
      <w:tr w:rsidR="009D104A" w:rsidRPr="00511330" w14:paraId="2BF916D0" w14:textId="77777777" w:rsidTr="009D104A">
        <w:tc>
          <w:tcPr>
            <w:tcW w:w="7374" w:type="dxa"/>
            <w:shd w:val="clear" w:color="auto" w:fill="auto"/>
            <w:vAlign w:val="center"/>
          </w:tcPr>
          <w:p w14:paraId="28D26F00" w14:textId="7973920F" w:rsidR="009D104A" w:rsidRPr="00511330" w:rsidRDefault="009D104A" w:rsidP="00721566">
            <w:pPr>
              <w:ind w:right="-450"/>
              <w:rPr>
                <w:rFonts w:ascii="Times New Roman" w:hAnsi="Times New Roman" w:cs="Times New Roman"/>
                <w:lang w:val="en-US"/>
              </w:rPr>
            </w:pPr>
            <w:r w:rsidRPr="00511330">
              <w:rPr>
                <w:rFonts w:ascii="Times New Roman" w:eastAsia="Calibri" w:hAnsi="Times New Roman" w:cs="Times New Roman"/>
                <w:lang w:val="en-US"/>
              </w:rPr>
              <w:t xml:space="preserve">AVE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A</w:t>
            </w:r>
            <w:r w:rsidRPr="00511330">
              <w:rPr>
                <w:rFonts w:ascii="Times New Roman" w:eastAsia="Calibri" w:hAnsi="Times New Roman" w:cs="Times New Roman"/>
                <w:lang w:val="en-US"/>
              </w:rPr>
              <w:t>verage Variance Extracted</w:t>
            </w:r>
          </w:p>
        </w:tc>
      </w:tr>
      <w:tr w:rsidR="009D104A" w:rsidRPr="00511330" w14:paraId="128108C3" w14:textId="77777777" w:rsidTr="009D104A">
        <w:tc>
          <w:tcPr>
            <w:tcW w:w="7374" w:type="dxa"/>
            <w:shd w:val="clear" w:color="auto" w:fill="auto"/>
            <w:vAlign w:val="center"/>
          </w:tcPr>
          <w:p w14:paraId="1303C3F3" w14:textId="6D744323" w:rsidR="009D104A" w:rsidRPr="00511330" w:rsidRDefault="009D104A" w:rsidP="00721566">
            <w:pPr>
              <w:ind w:right="-450"/>
              <w:rPr>
                <w:rFonts w:ascii="Times New Roman" w:hAnsi="Times New Roman" w:cs="Times New Roman"/>
                <w:lang w:val="en-US"/>
              </w:rPr>
            </w:pPr>
            <w:r w:rsidRPr="00511330">
              <w:rPr>
                <w:rFonts w:ascii="Times New Roman" w:eastAsia="Times New Roman" w:hAnsi="Times New Roman" w:cs="Times New Roman"/>
                <w:lang w:val="en-US"/>
              </w:rPr>
              <w:t xml:space="preserve">AVFS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Affilia</w:t>
            </w:r>
            <w:r w:rsidR="002C40BC" w:rsidRPr="00511330">
              <w:rPr>
                <w:rFonts w:ascii="Times New Roman" w:eastAsia="Times New Roman" w:hAnsi="Times New Roman" w:cs="Times New Roman"/>
                <w:lang w:val="en-US"/>
              </w:rPr>
              <w:t>te V</w:t>
            </w:r>
            <w:r w:rsidRPr="00511330">
              <w:rPr>
                <w:rFonts w:ascii="Times New Roman" w:eastAsia="Times New Roman" w:hAnsi="Times New Roman" w:cs="Times New Roman"/>
                <w:lang w:val="en-US"/>
              </w:rPr>
              <w:t>iability, Feasibility &amp; Satisfactory</w:t>
            </w:r>
          </w:p>
        </w:tc>
      </w:tr>
      <w:tr w:rsidR="00140A30" w:rsidRPr="00511330" w14:paraId="688B1DAA" w14:textId="77777777" w:rsidTr="00140A30">
        <w:tc>
          <w:tcPr>
            <w:tcW w:w="7374" w:type="dxa"/>
            <w:shd w:val="clear" w:color="auto" w:fill="auto"/>
            <w:vAlign w:val="center"/>
          </w:tcPr>
          <w:p w14:paraId="1D1FD069" w14:textId="6F8225A2" w:rsidR="00140A30" w:rsidRPr="00511330" w:rsidRDefault="00140A30" w:rsidP="00140A30">
            <w:pPr>
              <w:rPr>
                <w:rFonts w:ascii="Times New Roman" w:hAnsi="Times New Roman" w:cs="Times New Roman"/>
              </w:rPr>
            </w:pPr>
            <w:r w:rsidRPr="00511330">
              <w:rPr>
                <w:rFonts w:ascii="Times New Roman" w:hAnsi="Times New Roman" w:cs="Times New Roman"/>
              </w:rPr>
              <w:t>BPR</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hAnsi="Times New Roman" w:cs="Times New Roman"/>
              </w:rPr>
              <w:t>Business Process Reengineering</w:t>
            </w:r>
          </w:p>
        </w:tc>
      </w:tr>
      <w:tr w:rsidR="009D104A" w:rsidRPr="00511330" w14:paraId="2BF50810" w14:textId="77777777" w:rsidTr="009D104A">
        <w:tc>
          <w:tcPr>
            <w:tcW w:w="7374" w:type="dxa"/>
            <w:shd w:val="clear" w:color="auto" w:fill="auto"/>
          </w:tcPr>
          <w:p w14:paraId="6BD3807C" w14:textId="40CE8489" w:rsidR="009D104A" w:rsidRPr="00511330" w:rsidRDefault="009D104A" w:rsidP="00140A30">
            <w:pPr>
              <w:ind w:right="-450"/>
              <w:rPr>
                <w:rFonts w:ascii="Times New Roman" w:hAnsi="Times New Roman" w:cs="Times New Roman"/>
                <w:lang w:val="en-US"/>
              </w:rPr>
            </w:pPr>
            <w:r w:rsidRPr="00511330">
              <w:rPr>
                <w:rFonts w:ascii="Times New Roman" w:hAnsi="Times New Roman" w:cs="Times New Roman"/>
                <w:lang w:val="en-US"/>
              </w:rPr>
              <w:t>CFA</w:t>
            </w:r>
            <w:r w:rsidR="00140A30" w:rsidRPr="00511330">
              <w:rPr>
                <w:rFonts w:ascii="Times New Roman" w:eastAsia="Times New Roman" w:hAnsi="Times New Roman" w:cs="Times New Roman"/>
                <w:lang w:val="en-US"/>
              </w:rPr>
              <w:tab/>
            </w:r>
            <w:r w:rsidR="00140A30" w:rsidRPr="00511330">
              <w:rPr>
                <w:rFonts w:ascii="Times New Roman" w:eastAsia="Times New Roman" w:hAnsi="Times New Roman" w:cs="Times New Roman"/>
                <w:lang w:val="en-US"/>
              </w:rPr>
              <w:tab/>
            </w:r>
            <w:r w:rsidR="00140A30" w:rsidRPr="00511330">
              <w:rPr>
                <w:rFonts w:ascii="Times New Roman" w:eastAsia="Times New Roman" w:hAnsi="Times New Roman" w:cs="Times New Roman"/>
                <w:lang w:val="en-US"/>
              </w:rPr>
              <w:tab/>
            </w:r>
            <w:r w:rsidR="00140A30" w:rsidRPr="00511330">
              <w:rPr>
                <w:rFonts w:ascii="Times New Roman" w:hAnsi="Times New Roman" w:cs="Times New Roman"/>
                <w:lang w:val="en-US"/>
              </w:rPr>
              <w:t>Confirmatory Factor Analysis</w:t>
            </w:r>
          </w:p>
        </w:tc>
      </w:tr>
      <w:tr w:rsidR="009D104A" w:rsidRPr="00511330" w14:paraId="115021D4" w14:textId="77777777" w:rsidTr="009D104A">
        <w:tc>
          <w:tcPr>
            <w:tcW w:w="7374" w:type="dxa"/>
            <w:shd w:val="clear" w:color="auto" w:fill="auto"/>
            <w:vAlign w:val="center"/>
          </w:tcPr>
          <w:p w14:paraId="45B02389" w14:textId="493525D6" w:rsidR="009D104A" w:rsidRPr="00511330" w:rsidRDefault="009D104A" w:rsidP="00721566">
            <w:pPr>
              <w:ind w:right="-450"/>
              <w:rPr>
                <w:rFonts w:ascii="Times New Roman" w:hAnsi="Times New Roman" w:cs="Times New Roman"/>
                <w:lang w:val="en-US"/>
              </w:rPr>
            </w:pPr>
            <w:r w:rsidRPr="00511330">
              <w:rPr>
                <w:rFonts w:ascii="Times New Roman" w:eastAsia="Calibri" w:hAnsi="Times New Roman" w:cs="Times New Roman"/>
                <w:lang w:val="en-US" w:bidi="ar-AE"/>
              </w:rPr>
              <w:t xml:space="preserve">CFI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C</w:t>
            </w:r>
            <w:r w:rsidRPr="00511330">
              <w:rPr>
                <w:rFonts w:ascii="Times New Roman" w:eastAsia="Calibri" w:hAnsi="Times New Roman" w:cs="Times New Roman"/>
                <w:lang w:val="en-US" w:bidi="ar-AE"/>
              </w:rPr>
              <w:t>omparative Fit Index</w:t>
            </w:r>
          </w:p>
        </w:tc>
      </w:tr>
      <w:tr w:rsidR="009D104A" w:rsidRPr="00511330" w14:paraId="0277923A" w14:textId="77777777" w:rsidTr="009D104A">
        <w:tc>
          <w:tcPr>
            <w:tcW w:w="7374" w:type="dxa"/>
            <w:shd w:val="clear" w:color="auto" w:fill="auto"/>
            <w:vAlign w:val="center"/>
          </w:tcPr>
          <w:p w14:paraId="1154EF93" w14:textId="6C390183" w:rsidR="009D104A" w:rsidRPr="00511330" w:rsidRDefault="009D104A" w:rsidP="00721566">
            <w:pPr>
              <w:ind w:right="-450"/>
              <w:rPr>
                <w:rFonts w:ascii="Times New Roman" w:hAnsi="Times New Roman" w:cs="Times New Roman"/>
                <w:lang w:val="en-US"/>
              </w:rPr>
            </w:pPr>
            <w:r w:rsidRPr="00511330">
              <w:rPr>
                <w:rFonts w:ascii="Times New Roman" w:hAnsi="Times New Roman" w:cs="Times New Roman"/>
                <w:lang w:val="en-US"/>
              </w:rPr>
              <w:t>CM</w:t>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lang w:val="en-US"/>
              </w:rPr>
              <w:tab/>
              <w:t>Change Management</w:t>
            </w:r>
          </w:p>
        </w:tc>
      </w:tr>
      <w:tr w:rsidR="00345CA1" w:rsidRPr="00511330" w14:paraId="6C146B62" w14:textId="77777777" w:rsidTr="009D104A">
        <w:tc>
          <w:tcPr>
            <w:tcW w:w="7374" w:type="dxa"/>
            <w:shd w:val="clear" w:color="auto" w:fill="auto"/>
            <w:vAlign w:val="center"/>
          </w:tcPr>
          <w:p w14:paraId="1AB9FC65" w14:textId="66686D62" w:rsidR="00345CA1" w:rsidRPr="00511330" w:rsidRDefault="00345CA1" w:rsidP="00721566">
            <w:pPr>
              <w:ind w:right="-450"/>
              <w:rPr>
                <w:rFonts w:ascii="Times New Roman" w:eastAsia="Times New Roman" w:hAnsi="Times New Roman" w:cs="Times New Roman"/>
                <w:lang w:val="en-US"/>
              </w:rPr>
            </w:pPr>
            <w:r w:rsidRPr="00511330">
              <w:rPr>
                <w:rFonts w:ascii="Times New Roman" w:eastAsia="Calibri" w:hAnsi="Times New Roman" w:cs="Times New Roman"/>
                <w:lang w:val="en-US"/>
              </w:rPr>
              <w:t xml:space="preserve">CR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Co</w:t>
            </w:r>
            <w:r w:rsidRPr="00511330">
              <w:rPr>
                <w:rFonts w:ascii="Times New Roman" w:eastAsia="Calibri" w:hAnsi="Times New Roman" w:cs="Times New Roman"/>
                <w:lang w:val="en-US"/>
              </w:rPr>
              <w:t>mposite Reliability</w:t>
            </w:r>
          </w:p>
        </w:tc>
      </w:tr>
      <w:tr w:rsidR="008D3598" w:rsidRPr="00511330" w14:paraId="644160DD" w14:textId="77777777" w:rsidTr="009D104A">
        <w:tc>
          <w:tcPr>
            <w:tcW w:w="7374" w:type="dxa"/>
            <w:shd w:val="clear" w:color="auto" w:fill="auto"/>
            <w:vAlign w:val="center"/>
          </w:tcPr>
          <w:p w14:paraId="644160DC" w14:textId="1896A9BD" w:rsidR="008D3598" w:rsidRPr="00511330" w:rsidRDefault="009D104A" w:rsidP="00721566">
            <w:pPr>
              <w:ind w:right="-450"/>
              <w:rPr>
                <w:rFonts w:ascii="Times New Roman" w:hAnsi="Times New Roman" w:cs="Times New Roman"/>
                <w:lang w:val="en-US"/>
              </w:rPr>
            </w:pPr>
            <w:r w:rsidRPr="00511330">
              <w:rPr>
                <w:rFonts w:ascii="Times New Roman" w:eastAsia="Times New Roman" w:hAnsi="Times New Roman" w:cs="Times New Roman"/>
                <w:lang w:val="en-US"/>
              </w:rPr>
              <w:t>CSP</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Concentrated Solar Plants</w:t>
            </w:r>
          </w:p>
        </w:tc>
      </w:tr>
      <w:tr w:rsidR="00112CA1" w:rsidRPr="00511330" w14:paraId="5D9A7516" w14:textId="77777777" w:rsidTr="009D104A">
        <w:tc>
          <w:tcPr>
            <w:tcW w:w="7374" w:type="dxa"/>
            <w:shd w:val="clear" w:color="auto" w:fill="auto"/>
            <w:vAlign w:val="center"/>
          </w:tcPr>
          <w:p w14:paraId="22882FB2" w14:textId="3F0169DA" w:rsidR="00112CA1" w:rsidRPr="00511330" w:rsidRDefault="00112CA1" w:rsidP="00721566">
            <w:pPr>
              <w:ind w:right="-450"/>
              <w:rPr>
                <w:rFonts w:ascii="Times New Roman" w:eastAsia="Times New Roman" w:hAnsi="Times New Roman" w:cs="Times New Roman"/>
                <w:lang w:val="en-US"/>
              </w:rPr>
            </w:pPr>
            <w:r w:rsidRPr="00511330">
              <w:rPr>
                <w:rFonts w:ascii="Times New Roman" w:hAnsi="Times New Roman" w:cs="Times New Roman"/>
                <w:lang w:val="en-US"/>
              </w:rPr>
              <w:t xml:space="preserve">CSR </w:t>
            </w:r>
            <w:r w:rsidRPr="00511330">
              <w:rPr>
                <w:rFonts w:ascii="Times New Roman" w:eastAsia="Calibri" w:hAnsi="Times New Roman" w:cs="Times New Roman"/>
                <w:lang w:val="en-US" w:bidi="ar-AE"/>
              </w:rPr>
              <w:tab/>
            </w:r>
            <w:r w:rsidRPr="00511330">
              <w:rPr>
                <w:rFonts w:ascii="Times New Roman" w:eastAsia="Calibri" w:hAnsi="Times New Roman" w:cs="Times New Roman"/>
                <w:lang w:val="en-US" w:bidi="ar-AE"/>
              </w:rPr>
              <w:tab/>
            </w:r>
            <w:r w:rsidRPr="00511330">
              <w:rPr>
                <w:rFonts w:ascii="Times New Roman" w:eastAsia="Times New Roman" w:hAnsi="Times New Roman" w:cs="Times New Roman"/>
                <w:lang w:val="en-US"/>
              </w:rPr>
              <w:tab/>
            </w:r>
            <w:r w:rsidR="00B92935" w:rsidRPr="00511330">
              <w:rPr>
                <w:rFonts w:ascii="Times New Roman" w:hAnsi="Times New Roman" w:cs="Times New Roman"/>
                <w:lang w:val="en-US"/>
              </w:rPr>
              <w:t>Corporate Social R</w:t>
            </w:r>
            <w:r w:rsidRPr="00511330">
              <w:rPr>
                <w:rFonts w:ascii="Times New Roman" w:hAnsi="Times New Roman" w:cs="Times New Roman"/>
                <w:lang w:val="en-US"/>
              </w:rPr>
              <w:t>esponsibility</w:t>
            </w:r>
          </w:p>
        </w:tc>
      </w:tr>
      <w:tr w:rsidR="00B92935" w:rsidRPr="00511330" w14:paraId="26111212" w14:textId="77777777" w:rsidTr="009D104A">
        <w:tc>
          <w:tcPr>
            <w:tcW w:w="7374" w:type="dxa"/>
            <w:shd w:val="clear" w:color="auto" w:fill="auto"/>
            <w:vAlign w:val="center"/>
          </w:tcPr>
          <w:p w14:paraId="6DE284E4" w14:textId="4A22DB1E" w:rsidR="00B92935" w:rsidRPr="00511330" w:rsidRDefault="00B92935" w:rsidP="00B92935">
            <w:pPr>
              <w:rPr>
                <w:rFonts w:ascii="Times New Roman" w:hAnsi="Times New Roman" w:cs="Times New Roman"/>
              </w:rPr>
            </w:pPr>
            <w:r w:rsidRPr="00511330">
              <w:rPr>
                <w:rFonts w:ascii="Times New Roman" w:hAnsi="Times New Roman" w:cs="Times New Roman"/>
              </w:rPr>
              <w:t xml:space="preserve">CSTP </w:t>
            </w:r>
            <w:r w:rsidRPr="00511330">
              <w:rPr>
                <w:rFonts w:ascii="Times New Roman" w:eastAsia="Calibri" w:hAnsi="Times New Roman" w:cs="Times New Roman"/>
                <w:lang w:val="en-US" w:bidi="ar-AE"/>
              </w:rPr>
              <w:tab/>
            </w:r>
            <w:r w:rsidRPr="00511330">
              <w:rPr>
                <w:rFonts w:ascii="Times New Roman" w:eastAsia="Calibri" w:hAnsi="Times New Roman" w:cs="Times New Roman"/>
                <w:lang w:val="en-US" w:bidi="ar-AE"/>
              </w:rPr>
              <w:tab/>
            </w:r>
            <w:r w:rsidRPr="00511330">
              <w:rPr>
                <w:rFonts w:ascii="Times New Roman" w:eastAsia="Times New Roman" w:hAnsi="Times New Roman" w:cs="Times New Roman"/>
                <w:lang w:val="en-US"/>
              </w:rPr>
              <w:tab/>
            </w:r>
            <w:r w:rsidRPr="00511330">
              <w:rPr>
                <w:rFonts w:ascii="Times New Roman" w:hAnsi="Times New Roman" w:cs="Times New Roman"/>
              </w:rPr>
              <w:t>Concentrated Solar Thermal Power</w:t>
            </w:r>
          </w:p>
        </w:tc>
      </w:tr>
      <w:tr w:rsidR="00112CA1" w:rsidRPr="00511330" w14:paraId="0943A0DF" w14:textId="77777777" w:rsidTr="009D104A">
        <w:tc>
          <w:tcPr>
            <w:tcW w:w="7374" w:type="dxa"/>
            <w:shd w:val="clear" w:color="auto" w:fill="auto"/>
            <w:vAlign w:val="center"/>
          </w:tcPr>
          <w:p w14:paraId="6AE90A78" w14:textId="027F477C" w:rsidR="00112CA1" w:rsidRPr="00511330" w:rsidRDefault="00112CA1" w:rsidP="00721566">
            <w:pPr>
              <w:ind w:right="-450"/>
              <w:rPr>
                <w:rFonts w:ascii="Times New Roman" w:eastAsia="Times New Roman" w:hAnsi="Times New Roman" w:cs="Times New Roman"/>
                <w:lang w:val="en-US"/>
              </w:rPr>
            </w:pPr>
            <w:r w:rsidRPr="00511330">
              <w:rPr>
                <w:rFonts w:ascii="Times New Roman" w:eastAsia="Calibri" w:hAnsi="Times New Roman" w:cs="Times New Roman"/>
                <w:lang w:val="en-US" w:bidi="ar-AE"/>
              </w:rPr>
              <w:t>CWFC</w:t>
            </w:r>
            <w:r w:rsidRPr="00511330">
              <w:rPr>
                <w:rFonts w:ascii="Times New Roman" w:eastAsia="Calibri" w:hAnsi="Times New Roman" w:cs="Times New Roman"/>
                <w:lang w:val="en-US" w:bidi="ar-AE"/>
              </w:rPr>
              <w:tab/>
            </w:r>
            <w:r w:rsidRPr="00511330">
              <w:rPr>
                <w:rFonts w:ascii="Times New Roman" w:eastAsia="Calibri" w:hAnsi="Times New Roman" w:cs="Times New Roman"/>
                <w:lang w:val="en-US" w:bidi="ar-AE"/>
              </w:rPr>
              <w:tab/>
            </w:r>
            <w:r w:rsidRPr="00511330">
              <w:rPr>
                <w:rFonts w:ascii="Times New Roman" w:eastAsia="Times New Roman" w:hAnsi="Times New Roman" w:cs="Times New Roman"/>
                <w:lang w:val="en-US"/>
              </w:rPr>
              <w:tab/>
            </w:r>
            <w:r w:rsidRPr="00511330">
              <w:rPr>
                <w:rFonts w:ascii="Times New Roman" w:hAnsi="Times New Roman" w:cs="Times New Roman"/>
                <w:lang w:val="en-US"/>
              </w:rPr>
              <w:t>Conflict of Workforce Commitment</w:t>
            </w:r>
          </w:p>
        </w:tc>
      </w:tr>
      <w:tr w:rsidR="009D104A" w:rsidRPr="00511330" w14:paraId="067EA754" w14:textId="77777777" w:rsidTr="009D104A">
        <w:tc>
          <w:tcPr>
            <w:tcW w:w="7374" w:type="dxa"/>
            <w:shd w:val="clear" w:color="auto" w:fill="auto"/>
            <w:vAlign w:val="center"/>
          </w:tcPr>
          <w:p w14:paraId="04E5FF45" w14:textId="54FAE082" w:rsidR="009D104A" w:rsidRPr="00511330" w:rsidRDefault="00345CA1" w:rsidP="00721566">
            <w:pPr>
              <w:ind w:right="-450"/>
              <w:rPr>
                <w:rFonts w:ascii="Times New Roman" w:eastAsia="Times New Roman" w:hAnsi="Times New Roman" w:cs="Times New Roman"/>
                <w:lang w:val="en-US"/>
              </w:rPr>
            </w:pPr>
            <w:r w:rsidRPr="00511330">
              <w:rPr>
                <w:rFonts w:ascii="Times New Roman" w:eastAsia="Times New Roman" w:hAnsi="Times New Roman" w:cs="Times New Roman"/>
                <w:lang w:val="en-US"/>
              </w:rPr>
              <w:t xml:space="preserve">DEWA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Dubai Electricity and Water Authority</w:t>
            </w:r>
          </w:p>
        </w:tc>
      </w:tr>
      <w:tr w:rsidR="00112CA1" w:rsidRPr="00511330" w14:paraId="020FF430" w14:textId="77777777" w:rsidTr="009D104A">
        <w:tc>
          <w:tcPr>
            <w:tcW w:w="7374" w:type="dxa"/>
            <w:shd w:val="clear" w:color="auto" w:fill="auto"/>
            <w:vAlign w:val="center"/>
          </w:tcPr>
          <w:p w14:paraId="3AD46ABF" w14:textId="39177DE6" w:rsidR="00112CA1" w:rsidRPr="00511330" w:rsidRDefault="00112CA1" w:rsidP="00721566">
            <w:pPr>
              <w:ind w:right="-450"/>
              <w:rPr>
                <w:rFonts w:ascii="Times New Roman" w:eastAsia="Calibri" w:hAnsi="Times New Roman" w:cs="Times New Roman"/>
                <w:lang w:val="en-US" w:bidi="ar-AE"/>
              </w:rPr>
            </w:pPr>
            <w:r w:rsidRPr="00511330">
              <w:rPr>
                <w:rFonts w:ascii="Times New Roman" w:hAnsi="Times New Roman" w:cs="Times New Roman"/>
                <w:lang w:val="en-US"/>
              </w:rPr>
              <w:t>EAD</w:t>
            </w:r>
            <w:r w:rsidRPr="00511330">
              <w:rPr>
                <w:rFonts w:ascii="Times New Roman" w:eastAsia="Calibri" w:hAnsi="Times New Roman" w:cs="Times New Roman"/>
                <w:lang w:val="en-US" w:bidi="ar-AE"/>
              </w:rPr>
              <w:tab/>
            </w:r>
            <w:r w:rsidRPr="00511330">
              <w:rPr>
                <w:rFonts w:ascii="Times New Roman" w:eastAsia="Calibri" w:hAnsi="Times New Roman" w:cs="Times New Roman"/>
                <w:lang w:val="en-US" w:bidi="ar-AE"/>
              </w:rPr>
              <w:tab/>
              <w:t xml:space="preserve"> </w:t>
            </w:r>
            <w:r w:rsidRPr="00511330">
              <w:rPr>
                <w:rFonts w:ascii="Times New Roman" w:eastAsia="Times New Roman" w:hAnsi="Times New Roman" w:cs="Times New Roman"/>
                <w:lang w:val="en-US"/>
              </w:rPr>
              <w:tab/>
            </w:r>
            <w:r w:rsidRPr="00511330">
              <w:rPr>
                <w:rFonts w:ascii="Times New Roman" w:hAnsi="Times New Roman" w:cs="Times New Roman"/>
                <w:lang w:val="en-US"/>
              </w:rPr>
              <w:t>Environment Agency-Abu Dhabi</w:t>
            </w:r>
          </w:p>
        </w:tc>
      </w:tr>
      <w:tr w:rsidR="00140A30" w:rsidRPr="00511330" w14:paraId="7A5FA8EC" w14:textId="77777777" w:rsidTr="009D104A">
        <w:tc>
          <w:tcPr>
            <w:tcW w:w="7374" w:type="dxa"/>
            <w:shd w:val="clear" w:color="auto" w:fill="auto"/>
            <w:vAlign w:val="center"/>
          </w:tcPr>
          <w:p w14:paraId="2A758AEE" w14:textId="30B8F03C" w:rsidR="00140A30" w:rsidRPr="00511330" w:rsidRDefault="00140A30" w:rsidP="00140A30">
            <w:pPr>
              <w:ind w:right="-450"/>
              <w:rPr>
                <w:rFonts w:ascii="Times New Roman" w:eastAsia="Calibri" w:hAnsi="Times New Roman" w:cs="Times New Roman"/>
                <w:lang w:val="en-US" w:bidi="ar-AE"/>
              </w:rPr>
            </w:pPr>
            <w:r w:rsidRPr="00511330">
              <w:rPr>
                <w:rFonts w:ascii="Times New Roman" w:eastAsia="Calibri" w:hAnsi="Times New Roman" w:cs="Times New Roman"/>
                <w:lang w:val="en-US" w:bidi="ar-AE"/>
              </w:rPr>
              <w:t>EFA</w:t>
            </w:r>
            <w:r w:rsidRPr="00511330">
              <w:rPr>
                <w:rFonts w:ascii="Times New Roman" w:eastAsia="Calibri" w:hAnsi="Times New Roman" w:cs="Times New Roman"/>
                <w:lang w:val="en-US" w:bidi="ar-AE"/>
              </w:rPr>
              <w:tab/>
            </w:r>
            <w:r w:rsidRPr="00511330">
              <w:rPr>
                <w:rFonts w:ascii="Times New Roman" w:eastAsia="Calibri" w:hAnsi="Times New Roman" w:cs="Times New Roman"/>
                <w:lang w:val="en-US" w:bidi="ar-AE"/>
              </w:rPr>
              <w:tab/>
              <w:t xml:space="preserve"> </w:t>
            </w:r>
            <w:r w:rsidRPr="00511330">
              <w:rPr>
                <w:rFonts w:ascii="Times New Roman" w:eastAsia="Times New Roman" w:hAnsi="Times New Roman" w:cs="Times New Roman"/>
                <w:lang w:val="en-US"/>
              </w:rPr>
              <w:tab/>
            </w:r>
            <w:r w:rsidRPr="00511330">
              <w:rPr>
                <w:rFonts w:ascii="Times New Roman" w:hAnsi="Times New Roman" w:cs="Times New Roman"/>
                <w:lang w:val="en-US"/>
              </w:rPr>
              <w:t>Exploratory Factor Analysis</w:t>
            </w:r>
          </w:p>
        </w:tc>
      </w:tr>
      <w:tr w:rsidR="00112CA1" w:rsidRPr="00511330" w14:paraId="2232656A" w14:textId="77777777" w:rsidTr="009D104A">
        <w:tc>
          <w:tcPr>
            <w:tcW w:w="7374" w:type="dxa"/>
            <w:shd w:val="clear" w:color="auto" w:fill="auto"/>
            <w:vAlign w:val="center"/>
          </w:tcPr>
          <w:p w14:paraId="4E4E0569" w14:textId="096D5A27" w:rsidR="00112CA1" w:rsidRPr="00511330" w:rsidRDefault="00112CA1" w:rsidP="00721566">
            <w:pPr>
              <w:ind w:right="-450"/>
              <w:rPr>
                <w:rFonts w:ascii="Times New Roman" w:eastAsia="Times New Roman" w:hAnsi="Times New Roman" w:cs="Times New Roman"/>
                <w:lang w:val="en-US"/>
              </w:rPr>
            </w:pPr>
            <w:r w:rsidRPr="00511330">
              <w:rPr>
                <w:rFonts w:ascii="Times New Roman" w:eastAsia="Calibri" w:hAnsi="Times New Roman" w:cs="Times New Roman"/>
                <w:lang w:val="en-US" w:bidi="ar-AE"/>
              </w:rPr>
              <w:t xml:space="preserve">E&amp;S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00DD7CA1" w:rsidRPr="00511330">
              <w:rPr>
                <w:rFonts w:ascii="Times New Roman" w:eastAsia="Calibri" w:hAnsi="Times New Roman" w:cs="Times New Roman"/>
                <w:lang w:val="en-US" w:bidi="ar-AE"/>
              </w:rPr>
              <w:t>Engagement and S</w:t>
            </w:r>
            <w:r w:rsidRPr="00511330">
              <w:rPr>
                <w:rFonts w:ascii="Times New Roman" w:eastAsia="Calibri" w:hAnsi="Times New Roman" w:cs="Times New Roman"/>
                <w:lang w:val="en-US" w:bidi="ar-AE"/>
              </w:rPr>
              <w:t>upport</w:t>
            </w:r>
          </w:p>
        </w:tc>
      </w:tr>
      <w:tr w:rsidR="009D104A" w:rsidRPr="00511330" w14:paraId="40AF9E00" w14:textId="77777777" w:rsidTr="009D104A">
        <w:tc>
          <w:tcPr>
            <w:tcW w:w="7374" w:type="dxa"/>
            <w:shd w:val="clear" w:color="auto" w:fill="auto"/>
            <w:vAlign w:val="center"/>
          </w:tcPr>
          <w:p w14:paraId="2E670174" w14:textId="3EF87611" w:rsidR="009D104A" w:rsidRPr="00511330" w:rsidRDefault="00345CA1" w:rsidP="00721566">
            <w:pPr>
              <w:ind w:right="-450"/>
              <w:rPr>
                <w:rFonts w:ascii="Times New Roman" w:eastAsia="Times New Roman" w:hAnsi="Times New Roman" w:cs="Times New Roman"/>
                <w:lang w:val="en-US"/>
              </w:rPr>
            </w:pPr>
            <w:r w:rsidRPr="00511330">
              <w:rPr>
                <w:rFonts w:ascii="Times New Roman" w:eastAsia="Times New Roman" w:hAnsi="Times New Roman" w:cs="Times New Roman"/>
                <w:lang w:val="en-US"/>
              </w:rPr>
              <w:t>EU</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European Union</w:t>
            </w:r>
          </w:p>
        </w:tc>
      </w:tr>
      <w:tr w:rsidR="00112CA1" w:rsidRPr="00511330" w14:paraId="78795F9D" w14:textId="77777777" w:rsidTr="009D104A">
        <w:tc>
          <w:tcPr>
            <w:tcW w:w="7374" w:type="dxa"/>
            <w:shd w:val="clear" w:color="auto" w:fill="auto"/>
            <w:vAlign w:val="center"/>
          </w:tcPr>
          <w:p w14:paraId="030F2E8C" w14:textId="6355F110" w:rsidR="00112CA1" w:rsidRPr="00511330" w:rsidRDefault="00112CA1" w:rsidP="00721566">
            <w:pPr>
              <w:ind w:right="-450"/>
              <w:rPr>
                <w:rFonts w:ascii="Times New Roman" w:eastAsia="Times New Roman" w:hAnsi="Times New Roman" w:cs="Times New Roman"/>
                <w:lang w:val="en-US"/>
              </w:rPr>
            </w:pPr>
            <w:r w:rsidRPr="00511330">
              <w:rPr>
                <w:rFonts w:ascii="Times New Roman" w:eastAsia="Calibri" w:hAnsi="Times New Roman" w:cs="Times New Roman"/>
                <w:lang w:val="en-US" w:bidi="ar-AE"/>
              </w:rPr>
              <w:t xml:space="preserve">FC </w:t>
            </w:r>
            <w:r w:rsidRPr="00511330">
              <w:rPr>
                <w:rFonts w:ascii="Times New Roman" w:eastAsia="Calibri" w:hAnsi="Times New Roman" w:cs="Times New Roman"/>
                <w:lang w:val="en-US" w:bidi="ar-AE"/>
              </w:rPr>
              <w:tab/>
            </w:r>
            <w:r w:rsidRPr="00511330">
              <w:rPr>
                <w:rFonts w:ascii="Times New Roman" w:eastAsia="Calibri" w:hAnsi="Times New Roman" w:cs="Times New Roman"/>
                <w:lang w:val="en-US" w:bidi="ar-AE"/>
              </w:rPr>
              <w:tab/>
            </w:r>
            <w:r w:rsidRPr="00511330">
              <w:rPr>
                <w:rFonts w:ascii="Times New Roman" w:eastAsia="Times New Roman" w:hAnsi="Times New Roman" w:cs="Times New Roman"/>
                <w:lang w:val="en-US"/>
              </w:rPr>
              <w:tab/>
            </w:r>
            <w:r w:rsidRPr="00511330">
              <w:rPr>
                <w:rFonts w:ascii="Times New Roman" w:eastAsia="Calibri" w:hAnsi="Times New Roman" w:cs="Times New Roman"/>
                <w:lang w:val="en-US" w:bidi="ar-AE"/>
              </w:rPr>
              <w:t>Feeble Communication</w:t>
            </w:r>
          </w:p>
        </w:tc>
      </w:tr>
      <w:tr w:rsidR="00345CA1" w:rsidRPr="00511330" w14:paraId="67F67FC7" w14:textId="77777777" w:rsidTr="009D104A">
        <w:tc>
          <w:tcPr>
            <w:tcW w:w="7374" w:type="dxa"/>
            <w:shd w:val="clear" w:color="auto" w:fill="auto"/>
            <w:vAlign w:val="center"/>
          </w:tcPr>
          <w:p w14:paraId="1670298B" w14:textId="18BAC956" w:rsidR="00345CA1" w:rsidRPr="00511330" w:rsidRDefault="00345CA1" w:rsidP="00721566">
            <w:pPr>
              <w:ind w:right="-450"/>
              <w:rPr>
                <w:rFonts w:ascii="Times New Roman" w:eastAsia="Times New Roman" w:hAnsi="Times New Roman" w:cs="Times New Roman"/>
                <w:lang w:val="en-US"/>
              </w:rPr>
            </w:pPr>
            <w:r w:rsidRPr="00511330">
              <w:rPr>
                <w:rFonts w:ascii="Times New Roman" w:eastAsia="Times New Roman" w:hAnsi="Times New Roman" w:cs="Times New Roman"/>
                <w:lang w:val="en-US"/>
              </w:rPr>
              <w:t>FEWA</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Federal Electricity and Water Authority</w:t>
            </w:r>
          </w:p>
        </w:tc>
      </w:tr>
      <w:tr w:rsidR="00112CA1" w:rsidRPr="00511330" w14:paraId="7C5FBFFA" w14:textId="77777777" w:rsidTr="009D104A">
        <w:tc>
          <w:tcPr>
            <w:tcW w:w="7374" w:type="dxa"/>
            <w:shd w:val="clear" w:color="auto" w:fill="auto"/>
            <w:vAlign w:val="center"/>
          </w:tcPr>
          <w:p w14:paraId="227EFA94" w14:textId="0054CD37" w:rsidR="00112CA1" w:rsidRPr="00511330" w:rsidRDefault="00112CA1" w:rsidP="00721566">
            <w:pPr>
              <w:ind w:right="-450"/>
              <w:rPr>
                <w:rFonts w:ascii="Times New Roman" w:eastAsia="Times New Roman" w:hAnsi="Times New Roman" w:cs="Times New Roman"/>
                <w:lang w:val="en-US"/>
              </w:rPr>
            </w:pPr>
            <w:r w:rsidRPr="00511330">
              <w:rPr>
                <w:rFonts w:ascii="Times New Roman" w:eastAsia="Calibri" w:hAnsi="Times New Roman" w:cs="Times New Roman"/>
                <w:lang w:val="en-US" w:bidi="ar-AE"/>
              </w:rPr>
              <w:t>F&amp;F</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Calibri" w:hAnsi="Times New Roman" w:cs="Times New Roman"/>
                <w:lang w:val="en-US" w:bidi="ar-AE"/>
              </w:rPr>
              <w:t>Flexibility and Feedback</w:t>
            </w:r>
          </w:p>
        </w:tc>
      </w:tr>
      <w:tr w:rsidR="00112CA1" w:rsidRPr="00511330" w14:paraId="7397536D" w14:textId="77777777" w:rsidTr="009D104A">
        <w:tc>
          <w:tcPr>
            <w:tcW w:w="7374" w:type="dxa"/>
            <w:shd w:val="clear" w:color="auto" w:fill="auto"/>
            <w:vAlign w:val="center"/>
          </w:tcPr>
          <w:p w14:paraId="56DCE703" w14:textId="0F6867AC" w:rsidR="00112CA1" w:rsidRPr="00511330" w:rsidRDefault="00112CA1" w:rsidP="00721566">
            <w:pPr>
              <w:ind w:right="-450"/>
              <w:rPr>
                <w:rFonts w:ascii="Times New Roman" w:eastAsia="Calibri" w:hAnsi="Times New Roman" w:cs="Times New Roman"/>
                <w:lang w:val="en-US"/>
              </w:rPr>
            </w:pPr>
            <w:r w:rsidRPr="00511330">
              <w:rPr>
                <w:rFonts w:ascii="Times New Roman" w:eastAsia="Calibri" w:hAnsi="Times New Roman" w:cs="Times New Roman"/>
                <w:lang w:val="en-US" w:bidi="ar-AE"/>
              </w:rPr>
              <w:t xml:space="preserve">FNP </w:t>
            </w:r>
            <w:r w:rsidRPr="00511330">
              <w:rPr>
                <w:rFonts w:ascii="Times New Roman" w:eastAsia="Calibri" w:hAnsi="Times New Roman" w:cs="Times New Roman"/>
                <w:lang w:val="en-US" w:bidi="ar-AE"/>
              </w:rPr>
              <w:tab/>
            </w:r>
            <w:r w:rsidRPr="00511330">
              <w:rPr>
                <w:rFonts w:ascii="Times New Roman" w:eastAsia="Calibri" w:hAnsi="Times New Roman" w:cs="Times New Roman"/>
                <w:lang w:val="en-US" w:bidi="ar-AE"/>
              </w:rPr>
              <w:tab/>
            </w:r>
            <w:r w:rsidRPr="00511330">
              <w:rPr>
                <w:rFonts w:ascii="Times New Roman" w:eastAsia="Times New Roman" w:hAnsi="Times New Roman" w:cs="Times New Roman"/>
                <w:lang w:val="en-US"/>
              </w:rPr>
              <w:tab/>
            </w:r>
            <w:r w:rsidRPr="00511330">
              <w:rPr>
                <w:rFonts w:ascii="Times New Roman" w:eastAsia="Calibri" w:hAnsi="Times New Roman" w:cs="Times New Roman"/>
                <w:lang w:val="en-US" w:bidi="ar-AE"/>
              </w:rPr>
              <w:t>Fear and Negative Perception</w:t>
            </w:r>
          </w:p>
        </w:tc>
      </w:tr>
      <w:tr w:rsidR="00345CA1" w:rsidRPr="00511330" w14:paraId="42236355" w14:textId="77777777" w:rsidTr="009D104A">
        <w:tc>
          <w:tcPr>
            <w:tcW w:w="7374" w:type="dxa"/>
            <w:shd w:val="clear" w:color="auto" w:fill="auto"/>
            <w:vAlign w:val="center"/>
          </w:tcPr>
          <w:p w14:paraId="5B074D0A" w14:textId="70976BDB" w:rsidR="00345CA1" w:rsidRPr="00511330" w:rsidRDefault="00345CA1" w:rsidP="00721566">
            <w:pPr>
              <w:ind w:right="-450"/>
              <w:rPr>
                <w:rFonts w:ascii="Times New Roman" w:eastAsia="Times New Roman" w:hAnsi="Times New Roman" w:cs="Times New Roman"/>
                <w:lang w:val="en-US"/>
              </w:rPr>
            </w:pPr>
            <w:r w:rsidRPr="00511330">
              <w:rPr>
                <w:rFonts w:ascii="Times New Roman" w:eastAsia="Times New Roman" w:hAnsi="Times New Roman" w:cs="Times New Roman"/>
                <w:lang w:val="en-US"/>
              </w:rPr>
              <w:t>GCC</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Gulf Cooperation Council</w:t>
            </w:r>
          </w:p>
        </w:tc>
      </w:tr>
      <w:tr w:rsidR="00345CA1" w:rsidRPr="00511330" w14:paraId="3A1A3FFA" w14:textId="77777777" w:rsidTr="009D104A">
        <w:tc>
          <w:tcPr>
            <w:tcW w:w="7374" w:type="dxa"/>
            <w:shd w:val="clear" w:color="auto" w:fill="auto"/>
            <w:vAlign w:val="center"/>
          </w:tcPr>
          <w:p w14:paraId="3F40F596" w14:textId="1C153469" w:rsidR="00345CA1" w:rsidRPr="00511330" w:rsidRDefault="00345CA1" w:rsidP="00721566">
            <w:pPr>
              <w:ind w:right="-450"/>
              <w:rPr>
                <w:rFonts w:ascii="Times New Roman" w:eastAsia="Times New Roman" w:hAnsi="Times New Roman" w:cs="Times New Roman"/>
                <w:lang w:val="en-US"/>
              </w:rPr>
            </w:pPr>
            <w:r w:rsidRPr="00511330">
              <w:rPr>
                <w:rFonts w:ascii="Times New Roman" w:eastAsia="Calibri" w:hAnsi="Times New Roman" w:cs="Times New Roman"/>
                <w:lang w:val="en-US" w:bidi="ar-AE"/>
              </w:rPr>
              <w:t xml:space="preserve">GFI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Calibri" w:hAnsi="Times New Roman" w:cs="Times New Roman"/>
                <w:lang w:val="en-US" w:bidi="ar-AE"/>
              </w:rPr>
              <w:t>Goodness-of-Fit Index</w:t>
            </w:r>
          </w:p>
        </w:tc>
      </w:tr>
      <w:tr w:rsidR="002C40BC" w:rsidRPr="00511330" w14:paraId="421B7F2F" w14:textId="77777777" w:rsidTr="009D104A">
        <w:tc>
          <w:tcPr>
            <w:tcW w:w="7374" w:type="dxa"/>
            <w:shd w:val="clear" w:color="auto" w:fill="auto"/>
            <w:vAlign w:val="center"/>
          </w:tcPr>
          <w:p w14:paraId="13FBE8B7" w14:textId="65650F33" w:rsidR="002C40BC" w:rsidRPr="00511330" w:rsidRDefault="002C40BC" w:rsidP="00721566">
            <w:pPr>
              <w:ind w:right="-450"/>
              <w:rPr>
                <w:rFonts w:ascii="Times New Roman" w:eastAsia="Calibri" w:hAnsi="Times New Roman" w:cs="Times New Roman"/>
                <w:lang w:val="en-US" w:bidi="ar-AE"/>
              </w:rPr>
            </w:pPr>
            <w:r w:rsidRPr="00511330">
              <w:rPr>
                <w:rFonts w:ascii="Times New Roman" w:hAnsi="Times New Roman" w:cs="Times New Roman"/>
              </w:rPr>
              <w:t>GW</w:t>
            </w:r>
            <w:r w:rsidR="006A3570" w:rsidRPr="00511330">
              <w:rPr>
                <w:rFonts w:ascii="Times New Roman" w:eastAsia="Times New Roman" w:hAnsi="Times New Roman" w:cs="Times New Roman"/>
                <w:lang w:val="en-US"/>
              </w:rPr>
              <w:tab/>
            </w:r>
            <w:r w:rsidR="006A3570" w:rsidRPr="00511330">
              <w:rPr>
                <w:rFonts w:ascii="Times New Roman" w:eastAsia="Times New Roman" w:hAnsi="Times New Roman" w:cs="Times New Roman"/>
                <w:lang w:val="en-US"/>
              </w:rPr>
              <w:tab/>
            </w:r>
            <w:r w:rsidR="006A3570" w:rsidRPr="00511330">
              <w:rPr>
                <w:rFonts w:ascii="Times New Roman" w:eastAsia="Times New Roman" w:hAnsi="Times New Roman" w:cs="Times New Roman"/>
                <w:lang w:val="en-US"/>
              </w:rPr>
              <w:tab/>
            </w:r>
            <w:r w:rsidR="006A3570" w:rsidRPr="00511330">
              <w:rPr>
                <w:rFonts w:ascii="Times New Roman" w:hAnsi="Times New Roman" w:cs="Times New Roman"/>
              </w:rPr>
              <w:t>Gigawatt</w:t>
            </w:r>
          </w:p>
        </w:tc>
      </w:tr>
      <w:tr w:rsidR="00345CA1" w:rsidRPr="00511330" w14:paraId="466248D1" w14:textId="77777777" w:rsidTr="009D104A">
        <w:tc>
          <w:tcPr>
            <w:tcW w:w="7374" w:type="dxa"/>
            <w:shd w:val="clear" w:color="auto" w:fill="auto"/>
            <w:vAlign w:val="center"/>
          </w:tcPr>
          <w:p w14:paraId="71BEF8F8" w14:textId="142C522A" w:rsidR="00345CA1" w:rsidRPr="00511330" w:rsidRDefault="00140A30" w:rsidP="00140A30">
            <w:pPr>
              <w:ind w:right="-450"/>
              <w:rPr>
                <w:rFonts w:ascii="Times New Roman" w:eastAsia="Times New Roman" w:hAnsi="Times New Roman" w:cs="Times New Roman"/>
                <w:lang w:val="en-US"/>
              </w:rPr>
            </w:pPr>
            <w:r w:rsidRPr="00511330">
              <w:rPr>
                <w:rFonts w:ascii="Times New Roman" w:eastAsia="Times New Roman" w:hAnsi="Times New Roman" w:cs="Times New Roman"/>
                <w:lang w:val="en-US"/>
              </w:rPr>
              <w:t>HR</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Human Resources</w:t>
            </w:r>
          </w:p>
        </w:tc>
      </w:tr>
      <w:tr w:rsidR="00112CA1" w:rsidRPr="00511330" w14:paraId="068DC235" w14:textId="77777777" w:rsidTr="009D104A">
        <w:tc>
          <w:tcPr>
            <w:tcW w:w="7374" w:type="dxa"/>
            <w:shd w:val="clear" w:color="auto" w:fill="auto"/>
            <w:vAlign w:val="center"/>
          </w:tcPr>
          <w:p w14:paraId="2BF8E59F" w14:textId="07601CA3" w:rsidR="00112CA1" w:rsidRPr="00511330" w:rsidRDefault="00112CA1" w:rsidP="00721566">
            <w:pPr>
              <w:ind w:right="-450"/>
              <w:rPr>
                <w:rFonts w:ascii="Times New Roman" w:hAnsi="Times New Roman" w:cs="Times New Roman"/>
                <w:lang w:val="en-US"/>
              </w:rPr>
            </w:pPr>
            <w:r w:rsidRPr="00511330">
              <w:rPr>
                <w:rFonts w:ascii="Times New Roman" w:hAnsi="Times New Roman" w:cs="Times New Roman"/>
                <w:lang w:val="en-US"/>
              </w:rPr>
              <w:t xml:space="preserve">ICL </w:t>
            </w:r>
            <w:r w:rsidRPr="00511330">
              <w:rPr>
                <w:rFonts w:ascii="Times New Roman" w:eastAsia="Calibri" w:hAnsi="Times New Roman" w:cs="Times New Roman"/>
                <w:lang w:val="en-US" w:bidi="ar-AE"/>
              </w:rPr>
              <w:tab/>
            </w:r>
            <w:r w:rsidRPr="00511330">
              <w:rPr>
                <w:rFonts w:ascii="Times New Roman" w:eastAsia="Calibri" w:hAnsi="Times New Roman" w:cs="Times New Roman"/>
                <w:lang w:val="en-US" w:bidi="ar-AE"/>
              </w:rPr>
              <w:tab/>
            </w:r>
            <w:r w:rsidRPr="00511330">
              <w:rPr>
                <w:rFonts w:ascii="Times New Roman" w:eastAsia="Times New Roman" w:hAnsi="Times New Roman" w:cs="Times New Roman"/>
                <w:lang w:val="en-US"/>
              </w:rPr>
              <w:tab/>
            </w:r>
            <w:r w:rsidRPr="00511330">
              <w:rPr>
                <w:rFonts w:ascii="Times New Roman" w:eastAsia="Calibri" w:hAnsi="Times New Roman" w:cs="Times New Roman"/>
                <w:lang w:val="en-US" w:bidi="ar-AE"/>
              </w:rPr>
              <w:t>I</w:t>
            </w:r>
            <w:r w:rsidRPr="00511330">
              <w:rPr>
                <w:rFonts w:ascii="Times New Roman" w:hAnsi="Times New Roman" w:cs="Times New Roman"/>
                <w:lang w:val="en-US"/>
              </w:rPr>
              <w:t>mplicit Change Leadership</w:t>
            </w:r>
          </w:p>
        </w:tc>
      </w:tr>
      <w:tr w:rsidR="00112CA1" w:rsidRPr="00511330" w14:paraId="26BB4B5D" w14:textId="77777777" w:rsidTr="009D104A">
        <w:tc>
          <w:tcPr>
            <w:tcW w:w="7374" w:type="dxa"/>
            <w:shd w:val="clear" w:color="auto" w:fill="auto"/>
            <w:vAlign w:val="center"/>
          </w:tcPr>
          <w:p w14:paraId="4F450AC7" w14:textId="7A46E4CE" w:rsidR="00112CA1" w:rsidRPr="00511330" w:rsidRDefault="00112CA1" w:rsidP="00721566">
            <w:pPr>
              <w:ind w:right="-450"/>
              <w:rPr>
                <w:rFonts w:ascii="Times New Roman" w:hAnsi="Times New Roman" w:cs="Times New Roman"/>
                <w:lang w:val="en-US"/>
              </w:rPr>
            </w:pPr>
            <w:r w:rsidRPr="00511330">
              <w:rPr>
                <w:rFonts w:ascii="Times New Roman" w:hAnsi="Times New Roman" w:cs="Times New Roman"/>
                <w:lang w:val="en-US"/>
              </w:rPr>
              <w:t>IEA                              International Energy Agency</w:t>
            </w:r>
          </w:p>
        </w:tc>
      </w:tr>
      <w:tr w:rsidR="00345CA1" w:rsidRPr="00511330" w14:paraId="23C87CD1" w14:textId="77777777" w:rsidTr="009D104A">
        <w:tc>
          <w:tcPr>
            <w:tcW w:w="7374" w:type="dxa"/>
            <w:shd w:val="clear" w:color="auto" w:fill="auto"/>
            <w:vAlign w:val="center"/>
          </w:tcPr>
          <w:p w14:paraId="5A23A046" w14:textId="6C98B255" w:rsidR="00345CA1" w:rsidRPr="00511330" w:rsidRDefault="00345CA1" w:rsidP="00721566">
            <w:pPr>
              <w:ind w:right="-450"/>
              <w:rPr>
                <w:rFonts w:ascii="Times New Roman" w:hAnsi="Times New Roman" w:cs="Times New Roman"/>
                <w:lang w:val="en-US"/>
              </w:rPr>
            </w:pPr>
            <w:r w:rsidRPr="00511330">
              <w:rPr>
                <w:rFonts w:ascii="Times New Roman" w:hAnsi="Times New Roman" w:cs="Times New Roman"/>
                <w:lang w:val="en-US"/>
              </w:rPr>
              <w:t>IPP</w:t>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lang w:val="en-US"/>
              </w:rPr>
              <w:tab/>
              <w:t>Independent Power Producers</w:t>
            </w:r>
          </w:p>
        </w:tc>
      </w:tr>
      <w:tr w:rsidR="00DD7CA1" w:rsidRPr="00511330" w14:paraId="48139FC4" w14:textId="77777777" w:rsidTr="009D104A">
        <w:tc>
          <w:tcPr>
            <w:tcW w:w="7374" w:type="dxa"/>
            <w:shd w:val="clear" w:color="auto" w:fill="auto"/>
            <w:vAlign w:val="center"/>
          </w:tcPr>
          <w:p w14:paraId="76697DFF" w14:textId="37BD4E9B" w:rsidR="00DD7CA1" w:rsidRPr="00511330" w:rsidRDefault="00DD7CA1" w:rsidP="00DD7CA1">
            <w:pPr>
              <w:rPr>
                <w:rFonts w:ascii="Times New Roman" w:hAnsi="Times New Roman" w:cs="Times New Roman"/>
              </w:rPr>
            </w:pPr>
            <w:r w:rsidRPr="00511330">
              <w:rPr>
                <w:rFonts w:ascii="Times New Roman" w:hAnsi="Times New Roman" w:cs="Times New Roman"/>
              </w:rPr>
              <w:t xml:space="preserve">IT </w:t>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lang w:val="en-US"/>
              </w:rPr>
              <w:tab/>
              <w:t>Information Technology</w:t>
            </w:r>
          </w:p>
        </w:tc>
      </w:tr>
      <w:tr w:rsidR="00345CA1" w:rsidRPr="00511330" w14:paraId="1CBA2171" w14:textId="77777777" w:rsidTr="009D104A">
        <w:tc>
          <w:tcPr>
            <w:tcW w:w="7374" w:type="dxa"/>
            <w:shd w:val="clear" w:color="auto" w:fill="auto"/>
            <w:vAlign w:val="center"/>
          </w:tcPr>
          <w:p w14:paraId="06F26931" w14:textId="0521311D" w:rsidR="00345CA1" w:rsidRPr="00511330" w:rsidRDefault="00DD7CA1" w:rsidP="00DD7CA1">
            <w:pPr>
              <w:rPr>
                <w:rFonts w:ascii="Times New Roman" w:eastAsia="Times New Roman" w:hAnsi="Times New Roman" w:cs="Times New Roman"/>
                <w:lang w:val="en-US"/>
              </w:rPr>
            </w:pPr>
            <w:r w:rsidRPr="00511330">
              <w:rPr>
                <w:rFonts w:ascii="Times New Roman" w:hAnsi="Times New Roman" w:cs="Times New Roman"/>
              </w:rPr>
              <w:t>KM</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hAnsi="Times New Roman" w:cs="Times New Roman"/>
              </w:rPr>
              <w:t>Knowledge Management</w:t>
            </w:r>
          </w:p>
        </w:tc>
      </w:tr>
      <w:tr w:rsidR="00920E68" w:rsidRPr="00511330" w14:paraId="6360E265" w14:textId="77777777" w:rsidTr="009D104A">
        <w:tc>
          <w:tcPr>
            <w:tcW w:w="7374" w:type="dxa"/>
            <w:shd w:val="clear" w:color="auto" w:fill="auto"/>
            <w:vAlign w:val="center"/>
          </w:tcPr>
          <w:p w14:paraId="1CD2F07E" w14:textId="63C50884" w:rsidR="00920E68" w:rsidRPr="00511330" w:rsidRDefault="00920E68" w:rsidP="00920E68">
            <w:pPr>
              <w:rPr>
                <w:rFonts w:ascii="Times New Roman" w:hAnsi="Times New Roman" w:cs="Times New Roman"/>
              </w:rPr>
            </w:pPr>
            <w:r w:rsidRPr="00511330">
              <w:rPr>
                <w:rFonts w:ascii="Times New Roman" w:eastAsia="Calibri" w:hAnsi="Times New Roman" w:cs="Times New Roman"/>
                <w:kern w:val="16"/>
                <w:lang w:val="en-US"/>
              </w:rPr>
              <w:t>KMO</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Calibri" w:hAnsi="Times New Roman" w:cs="Times New Roman"/>
                <w:noProof/>
                <w:kern w:val="16"/>
                <w:lang w:val="en-US"/>
              </w:rPr>
              <w:t>Kaiser</w:t>
            </w:r>
            <w:r w:rsidRPr="00511330">
              <w:rPr>
                <w:rFonts w:ascii="Times New Roman" w:eastAsia="Calibri" w:hAnsi="Times New Roman" w:cs="Times New Roman"/>
                <w:kern w:val="16"/>
                <w:lang w:val="en-US"/>
              </w:rPr>
              <w:t xml:space="preserve">–Meyer–Olkin </w:t>
            </w:r>
          </w:p>
        </w:tc>
      </w:tr>
      <w:tr w:rsidR="00332523" w:rsidRPr="00511330" w14:paraId="18EB8220" w14:textId="77777777" w:rsidTr="00DD7CA1">
        <w:tc>
          <w:tcPr>
            <w:tcW w:w="7374" w:type="dxa"/>
            <w:shd w:val="clear" w:color="auto" w:fill="auto"/>
            <w:vAlign w:val="center"/>
          </w:tcPr>
          <w:p w14:paraId="7BA58BA7" w14:textId="1A8B48DA" w:rsidR="00332523" w:rsidRPr="00511330" w:rsidRDefault="00332523" w:rsidP="00332523">
            <w:pPr>
              <w:rPr>
                <w:rFonts w:ascii="Times New Roman" w:hAnsi="Times New Roman" w:cs="Times New Roman"/>
              </w:rPr>
            </w:pPr>
            <w:r w:rsidRPr="00511330">
              <w:rPr>
                <w:rFonts w:ascii="Times New Roman" w:eastAsia="Calibri" w:hAnsi="Times New Roman" w:cs="Times New Roman"/>
                <w:kern w:val="16"/>
                <w:lang w:val="en-US"/>
              </w:rPr>
              <w:t xml:space="preserve">MBA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Calibri" w:hAnsi="Times New Roman" w:cs="Times New Roman"/>
                <w:kern w:val="16"/>
                <w:lang w:val="en-US"/>
              </w:rPr>
              <w:t>Master Business Administration</w:t>
            </w:r>
          </w:p>
        </w:tc>
      </w:tr>
      <w:tr w:rsidR="00DD7CA1" w:rsidRPr="00511330" w14:paraId="1F2A1D4C" w14:textId="77777777" w:rsidTr="00DD7CA1">
        <w:tc>
          <w:tcPr>
            <w:tcW w:w="7374" w:type="dxa"/>
            <w:shd w:val="clear" w:color="auto" w:fill="auto"/>
            <w:vAlign w:val="center"/>
          </w:tcPr>
          <w:p w14:paraId="52C30881" w14:textId="6FA3649B" w:rsidR="00DD7CA1" w:rsidRPr="00511330" w:rsidRDefault="00DD7CA1" w:rsidP="00920E68">
            <w:pPr>
              <w:ind w:right="-450"/>
              <w:rPr>
                <w:rFonts w:ascii="Times New Roman" w:eastAsia="Times New Roman" w:hAnsi="Times New Roman" w:cs="Times New Roman"/>
                <w:lang w:val="en-US"/>
              </w:rPr>
            </w:pPr>
            <w:r w:rsidRPr="00511330">
              <w:rPr>
                <w:rFonts w:ascii="Times New Roman" w:hAnsi="Times New Roman" w:cs="Times New Roman"/>
              </w:rPr>
              <w:t>MENA</w:t>
            </w:r>
            <w:r w:rsidR="00920E68" w:rsidRPr="00511330">
              <w:rPr>
                <w:rFonts w:ascii="Times New Roman" w:eastAsia="Times New Roman" w:hAnsi="Times New Roman" w:cs="Times New Roman"/>
                <w:lang w:val="en-US"/>
              </w:rPr>
              <w:tab/>
            </w:r>
            <w:r w:rsidR="00920E68" w:rsidRPr="00511330">
              <w:rPr>
                <w:rFonts w:ascii="Times New Roman" w:eastAsia="Times New Roman" w:hAnsi="Times New Roman" w:cs="Times New Roman"/>
                <w:lang w:val="en-US"/>
              </w:rPr>
              <w:tab/>
            </w:r>
            <w:r w:rsidR="00920E68" w:rsidRPr="00511330">
              <w:rPr>
                <w:rFonts w:ascii="Times New Roman" w:eastAsia="Times New Roman" w:hAnsi="Times New Roman" w:cs="Times New Roman"/>
                <w:lang w:val="en-US"/>
              </w:rPr>
              <w:tab/>
            </w:r>
            <w:r w:rsidRPr="00511330">
              <w:rPr>
                <w:rFonts w:ascii="Times New Roman" w:eastAsia="Calibri" w:hAnsi="Times New Roman" w:cs="Times New Roman"/>
                <w:lang w:val="en-US"/>
              </w:rPr>
              <w:t>Middle East and North Africa</w:t>
            </w:r>
          </w:p>
        </w:tc>
      </w:tr>
      <w:tr w:rsidR="00345CA1" w:rsidRPr="00511330" w14:paraId="1CBCE9F4" w14:textId="77777777" w:rsidTr="009D104A">
        <w:tc>
          <w:tcPr>
            <w:tcW w:w="7374" w:type="dxa"/>
            <w:shd w:val="clear" w:color="auto" w:fill="auto"/>
            <w:vAlign w:val="center"/>
          </w:tcPr>
          <w:p w14:paraId="6E2857CB" w14:textId="14FF9555" w:rsidR="00345CA1" w:rsidRPr="00511330" w:rsidRDefault="00112CA1" w:rsidP="00721566">
            <w:pPr>
              <w:ind w:right="-450"/>
              <w:rPr>
                <w:rFonts w:ascii="Times New Roman" w:eastAsia="Times New Roman" w:hAnsi="Times New Roman" w:cs="Times New Roman"/>
                <w:lang w:val="en-US"/>
              </w:rPr>
            </w:pPr>
            <w:r w:rsidRPr="00511330">
              <w:rPr>
                <w:rFonts w:ascii="Times New Roman" w:eastAsia="Calibri" w:hAnsi="Times New Roman" w:cs="Times New Roman"/>
                <w:lang w:val="en-US"/>
              </w:rPr>
              <w:t xml:space="preserve">MSV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M</w:t>
            </w:r>
            <w:r w:rsidRPr="00511330">
              <w:rPr>
                <w:rFonts w:ascii="Times New Roman" w:eastAsia="Calibri" w:hAnsi="Times New Roman" w:cs="Times New Roman"/>
                <w:lang w:val="en-US"/>
              </w:rPr>
              <w:t>aximum Shared Variance</w:t>
            </w:r>
          </w:p>
        </w:tc>
      </w:tr>
      <w:tr w:rsidR="00345CA1" w:rsidRPr="00511330" w14:paraId="6CA462EF" w14:textId="77777777" w:rsidTr="009D104A">
        <w:tc>
          <w:tcPr>
            <w:tcW w:w="7374" w:type="dxa"/>
            <w:shd w:val="clear" w:color="auto" w:fill="auto"/>
            <w:vAlign w:val="center"/>
          </w:tcPr>
          <w:p w14:paraId="21E516B2" w14:textId="4AA405B5" w:rsidR="00345CA1" w:rsidRPr="00511330" w:rsidRDefault="00345CA1" w:rsidP="00721566">
            <w:pPr>
              <w:ind w:right="-450"/>
              <w:rPr>
                <w:rFonts w:ascii="Times New Roman" w:eastAsia="Times New Roman" w:hAnsi="Times New Roman" w:cs="Times New Roman"/>
                <w:lang w:val="en-US"/>
              </w:rPr>
            </w:pPr>
            <w:r w:rsidRPr="00511330">
              <w:rPr>
                <w:rFonts w:ascii="Times New Roman" w:eastAsia="Calibri" w:hAnsi="Times New Roman" w:cs="Times New Roman"/>
                <w:lang w:val="en-US" w:bidi="ar-AE"/>
              </w:rPr>
              <w:t xml:space="preserve">NFI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N</w:t>
            </w:r>
            <w:r w:rsidRPr="00511330">
              <w:rPr>
                <w:rFonts w:ascii="Times New Roman" w:eastAsia="Calibri" w:hAnsi="Times New Roman" w:cs="Times New Roman"/>
                <w:lang w:val="en-US" w:bidi="ar-AE"/>
              </w:rPr>
              <w:t>ormed Fit Index</w:t>
            </w:r>
          </w:p>
        </w:tc>
      </w:tr>
      <w:tr w:rsidR="00DD7CA1" w:rsidRPr="00511330" w14:paraId="53B47404" w14:textId="77777777" w:rsidTr="009D104A">
        <w:tc>
          <w:tcPr>
            <w:tcW w:w="7374" w:type="dxa"/>
            <w:shd w:val="clear" w:color="auto" w:fill="auto"/>
            <w:vAlign w:val="center"/>
          </w:tcPr>
          <w:p w14:paraId="1FC7EBF9" w14:textId="4237A7D8" w:rsidR="00DD7CA1" w:rsidRPr="00511330" w:rsidRDefault="00DD7CA1" w:rsidP="00DD7CA1">
            <w:pPr>
              <w:rPr>
                <w:rFonts w:ascii="Times New Roman" w:hAnsi="Times New Roman" w:cs="Times New Roman"/>
              </w:rPr>
            </w:pPr>
            <w:r w:rsidRPr="00511330">
              <w:rPr>
                <w:rFonts w:ascii="Times New Roman" w:hAnsi="Times New Roman" w:cs="Times New Roman"/>
              </w:rPr>
              <w:t xml:space="preserve">PBF </w:t>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rPr>
              <w:t xml:space="preserve"> Project Based Firms</w:t>
            </w:r>
          </w:p>
        </w:tc>
      </w:tr>
      <w:tr w:rsidR="00345CA1" w:rsidRPr="00511330" w14:paraId="44989513" w14:textId="77777777" w:rsidTr="009D104A">
        <w:tc>
          <w:tcPr>
            <w:tcW w:w="7374" w:type="dxa"/>
            <w:shd w:val="clear" w:color="auto" w:fill="auto"/>
            <w:vAlign w:val="center"/>
          </w:tcPr>
          <w:p w14:paraId="4AFC1AAF" w14:textId="50B9786C" w:rsidR="00345CA1" w:rsidRPr="00511330" w:rsidRDefault="00345CA1" w:rsidP="00721566">
            <w:pPr>
              <w:ind w:right="-450"/>
              <w:rPr>
                <w:rFonts w:ascii="Times New Roman" w:eastAsia="Times New Roman" w:hAnsi="Times New Roman" w:cs="Times New Roman"/>
                <w:lang w:val="en-US"/>
              </w:rPr>
            </w:pPr>
            <w:r w:rsidRPr="00511330">
              <w:rPr>
                <w:rFonts w:ascii="Times New Roman" w:hAnsi="Times New Roman" w:cs="Times New Roman"/>
                <w:lang w:val="en-US"/>
              </w:rPr>
              <w:t xml:space="preserve">PCA </w:t>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lang w:val="en-US"/>
              </w:rPr>
              <w:tab/>
              <w:t>Principle Component Analysis</w:t>
            </w:r>
          </w:p>
        </w:tc>
      </w:tr>
      <w:tr w:rsidR="002C40BC" w:rsidRPr="00511330" w14:paraId="01531D1A" w14:textId="77777777" w:rsidTr="009D104A">
        <w:tc>
          <w:tcPr>
            <w:tcW w:w="7374" w:type="dxa"/>
            <w:shd w:val="clear" w:color="auto" w:fill="auto"/>
            <w:vAlign w:val="center"/>
          </w:tcPr>
          <w:p w14:paraId="37B3A1CE" w14:textId="129D05F4" w:rsidR="002C40BC" w:rsidRPr="00511330" w:rsidRDefault="002C40BC" w:rsidP="002C40BC">
            <w:pPr>
              <w:rPr>
                <w:rFonts w:ascii="Times New Roman" w:hAnsi="Times New Roman" w:cs="Times New Roman"/>
                <w:lang w:val="en-US"/>
              </w:rPr>
            </w:pPr>
            <w:r w:rsidRPr="00511330">
              <w:rPr>
                <w:rFonts w:ascii="Times New Roman" w:hAnsi="Times New Roman" w:cs="Times New Roman"/>
              </w:rPr>
              <w:t>PPA</w:t>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rPr>
              <w:t xml:space="preserve">Power Purchase Agreement </w:t>
            </w:r>
          </w:p>
        </w:tc>
      </w:tr>
      <w:tr w:rsidR="00920E68" w:rsidRPr="00511330" w14:paraId="4CA1556A" w14:textId="77777777" w:rsidTr="009D104A">
        <w:tc>
          <w:tcPr>
            <w:tcW w:w="7374" w:type="dxa"/>
            <w:shd w:val="clear" w:color="auto" w:fill="auto"/>
            <w:vAlign w:val="center"/>
          </w:tcPr>
          <w:p w14:paraId="2345ECFC" w14:textId="46217224" w:rsidR="00920E68" w:rsidRPr="00511330" w:rsidRDefault="00920E68" w:rsidP="00920E68">
            <w:pPr>
              <w:rPr>
                <w:rFonts w:ascii="Times New Roman" w:hAnsi="Times New Roman" w:cs="Times New Roman"/>
              </w:rPr>
            </w:pPr>
            <w:r w:rsidRPr="00511330">
              <w:rPr>
                <w:rFonts w:ascii="Times New Roman" w:hAnsi="Times New Roman" w:cs="Times New Roman"/>
              </w:rPr>
              <w:t>PPI</w:t>
            </w:r>
            <w:r w:rsidR="006A3570" w:rsidRPr="00511330">
              <w:rPr>
                <w:rFonts w:ascii="Times New Roman" w:eastAsia="Times New Roman" w:hAnsi="Times New Roman" w:cs="Times New Roman"/>
                <w:lang w:val="en-US"/>
              </w:rPr>
              <w:tab/>
            </w:r>
            <w:r w:rsidR="006A3570" w:rsidRPr="00511330">
              <w:rPr>
                <w:rFonts w:ascii="Times New Roman" w:eastAsia="Times New Roman" w:hAnsi="Times New Roman" w:cs="Times New Roman"/>
                <w:lang w:val="en-US"/>
              </w:rPr>
              <w:tab/>
            </w:r>
            <w:r w:rsidR="006A3570" w:rsidRPr="00511330">
              <w:rPr>
                <w:rFonts w:ascii="Times New Roman" w:eastAsia="Times New Roman" w:hAnsi="Times New Roman" w:cs="Times New Roman"/>
                <w:lang w:val="en-US"/>
              </w:rPr>
              <w:tab/>
            </w:r>
            <w:r w:rsidR="0009631C" w:rsidRPr="00511330">
              <w:rPr>
                <w:rFonts w:ascii="Times New Roman" w:hAnsi="Times New Roman" w:cs="Times New Roman"/>
              </w:rPr>
              <w:t>Private Power Industry</w:t>
            </w:r>
          </w:p>
        </w:tc>
      </w:tr>
      <w:tr w:rsidR="00140A30" w:rsidRPr="00511330" w14:paraId="2CEEA498" w14:textId="77777777" w:rsidTr="009D104A">
        <w:tc>
          <w:tcPr>
            <w:tcW w:w="7374" w:type="dxa"/>
            <w:shd w:val="clear" w:color="auto" w:fill="auto"/>
            <w:vAlign w:val="center"/>
          </w:tcPr>
          <w:p w14:paraId="0104B70A" w14:textId="6D8B1303" w:rsidR="00140A30" w:rsidRPr="00511330" w:rsidRDefault="00140A30" w:rsidP="002C40BC">
            <w:pPr>
              <w:rPr>
                <w:rFonts w:ascii="Times New Roman" w:hAnsi="Times New Roman" w:cs="Times New Roman"/>
              </w:rPr>
            </w:pPr>
            <w:r w:rsidRPr="00511330">
              <w:rPr>
                <w:rFonts w:ascii="Times New Roman" w:hAnsi="Times New Roman" w:cs="Times New Roman"/>
                <w:lang w:val="en-US"/>
              </w:rPr>
              <w:t>PPP</w:t>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lang w:val="en-US"/>
              </w:rPr>
              <w:tab/>
            </w:r>
            <w:r w:rsidR="002C40BC" w:rsidRPr="00511330">
              <w:rPr>
                <w:rFonts w:ascii="Times New Roman" w:hAnsi="Times New Roman" w:cs="Times New Roman"/>
                <w:lang w:val="en-US"/>
              </w:rPr>
              <w:t xml:space="preserve">Public </w:t>
            </w:r>
            <w:r w:rsidRPr="00511330">
              <w:rPr>
                <w:rFonts w:ascii="Times New Roman" w:hAnsi="Times New Roman" w:cs="Times New Roman"/>
              </w:rPr>
              <w:t xml:space="preserve">Private Partnership </w:t>
            </w:r>
          </w:p>
        </w:tc>
      </w:tr>
      <w:tr w:rsidR="002C40BC" w:rsidRPr="00511330" w14:paraId="30680216" w14:textId="77777777" w:rsidTr="009D104A">
        <w:tc>
          <w:tcPr>
            <w:tcW w:w="7374" w:type="dxa"/>
            <w:shd w:val="clear" w:color="auto" w:fill="auto"/>
            <w:vAlign w:val="center"/>
          </w:tcPr>
          <w:p w14:paraId="29BF713D" w14:textId="75665BF5" w:rsidR="002C40BC" w:rsidRPr="00511330" w:rsidRDefault="002C40BC" w:rsidP="002C40BC">
            <w:pPr>
              <w:rPr>
                <w:rFonts w:ascii="Times New Roman" w:hAnsi="Times New Roman" w:cs="Times New Roman"/>
              </w:rPr>
            </w:pPr>
            <w:r w:rsidRPr="00511330">
              <w:rPr>
                <w:rFonts w:ascii="Times New Roman" w:hAnsi="Times New Roman" w:cs="Times New Roman"/>
              </w:rPr>
              <w:t>PRS</w:t>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rPr>
              <w:t xml:space="preserve">Pearl Rating System </w:t>
            </w:r>
          </w:p>
        </w:tc>
      </w:tr>
      <w:tr w:rsidR="00920E68" w:rsidRPr="00511330" w14:paraId="05E8E38F" w14:textId="77777777" w:rsidTr="009D104A">
        <w:tc>
          <w:tcPr>
            <w:tcW w:w="7374" w:type="dxa"/>
            <w:shd w:val="clear" w:color="auto" w:fill="auto"/>
            <w:vAlign w:val="center"/>
          </w:tcPr>
          <w:p w14:paraId="00EFADBD" w14:textId="5DB29A58" w:rsidR="00920E68" w:rsidRPr="00511330" w:rsidRDefault="00920E68" w:rsidP="00920E68">
            <w:pPr>
              <w:rPr>
                <w:rFonts w:ascii="Times New Roman" w:hAnsi="Times New Roman" w:cs="Times New Roman"/>
              </w:rPr>
            </w:pPr>
            <w:r w:rsidRPr="00511330">
              <w:rPr>
                <w:rFonts w:ascii="Times New Roman" w:hAnsi="Times New Roman" w:cs="Times New Roman"/>
              </w:rPr>
              <w:lastRenderedPageBreak/>
              <w:t xml:space="preserve">PV </w:t>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rPr>
              <w:t xml:space="preserve">Photovoltaic </w:t>
            </w:r>
          </w:p>
        </w:tc>
      </w:tr>
      <w:tr w:rsidR="00112CA1" w:rsidRPr="00511330" w14:paraId="181527A5" w14:textId="77777777" w:rsidTr="009D104A">
        <w:tc>
          <w:tcPr>
            <w:tcW w:w="7374" w:type="dxa"/>
            <w:shd w:val="clear" w:color="auto" w:fill="auto"/>
            <w:vAlign w:val="center"/>
          </w:tcPr>
          <w:p w14:paraId="591F127D" w14:textId="446092AB" w:rsidR="00112CA1" w:rsidRPr="00511330" w:rsidRDefault="00112CA1" w:rsidP="00112CA1">
            <w:pPr>
              <w:ind w:right="-450"/>
              <w:rPr>
                <w:rFonts w:ascii="Times New Roman" w:eastAsia="Times New Roman" w:hAnsi="Times New Roman" w:cs="Times New Roman"/>
                <w:lang w:val="en-US"/>
              </w:rPr>
            </w:pPr>
            <w:r w:rsidRPr="00511330">
              <w:rPr>
                <w:rFonts w:ascii="Times New Roman" w:eastAsia="Calibri" w:hAnsi="Times New Roman" w:cs="Times New Roman"/>
                <w:lang w:val="en-US" w:bidi="ar-AE"/>
              </w:rPr>
              <w:t>R&amp;C</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Calibri" w:hAnsi="Times New Roman" w:cs="Times New Roman"/>
                <w:lang w:val="en-US" w:bidi="ar-AE"/>
              </w:rPr>
              <w:t>Resources and Capabilities</w:t>
            </w:r>
          </w:p>
        </w:tc>
      </w:tr>
      <w:tr w:rsidR="00112CA1" w:rsidRPr="00511330" w14:paraId="16F035D0" w14:textId="77777777" w:rsidTr="009D104A">
        <w:tc>
          <w:tcPr>
            <w:tcW w:w="7374" w:type="dxa"/>
            <w:shd w:val="clear" w:color="auto" w:fill="auto"/>
            <w:vAlign w:val="center"/>
          </w:tcPr>
          <w:p w14:paraId="0F56FB37" w14:textId="679D7E7A" w:rsidR="00112CA1" w:rsidRPr="00511330" w:rsidRDefault="00112CA1" w:rsidP="00112CA1">
            <w:pPr>
              <w:ind w:right="-450"/>
              <w:rPr>
                <w:rFonts w:ascii="Times New Roman" w:eastAsia="Times New Roman" w:hAnsi="Times New Roman" w:cs="Times New Roman"/>
                <w:lang w:val="en-US"/>
              </w:rPr>
            </w:pPr>
            <w:r w:rsidRPr="00511330">
              <w:rPr>
                <w:rFonts w:ascii="Times New Roman" w:eastAsia="Calibri" w:hAnsi="Times New Roman" w:cs="Times New Roman"/>
                <w:lang w:val="en-US" w:bidi="ar-AE"/>
              </w:rPr>
              <w:t>R&amp;D</w:t>
            </w:r>
            <w:r w:rsidRPr="00511330">
              <w:rPr>
                <w:rFonts w:ascii="Times New Roman" w:eastAsia="Calibri" w:hAnsi="Times New Roman" w:cs="Times New Roman"/>
                <w:lang w:val="en-US" w:bidi="ar-AE"/>
              </w:rPr>
              <w:tab/>
            </w:r>
            <w:r w:rsidRPr="00511330">
              <w:rPr>
                <w:rFonts w:ascii="Times New Roman" w:eastAsia="Calibri" w:hAnsi="Times New Roman" w:cs="Times New Roman"/>
                <w:lang w:val="en-US" w:bidi="ar-AE"/>
              </w:rPr>
              <w:tab/>
            </w:r>
            <w:r w:rsidRPr="00511330">
              <w:rPr>
                <w:rFonts w:ascii="Times New Roman" w:eastAsia="Times New Roman" w:hAnsi="Times New Roman" w:cs="Times New Roman"/>
                <w:lang w:val="en-US"/>
              </w:rPr>
              <w:tab/>
            </w:r>
            <w:r w:rsidRPr="00511330">
              <w:rPr>
                <w:rFonts w:ascii="Times New Roman" w:eastAsia="Calibri" w:hAnsi="Times New Roman" w:cs="Times New Roman"/>
                <w:lang w:val="en-US" w:bidi="ar-AE"/>
              </w:rPr>
              <w:t xml:space="preserve">Research </w:t>
            </w:r>
            <w:r w:rsidR="009522B8" w:rsidRPr="00511330">
              <w:rPr>
                <w:rFonts w:ascii="Times New Roman" w:eastAsia="Calibri" w:hAnsi="Times New Roman" w:cs="Times New Roman"/>
                <w:lang w:val="en-US" w:bidi="ar-AE"/>
              </w:rPr>
              <w:t>a</w:t>
            </w:r>
            <w:r w:rsidRPr="00511330">
              <w:rPr>
                <w:rFonts w:ascii="Times New Roman" w:eastAsia="Calibri" w:hAnsi="Times New Roman" w:cs="Times New Roman"/>
                <w:lang w:val="en-US" w:bidi="ar-AE"/>
              </w:rPr>
              <w:t>nd Development</w:t>
            </w:r>
          </w:p>
        </w:tc>
      </w:tr>
      <w:tr w:rsidR="00112CA1" w:rsidRPr="00511330" w14:paraId="62731922" w14:textId="77777777" w:rsidTr="009D104A">
        <w:tc>
          <w:tcPr>
            <w:tcW w:w="7374" w:type="dxa"/>
            <w:shd w:val="clear" w:color="auto" w:fill="auto"/>
            <w:vAlign w:val="center"/>
          </w:tcPr>
          <w:p w14:paraId="0148D72A" w14:textId="383B433E" w:rsidR="00112CA1" w:rsidRPr="00511330" w:rsidRDefault="00112CA1" w:rsidP="00112CA1">
            <w:pPr>
              <w:ind w:right="-450"/>
              <w:rPr>
                <w:rFonts w:ascii="Times New Roman" w:hAnsi="Times New Roman" w:cs="Times New Roman"/>
                <w:lang w:val="en-US"/>
              </w:rPr>
            </w:pPr>
            <w:r w:rsidRPr="00511330">
              <w:rPr>
                <w:rFonts w:ascii="Times New Roman" w:eastAsia="Times New Roman" w:hAnsi="Times New Roman" w:cs="Times New Roman"/>
                <w:lang w:val="en-US"/>
              </w:rPr>
              <w:t>RE</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Renewable Energy</w:t>
            </w:r>
          </w:p>
        </w:tc>
      </w:tr>
      <w:tr w:rsidR="00112CA1" w:rsidRPr="00511330" w14:paraId="3DE776AD" w14:textId="77777777" w:rsidTr="009D104A">
        <w:tc>
          <w:tcPr>
            <w:tcW w:w="7374" w:type="dxa"/>
            <w:shd w:val="clear" w:color="auto" w:fill="auto"/>
            <w:vAlign w:val="center"/>
          </w:tcPr>
          <w:p w14:paraId="5B8950A3" w14:textId="73C08F2E" w:rsidR="00112CA1" w:rsidRPr="00511330" w:rsidRDefault="00112CA1" w:rsidP="00112CA1">
            <w:pPr>
              <w:ind w:right="-450"/>
              <w:rPr>
                <w:rFonts w:ascii="Times New Roman" w:eastAsia="Times New Roman" w:hAnsi="Times New Roman" w:cs="Times New Roman"/>
                <w:lang w:val="en-US"/>
              </w:rPr>
            </w:pPr>
            <w:r w:rsidRPr="00511330">
              <w:rPr>
                <w:rFonts w:ascii="Times New Roman" w:hAnsi="Times New Roman" w:cs="Times New Roman"/>
                <w:lang w:val="en-US"/>
              </w:rPr>
              <w:t xml:space="preserve">RET </w:t>
            </w:r>
            <w:r w:rsidRPr="00511330">
              <w:rPr>
                <w:rFonts w:ascii="Times New Roman" w:eastAsia="Calibri" w:hAnsi="Times New Roman" w:cs="Times New Roman"/>
                <w:lang w:val="en-US" w:bidi="ar-AE"/>
              </w:rPr>
              <w:tab/>
            </w:r>
            <w:r w:rsidRPr="00511330">
              <w:rPr>
                <w:rFonts w:ascii="Times New Roman" w:eastAsia="Calibri" w:hAnsi="Times New Roman" w:cs="Times New Roman"/>
                <w:lang w:val="en-US" w:bidi="ar-AE"/>
              </w:rPr>
              <w:tab/>
            </w:r>
            <w:r w:rsidRPr="00511330">
              <w:rPr>
                <w:rFonts w:ascii="Times New Roman" w:eastAsia="Times New Roman" w:hAnsi="Times New Roman" w:cs="Times New Roman"/>
                <w:lang w:val="en-US"/>
              </w:rPr>
              <w:tab/>
            </w:r>
            <w:r w:rsidRPr="00511330">
              <w:rPr>
                <w:rFonts w:ascii="Times New Roman" w:hAnsi="Times New Roman" w:cs="Times New Roman"/>
                <w:lang w:val="en-US"/>
              </w:rPr>
              <w:t>Renewable Energy Transfer</w:t>
            </w:r>
          </w:p>
        </w:tc>
      </w:tr>
      <w:tr w:rsidR="00112CA1" w:rsidRPr="00511330" w14:paraId="2BE883E3" w14:textId="77777777" w:rsidTr="009D104A">
        <w:tc>
          <w:tcPr>
            <w:tcW w:w="7374" w:type="dxa"/>
            <w:shd w:val="clear" w:color="auto" w:fill="auto"/>
            <w:vAlign w:val="center"/>
          </w:tcPr>
          <w:p w14:paraId="50A38314" w14:textId="12186B57" w:rsidR="00112CA1" w:rsidRPr="00511330" w:rsidRDefault="00112CA1" w:rsidP="00112CA1">
            <w:pPr>
              <w:ind w:right="-450"/>
              <w:rPr>
                <w:rFonts w:ascii="Times New Roman" w:eastAsia="Times New Roman" w:hAnsi="Times New Roman" w:cs="Times New Roman"/>
                <w:lang w:val="en-US"/>
              </w:rPr>
            </w:pPr>
            <w:r w:rsidRPr="00511330">
              <w:rPr>
                <w:rFonts w:ascii="Times New Roman" w:eastAsia="Calibri" w:hAnsi="Times New Roman" w:cs="Times New Roman"/>
                <w:lang w:val="en-US" w:bidi="ar-AE"/>
              </w:rPr>
              <w:t xml:space="preserve">RMSEA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R</w:t>
            </w:r>
            <w:r w:rsidRPr="00511330">
              <w:rPr>
                <w:rFonts w:ascii="Times New Roman" w:eastAsia="Calibri" w:hAnsi="Times New Roman" w:cs="Times New Roman"/>
                <w:lang w:val="en-US" w:bidi="ar-AE"/>
              </w:rPr>
              <w:t>oot Mean Square Error of Approximation</w:t>
            </w:r>
          </w:p>
        </w:tc>
      </w:tr>
      <w:tr w:rsidR="00112CA1" w:rsidRPr="00511330" w14:paraId="755473C1" w14:textId="77777777" w:rsidTr="009D104A">
        <w:tc>
          <w:tcPr>
            <w:tcW w:w="7374" w:type="dxa"/>
            <w:shd w:val="clear" w:color="auto" w:fill="auto"/>
            <w:vAlign w:val="center"/>
          </w:tcPr>
          <w:p w14:paraId="3B819596" w14:textId="74DD613E" w:rsidR="00112CA1" w:rsidRPr="00511330" w:rsidRDefault="002C40BC" w:rsidP="002C40BC">
            <w:pPr>
              <w:rPr>
                <w:rFonts w:ascii="Times New Roman" w:eastAsia="Calibri" w:hAnsi="Times New Roman" w:cs="Times New Roman"/>
                <w:lang w:val="en-US" w:bidi="ar-AE"/>
              </w:rPr>
            </w:pPr>
            <w:r w:rsidRPr="00511330">
              <w:rPr>
                <w:rFonts w:ascii="Times New Roman" w:hAnsi="Times New Roman" w:cs="Times New Roman"/>
              </w:rPr>
              <w:t>ROI</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 xml:space="preserve">Return </w:t>
            </w:r>
            <w:r w:rsidRPr="00511330">
              <w:rPr>
                <w:rFonts w:ascii="Times New Roman" w:hAnsi="Times New Roman" w:cs="Times New Roman"/>
              </w:rPr>
              <w:t>On Investment</w:t>
            </w:r>
          </w:p>
        </w:tc>
      </w:tr>
      <w:tr w:rsidR="002C40BC" w:rsidRPr="00511330" w14:paraId="048716E1" w14:textId="77777777" w:rsidTr="009D104A">
        <w:tc>
          <w:tcPr>
            <w:tcW w:w="7374" w:type="dxa"/>
            <w:shd w:val="clear" w:color="auto" w:fill="auto"/>
            <w:vAlign w:val="center"/>
          </w:tcPr>
          <w:p w14:paraId="7242B783" w14:textId="3D81FB0D" w:rsidR="002C40BC" w:rsidRPr="00511330" w:rsidRDefault="002C40BC" w:rsidP="002C40BC">
            <w:pPr>
              <w:rPr>
                <w:rFonts w:ascii="Times New Roman" w:hAnsi="Times New Roman" w:cs="Times New Roman"/>
              </w:rPr>
            </w:pPr>
            <w:r w:rsidRPr="00511330">
              <w:rPr>
                <w:rFonts w:ascii="Times New Roman" w:hAnsi="Times New Roman" w:cs="Times New Roman"/>
              </w:rPr>
              <w:t xml:space="preserve">SCM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hAnsi="Times New Roman" w:cs="Times New Roman"/>
              </w:rPr>
              <w:t>Supply Chain Management.</w:t>
            </w:r>
          </w:p>
        </w:tc>
      </w:tr>
      <w:tr w:rsidR="002C40BC" w:rsidRPr="00511330" w14:paraId="32D1F44F" w14:textId="77777777" w:rsidTr="009D104A">
        <w:tc>
          <w:tcPr>
            <w:tcW w:w="7374" w:type="dxa"/>
            <w:shd w:val="clear" w:color="auto" w:fill="auto"/>
            <w:vAlign w:val="center"/>
          </w:tcPr>
          <w:p w14:paraId="1FE1C1BB" w14:textId="3ED4D7E2" w:rsidR="002C40BC" w:rsidRPr="00511330" w:rsidRDefault="002C40BC" w:rsidP="002C40BC">
            <w:pPr>
              <w:rPr>
                <w:rFonts w:ascii="Times New Roman" w:hAnsi="Times New Roman" w:cs="Times New Roman"/>
              </w:rPr>
            </w:pPr>
            <w:r w:rsidRPr="00511330">
              <w:rPr>
                <w:rFonts w:ascii="Times New Roman" w:hAnsi="Times New Roman" w:cs="Times New Roman"/>
              </w:rPr>
              <w:t>SD</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hAnsi="Times New Roman" w:cs="Times New Roman"/>
              </w:rPr>
              <w:t>Sustainable Development</w:t>
            </w:r>
          </w:p>
        </w:tc>
      </w:tr>
      <w:tr w:rsidR="00112CA1" w:rsidRPr="00511330" w14:paraId="1BCA29B4" w14:textId="77777777" w:rsidTr="009D104A">
        <w:tc>
          <w:tcPr>
            <w:tcW w:w="7374" w:type="dxa"/>
            <w:shd w:val="clear" w:color="auto" w:fill="auto"/>
            <w:vAlign w:val="center"/>
          </w:tcPr>
          <w:p w14:paraId="53F291A4" w14:textId="35854887" w:rsidR="00112CA1" w:rsidRPr="00511330" w:rsidRDefault="00112CA1" w:rsidP="00112CA1">
            <w:pPr>
              <w:ind w:right="-450"/>
              <w:rPr>
                <w:rFonts w:ascii="Times New Roman" w:eastAsia="Times New Roman" w:hAnsi="Times New Roman" w:cs="Times New Roman"/>
                <w:lang w:val="en-US"/>
              </w:rPr>
            </w:pPr>
            <w:r w:rsidRPr="00511330">
              <w:rPr>
                <w:rFonts w:ascii="Times New Roman" w:hAnsi="Times New Roman" w:cs="Times New Roman"/>
                <w:lang w:val="en-US"/>
              </w:rPr>
              <w:t>SEM</w:t>
            </w:r>
            <w:r w:rsidRPr="00511330">
              <w:rPr>
                <w:rFonts w:ascii="Times New Roman" w:hAnsi="Times New Roman" w:cs="Times New Roman"/>
                <w:lang w:val="en-US"/>
              </w:rPr>
              <w:tab/>
            </w:r>
            <w:r w:rsidRPr="00511330">
              <w:rPr>
                <w:rFonts w:ascii="Times New Roman" w:hAnsi="Times New Roman" w:cs="Times New Roman"/>
                <w:lang w:val="en-US"/>
              </w:rPr>
              <w:tab/>
            </w:r>
            <w:r w:rsidRPr="00511330">
              <w:rPr>
                <w:rFonts w:ascii="Times New Roman" w:hAnsi="Times New Roman" w:cs="Times New Roman"/>
                <w:lang w:val="en-US"/>
              </w:rPr>
              <w:tab/>
              <w:t>Structural Equation Modelling</w:t>
            </w:r>
          </w:p>
        </w:tc>
      </w:tr>
      <w:tr w:rsidR="00112CA1" w:rsidRPr="00511330" w14:paraId="319B7AD8" w14:textId="77777777" w:rsidTr="009D104A">
        <w:tc>
          <w:tcPr>
            <w:tcW w:w="7374" w:type="dxa"/>
            <w:shd w:val="clear" w:color="auto" w:fill="auto"/>
            <w:vAlign w:val="center"/>
          </w:tcPr>
          <w:p w14:paraId="3227880F" w14:textId="72B2ECDA" w:rsidR="00112CA1" w:rsidRPr="00511330" w:rsidRDefault="00112CA1" w:rsidP="00112CA1">
            <w:pPr>
              <w:ind w:right="-450"/>
              <w:rPr>
                <w:rFonts w:ascii="Times New Roman" w:eastAsia="Times New Roman" w:hAnsi="Times New Roman" w:cs="Times New Roman"/>
                <w:lang w:val="en-US"/>
              </w:rPr>
            </w:pPr>
            <w:r w:rsidRPr="00511330">
              <w:rPr>
                <w:rFonts w:ascii="Times New Roman" w:eastAsia="Times New Roman" w:hAnsi="Times New Roman" w:cs="Times New Roman"/>
                <w:lang w:val="en-US"/>
              </w:rPr>
              <w:t xml:space="preserve">SEWA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009522B8" w:rsidRPr="00511330">
              <w:rPr>
                <w:rFonts w:ascii="Times New Roman" w:eastAsia="Times New Roman" w:hAnsi="Times New Roman" w:cs="Times New Roman"/>
                <w:lang w:val="en-US"/>
              </w:rPr>
              <w:t xml:space="preserve"> </w:t>
            </w:r>
            <w:r w:rsidR="009522B8" w:rsidRPr="00511330">
              <w:rPr>
                <w:rFonts w:eastAsia="Times New Roman"/>
                <w:lang w:val="en-US"/>
              </w:rPr>
              <w:t xml:space="preserve">             </w:t>
            </w:r>
            <w:r w:rsidRPr="00511330">
              <w:rPr>
                <w:rFonts w:ascii="Times New Roman" w:eastAsia="Times New Roman" w:hAnsi="Times New Roman" w:cs="Times New Roman"/>
                <w:lang w:val="en-US"/>
              </w:rPr>
              <w:t>Sharjah Electricity and Water Authority</w:t>
            </w:r>
          </w:p>
        </w:tc>
      </w:tr>
      <w:tr w:rsidR="00112CA1" w:rsidRPr="00511330" w14:paraId="3793A09C" w14:textId="77777777" w:rsidTr="009D104A">
        <w:tc>
          <w:tcPr>
            <w:tcW w:w="7374" w:type="dxa"/>
            <w:shd w:val="clear" w:color="auto" w:fill="auto"/>
            <w:vAlign w:val="center"/>
          </w:tcPr>
          <w:p w14:paraId="73EF1F60" w14:textId="3CD1EFF0" w:rsidR="00112CA1" w:rsidRPr="00511330" w:rsidRDefault="00920E68" w:rsidP="00920E68">
            <w:pPr>
              <w:rPr>
                <w:rFonts w:ascii="Times New Roman" w:eastAsia="Times New Roman" w:hAnsi="Times New Roman" w:cs="Times New Roman"/>
              </w:rPr>
            </w:pPr>
            <w:r w:rsidRPr="00511330">
              <w:rPr>
                <w:rFonts w:ascii="Times New Roman" w:hAnsi="Times New Roman" w:cs="Times New Roman"/>
                <w:lang w:val="en-US"/>
              </w:rPr>
              <w:t>SPSS</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hAnsi="Times New Roman" w:cs="Times New Roman"/>
                <w:lang w:val="en-US"/>
              </w:rPr>
              <w:t xml:space="preserve">Statistical Package for Social Sciences </w:t>
            </w:r>
          </w:p>
        </w:tc>
      </w:tr>
      <w:tr w:rsidR="00112CA1" w:rsidRPr="00511330" w14:paraId="7DA8AB96" w14:textId="77777777" w:rsidTr="009D104A">
        <w:tc>
          <w:tcPr>
            <w:tcW w:w="7374" w:type="dxa"/>
            <w:shd w:val="clear" w:color="auto" w:fill="auto"/>
            <w:vAlign w:val="center"/>
          </w:tcPr>
          <w:p w14:paraId="39549A1A" w14:textId="20CE4E2F" w:rsidR="00112CA1" w:rsidRPr="00511330" w:rsidRDefault="00112CA1" w:rsidP="00112CA1">
            <w:pPr>
              <w:ind w:right="-450"/>
              <w:rPr>
                <w:rFonts w:ascii="Times New Roman" w:eastAsia="Times New Roman" w:hAnsi="Times New Roman" w:cs="Times New Roman"/>
                <w:lang w:val="en-US"/>
              </w:rPr>
            </w:pPr>
            <w:r w:rsidRPr="00511330">
              <w:rPr>
                <w:rFonts w:ascii="Times New Roman" w:eastAsia="Times New Roman" w:hAnsi="Times New Roman" w:cs="Times New Roman"/>
                <w:lang w:val="en-US"/>
              </w:rPr>
              <w:t xml:space="preserve">TEFV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Trust and evolving with future visions</w:t>
            </w:r>
          </w:p>
        </w:tc>
      </w:tr>
      <w:tr w:rsidR="00112CA1" w:rsidRPr="00511330" w14:paraId="2582AA5C" w14:textId="77777777" w:rsidTr="009D104A">
        <w:tc>
          <w:tcPr>
            <w:tcW w:w="7374" w:type="dxa"/>
            <w:shd w:val="clear" w:color="auto" w:fill="auto"/>
            <w:vAlign w:val="center"/>
          </w:tcPr>
          <w:p w14:paraId="7FBA34A5" w14:textId="0BEFD1C0" w:rsidR="00112CA1" w:rsidRPr="00511330" w:rsidRDefault="00112CA1" w:rsidP="00112CA1">
            <w:pPr>
              <w:ind w:right="-450"/>
              <w:rPr>
                <w:rFonts w:ascii="Times New Roman" w:eastAsia="Times New Roman" w:hAnsi="Times New Roman" w:cs="Times New Roman"/>
                <w:lang w:val="en-US"/>
              </w:rPr>
            </w:pPr>
            <w:r w:rsidRPr="00511330">
              <w:rPr>
                <w:rFonts w:ascii="Times New Roman" w:eastAsia="Calibri" w:hAnsi="Times New Roman" w:cs="Times New Roman"/>
                <w:lang w:val="en-US" w:bidi="ar-AE"/>
              </w:rPr>
              <w:t xml:space="preserve">TLI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Calibri" w:hAnsi="Times New Roman" w:cs="Times New Roman"/>
                <w:lang w:val="en-US" w:bidi="ar-AE"/>
              </w:rPr>
              <w:t>Tucker–Lewis Index</w:t>
            </w:r>
          </w:p>
        </w:tc>
      </w:tr>
      <w:tr w:rsidR="00112CA1" w:rsidRPr="00511330" w14:paraId="6AB1567F" w14:textId="77777777" w:rsidTr="009D104A">
        <w:tc>
          <w:tcPr>
            <w:tcW w:w="7374" w:type="dxa"/>
            <w:shd w:val="clear" w:color="auto" w:fill="auto"/>
            <w:vAlign w:val="center"/>
          </w:tcPr>
          <w:p w14:paraId="7CF8AA7C" w14:textId="2175C33E" w:rsidR="00112CA1" w:rsidRPr="00511330" w:rsidRDefault="00112CA1" w:rsidP="00112CA1">
            <w:pPr>
              <w:ind w:right="-450"/>
              <w:rPr>
                <w:rFonts w:ascii="Times New Roman" w:eastAsia="Times New Roman" w:hAnsi="Times New Roman" w:cs="Times New Roman"/>
                <w:lang w:val="en-US"/>
              </w:rPr>
            </w:pPr>
            <w:r w:rsidRPr="00511330">
              <w:rPr>
                <w:rFonts w:ascii="Times New Roman" w:eastAsia="Times New Roman" w:hAnsi="Times New Roman" w:cs="Times New Roman"/>
                <w:lang w:val="en-US"/>
              </w:rPr>
              <w:t xml:space="preserve">UAE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United Arab Emirates</w:t>
            </w:r>
          </w:p>
        </w:tc>
      </w:tr>
      <w:tr w:rsidR="00112CA1" w:rsidRPr="00511330" w14:paraId="747B5D20" w14:textId="77777777" w:rsidTr="009D104A">
        <w:tc>
          <w:tcPr>
            <w:tcW w:w="7374" w:type="dxa"/>
            <w:shd w:val="clear" w:color="auto" w:fill="auto"/>
            <w:vAlign w:val="center"/>
          </w:tcPr>
          <w:p w14:paraId="0365D3CF" w14:textId="3BB085EB" w:rsidR="00112CA1" w:rsidRPr="00511330" w:rsidRDefault="00112CA1" w:rsidP="00112CA1">
            <w:pPr>
              <w:ind w:right="-450"/>
              <w:rPr>
                <w:rFonts w:ascii="Times New Roman" w:eastAsia="Times New Roman" w:hAnsi="Times New Roman" w:cs="Times New Roman"/>
                <w:lang w:val="en-US"/>
              </w:rPr>
            </w:pPr>
            <w:r w:rsidRPr="00511330">
              <w:rPr>
                <w:rFonts w:ascii="Times New Roman" w:eastAsia="Calibri" w:hAnsi="Times New Roman" w:cs="Times New Roman"/>
                <w:lang w:val="en-US" w:bidi="ar-AE"/>
              </w:rPr>
              <w:t xml:space="preserve">UO </w:t>
            </w:r>
            <w:r w:rsidRPr="00511330">
              <w:rPr>
                <w:rFonts w:ascii="Times New Roman" w:eastAsia="Calibri" w:hAnsi="Times New Roman" w:cs="Times New Roman"/>
                <w:lang w:val="en-US" w:bidi="ar-AE"/>
              </w:rPr>
              <w:tab/>
            </w:r>
            <w:r w:rsidRPr="00511330">
              <w:rPr>
                <w:rFonts w:ascii="Times New Roman" w:eastAsia="Calibri" w:hAnsi="Times New Roman" w:cs="Times New Roman"/>
                <w:lang w:val="en-US" w:bidi="ar-AE"/>
              </w:rPr>
              <w:tab/>
            </w:r>
            <w:r w:rsidRPr="00511330">
              <w:rPr>
                <w:rFonts w:ascii="Times New Roman" w:eastAsia="Times New Roman" w:hAnsi="Times New Roman" w:cs="Times New Roman"/>
                <w:lang w:val="en-US"/>
              </w:rPr>
              <w:tab/>
            </w:r>
            <w:r w:rsidRPr="00511330">
              <w:rPr>
                <w:rFonts w:ascii="Times New Roman" w:eastAsia="Calibri" w:hAnsi="Times New Roman" w:cs="Times New Roman"/>
                <w:lang w:val="en-US" w:bidi="ar-AE"/>
              </w:rPr>
              <w:t>Uncertain Objectives</w:t>
            </w:r>
          </w:p>
        </w:tc>
      </w:tr>
      <w:tr w:rsidR="00B92935" w:rsidRPr="00511330" w14:paraId="70F76871" w14:textId="77777777" w:rsidTr="002D5F34">
        <w:tc>
          <w:tcPr>
            <w:tcW w:w="7374" w:type="dxa"/>
            <w:shd w:val="clear" w:color="auto" w:fill="auto"/>
          </w:tcPr>
          <w:p w14:paraId="1709E087" w14:textId="09A08EBE" w:rsidR="00B92935" w:rsidRPr="00511330" w:rsidRDefault="00DD7CA1" w:rsidP="00DD7CA1">
            <w:pPr>
              <w:ind w:right="-450"/>
              <w:rPr>
                <w:rFonts w:ascii="Times New Roman" w:eastAsia="Times New Roman" w:hAnsi="Times New Roman" w:cs="Times New Roman"/>
                <w:lang w:val="en-US"/>
              </w:rPr>
            </w:pPr>
            <w:r w:rsidRPr="00511330">
              <w:rPr>
                <w:rFonts w:ascii="Times New Roman" w:hAnsi="Times New Roman" w:cs="Times New Roman"/>
              </w:rPr>
              <w:t>WEF</w:t>
            </w:r>
            <w:r w:rsidRPr="00511330">
              <w:rPr>
                <w:rFonts w:ascii="Times New Roman" w:eastAsia="Calibri" w:hAnsi="Times New Roman" w:cs="Times New Roman"/>
                <w:lang w:val="en-US" w:bidi="ar-AE"/>
              </w:rPr>
              <w:tab/>
            </w:r>
            <w:r w:rsidRPr="00511330">
              <w:rPr>
                <w:rFonts w:ascii="Times New Roman" w:eastAsia="Calibri" w:hAnsi="Times New Roman" w:cs="Times New Roman"/>
                <w:lang w:val="en-US" w:bidi="ar-AE"/>
              </w:rPr>
              <w:tab/>
            </w:r>
            <w:r w:rsidRPr="00511330">
              <w:rPr>
                <w:rFonts w:ascii="Times New Roman" w:eastAsia="Times New Roman" w:hAnsi="Times New Roman" w:cs="Times New Roman"/>
                <w:lang w:val="en-US"/>
              </w:rPr>
              <w:tab/>
            </w:r>
            <w:r w:rsidR="00B92935" w:rsidRPr="00511330">
              <w:rPr>
                <w:rFonts w:ascii="Times New Roman" w:hAnsi="Times New Roman" w:cs="Times New Roman"/>
              </w:rPr>
              <w:t>World Economic Forum</w:t>
            </w:r>
          </w:p>
        </w:tc>
      </w:tr>
      <w:tr w:rsidR="00112CA1" w:rsidRPr="00511330" w14:paraId="70E8E7D9" w14:textId="77777777" w:rsidTr="009D104A">
        <w:tc>
          <w:tcPr>
            <w:tcW w:w="7374" w:type="dxa"/>
            <w:shd w:val="clear" w:color="auto" w:fill="auto"/>
            <w:vAlign w:val="center"/>
          </w:tcPr>
          <w:p w14:paraId="337A2BA3" w14:textId="734AEFE0" w:rsidR="00112CA1" w:rsidRPr="00511330" w:rsidRDefault="002C40BC" w:rsidP="002C40BC">
            <w:pPr>
              <w:rPr>
                <w:rFonts w:ascii="Times New Roman" w:eastAsia="Times New Roman" w:hAnsi="Times New Roman" w:cs="Times New Roman"/>
                <w:lang w:val="en-US"/>
              </w:rPr>
            </w:pPr>
            <w:r w:rsidRPr="00511330">
              <w:rPr>
                <w:rFonts w:ascii="Times New Roman" w:hAnsi="Times New Roman" w:cs="Times New Roman"/>
              </w:rPr>
              <w:t>WSC</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hAnsi="Times New Roman" w:cs="Times New Roman"/>
              </w:rPr>
              <w:t xml:space="preserve">World Sustainable Capital </w:t>
            </w:r>
          </w:p>
        </w:tc>
      </w:tr>
      <w:tr w:rsidR="00112CA1" w:rsidRPr="00511330" w14:paraId="299E1E21" w14:textId="77777777" w:rsidTr="009D104A">
        <w:tc>
          <w:tcPr>
            <w:tcW w:w="7374" w:type="dxa"/>
            <w:shd w:val="clear" w:color="auto" w:fill="auto"/>
            <w:vAlign w:val="center"/>
          </w:tcPr>
          <w:p w14:paraId="1768C6C4" w14:textId="12C59920" w:rsidR="00112CA1" w:rsidRPr="00511330" w:rsidRDefault="00112CA1" w:rsidP="00112CA1">
            <w:pPr>
              <w:ind w:right="-450"/>
              <w:rPr>
                <w:rFonts w:ascii="Times New Roman" w:eastAsia="Times New Roman" w:hAnsi="Times New Roman" w:cs="Times New Roman"/>
                <w:lang w:val="en-US"/>
              </w:rPr>
            </w:pPr>
            <w:r w:rsidRPr="00511330">
              <w:rPr>
                <w:rFonts w:ascii="Times New Roman" w:eastAsia="Times New Roman" w:hAnsi="Times New Roman" w:cs="Times New Roman"/>
                <w:lang w:val="en-US"/>
              </w:rPr>
              <w:t xml:space="preserve">χ2/df </w:t>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r>
            <w:r w:rsidRPr="00511330">
              <w:rPr>
                <w:rFonts w:ascii="Times New Roman" w:eastAsia="Times New Roman" w:hAnsi="Times New Roman" w:cs="Times New Roman"/>
                <w:lang w:val="en-US"/>
              </w:rPr>
              <w:tab/>
              <w:t>Normed Chi-Square Statistic</w:t>
            </w:r>
          </w:p>
        </w:tc>
      </w:tr>
    </w:tbl>
    <w:p w14:paraId="64416130" w14:textId="77777777" w:rsidR="008D3598" w:rsidRPr="00511330" w:rsidRDefault="008D3598" w:rsidP="00721566">
      <w:pPr>
        <w:ind w:right="-450"/>
        <w:jc w:val="center"/>
        <w:rPr>
          <w:rFonts w:asciiTheme="majorBidi" w:hAnsiTheme="majorBidi" w:cstheme="majorBidi"/>
          <w:b/>
          <w:bCs/>
          <w:sz w:val="32"/>
          <w:szCs w:val="32"/>
          <w:lang w:val="en-US"/>
        </w:rPr>
      </w:pPr>
    </w:p>
    <w:p w14:paraId="2E481BC2" w14:textId="77777777" w:rsidR="009522B8" w:rsidRPr="00511330" w:rsidRDefault="009522B8">
      <w:pPr>
        <w:rPr>
          <w:rFonts w:ascii="Times New Roman" w:eastAsia="Times New Roman" w:hAnsi="Times New Roman" w:cs="Times New Roman"/>
          <w:b/>
          <w:bCs/>
          <w:kern w:val="36"/>
          <w:sz w:val="32"/>
          <w:szCs w:val="32"/>
          <w:lang w:val="en-US" w:eastAsia="en-GB"/>
        </w:rPr>
      </w:pPr>
      <w:r w:rsidRPr="00511330">
        <w:rPr>
          <w:szCs w:val="32"/>
          <w:lang w:val="en-US"/>
        </w:rPr>
        <w:br w:type="page"/>
      </w:r>
    </w:p>
    <w:p w14:paraId="64416132" w14:textId="23988C39" w:rsidR="008D3598" w:rsidRPr="00511330" w:rsidRDefault="008D3598" w:rsidP="00721566">
      <w:pPr>
        <w:pStyle w:val="Heading1"/>
        <w:ind w:right="-450"/>
        <w:rPr>
          <w:szCs w:val="32"/>
          <w:rtl/>
          <w:lang w:val="en-US" w:bidi="ar-AE"/>
        </w:rPr>
      </w:pPr>
      <w:bookmarkStart w:id="20" w:name="_Toc43311592"/>
      <w:r w:rsidRPr="00511330">
        <w:rPr>
          <w:szCs w:val="32"/>
          <w:lang w:val="en-US"/>
        </w:rPr>
        <w:lastRenderedPageBreak/>
        <w:t>ABSTRACT</w:t>
      </w:r>
      <w:bookmarkEnd w:id="20"/>
    </w:p>
    <w:p w14:paraId="64416133" w14:textId="77777777" w:rsidR="008D3598" w:rsidRPr="00511330" w:rsidRDefault="008D3598" w:rsidP="00721566">
      <w:pPr>
        <w:spacing w:after="0"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Change management (CM) has been a persistent issue subject among organizations. The genesis of basic arguments pertains to how and why organizations manage change</w:t>
      </w:r>
      <w:r w:rsidRPr="00511330" w:rsidDel="00FA406C">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However, CM is crucial for the success and survival of an organization in both highly competitive local and evolving global markets. The general perception of the usefulness of change or the goals of CM varies among stakeholders, namely employees, top management, as well as customers and governments. In addition to exploring this issue, the present research identifies the motivators, enablers, and barriers of CM in the energy sector by focusing on different stakeholder categories: customers, employees, top management, and government. CM-related critical facilitating and barricading factors are explored with a structured method after taking into account the perspective of all stakeholders. </w:t>
      </w:r>
    </w:p>
    <w:p w14:paraId="64416134" w14:textId="5D5C7CA6" w:rsidR="008D3598" w:rsidRPr="00511330" w:rsidRDefault="008D3598" w:rsidP="00721566">
      <w:pPr>
        <w:spacing w:after="0"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A total of 75 face-to-face interviews carried out in four different pioneer energy organizations where information was extracted and they were coded in commonality analysis. The research used a well-known web-based surveying instrument to gather data in multiple</w:t>
      </w:r>
      <w:r w:rsidR="00D6782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choice answers from stakeholders in the mass renewable energy, industry where all answers were summoned into formidable statistics of each answered survey question. According to the findings, all the stakeholders commonly perceive that </w:t>
      </w:r>
      <w:bookmarkStart w:id="21" w:name="_Hlk31486662"/>
    </w:p>
    <w:p w14:paraId="64416135" w14:textId="0C8EB7DB" w:rsidR="008D3598" w:rsidRPr="00511330" w:rsidRDefault="008D3598" w:rsidP="00721566">
      <w:pPr>
        <w:spacing w:after="0" w:line="480" w:lineRule="auto"/>
        <w:ind w:right="-450"/>
        <w:jc w:val="both"/>
        <w:rPr>
          <w:rFonts w:asciiTheme="majorBidi" w:hAnsiTheme="majorBidi" w:cstheme="majorBidi"/>
          <w:sz w:val="24"/>
          <w:szCs w:val="24"/>
          <w:lang w:val="en-US"/>
        </w:rPr>
      </w:pPr>
      <w:r w:rsidRPr="00511330">
        <w:rPr>
          <w:rFonts w:asciiTheme="majorBidi" w:eastAsia="Calibri" w:hAnsiTheme="majorBidi" w:cstheme="majorBidi"/>
          <w:sz w:val="24"/>
          <w:szCs w:val="24"/>
          <w:lang w:val="en-US"/>
        </w:rPr>
        <w:t>Affiliate viability, Feasibility and satisfactory, Trust and evolving with future visions, and aligning perpetual change and Sustainability emerged as</w:t>
      </w:r>
      <w:r w:rsidRPr="00511330">
        <w:rPr>
          <w:rFonts w:asciiTheme="majorBidi" w:hAnsiTheme="majorBidi" w:cstheme="majorBidi"/>
          <w:sz w:val="24"/>
          <w:szCs w:val="24"/>
          <w:lang w:val="en-US"/>
        </w:rPr>
        <w:t xml:space="preserve"> the top motives. Meanwhile, Engagement and Support, Alignment of Strategy, Resources and Capabilities, Flexibility</w:t>
      </w:r>
      <w:r w:rsidR="00D6782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Feedback were highlighted as enablers, whereas </w:t>
      </w:r>
      <w:r w:rsidRPr="00511330">
        <w:rPr>
          <w:rFonts w:asciiTheme="majorBidi" w:hAnsiTheme="majorBidi" w:cstheme="majorBidi"/>
          <w:sz w:val="24"/>
          <w:szCs w:val="24"/>
          <w:lang w:val="en-US"/>
        </w:rPr>
        <w:lastRenderedPageBreak/>
        <w:t>fear and negative perception, feeble communication, conflict of working force commitment</w:t>
      </w:r>
      <w:r w:rsidR="00D6782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uncertain objectives outlined as the highest factors of barriers</w:t>
      </w:r>
      <w:bookmarkEnd w:id="21"/>
      <w:r w:rsidRPr="00511330">
        <w:rPr>
          <w:rFonts w:asciiTheme="majorBidi" w:hAnsiTheme="majorBidi" w:cstheme="majorBidi"/>
          <w:sz w:val="24"/>
          <w:szCs w:val="24"/>
          <w:lang w:val="en-US"/>
        </w:rPr>
        <w:t>.</w:t>
      </w:r>
    </w:p>
    <w:p w14:paraId="64416136" w14:textId="1F5111B4" w:rsidR="008D3598" w:rsidRPr="00511330" w:rsidRDefault="008D3598" w:rsidP="00721566">
      <w:pPr>
        <w:spacing w:after="0"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With due consideration afforded to each stakeholder, a wide-range commonality analysis shows all stakeholders’ perceptions of what drives, inhibits</w:t>
      </w:r>
      <w:r w:rsidR="00D6782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facilitates CM initiatives For energy companies, it would be more beneficial to balance all stakeholders’ anticipations to enable successful and sustainable CM to renewable energy. This study is among the first in the region’s energy sector to have a broad stakeholder perspective for </w:t>
      </w:r>
      <w:r w:rsidRPr="00511330">
        <w:rPr>
          <w:rFonts w:asciiTheme="majorBidi" w:hAnsiTheme="majorBidi" w:cstheme="majorBidi"/>
          <w:bCs/>
          <w:iCs/>
          <w:sz w:val="24"/>
          <w:szCs w:val="24"/>
          <w:lang w:val="en-US"/>
        </w:rPr>
        <w:t xml:space="preserve">motivators, enablers, and barriers of CM towards </w:t>
      </w:r>
      <w:r w:rsidR="00602F52" w:rsidRPr="00511330">
        <w:rPr>
          <w:rFonts w:asciiTheme="majorBidi" w:hAnsiTheme="majorBidi" w:cstheme="majorBidi"/>
          <w:bCs/>
          <w:iCs/>
          <w:sz w:val="24"/>
          <w:szCs w:val="24"/>
          <w:lang w:val="en-US"/>
        </w:rPr>
        <w:t>renewable</w:t>
      </w:r>
      <w:r w:rsidRPr="00511330">
        <w:rPr>
          <w:rFonts w:asciiTheme="majorBidi" w:hAnsiTheme="majorBidi" w:cstheme="majorBidi"/>
          <w:bCs/>
          <w:iCs/>
          <w:sz w:val="24"/>
          <w:szCs w:val="24"/>
          <w:lang w:val="en-US"/>
        </w:rPr>
        <w:t xml:space="preserve"> energy.</w:t>
      </w:r>
    </w:p>
    <w:p w14:paraId="64416137" w14:textId="77777777" w:rsidR="008D3598" w:rsidRPr="00511330" w:rsidRDefault="008D3598" w:rsidP="00721566">
      <w:pPr>
        <w:ind w:right="-450"/>
        <w:rPr>
          <w:rFonts w:ascii="Times New Roman" w:eastAsia="Times New Roman" w:hAnsi="Times New Roman" w:cs="Times New Roman"/>
          <w:b/>
          <w:bCs/>
          <w:kern w:val="36"/>
          <w:sz w:val="32"/>
          <w:szCs w:val="32"/>
          <w:lang w:val="en-US" w:eastAsia="en-GB"/>
        </w:rPr>
      </w:pPr>
      <w:r w:rsidRPr="00511330">
        <w:rPr>
          <w:szCs w:val="32"/>
          <w:lang w:val="en-US"/>
        </w:rPr>
        <w:t xml:space="preserve"> </w:t>
      </w:r>
      <w:r w:rsidRPr="00511330">
        <w:rPr>
          <w:szCs w:val="32"/>
          <w:lang w:val="en-US"/>
        </w:rPr>
        <w:br w:type="page"/>
      </w:r>
    </w:p>
    <w:p w14:paraId="64416138" w14:textId="77777777" w:rsidR="008D3598" w:rsidRPr="00511330" w:rsidRDefault="008D3598" w:rsidP="00721566">
      <w:pPr>
        <w:pStyle w:val="Heading1"/>
        <w:ind w:right="-450"/>
        <w:rPr>
          <w:szCs w:val="32"/>
          <w:lang w:val="en-US"/>
        </w:rPr>
      </w:pPr>
      <w:bookmarkStart w:id="22" w:name="_Toc43311593"/>
      <w:r w:rsidRPr="00511330">
        <w:rPr>
          <w:szCs w:val="32"/>
          <w:lang w:val="en-US"/>
        </w:rPr>
        <w:lastRenderedPageBreak/>
        <w:t>ACKNOWLEDGEMENT</w:t>
      </w:r>
      <w:bookmarkEnd w:id="22"/>
    </w:p>
    <w:p w14:paraId="49DF02FC" w14:textId="77777777" w:rsidR="00C656A9" w:rsidRPr="00511330" w:rsidRDefault="00C656A9" w:rsidP="00C656A9">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I would like to express my sincere gratitude to my advisor Dr. Mian Ajmal for the continuous support and guidance throughout the course of my Doctoral study and related research for his motivation, direction, and inspiration. His guidance and valuable insights supported me throughout my research and inspired me to write this dissertation. I could not have envisioned a better advisor and mentor for my Doctoral study. A special debt of gratitude also goes to my dissertation committee members, Prof. Petri Helo for his valuable comments and encouragement, which encouraged me to deepen and widen the scope of my research to areas that were lacking.</w:t>
      </w:r>
    </w:p>
    <w:p w14:paraId="0B8263AD" w14:textId="77777777" w:rsidR="00C656A9" w:rsidRPr="00511330" w:rsidRDefault="00C656A9" w:rsidP="00C656A9">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Furthermore, my extended thanks to my fellow doctoral students for their constant support and continuous feedback with proactive communication. Parallelly, I also express my gratitude to faculty members of Abu Dhabi University whom constantly supporting me and providing me with access to rich materials on library and facilities.</w:t>
      </w:r>
    </w:p>
    <w:p w14:paraId="2436AD6E" w14:textId="77777777" w:rsidR="00C656A9" w:rsidRPr="00511330" w:rsidRDefault="00C656A9" w:rsidP="00C656A9">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I would like to thank my colleagues for supporting me throughout the course. Finally, no words would be able to express my gratitude to my family, and husband, who gave me the necessary time required to complete my studies and encouraged me to give my best efforts.</w:t>
      </w:r>
    </w:p>
    <w:p w14:paraId="60A816AC" w14:textId="77777777" w:rsidR="00C656A9" w:rsidRPr="00511330" w:rsidRDefault="00C656A9" w:rsidP="00C656A9">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Last but not the least, I dedicate my research to all those who have supported me right from childhood and provided me with all necessary things to sustain my life in my country. This research is a small drop in the ocean of my country’s gifts given to me since birth.</w:t>
      </w:r>
    </w:p>
    <w:p w14:paraId="6441613E" w14:textId="77777777" w:rsidR="008D3598" w:rsidRPr="00511330" w:rsidRDefault="008D3598" w:rsidP="00721566">
      <w:pPr>
        <w:pStyle w:val="Heading1"/>
        <w:ind w:right="-450"/>
        <w:rPr>
          <w:lang w:val="en-US"/>
        </w:rPr>
      </w:pPr>
      <w:bookmarkStart w:id="23" w:name="_Toc43311594"/>
      <w:r w:rsidRPr="00511330">
        <w:rPr>
          <w:lang w:val="en-US"/>
        </w:rPr>
        <w:lastRenderedPageBreak/>
        <w:t>STRUCTURE OF THE DESERTATION</w:t>
      </w:r>
      <w:bookmarkEnd w:id="23"/>
    </w:p>
    <w:p w14:paraId="6441613F"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b/>
          <w:bCs/>
          <w:sz w:val="24"/>
          <w:szCs w:val="24"/>
          <w:lang w:val="en-US"/>
        </w:rPr>
        <w:t>CHAPTER 1:</w:t>
      </w:r>
      <w:r w:rsidRPr="00511330">
        <w:rPr>
          <w:rFonts w:asciiTheme="majorBidi" w:hAnsiTheme="majorBidi" w:cstheme="majorBidi"/>
          <w:sz w:val="24"/>
          <w:szCs w:val="24"/>
          <w:lang w:val="en-US"/>
        </w:rPr>
        <w:t xml:space="preserve"> Introduction</w:t>
      </w:r>
    </w:p>
    <w:p w14:paraId="64416140"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b/>
          <w:bCs/>
          <w:sz w:val="24"/>
          <w:szCs w:val="24"/>
          <w:lang w:val="en-US"/>
        </w:rPr>
        <w:t>CHAPTER 2:</w:t>
      </w:r>
      <w:r w:rsidRPr="00511330">
        <w:rPr>
          <w:rFonts w:asciiTheme="majorBidi" w:hAnsiTheme="majorBidi" w:cstheme="majorBidi"/>
          <w:sz w:val="24"/>
          <w:szCs w:val="24"/>
          <w:lang w:val="en-US"/>
        </w:rPr>
        <w:t xml:space="preserve"> Literature Review</w:t>
      </w:r>
    </w:p>
    <w:p w14:paraId="64416141"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b/>
          <w:bCs/>
          <w:sz w:val="24"/>
          <w:szCs w:val="24"/>
          <w:lang w:val="en-US"/>
        </w:rPr>
        <w:t>CHAPTER 3:</w:t>
      </w:r>
      <w:r w:rsidRPr="00511330">
        <w:rPr>
          <w:rFonts w:asciiTheme="majorBidi" w:hAnsiTheme="majorBidi" w:cstheme="majorBidi"/>
          <w:sz w:val="24"/>
          <w:szCs w:val="24"/>
          <w:lang w:val="en-US"/>
        </w:rPr>
        <w:t xml:space="preserve"> Methodology of the Research</w:t>
      </w:r>
    </w:p>
    <w:p w14:paraId="64416142"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b/>
          <w:bCs/>
          <w:sz w:val="24"/>
          <w:szCs w:val="24"/>
          <w:lang w:val="en-US"/>
        </w:rPr>
        <w:t>CHAPTER 4:</w:t>
      </w:r>
      <w:r w:rsidRPr="00511330">
        <w:rPr>
          <w:rFonts w:asciiTheme="majorBidi" w:hAnsiTheme="majorBidi" w:cstheme="majorBidi"/>
          <w:sz w:val="24"/>
          <w:szCs w:val="24"/>
          <w:lang w:val="en-US"/>
        </w:rPr>
        <w:t xml:space="preserve"> Data Analysis and Findings</w:t>
      </w:r>
      <w:r w:rsidRPr="00511330">
        <w:rPr>
          <w:rFonts w:asciiTheme="majorBidi" w:hAnsiTheme="majorBidi" w:cstheme="majorBidi"/>
          <w:b/>
          <w:bCs/>
          <w:sz w:val="24"/>
          <w:szCs w:val="24"/>
          <w:lang w:val="en-US"/>
        </w:rPr>
        <w:t xml:space="preserve"> </w:t>
      </w:r>
    </w:p>
    <w:p w14:paraId="64416143"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b/>
          <w:bCs/>
          <w:sz w:val="24"/>
          <w:szCs w:val="24"/>
          <w:lang w:val="en-US"/>
        </w:rPr>
        <w:t>CHAPTER 5:</w:t>
      </w:r>
      <w:r w:rsidRPr="00511330">
        <w:rPr>
          <w:rFonts w:asciiTheme="majorBidi" w:hAnsiTheme="majorBidi" w:cstheme="majorBidi"/>
          <w:sz w:val="24"/>
          <w:szCs w:val="24"/>
          <w:lang w:val="en-US"/>
        </w:rPr>
        <w:t xml:space="preserve"> Discussion and Conclusion </w:t>
      </w:r>
    </w:p>
    <w:p w14:paraId="5A3E734E" w14:textId="5D031DF5" w:rsidR="00C00ED2" w:rsidRPr="00511330" w:rsidRDefault="008D3598" w:rsidP="002F5870">
      <w:pPr>
        <w:spacing w:line="480" w:lineRule="auto"/>
        <w:ind w:right="-450"/>
        <w:jc w:val="both"/>
        <w:rPr>
          <w:rFonts w:asciiTheme="majorBidi" w:hAnsiTheme="majorBidi" w:cstheme="majorBidi"/>
          <w:sz w:val="24"/>
          <w:szCs w:val="24"/>
          <w:lang w:val="en-US"/>
        </w:rPr>
        <w:sectPr w:rsidR="00C00ED2" w:rsidRPr="00511330" w:rsidSect="00845C47">
          <w:type w:val="oddPage"/>
          <w:pgSz w:w="11906" w:h="16838" w:code="9"/>
          <w:pgMar w:top="1728" w:right="2362" w:bottom="1728" w:left="2160" w:header="706" w:footer="706" w:gutter="0"/>
          <w:pgNumType w:fmt="lowerRoman" w:start="1"/>
          <w:cols w:space="708"/>
          <w:docGrid w:linePitch="360"/>
        </w:sectPr>
      </w:pPr>
      <w:r w:rsidRPr="00511330">
        <w:rPr>
          <w:rFonts w:asciiTheme="majorBidi" w:hAnsiTheme="majorBidi" w:cstheme="majorBidi"/>
          <w:sz w:val="24"/>
          <w:szCs w:val="24"/>
          <w:lang w:val="en-US"/>
        </w:rPr>
        <w:t>The dissertation is structured as follows. Chapter One identifies the statement of the problem, objectives, and purposes of this research. Additionally, it concludes the research justification and objectives from academical and industrial perspectives. Chapter Two includes the literature review of each factor of changed motives, enablers, and barriers. Chapter Three, which discusses the Research Design and Methodology, encompasses the data collection in both qualitative and quantitative methods. On the other hand, Chapter Four explicates the data analysis of findings, while Chapter Five discusses the implications and possible directions of future research by summarizing and providing a succinct conclusion for all factors related to successful impl</w:t>
      </w:r>
      <w:r w:rsidR="00C00ED2" w:rsidRPr="00511330">
        <w:rPr>
          <w:rFonts w:asciiTheme="majorBidi" w:hAnsiTheme="majorBidi" w:cstheme="majorBidi"/>
          <w:sz w:val="24"/>
          <w:szCs w:val="24"/>
          <w:lang w:val="en-US"/>
        </w:rPr>
        <w:t xml:space="preserve">ementation of change management. </w:t>
      </w:r>
    </w:p>
    <w:p w14:paraId="64416149" w14:textId="77777777" w:rsidR="008D3598" w:rsidRPr="00511330" w:rsidRDefault="008D3598" w:rsidP="00721566">
      <w:pPr>
        <w:pStyle w:val="Heading1"/>
        <w:ind w:right="-450"/>
        <w:rPr>
          <w:lang w:val="en-US"/>
        </w:rPr>
      </w:pPr>
      <w:bookmarkStart w:id="24" w:name="_Toc43311595"/>
      <w:r w:rsidRPr="00511330">
        <w:rPr>
          <w:lang w:val="en-US"/>
        </w:rPr>
        <w:lastRenderedPageBreak/>
        <w:t>CHAPTER 1: INTRODUCTION</w:t>
      </w:r>
      <w:bookmarkEnd w:id="24"/>
    </w:p>
    <w:p w14:paraId="6441614A" w14:textId="77777777" w:rsidR="008D3598" w:rsidRPr="00511330" w:rsidRDefault="008D3598" w:rsidP="00721566">
      <w:pPr>
        <w:spacing w:line="480" w:lineRule="auto"/>
        <w:ind w:right="-450"/>
        <w:jc w:val="both"/>
        <w:rPr>
          <w:rFonts w:asciiTheme="majorBidi" w:hAnsiTheme="majorBidi" w:cstheme="majorBidi"/>
          <w:b/>
          <w:bCs/>
          <w:sz w:val="24"/>
          <w:szCs w:val="24"/>
          <w:lang w:val="en-US"/>
        </w:rPr>
      </w:pPr>
      <w:r w:rsidRPr="00511330">
        <w:rPr>
          <w:rFonts w:asciiTheme="majorBidi" w:eastAsia="Calibri" w:hAnsiTheme="majorBidi" w:cstheme="majorBidi"/>
          <w:b/>
          <w:bCs/>
          <w:color w:val="000000" w:themeColor="text1"/>
          <w:sz w:val="24"/>
          <w:szCs w:val="24"/>
          <w:lang w:val="en-US"/>
        </w:rPr>
        <w:t>Structure of Chapter One</w:t>
      </w:r>
      <w:r w:rsidRPr="00511330">
        <w:rPr>
          <w:rFonts w:asciiTheme="majorBidi" w:eastAsia="Calibri" w:hAnsiTheme="majorBidi" w:cstheme="majorBidi"/>
          <w:b/>
          <w:bCs/>
          <w:sz w:val="24"/>
          <w:szCs w:val="24"/>
          <w:lang w:val="en-US"/>
        </w:rPr>
        <w:t>:</w:t>
      </w:r>
    </w:p>
    <w:p w14:paraId="6441614B"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eastAsia="Calibri" w:hAnsiTheme="majorBidi" w:cstheme="majorBidi"/>
          <w:noProof/>
          <w:sz w:val="24"/>
          <w:szCs w:val="24"/>
          <w:bdr w:val="single" w:sz="18" w:space="0" w:color="auto"/>
          <w:lang w:val="en-US"/>
        </w:rPr>
        <w:drawing>
          <wp:inline distT="0" distB="0" distL="0" distR="0" wp14:anchorId="64416D38" wp14:editId="320305A6">
            <wp:extent cx="4660135" cy="3316077"/>
            <wp:effectExtent l="0" t="0" r="2667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6441614C" w14:textId="7F15F41B"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This chapter starts by highlighting the prevailing problems in the renewable energy market in terms of adapting change management to renewable energy. The content of renewable energy sectors in the United Arab Emirates (UAE</w:t>
      </w:r>
      <w:r w:rsidR="002F5870" w:rsidRPr="00511330">
        <w:rPr>
          <w:rFonts w:asciiTheme="majorBidi" w:hAnsiTheme="majorBidi" w:cstheme="majorBidi"/>
          <w:sz w:val="24"/>
          <w:szCs w:val="24"/>
          <w:lang w:val="en-US"/>
        </w:rPr>
        <w:t>) is</w:t>
      </w:r>
      <w:r w:rsidRPr="00511330">
        <w:rPr>
          <w:rFonts w:asciiTheme="majorBidi" w:hAnsiTheme="majorBidi" w:cstheme="majorBidi"/>
          <w:sz w:val="24"/>
          <w:szCs w:val="24"/>
          <w:lang w:val="en-US"/>
        </w:rPr>
        <w:t xml:space="preserve"> then introduced. Subsequently, the chapter highlights the research gaps from both academic and industry perspectives and emphasizes the significance of this research. After discussing the research contributions, the chapter then ends with an outline of this dissertation, which introduces both phases.</w:t>
      </w:r>
    </w:p>
    <w:p w14:paraId="6441614D" w14:textId="77777777" w:rsidR="008D3598" w:rsidRPr="00511330" w:rsidRDefault="008D3598" w:rsidP="00721566">
      <w:pPr>
        <w:pStyle w:val="Heading2"/>
        <w:numPr>
          <w:ilvl w:val="1"/>
          <w:numId w:val="9"/>
        </w:numPr>
        <w:spacing w:line="480" w:lineRule="auto"/>
        <w:ind w:left="540" w:right="-450" w:hanging="540"/>
        <w:rPr>
          <w:lang w:val="en-US"/>
        </w:rPr>
      </w:pPr>
      <w:bookmarkStart w:id="25" w:name="_Toc43311596"/>
      <w:r w:rsidRPr="00511330">
        <w:rPr>
          <w:lang w:val="en-US"/>
        </w:rPr>
        <w:t>Introduction</w:t>
      </w:r>
      <w:bookmarkEnd w:id="25"/>
    </w:p>
    <w:p w14:paraId="6441614E" w14:textId="4DB42D4A" w:rsidR="008D3598" w:rsidRPr="00511330" w:rsidRDefault="008D3598" w:rsidP="00721566">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 xml:space="preserve">Change management (CM) is defined as “the process of continually renewing an organization’s direction, structure, and capabilities to serve the ever-changing </w:t>
      </w:r>
      <w:r w:rsidRPr="00511330">
        <w:rPr>
          <w:rFonts w:asciiTheme="majorBidi" w:eastAsia="Times New Roman" w:hAnsiTheme="majorBidi" w:cstheme="majorBidi"/>
          <w:sz w:val="24"/>
          <w:szCs w:val="24"/>
          <w:lang w:val="en-US"/>
        </w:rPr>
        <w:lastRenderedPageBreak/>
        <w:t>needs of external and internal customers” (Moran and Brightman, 2001). CM is a structured approach whereby some company individuals, managers, and stakeholders’ transit from the current state to a futuristic state in order to remain competitive and reliable in the industry. Beer and Nohria (2000)</w:t>
      </w:r>
      <w:r w:rsidRPr="00511330">
        <w:rPr>
          <w:rFonts w:asciiTheme="majorBidi" w:eastAsia="Times New Roman" w:hAnsiTheme="majorBidi" w:cstheme="majorBidi"/>
          <w:b/>
          <w:bCs/>
          <w:sz w:val="24"/>
          <w:szCs w:val="24"/>
          <w:lang w:val="en-US"/>
        </w:rPr>
        <w:t xml:space="preserve"> </w:t>
      </w:r>
      <w:r w:rsidRPr="00511330">
        <w:rPr>
          <w:rFonts w:asciiTheme="majorBidi" w:eastAsia="Times New Roman" w:hAnsiTheme="majorBidi" w:cstheme="majorBidi"/>
          <w:sz w:val="24"/>
          <w:szCs w:val="24"/>
          <w:lang w:val="en-US"/>
        </w:rPr>
        <w:t xml:space="preserve">elucidate CM’s importance by accepting the phenomenon of change and </w:t>
      </w:r>
      <w:r w:rsidRPr="00511330">
        <w:rPr>
          <w:rFonts w:asciiTheme="majorBidi" w:eastAsia="Times New Roman" w:hAnsiTheme="majorBidi" w:cstheme="majorBidi"/>
          <w:noProof/>
          <w:sz w:val="24"/>
          <w:szCs w:val="24"/>
          <w:lang w:val="en-US"/>
        </w:rPr>
        <w:t>reali</w:t>
      </w:r>
      <w:r w:rsidR="00D67820" w:rsidRPr="00511330">
        <w:rPr>
          <w:rFonts w:asciiTheme="majorBidi" w:eastAsia="Times New Roman" w:hAnsiTheme="majorBidi" w:cstheme="majorBidi"/>
          <w:noProof/>
          <w:sz w:val="24"/>
          <w:szCs w:val="24"/>
          <w:lang w:val="en-US"/>
        </w:rPr>
        <w:t>z</w:t>
      </w:r>
      <w:r w:rsidRPr="00511330">
        <w:rPr>
          <w:rFonts w:asciiTheme="majorBidi" w:eastAsia="Times New Roman" w:hAnsiTheme="majorBidi" w:cstheme="majorBidi"/>
          <w:noProof/>
          <w:sz w:val="24"/>
          <w:szCs w:val="24"/>
          <w:lang w:val="en-US"/>
        </w:rPr>
        <w:t>ing</w:t>
      </w:r>
      <w:r w:rsidRPr="00511330">
        <w:rPr>
          <w:rFonts w:asciiTheme="majorBidi" w:eastAsia="Times New Roman" w:hAnsiTheme="majorBidi" w:cstheme="majorBidi"/>
          <w:sz w:val="24"/>
          <w:szCs w:val="24"/>
          <w:lang w:val="en-US"/>
        </w:rPr>
        <w:t xml:space="preserve"> that companies will perish if they do not change. Mostly, CM failures are attributed to the</w:t>
      </w:r>
      <w:r w:rsidRPr="00511330">
        <w:rPr>
          <w:rFonts w:asciiTheme="majorBidi" w:eastAsia="Times New Roman" w:hAnsiTheme="majorBidi" w:cstheme="majorBidi"/>
          <w:noProof/>
          <w:sz w:val="24"/>
          <w:szCs w:val="24"/>
          <w:lang w:val="en-US"/>
        </w:rPr>
        <w:t xml:space="preserve"> incompetence</w:t>
      </w:r>
      <w:r w:rsidRPr="00511330">
        <w:rPr>
          <w:rFonts w:asciiTheme="majorBidi" w:eastAsia="Times New Roman" w:hAnsiTheme="majorBidi" w:cstheme="majorBidi"/>
          <w:sz w:val="24"/>
          <w:szCs w:val="24"/>
          <w:lang w:val="en-US"/>
        </w:rPr>
        <w:t xml:space="preserve"> of top management or employees, and employees and management blame the failures on each other. </w:t>
      </w:r>
    </w:p>
    <w:p w14:paraId="1BD0740A" w14:textId="77777777" w:rsidR="00C656A9" w:rsidRPr="00511330" w:rsidRDefault="00C656A9" w:rsidP="00C656A9">
      <w:pPr>
        <w:spacing w:line="480" w:lineRule="auto"/>
        <w:ind w:right="-450"/>
        <w:jc w:val="both"/>
        <w:rPr>
          <w:rFonts w:asciiTheme="majorBidi" w:hAnsiTheme="majorBidi" w:cstheme="majorBidi"/>
          <w:sz w:val="24"/>
          <w:szCs w:val="24"/>
          <w:lang w:val="en-US"/>
        </w:rPr>
      </w:pPr>
      <w:r w:rsidRPr="00511330">
        <w:rPr>
          <w:rFonts w:asciiTheme="majorBidi" w:eastAsia="Times New Roman" w:hAnsiTheme="majorBidi" w:cstheme="majorBidi"/>
          <w:sz w:val="24"/>
          <w:szCs w:val="24"/>
          <w:lang w:val="en-US"/>
        </w:rPr>
        <w:t>Renewable energy is defined by (Oxford, 2020),</w:t>
      </w:r>
      <w:r w:rsidRPr="00511330">
        <w:rPr>
          <w:rFonts w:asciiTheme="majorBidi" w:eastAsia="Times New Roman" w:hAnsiTheme="majorBidi" w:cstheme="majorBidi"/>
          <w:b/>
          <w:bCs/>
          <w:sz w:val="24"/>
          <w:szCs w:val="24"/>
          <w:lang w:val="en-US"/>
        </w:rPr>
        <w:t xml:space="preserve"> </w:t>
      </w:r>
      <w:r w:rsidRPr="00511330">
        <w:rPr>
          <w:rFonts w:asciiTheme="majorBidi" w:eastAsia="Times New Roman" w:hAnsiTheme="majorBidi" w:cstheme="majorBidi"/>
          <w:sz w:val="24"/>
          <w:szCs w:val="24"/>
          <w:lang w:val="en-US"/>
        </w:rPr>
        <w:t>A</w:t>
      </w:r>
      <w:r w:rsidRPr="00511330">
        <w:rPr>
          <w:rStyle w:val="ind"/>
        </w:rPr>
        <w:t xml:space="preserve"> “</w:t>
      </w:r>
      <w:r w:rsidRPr="00511330">
        <w:rPr>
          <w:rStyle w:val="ind"/>
          <w:rFonts w:asciiTheme="majorBidi" w:hAnsiTheme="majorBidi" w:cstheme="majorBidi"/>
          <w:i/>
          <w:iCs/>
          <w:sz w:val="24"/>
          <w:szCs w:val="24"/>
        </w:rPr>
        <w:t>natural resource or source of energy that is not depleted by use, such as water, wind, or solar power</w:t>
      </w:r>
      <w:r w:rsidRPr="00511330">
        <w:rPr>
          <w:rStyle w:val="ind"/>
        </w:rPr>
        <w:t xml:space="preserve">”, </w:t>
      </w:r>
      <w:r w:rsidRPr="00511330">
        <w:rPr>
          <w:rFonts w:asciiTheme="majorBidi" w:eastAsia="Times New Roman" w:hAnsiTheme="majorBidi" w:cstheme="majorBidi"/>
          <w:sz w:val="24"/>
          <w:szCs w:val="24"/>
          <w:lang w:val="en-US"/>
        </w:rPr>
        <w:t>at the same time the definition of green energy defined as</w:t>
      </w:r>
      <w:r w:rsidRPr="00511330">
        <w:rPr>
          <w:rStyle w:val="ind"/>
        </w:rPr>
        <w:t xml:space="preserve"> “</w:t>
      </w:r>
      <w:r w:rsidRPr="00511330">
        <w:rPr>
          <w:rStyle w:val="ind"/>
          <w:rFonts w:asciiTheme="majorBidi" w:hAnsiTheme="majorBidi" w:cstheme="majorBidi"/>
          <w:i/>
          <w:iCs/>
          <w:sz w:val="24"/>
          <w:szCs w:val="24"/>
        </w:rPr>
        <w:t xml:space="preserve">Renewable energy; energy produced or harnessed in an environmentally responsible manner”. </w:t>
      </w:r>
      <w:r w:rsidRPr="00511330">
        <w:rPr>
          <w:rStyle w:val="ind"/>
          <w:rFonts w:asciiTheme="majorBidi" w:hAnsiTheme="majorBidi" w:cstheme="majorBidi"/>
          <w:sz w:val="24"/>
          <w:szCs w:val="24"/>
        </w:rPr>
        <w:t xml:space="preserve">As a consequence, references indicating green energy serves the same meaning of renewables. </w:t>
      </w:r>
      <w:r w:rsidRPr="00511330">
        <w:rPr>
          <w:rFonts w:asciiTheme="majorBidi" w:hAnsiTheme="majorBidi" w:cstheme="majorBidi"/>
          <w:sz w:val="24"/>
          <w:szCs w:val="24"/>
          <w:lang w:val="en-US"/>
        </w:rPr>
        <w:t xml:space="preserve">It's important to mention those following abbreviations of green or future and alternative referred by other scholars, journals, and books and from different references through-out the research is defined generally as renewable energy in this dissertation. </w:t>
      </w:r>
    </w:p>
    <w:p w14:paraId="05FAFE29" w14:textId="78633EAA" w:rsidR="00D92ACC" w:rsidRPr="00511330" w:rsidRDefault="0078420A" w:rsidP="0078420A">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 xml:space="preserve"> </w:t>
      </w:r>
      <w:r w:rsidR="00D92ACC" w:rsidRPr="00511330">
        <w:rPr>
          <w:rFonts w:asciiTheme="majorBidi" w:eastAsia="Times New Roman" w:hAnsiTheme="majorBidi" w:cstheme="majorBidi"/>
          <w:sz w:val="24"/>
          <w:szCs w:val="24"/>
          <w:lang w:val="en-US"/>
        </w:rPr>
        <w:t>“Very few studies have addressed the effects of energy intensity on green innovation, especially on innovative technologies, which generate new renewable ways to consume or supply energy</w:t>
      </w:r>
    </w:p>
    <w:p w14:paraId="6441614F" w14:textId="2EA8539D" w:rsidR="008D3598" w:rsidRPr="00511330" w:rsidRDefault="008D3598" w:rsidP="00721566">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The United Arab Emirates (UAE) energy sector had recently liberated its energy production to the private sector, having them working under the regulation of the government. This underpins the need to identify what</w:t>
      </w:r>
      <w:r w:rsidRPr="00511330">
        <w:rPr>
          <w:rFonts w:asciiTheme="majorBidi" w:eastAsia="Times New Roman" w:hAnsiTheme="majorBidi" w:cstheme="majorBidi"/>
          <w:color w:val="000000" w:themeColor="text1"/>
          <w:sz w:val="24"/>
          <w:szCs w:val="24"/>
          <w:lang w:val="en-US"/>
        </w:rPr>
        <w:t xml:space="preserve"> process is being used to actualize such rapid developments in different sectors, which is a major challenge </w:t>
      </w:r>
      <w:r w:rsidRPr="00511330">
        <w:rPr>
          <w:rFonts w:asciiTheme="majorBidi" w:eastAsia="Times New Roman" w:hAnsiTheme="majorBidi" w:cstheme="majorBidi"/>
          <w:color w:val="000000" w:themeColor="text1"/>
          <w:sz w:val="24"/>
          <w:szCs w:val="24"/>
          <w:lang w:val="en-US"/>
        </w:rPr>
        <w:lastRenderedPageBreak/>
        <w:t xml:space="preserve">for UAE and other parts of the region (Rabia et al., 2013; Griffin et al., 2016). The need to be a leader in </w:t>
      </w:r>
      <w:r w:rsidRPr="00511330">
        <w:rPr>
          <w:rFonts w:asciiTheme="majorBidi" w:eastAsia="Times New Roman" w:hAnsiTheme="majorBidi" w:cstheme="majorBidi"/>
          <w:noProof/>
          <w:color w:val="000000" w:themeColor="text1"/>
          <w:sz w:val="24"/>
          <w:szCs w:val="24"/>
          <w:lang w:val="en-US"/>
        </w:rPr>
        <w:t>green</w:t>
      </w:r>
      <w:r w:rsidRPr="00511330">
        <w:rPr>
          <w:rFonts w:asciiTheme="majorBidi" w:eastAsia="Times New Roman" w:hAnsiTheme="majorBidi" w:cstheme="majorBidi"/>
          <w:color w:val="000000" w:themeColor="text1"/>
          <w:sz w:val="24"/>
          <w:szCs w:val="24"/>
          <w:lang w:val="en-US"/>
        </w:rPr>
        <w:t xml:space="preserve"> energy market has always been supported by the government, as described by the UAE Prime Minister</w:t>
      </w:r>
      <w:r w:rsidRPr="00511330">
        <w:rPr>
          <w:rFonts w:asciiTheme="majorBidi" w:eastAsia="Times New Roman" w:hAnsiTheme="majorBidi" w:cstheme="majorBidi"/>
          <w:sz w:val="24"/>
          <w:szCs w:val="24"/>
          <w:lang w:val="en-US"/>
        </w:rPr>
        <w:t>, Sheikh Mohammad Al Maktoum “</w:t>
      </w:r>
      <w:r w:rsidRPr="00511330">
        <w:rPr>
          <w:rFonts w:asciiTheme="majorBidi" w:eastAsia="Times New Roman" w:hAnsiTheme="majorBidi" w:cstheme="majorBidi"/>
          <w:i/>
          <w:iCs/>
          <w:sz w:val="24"/>
          <w:szCs w:val="24"/>
          <w:lang w:val="en-US"/>
        </w:rPr>
        <w:t>This is in order to preserve our local environment and achieve sustainable, low-cost development</w:t>
      </w:r>
      <w:r w:rsidRPr="00511330">
        <w:rPr>
          <w:rFonts w:asciiTheme="majorBidi" w:eastAsia="Times New Roman" w:hAnsiTheme="majorBidi" w:cstheme="majorBidi"/>
          <w:sz w:val="24"/>
          <w:szCs w:val="24"/>
          <w:lang w:val="en-US"/>
        </w:rPr>
        <w:t>” (Gulf News, 2017). This quote implies a further commitment of the Emirates to renewables and sustainable energy</w:t>
      </w:r>
      <w:r w:rsidR="0055424E" w:rsidRPr="00511330">
        <w:rPr>
          <w:rFonts w:asciiTheme="majorBidi" w:eastAsia="Times New Roman" w:hAnsiTheme="majorBidi" w:cstheme="majorBidi"/>
          <w:sz w:val="24"/>
          <w:szCs w:val="24"/>
          <w:lang w:val="en-US"/>
        </w:rPr>
        <w:t xml:space="preserve"> </w:t>
      </w:r>
      <w:r w:rsidRPr="00511330">
        <w:rPr>
          <w:rFonts w:asciiTheme="majorBidi" w:eastAsia="Times New Roman" w:hAnsiTheme="majorBidi" w:cstheme="majorBidi"/>
          <w:sz w:val="24"/>
          <w:szCs w:val="24"/>
          <w:lang w:val="en-US"/>
        </w:rPr>
        <w:t xml:space="preserve">by protecting environment and showing social responsibility with financial feasibility, given that it binds them to closer international scrutiny on the delivery of Masdar’s promises (Mari, 2009). </w:t>
      </w:r>
    </w:p>
    <w:p w14:paraId="64416150" w14:textId="3029E42A" w:rsidR="008D3598" w:rsidRPr="00511330" w:rsidRDefault="008D3598" w:rsidP="00EB3AB2">
      <w:pPr>
        <w:spacing w:after="0" w:line="480" w:lineRule="auto"/>
        <w:ind w:right="-450"/>
        <w:jc w:val="both"/>
        <w:rPr>
          <w:rFonts w:asciiTheme="majorBidi" w:eastAsia="Times New Roman" w:hAnsiTheme="majorBidi" w:cstheme="majorBidi"/>
          <w:color w:val="538135" w:themeColor="accent6" w:themeShade="BF"/>
          <w:sz w:val="24"/>
          <w:szCs w:val="24"/>
          <w:lang w:val="en-US"/>
        </w:rPr>
      </w:pPr>
      <w:r w:rsidRPr="00511330">
        <w:rPr>
          <w:rFonts w:asciiTheme="majorBidi" w:eastAsia="Times New Roman" w:hAnsiTheme="majorBidi" w:cstheme="majorBidi"/>
          <w:sz w:val="24"/>
          <w:szCs w:val="24"/>
          <w:lang w:val="en-US"/>
        </w:rPr>
        <w:t xml:space="preserve">By doing so, the energy industry has been encouraged to provide their customers with efficient services, operational process reliability, and performance/availability enhancement to meet the demands of international companies seeking business in UAE. </w:t>
      </w:r>
      <w:r w:rsidR="00D67820" w:rsidRPr="00511330">
        <w:rPr>
          <w:rFonts w:asciiTheme="majorBidi" w:eastAsia="Times New Roman" w:hAnsiTheme="majorBidi" w:cstheme="majorBidi"/>
          <w:sz w:val="24"/>
          <w:szCs w:val="24"/>
          <w:lang w:val="en-US"/>
        </w:rPr>
        <w:t>Besides</w:t>
      </w:r>
      <w:r w:rsidRPr="00511330">
        <w:rPr>
          <w:rFonts w:asciiTheme="majorBidi" w:eastAsia="Times New Roman" w:hAnsiTheme="majorBidi" w:cstheme="majorBidi"/>
          <w:sz w:val="24"/>
          <w:szCs w:val="24"/>
          <w:lang w:val="en-US"/>
        </w:rPr>
        <w:t xml:space="preserve">, </w:t>
      </w:r>
      <w:r w:rsidRPr="00511330">
        <w:rPr>
          <w:rFonts w:asciiTheme="majorBidi" w:eastAsia="Calibri" w:hAnsiTheme="majorBidi" w:cstheme="majorBidi"/>
          <w:sz w:val="24"/>
          <w:szCs w:val="24"/>
          <w:u w:color="333333"/>
          <w:bdr w:val="nil"/>
          <w:lang w:val="en-US" w:eastAsia="en-GB"/>
        </w:rPr>
        <w:t>UAE has gone through continuously rapid changes in economic development followed by management styles in the past decades.</w:t>
      </w:r>
      <w:r w:rsidRPr="00511330">
        <w:rPr>
          <w:rFonts w:asciiTheme="majorBidi" w:eastAsia="Times New Roman" w:hAnsiTheme="majorBidi" w:cstheme="majorBidi"/>
          <w:sz w:val="24"/>
          <w:szCs w:val="24"/>
          <w:lang w:val="en-US"/>
        </w:rPr>
        <w:t xml:space="preserve"> </w:t>
      </w:r>
      <w:r w:rsidRPr="00511330">
        <w:rPr>
          <w:rFonts w:asciiTheme="majorBidi" w:eastAsia="Calibri" w:hAnsiTheme="majorBidi" w:cstheme="majorBidi"/>
          <w:sz w:val="24"/>
          <w:szCs w:val="24"/>
          <w:u w:color="333333"/>
          <w:bdr w:val="nil"/>
          <w:lang w:val="en-US" w:eastAsia="en-GB"/>
        </w:rPr>
        <w:t xml:space="preserve">The UAE government itself has been a major target of change and development in the region. As explained in Abu Dhabi's 2030 Vision, the government of the UAE is committed to the </w:t>
      </w:r>
      <w:r w:rsidRPr="00511330">
        <w:rPr>
          <w:rFonts w:asciiTheme="majorBidi" w:eastAsia="Calibri" w:hAnsiTheme="majorBidi" w:cstheme="majorBidi"/>
          <w:noProof/>
          <w:sz w:val="24"/>
          <w:szCs w:val="24"/>
          <w:bdr w:val="nil"/>
          <w:lang w:val="en-US" w:eastAsia="en-GB"/>
        </w:rPr>
        <w:t>re-engineering</w:t>
      </w:r>
      <w:r w:rsidRPr="00511330">
        <w:rPr>
          <w:rFonts w:asciiTheme="majorBidi" w:eastAsia="Calibri" w:hAnsiTheme="majorBidi" w:cstheme="majorBidi"/>
          <w:sz w:val="24"/>
          <w:szCs w:val="24"/>
          <w:u w:color="333333"/>
          <w:bdr w:val="nil"/>
          <w:lang w:val="en-US" w:eastAsia="en-GB"/>
        </w:rPr>
        <w:t xml:space="preserve"> and automation of its processes in order to achieve greater operational excellence</w:t>
      </w:r>
      <w:r w:rsidRPr="00511330">
        <w:rPr>
          <w:rFonts w:asciiTheme="majorBidi" w:eastAsia="Calibri" w:hAnsiTheme="majorBidi" w:cstheme="majorBidi"/>
          <w:sz w:val="24"/>
          <w:szCs w:val="24"/>
          <w:bdr w:val="nil"/>
          <w:lang w:val="en-US" w:eastAsia="en-GB"/>
        </w:rPr>
        <w:t xml:space="preserve"> (</w:t>
      </w:r>
      <w:r w:rsidR="00EB3AB2" w:rsidRPr="00511330">
        <w:rPr>
          <w:rFonts w:asciiTheme="majorBidi" w:eastAsia="Calibri" w:hAnsiTheme="majorBidi" w:cstheme="majorBidi"/>
          <w:sz w:val="24"/>
          <w:szCs w:val="24"/>
          <w:bdr w:val="nil"/>
          <w:lang w:val="en-US" w:eastAsia="en-GB"/>
        </w:rPr>
        <w:t xml:space="preserve">Bin </w:t>
      </w:r>
      <w:r w:rsidRPr="00511330">
        <w:rPr>
          <w:rFonts w:asciiTheme="majorBidi" w:eastAsia="Calibri" w:hAnsiTheme="majorBidi" w:cstheme="majorBidi"/>
          <w:sz w:val="24"/>
          <w:szCs w:val="24"/>
          <w:bdr w:val="nil"/>
          <w:lang w:val="en-US" w:eastAsia="en-GB"/>
        </w:rPr>
        <w:t>Taher et al., 2015).</w:t>
      </w:r>
    </w:p>
    <w:p w14:paraId="64416151" w14:textId="53B845C8" w:rsidR="008D3598" w:rsidRPr="00511330" w:rsidRDefault="008D3598" w:rsidP="00E51FB9">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 xml:space="preserve">The current market and environment surrounding </w:t>
      </w:r>
      <w:r w:rsidRPr="00511330">
        <w:rPr>
          <w:rFonts w:asciiTheme="majorBidi" w:eastAsia="Times New Roman" w:hAnsiTheme="majorBidi" w:cstheme="majorBidi"/>
          <w:color w:val="000000" w:themeColor="text1"/>
          <w:sz w:val="24"/>
          <w:szCs w:val="24"/>
          <w:lang w:val="en-US"/>
        </w:rPr>
        <w:t xml:space="preserve">globalization </w:t>
      </w:r>
      <w:r w:rsidRPr="00511330">
        <w:rPr>
          <w:rFonts w:asciiTheme="majorBidi" w:eastAsia="Times New Roman" w:hAnsiTheme="majorBidi" w:cstheme="majorBidi"/>
          <w:noProof/>
          <w:color w:val="000000" w:themeColor="text1"/>
          <w:sz w:val="24"/>
          <w:szCs w:val="24"/>
          <w:lang w:val="en-US"/>
        </w:rPr>
        <w:t>and rapidly</w:t>
      </w:r>
      <w:r w:rsidRPr="00511330">
        <w:rPr>
          <w:rFonts w:asciiTheme="majorBidi" w:eastAsia="Times New Roman" w:hAnsiTheme="majorBidi" w:cstheme="majorBidi"/>
          <w:color w:val="000000" w:themeColor="text1"/>
          <w:sz w:val="24"/>
          <w:szCs w:val="24"/>
          <w:lang w:val="en-US"/>
        </w:rPr>
        <w:t xml:space="preserve"> developing competitions have caused organizations around the world and specifically UAE-based </w:t>
      </w:r>
      <w:r w:rsidRPr="00511330">
        <w:rPr>
          <w:rFonts w:asciiTheme="majorBidi" w:eastAsia="Times New Roman" w:hAnsiTheme="majorBidi" w:cstheme="majorBidi"/>
          <w:sz w:val="24"/>
          <w:szCs w:val="24"/>
          <w:lang w:val="en-US"/>
        </w:rPr>
        <w:t xml:space="preserve">energy organizations to change or struggle. </w:t>
      </w:r>
      <w:r w:rsidRPr="00511330">
        <w:rPr>
          <w:rFonts w:asciiTheme="majorBidi" w:eastAsia="Times New Roman" w:hAnsiTheme="majorBidi" w:cstheme="majorBidi"/>
          <w:sz w:val="24"/>
          <w:szCs w:val="24"/>
          <w:lang w:val="en-US" w:eastAsia="en-GB"/>
        </w:rPr>
        <w:t xml:space="preserve">In recent years, the International Energy Agency (IEA) and other major energy organizations have projected a steady rise </w:t>
      </w:r>
      <w:r w:rsidRPr="00511330">
        <w:rPr>
          <w:rFonts w:asciiTheme="majorBidi" w:eastAsia="Times New Roman" w:hAnsiTheme="majorBidi" w:cstheme="majorBidi"/>
          <w:noProof/>
          <w:sz w:val="24"/>
          <w:szCs w:val="24"/>
          <w:lang w:val="en-US" w:eastAsia="en-GB"/>
        </w:rPr>
        <w:t>in</w:t>
      </w:r>
      <w:r w:rsidRPr="00511330">
        <w:rPr>
          <w:rFonts w:asciiTheme="majorBidi" w:eastAsia="Times New Roman" w:hAnsiTheme="majorBidi" w:cstheme="majorBidi"/>
          <w:sz w:val="24"/>
          <w:szCs w:val="24"/>
          <w:lang w:val="en-US" w:eastAsia="en-GB"/>
        </w:rPr>
        <w:t xml:space="preserve"> the share of renewable energy in the </w:t>
      </w:r>
      <w:r w:rsidRPr="00511330">
        <w:rPr>
          <w:rFonts w:asciiTheme="majorBidi" w:eastAsia="Times New Roman" w:hAnsiTheme="majorBidi" w:cstheme="majorBidi"/>
          <w:sz w:val="24"/>
          <w:szCs w:val="24"/>
          <w:lang w:val="en-US" w:eastAsia="en-GB"/>
        </w:rPr>
        <w:lastRenderedPageBreak/>
        <w:t xml:space="preserve">global energy mix (Bahgat, G. 2015). </w:t>
      </w:r>
      <w:r w:rsidRPr="00511330">
        <w:rPr>
          <w:rFonts w:asciiTheme="majorBidi" w:eastAsia="Times New Roman" w:hAnsiTheme="majorBidi" w:cstheme="majorBidi"/>
          <w:sz w:val="24"/>
          <w:szCs w:val="24"/>
          <w:lang w:val="en-US"/>
        </w:rPr>
        <w:t xml:space="preserve"> By doing so, UAE seeks to share knowledge with other countries and encourage innovation in the field of renewable energy, but achieving those goals requires key inter-organizational business processes to improve their long-term economic performance </w:t>
      </w:r>
      <w:r w:rsidRPr="00511330">
        <w:rPr>
          <w:rFonts w:asciiTheme="majorBidi" w:eastAsia="Times New Roman" w:hAnsiTheme="majorBidi" w:cstheme="majorBidi"/>
          <w:sz w:val="24"/>
          <w:szCs w:val="24"/>
          <w:lang w:val="en-US"/>
        </w:rPr>
        <w:fldChar w:fldCharType="begin"/>
      </w:r>
      <w:r w:rsidRPr="00511330">
        <w:rPr>
          <w:rFonts w:asciiTheme="majorBidi" w:eastAsia="Times New Roman" w:hAnsiTheme="majorBidi" w:cstheme="majorBidi"/>
          <w:sz w:val="24"/>
          <w:szCs w:val="24"/>
          <w:lang w:val="en-US"/>
        </w:rPr>
        <w:instrText>ADDIN RW.CITE{{151 Carter, C. R. 2008}}</w:instrText>
      </w:r>
      <w:r w:rsidRPr="00511330">
        <w:rPr>
          <w:rFonts w:asciiTheme="majorBidi" w:eastAsia="Times New Roman" w:hAnsiTheme="majorBidi" w:cstheme="majorBidi"/>
          <w:sz w:val="24"/>
          <w:szCs w:val="24"/>
          <w:lang w:val="en-US"/>
        </w:rPr>
        <w:fldChar w:fldCharType="separate"/>
      </w:r>
      <w:r w:rsidRPr="00511330">
        <w:rPr>
          <w:rFonts w:asciiTheme="majorBidi" w:eastAsia="Times New Roman" w:hAnsiTheme="majorBidi" w:cstheme="majorBidi"/>
          <w:sz w:val="24"/>
          <w:szCs w:val="24"/>
          <w:lang w:val="en-US"/>
        </w:rPr>
        <w:t xml:space="preserve">(Carter </w:t>
      </w:r>
      <w:r w:rsidR="00E51FB9" w:rsidRPr="00511330">
        <w:rPr>
          <w:rFonts w:asciiTheme="majorBidi" w:eastAsia="Times New Roman" w:hAnsiTheme="majorBidi" w:cstheme="majorBidi"/>
          <w:sz w:val="24"/>
          <w:szCs w:val="24"/>
          <w:lang w:val="en-US"/>
        </w:rPr>
        <w:t>and</w:t>
      </w:r>
      <w:r w:rsidRPr="00511330">
        <w:rPr>
          <w:rFonts w:asciiTheme="majorBidi" w:eastAsia="Times New Roman" w:hAnsiTheme="majorBidi" w:cstheme="majorBidi"/>
          <w:sz w:val="24"/>
          <w:szCs w:val="24"/>
          <w:lang w:val="en-US"/>
        </w:rPr>
        <w:t xml:space="preserve"> Rogers, 2008)</w:t>
      </w:r>
      <w:r w:rsidRPr="00511330">
        <w:rPr>
          <w:rFonts w:asciiTheme="majorBidi" w:eastAsia="Times New Roman" w:hAnsiTheme="majorBidi" w:cstheme="majorBidi"/>
          <w:sz w:val="24"/>
          <w:szCs w:val="24"/>
          <w:lang w:val="en-US"/>
        </w:rPr>
        <w:fldChar w:fldCharType="end"/>
      </w:r>
      <w:r w:rsidRPr="00511330">
        <w:rPr>
          <w:rFonts w:asciiTheme="majorBidi" w:eastAsia="Times New Roman" w:hAnsiTheme="majorBidi" w:cstheme="majorBidi"/>
          <w:sz w:val="24"/>
          <w:szCs w:val="24"/>
          <w:lang w:val="en-US"/>
        </w:rPr>
        <w:t xml:space="preserve">. </w:t>
      </w:r>
    </w:p>
    <w:p w14:paraId="64416152" w14:textId="1F09504E" w:rsidR="008D3598" w:rsidRPr="00511330" w:rsidRDefault="008D3598" w:rsidP="00721566">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 xml:space="preserve">Global market trends have been incorporating more green energy, as shown in Figure 1.1 forecasted world energy consumption by Energy Source indicates a mass demand </w:t>
      </w:r>
      <w:r w:rsidRPr="00511330">
        <w:rPr>
          <w:rFonts w:asciiTheme="majorBidi" w:eastAsia="Times New Roman" w:hAnsiTheme="majorBidi" w:cstheme="majorBidi"/>
          <w:noProof/>
          <w:sz w:val="24"/>
          <w:szCs w:val="24"/>
          <w:lang w:val="en-US"/>
        </w:rPr>
        <w:t>for</w:t>
      </w:r>
      <w:r w:rsidRPr="00511330">
        <w:rPr>
          <w:rFonts w:asciiTheme="majorBidi" w:eastAsia="Times New Roman" w:hAnsiTheme="majorBidi" w:cstheme="majorBidi"/>
          <w:sz w:val="24"/>
          <w:szCs w:val="24"/>
          <w:lang w:val="en-US"/>
        </w:rPr>
        <w:t xml:space="preserve"> renewable and alternative energy since 2010 with </w:t>
      </w:r>
      <w:r w:rsidRPr="00511330">
        <w:rPr>
          <w:rFonts w:asciiTheme="majorBidi" w:eastAsia="Times New Roman" w:hAnsiTheme="majorBidi" w:cstheme="majorBidi"/>
          <w:noProof/>
          <w:sz w:val="24"/>
          <w:szCs w:val="24"/>
          <w:lang w:val="en-US"/>
        </w:rPr>
        <w:t>a gradual</w:t>
      </w:r>
      <w:r w:rsidRPr="00511330">
        <w:rPr>
          <w:rFonts w:asciiTheme="majorBidi" w:eastAsia="Times New Roman" w:hAnsiTheme="majorBidi" w:cstheme="majorBidi"/>
          <w:sz w:val="24"/>
          <w:szCs w:val="24"/>
          <w:lang w:val="en-US"/>
        </w:rPr>
        <w:t xml:space="preserve"> increase (IEO 2018). Yet, the curve in 2018 indicates a continuous upwards demand. Thus, energy organizations in </w:t>
      </w:r>
      <w:r w:rsidRPr="00511330">
        <w:rPr>
          <w:rFonts w:asciiTheme="majorBidi" w:eastAsia="Times New Roman" w:hAnsiTheme="majorBidi" w:cstheme="majorBidi"/>
          <w:noProof/>
          <w:sz w:val="24"/>
          <w:szCs w:val="24"/>
          <w:lang w:val="en-US"/>
        </w:rPr>
        <w:t>UAE</w:t>
      </w:r>
      <w:r w:rsidRPr="00511330">
        <w:rPr>
          <w:rFonts w:asciiTheme="majorBidi" w:eastAsia="Times New Roman" w:hAnsiTheme="majorBidi" w:cstheme="majorBidi"/>
          <w:sz w:val="24"/>
          <w:szCs w:val="24"/>
          <w:lang w:val="en-US"/>
        </w:rPr>
        <w:t xml:space="preserve"> have been continuously changing their vision, mission, and structure in order to manage the latest technological and administrative approach in the best possible manner, leading them to </w:t>
      </w:r>
      <w:r w:rsidRPr="00511330">
        <w:rPr>
          <w:rFonts w:asciiTheme="majorBidi" w:eastAsia="Times New Roman" w:hAnsiTheme="majorBidi" w:cstheme="majorBidi"/>
          <w:color w:val="000000" w:themeColor="text1"/>
          <w:sz w:val="24"/>
          <w:szCs w:val="24"/>
          <w:lang w:val="en-US"/>
        </w:rPr>
        <w:t xml:space="preserve">rapid change. </w:t>
      </w:r>
      <w:r w:rsidRPr="00511330">
        <w:rPr>
          <w:rFonts w:asciiTheme="majorBidi" w:eastAsia="Times New Roman" w:hAnsiTheme="majorBidi" w:cstheme="majorBidi"/>
          <w:sz w:val="24"/>
          <w:szCs w:val="24"/>
          <w:lang w:val="en-US"/>
        </w:rPr>
        <w:t xml:space="preserve">According to Burnes (2004), change is an ever-present feature of </w:t>
      </w:r>
      <w:r w:rsidRPr="00511330">
        <w:rPr>
          <w:rFonts w:asciiTheme="majorBidi" w:eastAsia="Times New Roman" w:hAnsiTheme="majorBidi" w:cstheme="majorBidi"/>
          <w:noProof/>
          <w:sz w:val="24"/>
          <w:szCs w:val="24"/>
          <w:lang w:val="en-US"/>
        </w:rPr>
        <w:t>organi</w:t>
      </w:r>
      <w:r w:rsidR="00D67820" w:rsidRPr="00511330">
        <w:rPr>
          <w:rFonts w:asciiTheme="majorBidi" w:eastAsia="Times New Roman" w:hAnsiTheme="majorBidi" w:cstheme="majorBidi"/>
          <w:noProof/>
          <w:sz w:val="24"/>
          <w:szCs w:val="24"/>
          <w:lang w:val="en-US"/>
        </w:rPr>
        <w:t>z</w:t>
      </w:r>
      <w:r w:rsidRPr="00511330">
        <w:rPr>
          <w:rFonts w:asciiTheme="majorBidi" w:eastAsia="Times New Roman" w:hAnsiTheme="majorBidi" w:cstheme="majorBidi"/>
          <w:noProof/>
          <w:sz w:val="24"/>
          <w:szCs w:val="24"/>
          <w:lang w:val="en-US"/>
        </w:rPr>
        <w:t>ational</w:t>
      </w:r>
      <w:r w:rsidRPr="00511330">
        <w:rPr>
          <w:rFonts w:asciiTheme="majorBidi" w:eastAsia="Times New Roman" w:hAnsiTheme="majorBidi" w:cstheme="majorBidi"/>
          <w:sz w:val="24"/>
          <w:szCs w:val="24"/>
          <w:lang w:val="en-US"/>
        </w:rPr>
        <w:t xml:space="preserve"> life at an operational and strategic level. Therefore, most energy organizations in </w:t>
      </w:r>
      <w:r w:rsidRPr="00511330">
        <w:rPr>
          <w:rFonts w:asciiTheme="majorBidi" w:eastAsia="Times New Roman" w:hAnsiTheme="majorBidi" w:cstheme="majorBidi"/>
          <w:noProof/>
          <w:sz w:val="24"/>
          <w:szCs w:val="24"/>
          <w:lang w:val="en-US"/>
        </w:rPr>
        <w:t>UAE</w:t>
      </w:r>
      <w:r w:rsidRPr="00511330">
        <w:rPr>
          <w:rFonts w:asciiTheme="majorBidi" w:eastAsia="Times New Roman" w:hAnsiTheme="majorBidi" w:cstheme="majorBidi"/>
          <w:sz w:val="24"/>
          <w:szCs w:val="24"/>
          <w:lang w:val="en-US"/>
        </w:rPr>
        <w:t xml:space="preserve"> have also been obliged to change.  </w:t>
      </w:r>
    </w:p>
    <w:p w14:paraId="64416153" w14:textId="77777777" w:rsidR="008D3598" w:rsidRPr="00511330" w:rsidRDefault="008D3598" w:rsidP="00721566">
      <w:pPr>
        <w:keepNext/>
        <w:spacing w:after="0" w:line="480" w:lineRule="auto"/>
        <w:ind w:right="-450"/>
        <w:jc w:val="both"/>
        <w:rPr>
          <w:lang w:val="en-US"/>
        </w:rPr>
      </w:pPr>
      <w:r w:rsidRPr="00511330">
        <w:rPr>
          <w:rFonts w:asciiTheme="majorBidi" w:hAnsiTheme="majorBidi" w:cstheme="majorBidi"/>
          <w:noProof/>
          <w:sz w:val="24"/>
          <w:szCs w:val="24"/>
          <w:lang w:val="en-US"/>
        </w:rPr>
        <w:drawing>
          <wp:inline distT="0" distB="0" distL="0" distR="0" wp14:anchorId="64416D3A" wp14:editId="380F9F57">
            <wp:extent cx="4817110" cy="1967841"/>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17110" cy="1967841"/>
                    </a:xfrm>
                    <a:prstGeom prst="rect">
                      <a:avLst/>
                    </a:prstGeom>
                    <a:noFill/>
                  </pic:spPr>
                </pic:pic>
              </a:graphicData>
            </a:graphic>
          </wp:inline>
        </w:drawing>
      </w:r>
    </w:p>
    <w:p w14:paraId="64416154" w14:textId="7CA2B751" w:rsidR="008D3598" w:rsidRPr="00511330" w:rsidRDefault="008D3598" w:rsidP="00721566">
      <w:pPr>
        <w:pStyle w:val="Caption"/>
        <w:ind w:right="-450"/>
        <w:jc w:val="both"/>
        <w:rPr>
          <w:rFonts w:asciiTheme="majorBidi" w:hAnsiTheme="majorBidi" w:cstheme="majorBidi"/>
          <w:b w:val="0"/>
          <w:bCs w:val="0"/>
          <w:color w:val="auto"/>
          <w:sz w:val="20"/>
          <w:szCs w:val="20"/>
          <w:lang w:val="en-US"/>
        </w:rPr>
      </w:pPr>
      <w:bookmarkStart w:id="26" w:name="_Toc43311338"/>
      <w:r w:rsidRPr="00511330">
        <w:rPr>
          <w:rFonts w:asciiTheme="majorBidi" w:hAnsiTheme="majorBidi" w:cstheme="majorBidi"/>
          <w:b w:val="0"/>
          <w:bCs w:val="0"/>
          <w:i/>
          <w:iCs/>
          <w:color w:val="auto"/>
          <w:sz w:val="20"/>
          <w:szCs w:val="20"/>
          <w:lang w:val="en-US"/>
        </w:rPr>
        <w:t xml:space="preserve">Figure 1. </w:t>
      </w:r>
      <w:r w:rsidRPr="00511330">
        <w:rPr>
          <w:rFonts w:asciiTheme="majorBidi" w:hAnsiTheme="majorBidi" w:cstheme="majorBidi"/>
          <w:b w:val="0"/>
          <w:bCs w:val="0"/>
          <w:i/>
          <w:iCs/>
          <w:color w:val="auto"/>
          <w:sz w:val="20"/>
          <w:szCs w:val="20"/>
          <w:lang w:val="en-US"/>
        </w:rPr>
        <w:fldChar w:fldCharType="begin"/>
      </w:r>
      <w:r w:rsidRPr="00511330">
        <w:rPr>
          <w:rFonts w:asciiTheme="majorBidi" w:hAnsiTheme="majorBidi" w:cstheme="majorBidi"/>
          <w:b w:val="0"/>
          <w:bCs w:val="0"/>
          <w:i/>
          <w:iCs/>
          <w:color w:val="auto"/>
          <w:sz w:val="20"/>
          <w:szCs w:val="20"/>
          <w:lang w:val="en-US"/>
        </w:rPr>
        <w:instrText xml:space="preserve"> SEQ Figure_1. \* ARABIC </w:instrText>
      </w:r>
      <w:r w:rsidRPr="00511330">
        <w:rPr>
          <w:rFonts w:asciiTheme="majorBidi" w:hAnsiTheme="majorBidi" w:cstheme="majorBidi"/>
          <w:b w:val="0"/>
          <w:bCs w:val="0"/>
          <w:i/>
          <w:iCs/>
          <w:color w:val="auto"/>
          <w:sz w:val="20"/>
          <w:szCs w:val="20"/>
          <w:lang w:val="en-US"/>
        </w:rPr>
        <w:fldChar w:fldCharType="separate"/>
      </w:r>
      <w:r w:rsidR="0033045F" w:rsidRPr="00511330">
        <w:rPr>
          <w:rFonts w:asciiTheme="majorBidi" w:hAnsiTheme="majorBidi" w:cstheme="majorBidi"/>
          <w:b w:val="0"/>
          <w:bCs w:val="0"/>
          <w:i/>
          <w:iCs/>
          <w:noProof/>
          <w:color w:val="auto"/>
          <w:sz w:val="20"/>
          <w:szCs w:val="20"/>
          <w:lang w:val="en-US"/>
        </w:rPr>
        <w:t>1</w:t>
      </w:r>
      <w:r w:rsidRPr="00511330">
        <w:rPr>
          <w:rFonts w:asciiTheme="majorBidi" w:hAnsiTheme="majorBidi" w:cstheme="majorBidi"/>
          <w:b w:val="0"/>
          <w:bCs w:val="0"/>
          <w:i/>
          <w:iCs/>
          <w:color w:val="auto"/>
          <w:sz w:val="20"/>
          <w:szCs w:val="20"/>
          <w:lang w:val="en-US"/>
        </w:rPr>
        <w:fldChar w:fldCharType="end"/>
      </w:r>
      <w:r w:rsidR="00983225" w:rsidRPr="00511330">
        <w:rPr>
          <w:rFonts w:asciiTheme="majorBidi" w:hAnsiTheme="majorBidi" w:cstheme="majorBidi"/>
          <w:b w:val="0"/>
          <w:bCs w:val="0"/>
          <w:noProof/>
          <w:color w:val="auto"/>
          <w:sz w:val="20"/>
          <w:szCs w:val="20"/>
          <w:lang w:val="en-US"/>
        </w:rPr>
        <w:t>:</w:t>
      </w:r>
      <w:r w:rsidRPr="00511330">
        <w:rPr>
          <w:rFonts w:asciiTheme="majorBidi" w:hAnsiTheme="majorBidi" w:cstheme="majorBidi"/>
          <w:b w:val="0"/>
          <w:bCs w:val="0"/>
          <w:noProof/>
          <w:color w:val="auto"/>
          <w:sz w:val="20"/>
          <w:szCs w:val="20"/>
          <w:lang w:val="en-US"/>
        </w:rPr>
        <w:t xml:space="preserve">  World Energy Consumption Forecast</w:t>
      </w:r>
      <w:bookmarkEnd w:id="26"/>
    </w:p>
    <w:p w14:paraId="64416156" w14:textId="2043722E" w:rsidR="008D3598" w:rsidRPr="00511330" w:rsidRDefault="008D3598" w:rsidP="00E51FB9">
      <w:pPr>
        <w:spacing w:before="240" w:line="480" w:lineRule="auto"/>
        <w:ind w:right="-450"/>
        <w:jc w:val="both"/>
        <w:rPr>
          <w:rFonts w:asciiTheme="majorBidi" w:hAnsiTheme="majorBidi" w:cstheme="majorBidi"/>
          <w:color w:val="000000" w:themeColor="text1"/>
          <w:sz w:val="24"/>
          <w:szCs w:val="24"/>
          <w:lang w:val="en-US"/>
        </w:rPr>
      </w:pPr>
      <w:r w:rsidRPr="00511330">
        <w:rPr>
          <w:rFonts w:asciiTheme="majorBidi" w:hAnsiTheme="majorBidi" w:cstheme="majorBidi"/>
          <w:sz w:val="24"/>
          <w:szCs w:val="24"/>
          <w:lang w:val="en-US"/>
        </w:rPr>
        <w:t xml:space="preserve">In addition, </w:t>
      </w:r>
      <w:r w:rsidRPr="00511330">
        <w:rPr>
          <w:rFonts w:asciiTheme="majorBidi" w:hAnsiTheme="majorBidi" w:cstheme="majorBidi"/>
          <w:noProof/>
          <w:sz w:val="24"/>
          <w:szCs w:val="24"/>
          <w:lang w:val="en-US"/>
        </w:rPr>
        <w:t>UAE</w:t>
      </w:r>
      <w:r w:rsidRPr="00511330">
        <w:rPr>
          <w:rFonts w:asciiTheme="majorBidi" w:hAnsiTheme="majorBidi" w:cstheme="majorBidi"/>
          <w:sz w:val="24"/>
          <w:szCs w:val="24"/>
          <w:lang w:val="en-US"/>
        </w:rPr>
        <w:t xml:space="preserve"> government has organized a reputed World Government Summit, which is devoted to shaping the future of governments worldwide (Eggers </w:t>
      </w:r>
      <w:r w:rsidR="00E51FB9"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Bellman, 2016). The summit recognizes the importance of conducting </w:t>
      </w:r>
      <w:r w:rsidRPr="00511330">
        <w:rPr>
          <w:rFonts w:asciiTheme="majorBidi" w:hAnsiTheme="majorBidi" w:cstheme="majorBidi"/>
          <w:sz w:val="24"/>
          <w:szCs w:val="24"/>
          <w:lang w:val="en-US"/>
        </w:rPr>
        <w:lastRenderedPageBreak/>
        <w:t xml:space="preserve">research into change management that incorporates innovation and creativity to offer solutions to the universal challenges that humanity faces (MRCGI </w:t>
      </w:r>
      <w:r w:rsidR="00E51FB9"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SRI, 2016). The summit also emphasizes sharing knowledge between governments, technologies, innovations, and </w:t>
      </w:r>
      <w:r w:rsidRPr="00511330">
        <w:rPr>
          <w:rFonts w:asciiTheme="majorBidi" w:hAnsiTheme="majorBidi" w:cstheme="majorBidi"/>
          <w:noProof/>
          <w:sz w:val="24"/>
          <w:szCs w:val="24"/>
          <w:lang w:val="en-US"/>
        </w:rPr>
        <w:t>leadership groups</w:t>
      </w:r>
      <w:r w:rsidRPr="00511330">
        <w:rPr>
          <w:rFonts w:asciiTheme="majorBidi" w:hAnsiTheme="majorBidi" w:cstheme="majorBidi"/>
          <w:sz w:val="24"/>
          <w:szCs w:val="24"/>
          <w:lang w:val="en-US"/>
        </w:rPr>
        <w:t xml:space="preserve">. It comprises of roundtables, workshops, networking breaks, and main addresses by top countries’ leaders. At the </w:t>
      </w:r>
      <w:r w:rsidRPr="00511330">
        <w:rPr>
          <w:rFonts w:asciiTheme="majorBidi" w:hAnsiTheme="majorBidi" w:cstheme="majorBidi"/>
          <w:noProof/>
          <w:sz w:val="24"/>
          <w:szCs w:val="24"/>
          <w:lang w:val="en-US"/>
        </w:rPr>
        <w:t>micro-level</w:t>
      </w:r>
      <w:r w:rsidRPr="00511330">
        <w:rPr>
          <w:rFonts w:asciiTheme="majorBidi" w:hAnsiTheme="majorBidi" w:cstheme="majorBidi"/>
          <w:sz w:val="24"/>
          <w:szCs w:val="24"/>
          <w:lang w:val="en-US"/>
        </w:rPr>
        <w:t xml:space="preserve">, consumers and </w:t>
      </w:r>
      <w:r w:rsidRPr="00511330">
        <w:rPr>
          <w:rFonts w:asciiTheme="majorBidi" w:hAnsiTheme="majorBidi" w:cstheme="majorBidi"/>
          <w:color w:val="000000" w:themeColor="text1"/>
          <w:sz w:val="24"/>
          <w:szCs w:val="24"/>
          <w:lang w:val="en-US"/>
        </w:rPr>
        <w:t xml:space="preserve">communities are also more self-aware of environmental implications. </w:t>
      </w:r>
    </w:p>
    <w:p w14:paraId="64416157" w14:textId="435A807A" w:rsidR="008D3598" w:rsidRPr="00511330" w:rsidRDefault="008D3598" w:rsidP="00E51FB9">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color w:val="000000" w:themeColor="text1"/>
          <w:sz w:val="24"/>
          <w:szCs w:val="24"/>
          <w:lang w:val="en-US"/>
        </w:rPr>
        <w:t xml:space="preserve">Globally, the fluctuating prices of oil in recent years have caused uncertainty for some organizations as their revenue failed to yield the desired results every year to maintain their stability; therefore, organizations were impelled to continuously adapt and change to ensure their survival. Additionally, recent political issues </w:t>
      </w:r>
      <w:r w:rsidRPr="00511330">
        <w:rPr>
          <w:rFonts w:asciiTheme="majorBidi" w:hAnsiTheme="majorBidi" w:cstheme="majorBidi"/>
          <w:noProof/>
          <w:color w:val="000000" w:themeColor="text1"/>
          <w:sz w:val="24"/>
          <w:szCs w:val="24"/>
          <w:lang w:val="en-US"/>
        </w:rPr>
        <w:t>in</w:t>
      </w:r>
      <w:r w:rsidRPr="00511330">
        <w:rPr>
          <w:rFonts w:asciiTheme="majorBidi" w:hAnsiTheme="majorBidi" w:cstheme="majorBidi"/>
          <w:color w:val="000000" w:themeColor="text1"/>
          <w:sz w:val="24"/>
          <w:szCs w:val="24"/>
          <w:lang w:val="en-US"/>
        </w:rPr>
        <w:t xml:space="preserve"> adjacent countries </w:t>
      </w:r>
      <w:r w:rsidRPr="00511330">
        <w:rPr>
          <w:rFonts w:asciiTheme="majorBidi" w:hAnsiTheme="majorBidi" w:cstheme="majorBidi"/>
          <w:noProof/>
          <w:color w:val="000000" w:themeColor="text1"/>
          <w:sz w:val="24"/>
          <w:szCs w:val="24"/>
          <w:lang w:val="en-US"/>
        </w:rPr>
        <w:t>have</w:t>
      </w:r>
      <w:r w:rsidRPr="00511330">
        <w:rPr>
          <w:rFonts w:asciiTheme="majorBidi" w:hAnsiTheme="majorBidi" w:cstheme="majorBidi"/>
          <w:color w:val="000000" w:themeColor="text1"/>
          <w:sz w:val="24"/>
          <w:szCs w:val="24"/>
          <w:lang w:val="en-US"/>
        </w:rPr>
        <w:t xml:space="preserve"> caused widespread disruptions </w:t>
      </w:r>
      <w:r w:rsidRPr="00511330">
        <w:rPr>
          <w:rFonts w:asciiTheme="majorBidi" w:hAnsiTheme="majorBidi" w:cstheme="majorBidi"/>
          <w:sz w:val="24"/>
          <w:szCs w:val="24"/>
          <w:lang w:val="en-US" w:eastAsia="en-GB"/>
        </w:rPr>
        <w:t xml:space="preserve">of oil supplies and abrupt oil price rises, which, in turn, have caused economic setbacks, social distress, and political discontent (Bahgat, 2015). In addition, the geo-strategic disputes have also contributed to intense price fluctuation and volatility. (Bahgat, 2015). </w:t>
      </w:r>
      <w:r w:rsidRPr="00511330">
        <w:rPr>
          <w:rFonts w:asciiTheme="majorBidi" w:hAnsiTheme="majorBidi" w:cstheme="majorBidi"/>
          <w:sz w:val="24"/>
          <w:szCs w:val="24"/>
          <w:lang w:val="en-US"/>
        </w:rPr>
        <w:t xml:space="preserve">Consequently, countries have prioritized changing their strategy because </w:t>
      </w:r>
      <w:r w:rsidRPr="00511330">
        <w:rPr>
          <w:rFonts w:asciiTheme="majorBidi" w:hAnsiTheme="majorBidi" w:cstheme="majorBidi"/>
          <w:noProof/>
          <w:sz w:val="24"/>
          <w:szCs w:val="24"/>
          <w:lang w:val="en-US"/>
        </w:rPr>
        <w:t>organisational</w:t>
      </w:r>
      <w:r w:rsidRPr="00511330">
        <w:rPr>
          <w:rFonts w:asciiTheme="majorBidi" w:hAnsiTheme="majorBidi" w:cstheme="majorBidi"/>
          <w:sz w:val="24"/>
          <w:szCs w:val="24"/>
          <w:lang w:val="en-US"/>
        </w:rPr>
        <w:t xml:space="preserve"> change cannot be separated from </w:t>
      </w:r>
      <w:r w:rsidRPr="00511330">
        <w:rPr>
          <w:rFonts w:asciiTheme="majorBidi" w:hAnsiTheme="majorBidi" w:cstheme="majorBidi"/>
          <w:noProof/>
          <w:sz w:val="24"/>
          <w:szCs w:val="24"/>
          <w:lang w:val="en-US"/>
        </w:rPr>
        <w:t>organisational</w:t>
      </w:r>
      <w:r w:rsidRPr="00511330">
        <w:rPr>
          <w:rFonts w:asciiTheme="majorBidi" w:hAnsiTheme="majorBidi" w:cstheme="majorBidi"/>
          <w:sz w:val="24"/>
          <w:szCs w:val="24"/>
          <w:lang w:val="en-US"/>
        </w:rPr>
        <w:t xml:space="preserve"> strategy, or vice versa (Rieley </w:t>
      </w:r>
      <w:r w:rsidR="00E51FB9"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Clarkson, 2001; Burnes, 2004).</w:t>
      </w:r>
    </w:p>
    <w:p w14:paraId="64416158" w14:textId="01FF8E62" w:rsidR="008D3598" w:rsidRPr="00511330" w:rsidRDefault="008D3598" w:rsidP="00721566">
      <w:pPr>
        <w:spacing w:line="480" w:lineRule="auto"/>
        <w:ind w:right="-450"/>
        <w:jc w:val="both"/>
        <w:rPr>
          <w:rFonts w:asciiTheme="majorBidi" w:hAnsiTheme="majorBidi" w:cstheme="majorBidi"/>
          <w:sz w:val="24"/>
          <w:szCs w:val="24"/>
          <w:lang w:val="en-US" w:eastAsia="en-GB"/>
        </w:rPr>
      </w:pPr>
      <w:r w:rsidRPr="00511330">
        <w:rPr>
          <w:rFonts w:asciiTheme="majorBidi" w:hAnsiTheme="majorBidi" w:cstheme="majorBidi"/>
          <w:sz w:val="24"/>
          <w:szCs w:val="24"/>
          <w:lang w:val="en-US"/>
        </w:rPr>
        <w:t>However, most organizations, specifically energy entities, greatly struggle to implement and maintain sustainable changes. Research indicates a probability of 70% failure of CM initiatives (Hans, et al., 2009), thus leading to many questions among researchers regarding the reasons of the high rate. The nature of these CM failure</w:t>
      </w:r>
      <w:r w:rsidR="00D67820"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is mostly objective or summarizes the change outcome. The lack of information regarding the relationships between organizations, employees, top </w:t>
      </w:r>
      <w:r w:rsidRPr="00511330">
        <w:rPr>
          <w:rFonts w:asciiTheme="majorBidi" w:hAnsiTheme="majorBidi" w:cstheme="majorBidi"/>
          <w:sz w:val="24"/>
          <w:szCs w:val="24"/>
          <w:lang w:val="en-US"/>
        </w:rPr>
        <w:lastRenderedPageBreak/>
        <w:t xml:space="preserve">management, customers, and governments remains due to the lack of in-depth research. </w:t>
      </w:r>
    </w:p>
    <w:p w14:paraId="64416159" w14:textId="333CF0EF" w:rsidR="008D3598" w:rsidRPr="00511330" w:rsidRDefault="008D3598" w:rsidP="00EB3AB2">
      <w:pPr>
        <w:spacing w:line="480" w:lineRule="auto"/>
        <w:ind w:right="-450"/>
        <w:jc w:val="both"/>
        <w:rPr>
          <w:rFonts w:asciiTheme="majorBidi" w:hAnsiTheme="majorBidi" w:cstheme="majorBidi"/>
          <w:color w:val="000000" w:themeColor="text1"/>
          <w:sz w:val="24"/>
          <w:szCs w:val="24"/>
          <w:lang w:val="en-US"/>
        </w:rPr>
      </w:pPr>
      <w:r w:rsidRPr="00511330">
        <w:rPr>
          <w:rFonts w:asciiTheme="majorBidi" w:hAnsiTheme="majorBidi" w:cstheme="majorBidi"/>
          <w:sz w:val="24"/>
          <w:szCs w:val="24"/>
          <w:lang w:val="en-US"/>
        </w:rPr>
        <w:t xml:space="preserve">Thus, in </w:t>
      </w:r>
      <w:r w:rsidR="00D6782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wake of the increasing need and importance of </w:t>
      </w:r>
      <w:r w:rsidRPr="00511330">
        <w:rPr>
          <w:rFonts w:asciiTheme="majorBidi" w:hAnsiTheme="majorBidi" w:cstheme="majorBidi"/>
          <w:noProof/>
          <w:sz w:val="24"/>
          <w:szCs w:val="24"/>
          <w:lang w:val="en-US"/>
        </w:rPr>
        <w:t>organisational</w:t>
      </w:r>
      <w:r w:rsidRPr="00511330">
        <w:rPr>
          <w:rFonts w:asciiTheme="majorBidi" w:hAnsiTheme="majorBidi" w:cstheme="majorBidi"/>
          <w:sz w:val="24"/>
          <w:szCs w:val="24"/>
          <w:lang w:val="en-US"/>
        </w:rPr>
        <w:t xml:space="preserve"> change, CM is becoming a highly required managerial skill and the properties of a successful CM leader must be determined (Graetz, 2000; Senior, 2002). The main challenge seen by most researchers </w:t>
      </w:r>
      <w:r w:rsidRPr="00511330">
        <w:rPr>
          <w:rFonts w:asciiTheme="majorBidi" w:hAnsiTheme="majorBidi" w:cstheme="majorBidi"/>
          <w:sz w:val="24"/>
          <w:szCs w:val="24"/>
          <w:bdr w:val="nil"/>
          <w:lang w:val="en-US" w:eastAsia="en-GB"/>
        </w:rPr>
        <w:t>and practitioners is the success of managing major change within the organizations. This challenge has been reported by many studies mentioning change failure rates as high as 70% (Alasadi</w:t>
      </w:r>
      <w:r w:rsidRPr="00511330">
        <w:rPr>
          <w:rFonts w:asciiTheme="majorBidi" w:eastAsia="Arial Unicode MS" w:hAnsiTheme="majorBidi" w:cstheme="majorBidi"/>
          <w:sz w:val="24"/>
          <w:szCs w:val="24"/>
          <w:bdr w:val="nil"/>
          <w:lang w:val="en-US"/>
        </w:rPr>
        <w:t xml:space="preserve"> </w:t>
      </w:r>
      <w:r w:rsidR="00E51FB9" w:rsidRPr="00511330">
        <w:rPr>
          <w:rFonts w:asciiTheme="majorBidi" w:eastAsia="Arial Unicode MS" w:hAnsiTheme="majorBidi" w:cstheme="majorBidi"/>
          <w:sz w:val="24"/>
          <w:szCs w:val="24"/>
          <w:bdr w:val="nil"/>
          <w:lang w:val="en-US"/>
        </w:rPr>
        <w:t>and</w:t>
      </w:r>
      <w:r w:rsidRPr="00511330">
        <w:rPr>
          <w:rFonts w:asciiTheme="majorBidi" w:eastAsia="Arial Unicode MS" w:hAnsiTheme="majorBidi" w:cstheme="majorBidi"/>
          <w:sz w:val="24"/>
          <w:szCs w:val="24"/>
          <w:bdr w:val="nil"/>
          <w:lang w:val="en-US"/>
        </w:rPr>
        <w:t xml:space="preserve"> Askary, 2014). </w:t>
      </w:r>
      <w:r w:rsidRPr="00511330">
        <w:rPr>
          <w:rFonts w:asciiTheme="majorBidi" w:hAnsiTheme="majorBidi" w:cstheme="majorBidi"/>
          <w:sz w:val="24"/>
          <w:szCs w:val="24"/>
          <w:lang w:val="en-US"/>
        </w:rPr>
        <w:t>The high rate of CM failures in UAE, as specified by (</w:t>
      </w:r>
      <w:r w:rsidR="00EB3AB2" w:rsidRPr="00511330">
        <w:rPr>
          <w:rFonts w:asciiTheme="majorBidi" w:hAnsiTheme="majorBidi" w:cstheme="majorBidi"/>
          <w:sz w:val="24"/>
          <w:szCs w:val="24"/>
          <w:lang w:val="en-US"/>
        </w:rPr>
        <w:t xml:space="preserve">Bin </w:t>
      </w:r>
      <w:r w:rsidRPr="00511330">
        <w:rPr>
          <w:rFonts w:asciiTheme="majorBidi" w:eastAsia="Calibri" w:hAnsiTheme="majorBidi" w:cstheme="majorBidi"/>
          <w:sz w:val="24"/>
          <w:szCs w:val="24"/>
          <w:bdr w:val="nil"/>
          <w:lang w:val="en-US" w:eastAsia="en-GB"/>
        </w:rPr>
        <w:t>Taher et al., 2015)</w:t>
      </w:r>
      <w:r w:rsidRPr="00511330">
        <w:rPr>
          <w:rFonts w:asciiTheme="majorBidi" w:hAnsiTheme="majorBidi" w:cstheme="majorBidi"/>
          <w:sz w:val="24"/>
          <w:szCs w:val="24"/>
          <w:lang w:val="en-US"/>
        </w:rPr>
        <w:t xml:space="preserve">, indicates the importance of considering the motivators, enablers, and barriers of CM. Within the three factors of change, the study includes the context of enablers, motives, and barriers where it discusses various elements, including implicit change leadership (ICL) dimensions of ideal change leaders: strategic/technical competence, execution competence, social competence, character, and resilience (Magsaysay </w:t>
      </w:r>
      <w:r w:rsidR="00E51FB9"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Hechanova, 2017). Subsequently, this </w:t>
      </w:r>
      <w:r w:rsidR="00BC0A03" w:rsidRPr="00511330">
        <w:rPr>
          <w:rFonts w:asciiTheme="majorBidi" w:hAnsiTheme="majorBidi" w:cstheme="majorBidi"/>
          <w:sz w:val="24"/>
          <w:szCs w:val="24"/>
          <w:lang w:val="en-US"/>
        </w:rPr>
        <w:t>study</w:t>
      </w:r>
      <w:r w:rsidRPr="00511330">
        <w:rPr>
          <w:rFonts w:asciiTheme="majorBidi" w:hAnsiTheme="majorBidi" w:cstheme="majorBidi"/>
          <w:sz w:val="24"/>
          <w:szCs w:val="24"/>
          <w:lang w:val="en-US"/>
        </w:rPr>
        <w:t xml:space="preserve"> explores the motivators</w:t>
      </w:r>
      <w:r w:rsidRPr="00511330">
        <w:rPr>
          <w:rFonts w:asciiTheme="majorBidi" w:hAnsiTheme="majorBidi" w:cstheme="majorBidi"/>
          <w:color w:val="000000" w:themeColor="text1"/>
          <w:sz w:val="24"/>
          <w:szCs w:val="24"/>
          <w:lang w:val="en-US"/>
        </w:rPr>
        <w:t xml:space="preserve">, barriers, and enablers of successful CM for UAE organizations with an emphasis on energy generation. The research determines the best elements and </w:t>
      </w:r>
      <w:r w:rsidRPr="00511330">
        <w:rPr>
          <w:rFonts w:asciiTheme="majorBidi" w:hAnsiTheme="majorBidi" w:cstheme="majorBidi"/>
          <w:noProof/>
          <w:color w:val="000000" w:themeColor="text1"/>
          <w:sz w:val="24"/>
          <w:szCs w:val="24"/>
          <w:lang w:val="en-US"/>
        </w:rPr>
        <w:t>analyses</w:t>
      </w:r>
      <w:r w:rsidRPr="00511330">
        <w:rPr>
          <w:rFonts w:asciiTheme="majorBidi" w:hAnsiTheme="majorBidi" w:cstheme="majorBidi"/>
          <w:color w:val="000000" w:themeColor="text1"/>
          <w:sz w:val="24"/>
          <w:szCs w:val="24"/>
          <w:lang w:val="en-US"/>
        </w:rPr>
        <w:t xml:space="preserve"> the gaps/factors that enable companies to steer stakeholders to change towards the right directions, simultaneously avoiding the diagnosis-related difficulty or limit probability to failure. Accordingly, stakeholders can narrow the success factors and elements that hinder change objectives in their desired direction and top management, employees, customers, and governments in </w:t>
      </w:r>
      <w:r w:rsidRPr="00511330">
        <w:rPr>
          <w:rFonts w:asciiTheme="majorBidi" w:hAnsiTheme="majorBidi" w:cstheme="majorBidi"/>
          <w:noProof/>
          <w:color w:val="000000" w:themeColor="text1"/>
          <w:sz w:val="24"/>
          <w:szCs w:val="24"/>
          <w:lang w:val="en-US"/>
        </w:rPr>
        <w:t>favor</w:t>
      </w:r>
      <w:r w:rsidRPr="00511330">
        <w:rPr>
          <w:rFonts w:asciiTheme="majorBidi" w:hAnsiTheme="majorBidi" w:cstheme="majorBidi"/>
          <w:color w:val="000000" w:themeColor="text1"/>
          <w:sz w:val="24"/>
          <w:szCs w:val="24"/>
          <w:lang w:val="en-US"/>
        </w:rPr>
        <w:t xml:space="preserve"> of their organization’s future visions.</w:t>
      </w:r>
    </w:p>
    <w:p w14:paraId="6441615A" w14:textId="22DA5CCB" w:rsidR="008D3598" w:rsidRPr="00511330" w:rsidRDefault="008D3598" w:rsidP="00721566">
      <w:pPr>
        <w:spacing w:line="480" w:lineRule="auto"/>
        <w:ind w:right="-450"/>
        <w:jc w:val="both"/>
        <w:rPr>
          <w:rFonts w:asciiTheme="majorBidi" w:hAnsiTheme="majorBidi" w:cstheme="majorBidi"/>
          <w:color w:val="000000" w:themeColor="text1"/>
          <w:sz w:val="24"/>
          <w:szCs w:val="24"/>
          <w:lang w:val="en-US"/>
        </w:rPr>
      </w:pPr>
      <w:r w:rsidRPr="00511330">
        <w:rPr>
          <w:rFonts w:asciiTheme="majorBidi" w:hAnsiTheme="majorBidi" w:cstheme="majorBidi"/>
          <w:color w:val="000000" w:themeColor="text1"/>
          <w:sz w:val="24"/>
          <w:szCs w:val="24"/>
          <w:lang w:val="en-US"/>
        </w:rPr>
        <w:lastRenderedPageBreak/>
        <w:t xml:space="preserve">The study is categorized into three main sections starting with </w:t>
      </w:r>
      <w:r w:rsidRPr="00511330">
        <w:rPr>
          <w:rFonts w:asciiTheme="majorBidi" w:hAnsiTheme="majorBidi" w:cstheme="majorBidi"/>
          <w:noProof/>
          <w:color w:val="000000" w:themeColor="text1"/>
          <w:sz w:val="24"/>
          <w:szCs w:val="24"/>
          <w:lang w:val="en-US"/>
        </w:rPr>
        <w:t>literature</w:t>
      </w:r>
      <w:r w:rsidRPr="00511330">
        <w:rPr>
          <w:rFonts w:asciiTheme="majorBidi" w:hAnsiTheme="majorBidi" w:cstheme="majorBidi"/>
          <w:color w:val="000000" w:themeColor="text1"/>
          <w:sz w:val="24"/>
          <w:szCs w:val="24"/>
          <w:lang w:val="en-US"/>
        </w:rPr>
        <w:t xml:space="preserve"> review and identifies what </w:t>
      </w:r>
      <w:r w:rsidRPr="00511330">
        <w:rPr>
          <w:rFonts w:asciiTheme="majorBidi" w:hAnsiTheme="majorBidi" w:cstheme="majorBidi"/>
          <w:noProof/>
          <w:color w:val="000000" w:themeColor="text1"/>
          <w:sz w:val="24"/>
          <w:szCs w:val="24"/>
          <w:lang w:val="en-US"/>
        </w:rPr>
        <w:t>change</w:t>
      </w:r>
      <w:r w:rsidRPr="00511330">
        <w:rPr>
          <w:rFonts w:asciiTheme="majorBidi" w:hAnsiTheme="majorBidi" w:cstheme="majorBidi"/>
          <w:color w:val="000000" w:themeColor="text1"/>
          <w:sz w:val="24"/>
          <w:szCs w:val="24"/>
          <w:lang w:val="en-US"/>
        </w:rPr>
        <w:t xml:space="preserve"> enablers, motives, and barriers exist among different stakeholders. The study then discusses the implications of each enabler, motive, and barrier. </w:t>
      </w:r>
      <w:r w:rsidRPr="00511330">
        <w:rPr>
          <w:rFonts w:asciiTheme="majorBidi" w:hAnsiTheme="majorBidi" w:cstheme="majorBidi"/>
          <w:noProof/>
          <w:color w:val="000000" w:themeColor="text1"/>
          <w:sz w:val="24"/>
          <w:szCs w:val="24"/>
          <w:lang w:val="en-US"/>
        </w:rPr>
        <w:t>Afterwards</w:t>
      </w:r>
      <w:r w:rsidRPr="00511330">
        <w:rPr>
          <w:rFonts w:asciiTheme="majorBidi" w:hAnsiTheme="majorBidi" w:cstheme="majorBidi"/>
          <w:color w:val="000000" w:themeColor="text1"/>
          <w:sz w:val="24"/>
          <w:szCs w:val="24"/>
          <w:lang w:val="en-US"/>
        </w:rPr>
        <w:t xml:space="preserve">, a thorough and comprehensive analysis of each enabling element, motive, and barrier is given. Lastly, it </w:t>
      </w:r>
      <w:r w:rsidRPr="00511330">
        <w:rPr>
          <w:rFonts w:asciiTheme="majorBidi" w:hAnsiTheme="majorBidi" w:cstheme="majorBidi"/>
          <w:noProof/>
          <w:color w:val="000000" w:themeColor="text1"/>
          <w:sz w:val="24"/>
          <w:szCs w:val="24"/>
          <w:lang w:val="en-US"/>
        </w:rPr>
        <w:t>analyses</w:t>
      </w:r>
      <w:r w:rsidRPr="00511330">
        <w:rPr>
          <w:rFonts w:asciiTheme="majorBidi" w:hAnsiTheme="majorBidi" w:cstheme="majorBidi"/>
          <w:color w:val="000000" w:themeColor="text1"/>
          <w:sz w:val="24"/>
          <w:szCs w:val="24"/>
          <w:lang w:val="en-US"/>
        </w:rPr>
        <w:t xml:space="preserve"> and discusses the findings along with the conclusion and implications.</w:t>
      </w:r>
      <w:bookmarkStart w:id="27" w:name="_Toc32085682"/>
      <w:bookmarkStart w:id="28" w:name="_Toc32085866"/>
      <w:bookmarkStart w:id="29" w:name="_Toc32086053"/>
      <w:bookmarkStart w:id="30" w:name="_Toc32090190"/>
      <w:bookmarkStart w:id="31" w:name="_Toc32090520"/>
      <w:bookmarkStart w:id="32" w:name="_Toc32091436"/>
      <w:bookmarkStart w:id="33" w:name="_Toc32085683"/>
      <w:bookmarkStart w:id="34" w:name="_Toc32085867"/>
      <w:bookmarkStart w:id="35" w:name="_Toc32086054"/>
      <w:bookmarkStart w:id="36" w:name="_Toc32090191"/>
      <w:bookmarkStart w:id="37" w:name="_Toc32090521"/>
      <w:bookmarkStart w:id="38" w:name="_Toc32091437"/>
      <w:bookmarkEnd w:id="27"/>
      <w:bookmarkEnd w:id="28"/>
      <w:bookmarkEnd w:id="29"/>
      <w:bookmarkEnd w:id="30"/>
      <w:bookmarkEnd w:id="31"/>
      <w:bookmarkEnd w:id="32"/>
      <w:bookmarkEnd w:id="33"/>
      <w:bookmarkEnd w:id="34"/>
      <w:bookmarkEnd w:id="35"/>
      <w:bookmarkEnd w:id="36"/>
      <w:bookmarkEnd w:id="37"/>
      <w:bookmarkEnd w:id="38"/>
    </w:p>
    <w:p w14:paraId="6441615B" w14:textId="7E5F4840" w:rsidR="008D3598" w:rsidRPr="00511330" w:rsidRDefault="008D3598" w:rsidP="004F05F2">
      <w:pPr>
        <w:pStyle w:val="Heading2"/>
        <w:numPr>
          <w:ilvl w:val="1"/>
          <w:numId w:val="9"/>
        </w:numPr>
        <w:ind w:right="-450"/>
        <w:rPr>
          <w:lang w:val="en-US"/>
        </w:rPr>
      </w:pPr>
      <w:bookmarkStart w:id="39" w:name="_Toc43311597"/>
      <w:r w:rsidRPr="00511330">
        <w:rPr>
          <w:lang w:val="en-US"/>
        </w:rPr>
        <w:t>Statement of Problem</w:t>
      </w:r>
      <w:bookmarkEnd w:id="39"/>
    </w:p>
    <w:p w14:paraId="515D2B9F" w14:textId="72EEC46F" w:rsidR="004F05F2" w:rsidRPr="00511330" w:rsidRDefault="004F05F2" w:rsidP="004F05F2">
      <w:pPr>
        <w:pStyle w:val="ListParagraph"/>
        <w:ind w:left="360"/>
        <w:rPr>
          <w:lang w:val="en-US"/>
        </w:rPr>
      </w:pPr>
    </w:p>
    <w:p w14:paraId="56481A3E" w14:textId="77777777" w:rsidR="00C656A9" w:rsidRPr="00511330" w:rsidRDefault="00C656A9" w:rsidP="00C656A9">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 xml:space="preserve">CM is defined as the continual renewing of an organization (Todnem, 2005), and Gilley et al. (2009) elucidates it as the most effective way of improving the existing state of any organization. The factors of motivators, enablers, and barriers behind any CM initiative have a vital role in deciding the zone of CM used. Enablers of CM include elements that accelerate the CM and strengthen the support of employees and top management towards one objective that serves the change desired by the organization. The need to research enablers and barriers are based on the input, experience of the leaders, as well as nature of the organization structure, advocating this view that change is best implemented through successive, limited, and negotiated shifts (Burnes, 2004). A better approach to change is a situation where organizations and their people continually monitor, sense, and respond to the external and internal environment in small steps as part of an ongoing process (Luecke, 2003). </w:t>
      </w:r>
    </w:p>
    <w:p w14:paraId="12B92074" w14:textId="77777777" w:rsidR="00C656A9" w:rsidRPr="00511330" w:rsidRDefault="008D3598" w:rsidP="00C656A9">
      <w:pPr>
        <w:tabs>
          <w:tab w:val="left" w:pos="6975"/>
        </w:tabs>
        <w:spacing w:line="480" w:lineRule="auto"/>
        <w:ind w:right="-450"/>
        <w:jc w:val="both"/>
        <w:rPr>
          <w:rFonts w:asciiTheme="majorBidi" w:eastAsia="Times New Roman" w:hAnsiTheme="majorBidi" w:cstheme="majorBidi"/>
          <w:sz w:val="24"/>
          <w:szCs w:val="24"/>
          <w:lang w:val="en-US"/>
        </w:rPr>
      </w:pPr>
      <w:r w:rsidRPr="00511330">
        <w:rPr>
          <w:rFonts w:asciiTheme="majorBidi" w:hAnsiTheme="majorBidi" w:cstheme="majorBidi"/>
          <w:sz w:val="24"/>
          <w:szCs w:val="24"/>
          <w:lang w:val="en-US"/>
        </w:rPr>
        <w:t xml:space="preserve">Most of the </w:t>
      </w:r>
      <w:r w:rsidRPr="00511330">
        <w:rPr>
          <w:rFonts w:asciiTheme="majorBidi" w:eastAsia="Times New Roman" w:hAnsiTheme="majorBidi" w:cstheme="majorBidi"/>
          <w:sz w:val="24"/>
          <w:szCs w:val="24"/>
          <w:lang w:val="en-US"/>
        </w:rPr>
        <w:t xml:space="preserve">UAE’s </w:t>
      </w:r>
      <w:r w:rsidRPr="00511330">
        <w:rPr>
          <w:rFonts w:asciiTheme="majorBidi" w:hAnsiTheme="majorBidi" w:cstheme="majorBidi"/>
          <w:sz w:val="24"/>
          <w:szCs w:val="24"/>
          <w:lang w:val="en-US"/>
        </w:rPr>
        <w:t>energy</w:t>
      </w:r>
      <w:r w:rsidRPr="00511330">
        <w:rPr>
          <w:rFonts w:asciiTheme="majorBidi" w:eastAsia="Times New Roman" w:hAnsiTheme="majorBidi" w:cstheme="majorBidi"/>
          <w:sz w:val="24"/>
          <w:szCs w:val="24"/>
          <w:lang w:val="en-US"/>
        </w:rPr>
        <w:t xml:space="preserve"> organizations anticipated the upcoming challenges in the global disturbing market trend changes. Though UAE has gone through multiphase shifts through past years, the rate failure, as most studies indicated, </w:t>
      </w:r>
      <w:r w:rsidRPr="00511330">
        <w:rPr>
          <w:rFonts w:asciiTheme="majorBidi" w:eastAsia="Times New Roman" w:hAnsiTheme="majorBidi" w:cstheme="majorBidi"/>
          <w:sz w:val="24"/>
          <w:szCs w:val="24"/>
          <w:lang w:val="en-US"/>
        </w:rPr>
        <w:lastRenderedPageBreak/>
        <w:t xml:space="preserve">were never less than 60%. The former group of studies has argued that organizational change failures are directly linked to decisions or actions made – or short of this (Jones et al., 2018; Kotter, 2008) whereas the latter group of studies has explicated it by emphasizing the situational and contextual factors (e.g. Burnes </w:t>
      </w:r>
      <w:r w:rsidR="00E51FB9" w:rsidRPr="00511330">
        <w:rPr>
          <w:rFonts w:asciiTheme="majorBidi" w:eastAsia="Times New Roman" w:hAnsiTheme="majorBidi" w:cstheme="majorBidi"/>
          <w:sz w:val="24"/>
          <w:szCs w:val="24"/>
          <w:lang w:val="en-US"/>
        </w:rPr>
        <w:t>and</w:t>
      </w:r>
      <w:r w:rsidRPr="00511330">
        <w:rPr>
          <w:rFonts w:asciiTheme="majorBidi" w:eastAsia="Times New Roman" w:hAnsiTheme="majorBidi" w:cstheme="majorBidi"/>
          <w:sz w:val="24"/>
          <w:szCs w:val="24"/>
          <w:lang w:val="en-US"/>
        </w:rPr>
        <w:t xml:space="preserve"> Jackson, 2011; Muluneh </w:t>
      </w:r>
      <w:r w:rsidR="00E51FB9" w:rsidRPr="00511330">
        <w:rPr>
          <w:rFonts w:asciiTheme="majorBidi" w:eastAsia="Times New Roman" w:hAnsiTheme="majorBidi" w:cstheme="majorBidi"/>
          <w:sz w:val="24"/>
          <w:szCs w:val="24"/>
          <w:lang w:val="en-US"/>
        </w:rPr>
        <w:t>and</w:t>
      </w:r>
      <w:r w:rsidRPr="00511330">
        <w:rPr>
          <w:rFonts w:asciiTheme="majorBidi" w:eastAsia="Times New Roman" w:hAnsiTheme="majorBidi" w:cstheme="majorBidi"/>
          <w:sz w:val="24"/>
          <w:szCs w:val="24"/>
          <w:lang w:val="en-US"/>
        </w:rPr>
        <w:t xml:space="preserve"> Gedifew, 2018).  </w:t>
      </w:r>
      <w:r w:rsidR="00C656A9" w:rsidRPr="00511330">
        <w:rPr>
          <w:rFonts w:asciiTheme="majorBidi" w:eastAsia="Times New Roman" w:hAnsiTheme="majorBidi" w:cstheme="majorBidi"/>
          <w:sz w:val="24"/>
          <w:szCs w:val="24"/>
          <w:lang w:val="en-US"/>
        </w:rPr>
        <w:t>UAE has the most elevated rate of vitality utilization in the GCC zone and one of the most astounding vitality utilizations per unit worldwide owing to relative low vitality cost, extreme natural condition related with the desert atmosphere, and financial development blast in the UAE over the previous 20 years (Yas and Jaafer, 2020).</w:t>
      </w:r>
    </w:p>
    <w:p w14:paraId="631EB5C4" w14:textId="77777777" w:rsidR="00C656A9" w:rsidRPr="00511330" w:rsidRDefault="00C656A9" w:rsidP="00C656A9">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 xml:space="preserve">The UAE economy relied on petroleum for more than 40 years, but with the rapid depletion of oil reserves, the government introduced several good governance reforms based on two strategies, “UAE 2021” and “Abu Dhabi 2030,” in order to prepare for the post-oil era by making the public sector more competitive, responsive, and efficient (Yaghi, 2017). Yet, the (at times) uncritical reference to these numbers lends credibility to the unverified assertion that the vast majority of changes fail (Smollan and Morrison, 2019). It is a widespread myth, particularly in the practitioner literature, that most organizational change fails, with rates of 67–70 percent presented as evidence but seldom questioned (Blanchard, 2010; Maurer, 2010). The McKinsey consulting group reports data that 70% of all change management efforts fail (Jones-Schenk, 2019). Whilst two-thirds seems to be a staggeringly high rate of failure, it is not out of line with the majority of the change literature which regularly quotes failure rates of between 60% and 90% (Burnes, 2009). </w:t>
      </w:r>
    </w:p>
    <w:p w14:paraId="6441615D" w14:textId="7FF5C5FB" w:rsidR="008D3598" w:rsidRPr="00511330" w:rsidRDefault="008D3598" w:rsidP="00C656A9">
      <w:pPr>
        <w:tabs>
          <w:tab w:val="left" w:pos="6975"/>
        </w:tabs>
        <w:spacing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lastRenderedPageBreak/>
        <w:t>Meanwhile, an era passed with tremendous change management research journals, books</w:t>
      </w:r>
      <w:r w:rsidR="00D67820" w:rsidRPr="00511330">
        <w:rPr>
          <w:rFonts w:asciiTheme="majorBidi" w:eastAsia="Times New Roman" w:hAnsiTheme="majorBidi" w:cstheme="majorBidi"/>
          <w:sz w:val="24"/>
          <w:szCs w:val="24"/>
          <w:lang w:val="en-US"/>
        </w:rPr>
        <w:t>,</w:t>
      </w:r>
      <w:r w:rsidRPr="00511330">
        <w:rPr>
          <w:rFonts w:asciiTheme="majorBidi" w:eastAsia="Times New Roman" w:hAnsiTheme="majorBidi" w:cstheme="majorBidi"/>
          <w:sz w:val="24"/>
          <w:szCs w:val="24"/>
          <w:lang w:val="en-US"/>
        </w:rPr>
        <w:t xml:space="preserve"> and models, yet most of the organizations could not understand the truth that CM always had multi factors affecting how it’s implemented and why. “with failure rates frequently cited as high as70%” (Balogun </w:t>
      </w:r>
      <w:r w:rsidR="00E51FB9" w:rsidRPr="00511330">
        <w:rPr>
          <w:rFonts w:asciiTheme="majorBidi" w:eastAsia="Times New Roman" w:hAnsiTheme="majorBidi" w:cstheme="majorBidi"/>
          <w:sz w:val="24"/>
          <w:szCs w:val="24"/>
          <w:lang w:val="en-US"/>
        </w:rPr>
        <w:t>and</w:t>
      </w:r>
      <w:r w:rsidRPr="00511330">
        <w:rPr>
          <w:rFonts w:asciiTheme="majorBidi" w:eastAsia="Times New Roman" w:hAnsiTheme="majorBidi" w:cstheme="majorBidi"/>
          <w:sz w:val="24"/>
          <w:szCs w:val="24"/>
          <w:lang w:val="en-US"/>
        </w:rPr>
        <w:t xml:space="preserve"> Hailey, 2014, p. 3). Most of the changes applied seems to work out perfectly and successfully after a lot of simulation and testing. However, the biggest impact would be on humans and their perception of the ideas. So far, we never seen any governmental or private sectors explaining the imminence and benefit of CM.</w:t>
      </w:r>
    </w:p>
    <w:p w14:paraId="6441615E" w14:textId="71D05221" w:rsidR="008D3598" w:rsidRPr="00511330" w:rsidRDefault="008D3598" w:rsidP="00E51FB9">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 xml:space="preserve">In UAE’s energy sector, CM always been treated as a matter of secrecy and management loss and benefits. At most times, it has been treated as a covert operation, where results or target are shown, ignoring all other consequences of barriers which plays a key factor. (Diefenbach, 2007) We cannot blame humans for resisting change, because humans’ basic instinct is to fear the unknown. There is immense empirical evidence that such change processes, as well as their outcomes, are often disappointing (Clegg </w:t>
      </w:r>
      <w:r w:rsidR="00E51FB9" w:rsidRPr="00511330">
        <w:rPr>
          <w:rFonts w:asciiTheme="majorBidi" w:eastAsia="Times New Roman" w:hAnsiTheme="majorBidi" w:cstheme="majorBidi"/>
          <w:sz w:val="24"/>
          <w:szCs w:val="24"/>
          <w:lang w:val="en-US"/>
        </w:rPr>
        <w:t xml:space="preserve">and </w:t>
      </w:r>
      <w:r w:rsidRPr="00511330">
        <w:rPr>
          <w:rFonts w:asciiTheme="majorBidi" w:eastAsia="Times New Roman" w:hAnsiTheme="majorBidi" w:cstheme="majorBidi"/>
          <w:sz w:val="24"/>
          <w:szCs w:val="24"/>
          <w:lang w:val="en-US"/>
        </w:rPr>
        <w:t>Walsh, 2004, p. 218). Taking in assumption the western style managements and their disappointment of changes results, UAE is yet to publish a successful story of CM.</w:t>
      </w:r>
    </w:p>
    <w:p w14:paraId="48759FB6" w14:textId="77777777" w:rsidR="00C656A9" w:rsidRPr="00511330" w:rsidRDefault="00C656A9" w:rsidP="00C656A9">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 xml:space="preserve">Currently, CM has become more of a business in the local market. Change in an organization is not a result of coincidence or an isolated act based on the desires of management. Instead, change is always related to the survival mode of organizations around the world. Also, there is a need to develop and evolve in an erratic market due to financial changes in business districts. When an organization decides to change, a significant alteration takes place in the company’s vision, mission, or process. Various external changes arise from outside an organization, </w:t>
      </w:r>
      <w:r w:rsidRPr="00511330">
        <w:rPr>
          <w:rFonts w:asciiTheme="majorBidi" w:eastAsia="Times New Roman" w:hAnsiTheme="majorBidi" w:cstheme="majorBidi"/>
          <w:sz w:val="24"/>
          <w:szCs w:val="24"/>
          <w:lang w:val="en-US"/>
        </w:rPr>
        <w:lastRenderedPageBreak/>
        <w:t>and a desire to maintain a competitive advantage demands continuous internal change in an organization (Kotter 2008; Beer and Nohria 2000; Wanberg &amp; Banas 2000).</w:t>
      </w:r>
    </w:p>
    <w:p w14:paraId="6441615F" w14:textId="5346092F" w:rsidR="008D3598" w:rsidRPr="00511330" w:rsidRDefault="008D3598" w:rsidP="00721566">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 xml:space="preserve">Whilst two-thirds seems to be a staggeringly high rate of failure, it is not out of line with the majority of the change literature which regularly quotes failure rates of between 60% and 90% (Burnes, 2009). It seems, therefore, that for the last 40 years, at least, far more change initiatives have failed than those that have succeeded Oertel et al. (2016). Therefore; change was always seen with a lot of process surge and mass negativity in any organization. The reason for organizational change failure not being studied systematically grounded in the becoming view might be found in the predicament associated with studying an ever-changing phenomenon, which this </w:t>
      </w:r>
      <w:r w:rsidR="00BC0A03" w:rsidRPr="00511330">
        <w:rPr>
          <w:rFonts w:asciiTheme="majorBidi" w:eastAsia="Times New Roman" w:hAnsiTheme="majorBidi" w:cstheme="majorBidi"/>
          <w:sz w:val="24"/>
          <w:szCs w:val="24"/>
          <w:lang w:val="en-US"/>
        </w:rPr>
        <w:t>study</w:t>
      </w:r>
      <w:r w:rsidRPr="00511330">
        <w:rPr>
          <w:rFonts w:asciiTheme="majorBidi" w:eastAsia="Times New Roman" w:hAnsiTheme="majorBidi" w:cstheme="majorBidi"/>
          <w:sz w:val="24"/>
          <w:szCs w:val="24"/>
          <w:lang w:val="en-US"/>
        </w:rPr>
        <w:t xml:space="preserve"> aims at doing (Bruskin, 2019). Though, most of the governmental sectors have applied change depending on the customer’s feedback and market trend to set their new policies, change became a normal aspect of their process to continuously develop the system process in order to best fit the needs of the client and deliver organizations objectives.</w:t>
      </w:r>
      <w:bookmarkStart w:id="40" w:name="_Toc32085685"/>
      <w:bookmarkStart w:id="41" w:name="_Toc32085869"/>
      <w:bookmarkStart w:id="42" w:name="_Toc32086056"/>
      <w:bookmarkStart w:id="43" w:name="_Toc32090193"/>
      <w:bookmarkStart w:id="44" w:name="_Toc32090523"/>
      <w:bookmarkStart w:id="45" w:name="_Toc32091439"/>
      <w:bookmarkStart w:id="46" w:name="_Toc32085686"/>
      <w:bookmarkStart w:id="47" w:name="_Toc32085870"/>
      <w:bookmarkStart w:id="48" w:name="_Toc32086057"/>
      <w:bookmarkStart w:id="49" w:name="_Toc32090194"/>
      <w:bookmarkStart w:id="50" w:name="_Toc32090524"/>
      <w:bookmarkStart w:id="51" w:name="_Toc32091440"/>
      <w:bookmarkStart w:id="52" w:name="_Toc32085687"/>
      <w:bookmarkStart w:id="53" w:name="_Toc32085871"/>
      <w:bookmarkStart w:id="54" w:name="_Toc32086058"/>
      <w:bookmarkStart w:id="55" w:name="_Toc32090195"/>
      <w:bookmarkStart w:id="56" w:name="_Toc32090525"/>
      <w:bookmarkStart w:id="57" w:name="_Toc32091441"/>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64416160" w14:textId="3B042F93" w:rsidR="008D3598" w:rsidRPr="00511330" w:rsidRDefault="008D3598" w:rsidP="00956326">
      <w:pPr>
        <w:pStyle w:val="Heading2"/>
        <w:numPr>
          <w:ilvl w:val="1"/>
          <w:numId w:val="9"/>
        </w:numPr>
        <w:ind w:right="-450"/>
        <w:rPr>
          <w:lang w:val="en-US"/>
        </w:rPr>
      </w:pPr>
      <w:bookmarkStart w:id="58" w:name="_Toc43311598"/>
      <w:r w:rsidRPr="00511330">
        <w:rPr>
          <w:lang w:val="en-US"/>
        </w:rPr>
        <w:t>Research Context</w:t>
      </w:r>
      <w:bookmarkEnd w:id="58"/>
    </w:p>
    <w:p w14:paraId="6C9569AE" w14:textId="77777777" w:rsidR="00956326" w:rsidRPr="00511330" w:rsidRDefault="00956326" w:rsidP="00956326">
      <w:pPr>
        <w:pStyle w:val="ListParagraph"/>
        <w:ind w:left="792"/>
        <w:rPr>
          <w:lang w:val="en-US"/>
        </w:rPr>
      </w:pPr>
    </w:p>
    <w:p w14:paraId="64416161" w14:textId="0BD8D0D4" w:rsidR="008D3598" w:rsidRPr="00511330" w:rsidRDefault="008D3598" w:rsidP="00D46316">
      <w:pPr>
        <w:spacing w:line="480" w:lineRule="auto"/>
        <w:ind w:right="-450"/>
        <w:jc w:val="both"/>
        <w:rPr>
          <w:rFonts w:asciiTheme="majorBidi" w:eastAsia="Times New Roman" w:hAnsiTheme="majorBidi" w:cstheme="majorBidi"/>
          <w:sz w:val="24"/>
          <w:szCs w:val="24"/>
          <w:lang w:val="en-US"/>
        </w:rPr>
      </w:pPr>
      <w:r w:rsidRPr="00511330">
        <w:rPr>
          <w:rFonts w:asciiTheme="majorBidi" w:hAnsiTheme="majorBidi" w:cstheme="majorBidi"/>
          <w:sz w:val="24"/>
          <w:szCs w:val="24"/>
          <w:lang w:val="en-US"/>
        </w:rPr>
        <w:t>The United Arab Emirates</w:t>
      </w:r>
      <w:r w:rsidRPr="00511330">
        <w:rPr>
          <w:rFonts w:asciiTheme="majorBidi" w:eastAsia="Times New Roman" w:hAnsiTheme="majorBidi" w:cstheme="majorBidi"/>
          <w:sz w:val="24"/>
          <w:szCs w:val="24"/>
          <w:lang w:val="en-US"/>
        </w:rPr>
        <w:t xml:space="preserve"> (UAE) is a country that is committed to change and has undertaken several projects as well as initiatives to significantly improve its economy over the past few decades (Mimouni </w:t>
      </w:r>
      <w:r w:rsidR="00D46316" w:rsidRPr="00511330">
        <w:rPr>
          <w:rFonts w:asciiTheme="majorBidi" w:eastAsia="Times New Roman" w:hAnsiTheme="majorBidi" w:cstheme="majorBidi"/>
          <w:sz w:val="24"/>
          <w:szCs w:val="24"/>
          <w:lang w:val="en-US"/>
        </w:rPr>
        <w:t>and</w:t>
      </w:r>
      <w:r w:rsidRPr="00511330">
        <w:rPr>
          <w:rFonts w:asciiTheme="majorBidi" w:eastAsia="Times New Roman" w:hAnsiTheme="majorBidi" w:cstheme="majorBidi"/>
          <w:sz w:val="24"/>
          <w:szCs w:val="24"/>
          <w:lang w:val="en-US"/>
        </w:rPr>
        <w:t xml:space="preserve"> Metcalfe, 2011). It is apparent from previous studies that successful change requires a successful characteristic and elements that makes it steer towards victory and success. It entails a blend of leadership skills, organization communication</w:t>
      </w:r>
      <w:r w:rsidR="00D67820" w:rsidRPr="00511330">
        <w:rPr>
          <w:rFonts w:asciiTheme="majorBidi" w:eastAsia="Times New Roman" w:hAnsiTheme="majorBidi" w:cstheme="majorBidi"/>
          <w:sz w:val="24"/>
          <w:szCs w:val="24"/>
          <w:lang w:val="en-US"/>
        </w:rPr>
        <w:t>,</w:t>
      </w:r>
      <w:r w:rsidRPr="00511330">
        <w:rPr>
          <w:rFonts w:asciiTheme="majorBidi" w:eastAsia="Times New Roman" w:hAnsiTheme="majorBidi" w:cstheme="majorBidi"/>
          <w:sz w:val="24"/>
          <w:szCs w:val="24"/>
          <w:lang w:val="en-US"/>
        </w:rPr>
        <w:t xml:space="preserve"> and process to step on and get final </w:t>
      </w:r>
      <w:r w:rsidRPr="00511330">
        <w:rPr>
          <w:rFonts w:asciiTheme="majorBidi" w:eastAsia="Times New Roman" w:hAnsiTheme="majorBidi" w:cstheme="majorBidi"/>
          <w:sz w:val="24"/>
          <w:szCs w:val="24"/>
          <w:lang w:val="en-US"/>
        </w:rPr>
        <w:lastRenderedPageBreak/>
        <w:t>satisfactory results. The nation’s organizational experience with change has not been pleasant and mostly ended in undesirable directions. Change cycle has been greater since 2008 in UAE, due to change in oil prices and selling fuels at world market prices. Therefore, organizations have had no choice but to adapt their organization every year to new market settings.</w:t>
      </w:r>
    </w:p>
    <w:p w14:paraId="64416162" w14:textId="172DF43A" w:rsidR="008D3598" w:rsidRPr="00511330" w:rsidRDefault="008D3598" w:rsidP="00721566">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As the research deepens in CM, it is possible to depict three major elements in them comprising of the hard factor and the soft factor. The hard factor encompasses the technology, organization behavior</w:t>
      </w:r>
      <w:r w:rsidR="00D67820" w:rsidRPr="00511330">
        <w:rPr>
          <w:rFonts w:asciiTheme="majorBidi" w:eastAsia="Times New Roman" w:hAnsiTheme="majorBidi" w:cstheme="majorBidi"/>
          <w:sz w:val="24"/>
          <w:szCs w:val="24"/>
          <w:lang w:val="en-US"/>
        </w:rPr>
        <w:t>,</w:t>
      </w:r>
      <w:r w:rsidRPr="00511330">
        <w:rPr>
          <w:rFonts w:asciiTheme="majorBidi" w:eastAsia="Times New Roman" w:hAnsiTheme="majorBidi" w:cstheme="majorBidi"/>
          <w:sz w:val="24"/>
          <w:szCs w:val="24"/>
          <w:lang w:val="en-US"/>
        </w:rPr>
        <w:t xml:space="preserve"> and rules and regulation of the organization.  </w:t>
      </w:r>
    </w:p>
    <w:p w14:paraId="64416163" w14:textId="77777777" w:rsidR="008D3598" w:rsidRPr="00511330" w:rsidRDefault="008D3598" w:rsidP="00721566">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 xml:space="preserve">The three factors can hardly be changed because it holds the soul of the company. For example, you cannot shift the company technology from emailing to faxing as it would have a backward effect on company development. Furthermore, organizational behavior sets the rule where the leaders and employees exchange would occur along with main HR rules. </w:t>
      </w:r>
    </w:p>
    <w:p w14:paraId="64416164" w14:textId="1A25B95C" w:rsidR="008D3598" w:rsidRPr="00511330" w:rsidRDefault="008D3598" w:rsidP="00721566">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Lastly, the rules and regulations are considered bounderism set by the top board of the company to protect the organization’s sensitive work processes and safeguard secrecy of key details within its four walls. A leader using the passive form intervenes only after standards have not been met or problems have arisen (Northouse, 2003). Any breach or alteration of the rules and regulation</w:t>
      </w:r>
      <w:r w:rsidR="00D67820" w:rsidRPr="00511330">
        <w:rPr>
          <w:rFonts w:asciiTheme="majorBidi" w:eastAsia="Times New Roman" w:hAnsiTheme="majorBidi" w:cstheme="majorBidi"/>
          <w:sz w:val="24"/>
          <w:szCs w:val="24"/>
          <w:lang w:val="en-US"/>
        </w:rPr>
        <w:t>s</w:t>
      </w:r>
      <w:r w:rsidRPr="00511330">
        <w:rPr>
          <w:rFonts w:asciiTheme="majorBidi" w:eastAsia="Times New Roman" w:hAnsiTheme="majorBidi" w:cstheme="majorBidi"/>
          <w:sz w:val="24"/>
          <w:szCs w:val="24"/>
          <w:lang w:val="en-US"/>
        </w:rPr>
        <w:t xml:space="preserve"> of the company might lead the company to be exposed completely </w:t>
      </w:r>
      <w:r w:rsidR="00D67820" w:rsidRPr="00511330">
        <w:rPr>
          <w:rFonts w:asciiTheme="majorBidi" w:eastAsia="Times New Roman" w:hAnsiTheme="majorBidi" w:cstheme="majorBidi"/>
          <w:sz w:val="24"/>
          <w:szCs w:val="24"/>
          <w:lang w:val="en-US"/>
        </w:rPr>
        <w:t>to</w:t>
      </w:r>
      <w:r w:rsidRPr="00511330">
        <w:rPr>
          <w:rFonts w:asciiTheme="majorBidi" w:eastAsia="Times New Roman" w:hAnsiTheme="majorBidi" w:cstheme="majorBidi"/>
          <w:sz w:val="24"/>
          <w:szCs w:val="24"/>
          <w:lang w:val="en-US"/>
        </w:rPr>
        <w:t xml:space="preserve"> adhocracy. Some of the relevant structural dimensions reflect the very issues involved in fairness perceptions: the concentration of power, the degree of individual voice, the ability to influence others, the existence of formal rules and regulations, and so on (Greenberg, 1993)</w:t>
      </w:r>
      <w:r w:rsidR="00956326" w:rsidRPr="00511330">
        <w:rPr>
          <w:rFonts w:asciiTheme="majorBidi" w:eastAsia="Times New Roman" w:hAnsiTheme="majorBidi" w:cstheme="majorBidi"/>
          <w:sz w:val="24"/>
          <w:szCs w:val="24"/>
          <w:lang w:val="en-US"/>
        </w:rPr>
        <w:t>.</w:t>
      </w:r>
    </w:p>
    <w:p w14:paraId="64416165" w14:textId="4D54F49A" w:rsidR="008D3598" w:rsidRPr="00511330" w:rsidRDefault="008D3598" w:rsidP="00721566">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lastRenderedPageBreak/>
        <w:t>Hence, our research mainly will focus on the soft factors that hold the key elements of CM. The soft factors comprise of leadership, employee involvement</w:t>
      </w:r>
      <w:r w:rsidR="00D67820" w:rsidRPr="00511330">
        <w:rPr>
          <w:rFonts w:asciiTheme="majorBidi" w:eastAsia="Times New Roman" w:hAnsiTheme="majorBidi" w:cstheme="majorBidi"/>
          <w:sz w:val="24"/>
          <w:szCs w:val="24"/>
          <w:lang w:val="en-US"/>
        </w:rPr>
        <w:t>,</w:t>
      </w:r>
      <w:r w:rsidRPr="00511330">
        <w:rPr>
          <w:rFonts w:asciiTheme="majorBidi" w:eastAsia="Times New Roman" w:hAnsiTheme="majorBidi" w:cstheme="majorBidi"/>
          <w:sz w:val="24"/>
          <w:szCs w:val="24"/>
          <w:lang w:val="en-US"/>
        </w:rPr>
        <w:t xml:space="preserve"> and communication, all of which can be replaced with modified or better managed over a short period to ensure change does not get affected in any organization, especially energy organizations. </w:t>
      </w:r>
    </w:p>
    <w:p w14:paraId="64416166" w14:textId="07C86148" w:rsidR="008D3598" w:rsidRPr="00511330" w:rsidRDefault="008D3598" w:rsidP="00721566">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Carter (2008) posits that effecting change involves controlling or coordinating the change process in such a manner that enables people to adapt to change in a positive way leadership. The use of words such as coordinating, controlling and adapting signify the importance of the role of a leader and organizational culture in CM (</w:t>
      </w:r>
      <w:r w:rsidR="00295D11" w:rsidRPr="00511330">
        <w:rPr>
          <w:rFonts w:asciiTheme="majorBidi" w:eastAsia="Times New Roman" w:hAnsiTheme="majorBidi" w:cstheme="majorBidi"/>
          <w:sz w:val="24"/>
          <w:szCs w:val="24"/>
          <w:lang w:val="en-US"/>
        </w:rPr>
        <w:t>Al-Al</w:t>
      </w:r>
      <w:r w:rsidR="00FB46BC" w:rsidRPr="00511330">
        <w:rPr>
          <w:rFonts w:asciiTheme="majorBidi" w:eastAsia="Times New Roman" w:hAnsiTheme="majorBidi" w:cstheme="majorBidi"/>
          <w:sz w:val="24"/>
          <w:szCs w:val="24"/>
          <w:lang w:val="en-US"/>
        </w:rPr>
        <w:t>i</w:t>
      </w:r>
      <w:r w:rsidRPr="00511330">
        <w:rPr>
          <w:rFonts w:asciiTheme="majorBidi" w:eastAsia="Times New Roman" w:hAnsiTheme="majorBidi" w:cstheme="majorBidi"/>
          <w:sz w:val="24"/>
          <w:szCs w:val="24"/>
          <w:lang w:val="en-US"/>
        </w:rPr>
        <w:t xml:space="preserve"> et el., 2017).</w:t>
      </w:r>
    </w:p>
    <w:p w14:paraId="2C196DCD" w14:textId="77777777" w:rsidR="0047002A" w:rsidRPr="00511330" w:rsidRDefault="0047002A" w:rsidP="0047002A">
      <w:pPr>
        <w:pStyle w:val="ListParagraph"/>
        <w:keepNext/>
        <w:keepLines/>
        <w:numPr>
          <w:ilvl w:val="0"/>
          <w:numId w:val="27"/>
        </w:numPr>
        <w:spacing w:before="200" w:after="0" w:line="360" w:lineRule="auto"/>
        <w:contextualSpacing w:val="0"/>
        <w:outlineLvl w:val="2"/>
        <w:rPr>
          <w:rFonts w:asciiTheme="majorBidi" w:eastAsiaTheme="majorEastAsia" w:hAnsiTheme="majorBidi" w:cstheme="majorBidi"/>
          <w:b/>
          <w:bCs/>
          <w:vanish/>
          <w:sz w:val="24"/>
          <w:lang w:val="en-US"/>
        </w:rPr>
      </w:pPr>
      <w:bookmarkStart w:id="59" w:name="_Toc41053149"/>
      <w:bookmarkStart w:id="60" w:name="_Toc41053238"/>
      <w:bookmarkStart w:id="61" w:name="_Toc41053432"/>
      <w:bookmarkStart w:id="62" w:name="_Toc41053695"/>
      <w:bookmarkStart w:id="63" w:name="_Toc41054343"/>
      <w:bookmarkStart w:id="64" w:name="_Toc41054413"/>
      <w:bookmarkStart w:id="65" w:name="_Toc41056984"/>
      <w:bookmarkStart w:id="66" w:name="_Toc43311599"/>
      <w:bookmarkEnd w:id="59"/>
      <w:bookmarkEnd w:id="60"/>
      <w:bookmarkEnd w:id="61"/>
      <w:bookmarkEnd w:id="62"/>
      <w:bookmarkEnd w:id="63"/>
      <w:bookmarkEnd w:id="64"/>
      <w:bookmarkEnd w:id="65"/>
      <w:bookmarkEnd w:id="66"/>
    </w:p>
    <w:p w14:paraId="2A7E486F" w14:textId="77777777" w:rsidR="0047002A" w:rsidRPr="00511330" w:rsidRDefault="0047002A" w:rsidP="0047002A">
      <w:pPr>
        <w:pStyle w:val="ListParagraph"/>
        <w:keepNext/>
        <w:keepLines/>
        <w:numPr>
          <w:ilvl w:val="1"/>
          <w:numId w:val="27"/>
        </w:numPr>
        <w:spacing w:before="200" w:after="0" w:line="360" w:lineRule="auto"/>
        <w:contextualSpacing w:val="0"/>
        <w:outlineLvl w:val="2"/>
        <w:rPr>
          <w:rFonts w:asciiTheme="majorBidi" w:eastAsiaTheme="majorEastAsia" w:hAnsiTheme="majorBidi" w:cstheme="majorBidi"/>
          <w:b/>
          <w:bCs/>
          <w:vanish/>
          <w:sz w:val="24"/>
          <w:lang w:val="en-US"/>
        </w:rPr>
      </w:pPr>
      <w:bookmarkStart w:id="67" w:name="_Toc41053150"/>
      <w:bookmarkStart w:id="68" w:name="_Toc41053239"/>
      <w:bookmarkStart w:id="69" w:name="_Toc41053433"/>
      <w:bookmarkStart w:id="70" w:name="_Toc41053696"/>
      <w:bookmarkStart w:id="71" w:name="_Toc41054344"/>
      <w:bookmarkStart w:id="72" w:name="_Toc41054414"/>
      <w:bookmarkStart w:id="73" w:name="_Toc41056985"/>
      <w:bookmarkStart w:id="74" w:name="_Toc43311600"/>
      <w:bookmarkEnd w:id="67"/>
      <w:bookmarkEnd w:id="68"/>
      <w:bookmarkEnd w:id="69"/>
      <w:bookmarkEnd w:id="70"/>
      <w:bookmarkEnd w:id="71"/>
      <w:bookmarkEnd w:id="72"/>
      <w:bookmarkEnd w:id="73"/>
      <w:bookmarkEnd w:id="74"/>
    </w:p>
    <w:p w14:paraId="231B6C7A" w14:textId="77777777" w:rsidR="0047002A" w:rsidRPr="00511330" w:rsidRDefault="0047002A" w:rsidP="0047002A">
      <w:pPr>
        <w:pStyle w:val="ListParagraph"/>
        <w:keepNext/>
        <w:keepLines/>
        <w:numPr>
          <w:ilvl w:val="1"/>
          <w:numId w:val="27"/>
        </w:numPr>
        <w:spacing w:before="200" w:after="0" w:line="360" w:lineRule="auto"/>
        <w:contextualSpacing w:val="0"/>
        <w:outlineLvl w:val="2"/>
        <w:rPr>
          <w:rFonts w:asciiTheme="majorBidi" w:eastAsiaTheme="majorEastAsia" w:hAnsiTheme="majorBidi" w:cstheme="majorBidi"/>
          <w:b/>
          <w:bCs/>
          <w:vanish/>
          <w:sz w:val="24"/>
          <w:lang w:val="en-US"/>
        </w:rPr>
      </w:pPr>
      <w:bookmarkStart w:id="75" w:name="_Toc41053151"/>
      <w:bookmarkStart w:id="76" w:name="_Toc41053240"/>
      <w:bookmarkStart w:id="77" w:name="_Toc41053434"/>
      <w:bookmarkStart w:id="78" w:name="_Toc41053697"/>
      <w:bookmarkStart w:id="79" w:name="_Toc41054345"/>
      <w:bookmarkStart w:id="80" w:name="_Toc41054415"/>
      <w:bookmarkStart w:id="81" w:name="_Toc41056986"/>
      <w:bookmarkStart w:id="82" w:name="_Toc43311601"/>
      <w:bookmarkEnd w:id="75"/>
      <w:bookmarkEnd w:id="76"/>
      <w:bookmarkEnd w:id="77"/>
      <w:bookmarkEnd w:id="78"/>
      <w:bookmarkEnd w:id="79"/>
      <w:bookmarkEnd w:id="80"/>
      <w:bookmarkEnd w:id="81"/>
      <w:bookmarkEnd w:id="82"/>
    </w:p>
    <w:p w14:paraId="76F1853A" w14:textId="77777777" w:rsidR="0047002A" w:rsidRPr="00511330" w:rsidRDefault="0047002A" w:rsidP="0047002A">
      <w:pPr>
        <w:pStyle w:val="ListParagraph"/>
        <w:keepNext/>
        <w:keepLines/>
        <w:numPr>
          <w:ilvl w:val="1"/>
          <w:numId w:val="27"/>
        </w:numPr>
        <w:spacing w:before="200" w:after="0" w:line="360" w:lineRule="auto"/>
        <w:contextualSpacing w:val="0"/>
        <w:outlineLvl w:val="2"/>
        <w:rPr>
          <w:rFonts w:asciiTheme="majorBidi" w:eastAsiaTheme="majorEastAsia" w:hAnsiTheme="majorBidi" w:cstheme="majorBidi"/>
          <w:b/>
          <w:bCs/>
          <w:vanish/>
          <w:sz w:val="24"/>
          <w:lang w:val="en-US"/>
        </w:rPr>
      </w:pPr>
      <w:bookmarkStart w:id="83" w:name="_Toc41053152"/>
      <w:bookmarkStart w:id="84" w:name="_Toc41053241"/>
      <w:bookmarkStart w:id="85" w:name="_Toc41053435"/>
      <w:bookmarkStart w:id="86" w:name="_Toc41053698"/>
      <w:bookmarkStart w:id="87" w:name="_Toc41054346"/>
      <w:bookmarkStart w:id="88" w:name="_Toc41054416"/>
      <w:bookmarkStart w:id="89" w:name="_Toc41056987"/>
      <w:bookmarkStart w:id="90" w:name="_Toc43311602"/>
      <w:bookmarkEnd w:id="83"/>
      <w:bookmarkEnd w:id="84"/>
      <w:bookmarkEnd w:id="85"/>
      <w:bookmarkEnd w:id="86"/>
      <w:bookmarkEnd w:id="87"/>
      <w:bookmarkEnd w:id="88"/>
      <w:bookmarkEnd w:id="89"/>
      <w:bookmarkEnd w:id="90"/>
    </w:p>
    <w:p w14:paraId="6441616C" w14:textId="6E1D5923" w:rsidR="008D3598" w:rsidRPr="00511330" w:rsidRDefault="008D3598" w:rsidP="0047002A">
      <w:pPr>
        <w:pStyle w:val="Heading3"/>
        <w:numPr>
          <w:ilvl w:val="2"/>
          <w:numId w:val="27"/>
        </w:numPr>
        <w:ind w:left="504"/>
        <w:rPr>
          <w:lang w:val="en-US"/>
        </w:rPr>
      </w:pPr>
      <w:bookmarkStart w:id="91" w:name="_Toc43311603"/>
      <w:r w:rsidRPr="00511330">
        <w:rPr>
          <w:lang w:val="en-US"/>
        </w:rPr>
        <w:t>Academic Perspective</w:t>
      </w:r>
      <w:bookmarkEnd w:id="91"/>
    </w:p>
    <w:p w14:paraId="06A2A4FD" w14:textId="77777777" w:rsidR="00C656A9" w:rsidRPr="00511330" w:rsidRDefault="00C656A9" w:rsidP="00C656A9">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Despite a lot of studies on Change initiatives, yet the field of renewable energy is extremely less researched particularly in the UAE and generally all over the World from multiple stakeholders’ perspective. As, previously the most of the research focus had been on the life cycle management, and maintenance of green energy infrastructures (Kacso-Vidrean et al., 2018).</w:t>
      </w:r>
    </w:p>
    <w:p w14:paraId="28A02F37" w14:textId="77777777" w:rsidR="00C656A9" w:rsidRPr="00511330" w:rsidRDefault="00C656A9" w:rsidP="00C656A9">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By investigating the motivators, enablers, and barriers of change for renewable energy and its effects on different stakeholders, this research provides a though advice on how to implement change and adapting change with more effective approach. The research included main stakeholders of renewable energy in the UAE, starting from producers to end customers, yet research can expand to cover independent producers and sellers to the energy grid, and benchmarking with adjacent countries. The research is a blend of qualitative and quantitative in terms of survey and tools of analysis used to determine the results and conclusions. The </w:t>
      </w:r>
      <w:r w:rsidRPr="00511330">
        <w:rPr>
          <w:rFonts w:asciiTheme="majorBidi" w:hAnsiTheme="majorBidi" w:cstheme="majorBidi"/>
          <w:sz w:val="24"/>
          <w:szCs w:val="24"/>
          <w:lang w:val="en-US"/>
        </w:rPr>
        <w:lastRenderedPageBreak/>
        <w:t xml:space="preserve">stakeholder’s theory represent a context of change implementation of motivators, enablers, and barriers driven from on-ground facts and events and leaping into future visions of stakeholder's desires. </w:t>
      </w:r>
    </w:p>
    <w:p w14:paraId="24401864" w14:textId="77777777" w:rsidR="00C656A9" w:rsidRPr="00511330" w:rsidRDefault="00C656A9" w:rsidP="00C656A9">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Most of the studies in the UAE renewable energy market have only touched the technological aspects and did not exert in the complications of organizational stakeholders of change towards renewable energy. So, this research used the stakeholders' theory to contribute in socio-economic aspects of renewable energy market. </w:t>
      </w:r>
    </w:p>
    <w:p w14:paraId="64416175" w14:textId="3B58CCDD" w:rsidR="008D3598" w:rsidRPr="00511330" w:rsidRDefault="0083587B" w:rsidP="005D4AE6">
      <w:pPr>
        <w:pStyle w:val="Heading3"/>
        <w:spacing w:line="480" w:lineRule="auto"/>
        <w:ind w:left="540" w:right="-450" w:hanging="540"/>
        <w:rPr>
          <w:lang w:val="en-US"/>
        </w:rPr>
      </w:pPr>
      <w:bookmarkStart w:id="92" w:name="_Toc43311604"/>
      <w:r w:rsidRPr="00511330">
        <w:rPr>
          <w:lang w:val="en-US"/>
        </w:rPr>
        <w:t>1.3.2</w:t>
      </w:r>
      <w:r w:rsidR="008D3598" w:rsidRPr="00511330">
        <w:rPr>
          <w:lang w:val="en-US"/>
        </w:rPr>
        <w:t xml:space="preserve"> </w:t>
      </w:r>
      <w:r w:rsidR="006F04BF" w:rsidRPr="00511330">
        <w:rPr>
          <w:lang w:val="en-US"/>
        </w:rPr>
        <w:tab/>
      </w:r>
      <w:r w:rsidR="008D3598" w:rsidRPr="00511330">
        <w:rPr>
          <w:lang w:val="en-US"/>
        </w:rPr>
        <w:t>Industry Perspectives</w:t>
      </w:r>
      <w:bookmarkEnd w:id="92"/>
    </w:p>
    <w:p w14:paraId="64416176" w14:textId="5C063D0C" w:rsidR="008D3598" w:rsidRPr="00511330" w:rsidRDefault="008D3598" w:rsidP="00D46316">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 xml:space="preserve">The world energy market has undergone many recent changes. The main factor behind the changes has been the fluctuating price of fuel (Noh et al., 2016), global warming, and the fast development of green energy and renewable options (Toufic, Gihan, </w:t>
      </w:r>
      <w:r w:rsidR="00D46316" w:rsidRPr="00511330">
        <w:rPr>
          <w:rFonts w:asciiTheme="majorBidi" w:eastAsia="Times New Roman" w:hAnsiTheme="majorBidi" w:cstheme="majorBidi"/>
          <w:sz w:val="24"/>
          <w:szCs w:val="24"/>
          <w:lang w:val="en-US"/>
        </w:rPr>
        <w:t>and</w:t>
      </w:r>
      <w:r w:rsidRPr="00511330">
        <w:rPr>
          <w:rFonts w:asciiTheme="majorBidi" w:eastAsia="Times New Roman" w:hAnsiTheme="majorBidi" w:cstheme="majorBidi"/>
          <w:sz w:val="24"/>
          <w:szCs w:val="24"/>
          <w:lang w:val="en-US"/>
        </w:rPr>
        <w:t xml:space="preserve"> Zeina 2012) with less impact on the environment. In addition, although the decreased revenue was caused by the financial crisis in 2008, there has been a large demand for electricity growth in the recent past. The UAE energy market has also been anticipated since 2010, despite the financial crisis damaging all energy organizations. Therefore, Shams1 was the first CSP power plant that underwent construction in the UAE (</w:t>
      </w:r>
      <w:hyperlink r:id="rId26" w:history="1">
        <w:r w:rsidRPr="00511330">
          <w:rPr>
            <w:rFonts w:asciiTheme="majorBidi" w:eastAsia="Times New Roman" w:hAnsiTheme="majorBidi" w:cstheme="majorBidi"/>
            <w:sz w:val="24"/>
            <w:szCs w:val="24"/>
            <w:lang w:val="en-US"/>
          </w:rPr>
          <w:t>Toufic</w:t>
        </w:r>
      </w:hyperlink>
      <w:r w:rsidRPr="00511330">
        <w:rPr>
          <w:rFonts w:asciiTheme="majorBidi" w:eastAsia="Times New Roman" w:hAnsiTheme="majorBidi" w:cstheme="majorBidi"/>
          <w:sz w:val="24"/>
          <w:szCs w:val="24"/>
          <w:lang w:val="en-US"/>
        </w:rPr>
        <w:t>,</w:t>
      </w:r>
      <w:hyperlink r:id="rId27" w:history="1">
        <w:r w:rsidRPr="00511330">
          <w:rPr>
            <w:rFonts w:asciiTheme="majorBidi" w:eastAsia="Times New Roman" w:hAnsiTheme="majorBidi" w:cstheme="majorBidi"/>
            <w:sz w:val="24"/>
            <w:szCs w:val="24"/>
            <w:lang w:val="en-US"/>
          </w:rPr>
          <w:t xml:space="preserve"> Goldsmith</w:t>
        </w:r>
      </w:hyperlink>
      <w:r w:rsidRPr="00511330">
        <w:rPr>
          <w:rFonts w:asciiTheme="majorBidi" w:eastAsia="Times New Roman" w:hAnsiTheme="majorBidi" w:cstheme="majorBidi"/>
          <w:sz w:val="24"/>
          <w:szCs w:val="24"/>
          <w:lang w:val="en-US"/>
        </w:rPr>
        <w:t>,</w:t>
      </w:r>
      <w:hyperlink r:id="rId28" w:history="1">
        <w:r w:rsidRPr="00511330">
          <w:rPr>
            <w:rFonts w:asciiTheme="majorBidi" w:eastAsia="Times New Roman" w:hAnsiTheme="majorBidi" w:cstheme="majorBidi"/>
            <w:sz w:val="24"/>
            <w:szCs w:val="24"/>
            <w:lang w:val="en-US"/>
          </w:rPr>
          <w:t xml:space="preserve"> </w:t>
        </w:r>
        <w:r w:rsidR="00D46316" w:rsidRPr="00511330">
          <w:rPr>
            <w:rFonts w:asciiTheme="majorBidi" w:eastAsia="Times New Roman" w:hAnsiTheme="majorBidi" w:cstheme="majorBidi"/>
            <w:sz w:val="24"/>
            <w:szCs w:val="24"/>
            <w:lang w:val="en-US"/>
          </w:rPr>
          <w:t>and</w:t>
        </w:r>
        <w:r w:rsidRPr="00511330">
          <w:rPr>
            <w:rFonts w:asciiTheme="majorBidi" w:eastAsia="Times New Roman" w:hAnsiTheme="majorBidi" w:cstheme="majorBidi"/>
            <w:sz w:val="24"/>
            <w:szCs w:val="24"/>
            <w:lang w:val="en-US"/>
          </w:rPr>
          <w:t xml:space="preserve"> Choucri</w:t>
        </w:r>
      </w:hyperlink>
      <w:r w:rsidRPr="00511330">
        <w:rPr>
          <w:rFonts w:asciiTheme="majorBidi" w:eastAsia="Times New Roman" w:hAnsiTheme="majorBidi" w:cstheme="majorBidi"/>
          <w:sz w:val="24"/>
          <w:szCs w:val="24"/>
          <w:lang w:val="en-US"/>
        </w:rPr>
        <w:t>, 2011).</w:t>
      </w:r>
    </w:p>
    <w:p w14:paraId="64416177" w14:textId="133E57E6" w:rsidR="008D3598" w:rsidRPr="00511330" w:rsidRDefault="008D3598" w:rsidP="00721566">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 xml:space="preserve">Therefore, most energy organizations have invested heavily in studies and consultation projects and are a step </w:t>
      </w:r>
      <w:r w:rsidRPr="00511330">
        <w:rPr>
          <w:rFonts w:asciiTheme="majorBidi" w:eastAsia="Times New Roman" w:hAnsiTheme="majorBidi" w:cstheme="majorBidi"/>
          <w:noProof/>
          <w:sz w:val="24"/>
          <w:szCs w:val="24"/>
          <w:lang w:val="en-US"/>
        </w:rPr>
        <w:t>ahead</w:t>
      </w:r>
      <w:r w:rsidRPr="00511330">
        <w:rPr>
          <w:rFonts w:asciiTheme="majorBidi" w:eastAsia="Times New Roman" w:hAnsiTheme="majorBidi" w:cstheme="majorBidi"/>
          <w:sz w:val="24"/>
          <w:szCs w:val="24"/>
          <w:lang w:val="en-US"/>
        </w:rPr>
        <w:t xml:space="preserve"> of all global organizations. In renewable energy, the UAE market was lagging in many milestones, especially in the use of wind turbines and solar energy. Yet, the UAE market has recently witnessed a drastic leap for energy organization such as the Dubai Electricity and Water Authority (DEWA), Abu Dhabi Electricity and Water Authority (ADEWA), </w:t>
      </w:r>
      <w:r w:rsidRPr="00511330">
        <w:rPr>
          <w:rFonts w:asciiTheme="majorBidi" w:eastAsia="Times New Roman" w:hAnsiTheme="majorBidi" w:cstheme="majorBidi"/>
          <w:sz w:val="24"/>
          <w:szCs w:val="24"/>
          <w:lang w:val="en-US"/>
        </w:rPr>
        <w:lastRenderedPageBreak/>
        <w:t xml:space="preserve">Sharjah Electricity and Water Authority (SEWA), and Federal Electricity and Water Authority (FEWA). Each organization had time lapses in development; however, they all are following the same track of development (Petroleum Economist, 2015). </w:t>
      </w:r>
    </w:p>
    <w:p w14:paraId="64416178" w14:textId="66F6141D" w:rsidR="008D3598" w:rsidRPr="00511330" w:rsidRDefault="008D3598" w:rsidP="00D46316">
      <w:pPr>
        <w:spacing w:after="0" w:line="480" w:lineRule="auto"/>
        <w:ind w:right="-450"/>
        <w:jc w:val="both"/>
        <w:rPr>
          <w:rFonts w:asciiTheme="majorBidi" w:eastAsia="Times New Roman" w:hAnsiTheme="majorBidi" w:cstheme="majorBidi"/>
          <w:sz w:val="24"/>
          <w:szCs w:val="24"/>
          <w:lang w:val="en-US"/>
        </w:rPr>
      </w:pPr>
      <w:r w:rsidRPr="00511330">
        <w:rPr>
          <w:rFonts w:asciiTheme="majorBidi" w:eastAsia="Times New Roman" w:hAnsiTheme="majorBidi" w:cstheme="majorBidi"/>
          <w:sz w:val="24"/>
          <w:szCs w:val="24"/>
          <w:lang w:val="en-US"/>
        </w:rPr>
        <w:t xml:space="preserve">The developments and changes among these organizations are not impervious to major issues, as a result of which customers have demanded more facilities and possibilities of connecting and contributing to the national grid production. Hence, all energy organizations must alter their strategies and structures in their organization to acquire customer faith in their services (UAE Ministry of Energy and Industry, 2018). </w:t>
      </w:r>
      <w:r w:rsidRPr="00511330">
        <w:rPr>
          <w:rFonts w:asciiTheme="majorBidi" w:eastAsia="Times New Roman" w:hAnsiTheme="majorBidi" w:cstheme="majorBidi"/>
          <w:noProof/>
          <w:sz w:val="24"/>
          <w:szCs w:val="24"/>
          <w:lang w:val="en-US"/>
        </w:rPr>
        <w:t>The change</w:t>
      </w:r>
      <w:r w:rsidRPr="00511330">
        <w:rPr>
          <w:rFonts w:asciiTheme="majorBidi" w:eastAsia="Times New Roman" w:hAnsiTheme="majorBidi" w:cstheme="majorBidi"/>
          <w:sz w:val="24"/>
          <w:szCs w:val="24"/>
          <w:lang w:val="en-US"/>
        </w:rPr>
        <w:t xml:space="preserve"> means becoming whatever path desired by the energy organization. In doing so, most organizations implemented change, and with each change, several mishaps and operational catastrophes were noticed. Within each organization, leaders lived the era of success and failure. Also, change failure was the most noticed, and researches were in a fierce race to </w:t>
      </w:r>
      <w:r w:rsidRPr="00511330">
        <w:rPr>
          <w:rFonts w:asciiTheme="majorBidi" w:eastAsia="Times New Roman" w:hAnsiTheme="majorBidi" w:cstheme="majorBidi"/>
          <w:noProof/>
          <w:sz w:val="24"/>
          <w:szCs w:val="24"/>
          <w:lang w:val="en-US"/>
        </w:rPr>
        <w:t>analy</w:t>
      </w:r>
      <w:r w:rsidR="00D67820" w:rsidRPr="00511330">
        <w:rPr>
          <w:rFonts w:asciiTheme="majorBidi" w:eastAsia="Times New Roman" w:hAnsiTheme="majorBidi" w:cstheme="majorBidi"/>
          <w:noProof/>
          <w:sz w:val="24"/>
          <w:szCs w:val="24"/>
          <w:lang w:val="en-US"/>
        </w:rPr>
        <w:t>z</w:t>
      </w:r>
      <w:r w:rsidRPr="00511330">
        <w:rPr>
          <w:rFonts w:asciiTheme="majorBidi" w:eastAsia="Times New Roman" w:hAnsiTheme="majorBidi" w:cstheme="majorBidi"/>
          <w:noProof/>
          <w:sz w:val="24"/>
          <w:szCs w:val="24"/>
          <w:lang w:val="en-US"/>
        </w:rPr>
        <w:t>e</w:t>
      </w:r>
      <w:r w:rsidRPr="00511330">
        <w:rPr>
          <w:rFonts w:asciiTheme="majorBidi" w:eastAsia="Times New Roman" w:hAnsiTheme="majorBidi" w:cstheme="majorBidi"/>
          <w:sz w:val="24"/>
          <w:szCs w:val="24"/>
          <w:lang w:val="en-US"/>
        </w:rPr>
        <w:t xml:space="preserve"> and understand why most CM initiatives have failed. Yet, the failure rates did not decrease below 70%, as most studies indicate (Beer </w:t>
      </w:r>
      <w:r w:rsidR="00D46316" w:rsidRPr="00511330">
        <w:rPr>
          <w:rFonts w:asciiTheme="majorBidi" w:eastAsia="Times New Roman" w:hAnsiTheme="majorBidi" w:cstheme="majorBidi"/>
          <w:sz w:val="24"/>
          <w:szCs w:val="24"/>
          <w:lang w:val="en-US"/>
        </w:rPr>
        <w:t>and</w:t>
      </w:r>
      <w:r w:rsidRPr="00511330">
        <w:rPr>
          <w:rFonts w:asciiTheme="majorBidi" w:eastAsia="Times New Roman" w:hAnsiTheme="majorBidi" w:cstheme="majorBidi"/>
          <w:sz w:val="24"/>
          <w:szCs w:val="24"/>
          <w:lang w:val="en-US"/>
        </w:rPr>
        <w:t xml:space="preserve"> Nohria, 2000; Burnes, 2005; Yaseen and Okour, 2012). Therefore, this study </w:t>
      </w:r>
      <w:r w:rsidRPr="00511330">
        <w:rPr>
          <w:rFonts w:asciiTheme="majorBidi" w:eastAsia="Times New Roman" w:hAnsiTheme="majorBidi" w:cstheme="majorBidi"/>
          <w:noProof/>
          <w:sz w:val="24"/>
          <w:szCs w:val="24"/>
          <w:lang w:val="en-US"/>
        </w:rPr>
        <w:t>contributes</w:t>
      </w:r>
      <w:r w:rsidRPr="00511330">
        <w:rPr>
          <w:rFonts w:asciiTheme="majorBidi" w:eastAsia="Times New Roman" w:hAnsiTheme="majorBidi" w:cstheme="majorBidi"/>
          <w:sz w:val="24"/>
          <w:szCs w:val="24"/>
          <w:lang w:val="en-US"/>
        </w:rPr>
        <w:t xml:space="preserve"> to energy organization</w:t>
      </w:r>
      <w:r w:rsidR="00D67820" w:rsidRPr="00511330">
        <w:rPr>
          <w:rFonts w:asciiTheme="majorBidi" w:eastAsia="Times New Roman" w:hAnsiTheme="majorBidi" w:cstheme="majorBidi"/>
          <w:sz w:val="24"/>
          <w:szCs w:val="24"/>
          <w:lang w:val="en-US"/>
        </w:rPr>
        <w:t>s</w:t>
      </w:r>
      <w:r w:rsidRPr="00511330">
        <w:rPr>
          <w:rFonts w:asciiTheme="majorBidi" w:eastAsia="Times New Roman" w:hAnsiTheme="majorBidi" w:cstheme="majorBidi"/>
          <w:sz w:val="24"/>
          <w:szCs w:val="24"/>
          <w:lang w:val="en-US"/>
        </w:rPr>
        <w:t xml:space="preserve"> by mapping success and providing meditating solutions to those organizations.</w:t>
      </w:r>
    </w:p>
    <w:p w14:paraId="52012F9F" w14:textId="77777777" w:rsidR="00E024DF" w:rsidRPr="00511330" w:rsidRDefault="00E024DF" w:rsidP="00E024DF">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In order to apply a </w:t>
      </w:r>
      <w:r w:rsidRPr="00511330">
        <w:rPr>
          <w:rFonts w:asciiTheme="majorBidi" w:hAnsiTheme="majorBidi" w:cstheme="majorBidi"/>
          <w:noProof/>
          <w:sz w:val="24"/>
          <w:szCs w:val="24"/>
          <w:lang w:val="en-US"/>
        </w:rPr>
        <w:t>change</w:t>
      </w:r>
      <w:r w:rsidRPr="00511330">
        <w:rPr>
          <w:rFonts w:asciiTheme="majorBidi" w:hAnsiTheme="majorBidi" w:cstheme="majorBidi"/>
          <w:sz w:val="24"/>
          <w:szCs w:val="24"/>
          <w:lang w:val="en-US"/>
        </w:rPr>
        <w:t xml:space="preserve"> in the energy sector, </w:t>
      </w:r>
      <w:r w:rsidRPr="00511330">
        <w:rPr>
          <w:rFonts w:asciiTheme="majorBidi" w:hAnsiTheme="majorBidi" w:cstheme="majorBidi"/>
          <w:noProof/>
          <w:sz w:val="24"/>
          <w:szCs w:val="24"/>
          <w:lang w:val="en-US"/>
        </w:rPr>
        <w:t>it is</w:t>
      </w:r>
      <w:r w:rsidRPr="00511330">
        <w:rPr>
          <w:rFonts w:asciiTheme="majorBidi" w:hAnsiTheme="majorBidi" w:cstheme="majorBidi"/>
          <w:sz w:val="24"/>
          <w:szCs w:val="24"/>
          <w:lang w:val="en-US"/>
        </w:rPr>
        <w:t xml:space="preserve"> important to develop a solid strategy rather than alter objectives at every obstacle. Consequently, keeping in mind the motives to drive forwards, and organize tools through enablers and anticipating barriers.</w:t>
      </w:r>
    </w:p>
    <w:p w14:paraId="128CC82C" w14:textId="77777777" w:rsidR="00E024DF" w:rsidRPr="00511330" w:rsidRDefault="00E024DF" w:rsidP="00E024DF">
      <w:pPr>
        <w:pStyle w:val="ListParagraph"/>
        <w:numPr>
          <w:ilvl w:val="0"/>
          <w:numId w:val="1"/>
        </w:numPr>
        <w:tabs>
          <w:tab w:val="left" w:pos="450"/>
        </w:tabs>
        <w:spacing w:after="0" w:line="480" w:lineRule="auto"/>
        <w:ind w:left="461" w:right="-450" w:hanging="274"/>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Fosters the efforts of stakeholders, allowing them to form</w:t>
      </w:r>
      <w:r w:rsidRPr="00511330">
        <w:rPr>
          <w:rFonts w:asciiTheme="majorBidi" w:hAnsiTheme="majorBidi" w:cstheme="majorBidi"/>
          <w:noProof/>
          <w:sz w:val="24"/>
          <w:szCs w:val="24"/>
          <w:lang w:val="en-US"/>
        </w:rPr>
        <w:t xml:space="preserve"> better</w:t>
      </w:r>
      <w:r w:rsidRPr="00511330">
        <w:rPr>
          <w:rFonts w:asciiTheme="majorBidi" w:hAnsiTheme="majorBidi" w:cstheme="majorBidi"/>
          <w:sz w:val="24"/>
          <w:szCs w:val="24"/>
          <w:lang w:val="en-US"/>
        </w:rPr>
        <w:t xml:space="preserve"> coordination to adapt flexibility and better communication schemes, thus allowing them to focus on common factors and consider other factors that </w:t>
      </w:r>
      <w:r w:rsidRPr="00511330">
        <w:rPr>
          <w:rFonts w:asciiTheme="majorBidi" w:hAnsiTheme="majorBidi" w:cstheme="majorBidi"/>
          <w:noProof/>
          <w:sz w:val="24"/>
          <w:szCs w:val="24"/>
          <w:lang w:val="en-US"/>
        </w:rPr>
        <w:t>are</w:t>
      </w:r>
      <w:r w:rsidRPr="00511330">
        <w:rPr>
          <w:rFonts w:asciiTheme="majorBidi" w:hAnsiTheme="majorBidi" w:cstheme="majorBidi"/>
          <w:sz w:val="24"/>
          <w:szCs w:val="24"/>
          <w:lang w:val="en-US"/>
        </w:rPr>
        <w:t xml:space="preserve"> discussed in the research.</w:t>
      </w:r>
    </w:p>
    <w:p w14:paraId="3DE7F88E" w14:textId="77777777" w:rsidR="00E024DF" w:rsidRPr="00511330" w:rsidRDefault="00E024DF" w:rsidP="00E024DF">
      <w:pPr>
        <w:pStyle w:val="ListParagraph"/>
        <w:numPr>
          <w:ilvl w:val="0"/>
          <w:numId w:val="1"/>
        </w:numPr>
        <w:tabs>
          <w:tab w:val="left" w:pos="450"/>
        </w:tabs>
        <w:spacing w:after="0" w:line="480" w:lineRule="auto"/>
        <w:ind w:left="461" w:right="-450" w:hanging="274"/>
        <w:jc w:val="both"/>
        <w:rPr>
          <w:rFonts w:asciiTheme="majorBidi" w:hAnsiTheme="majorBidi" w:cstheme="majorBidi"/>
          <w:sz w:val="24"/>
          <w:szCs w:val="24"/>
          <w:lang w:val="en-US"/>
        </w:rPr>
      </w:pPr>
      <w:r w:rsidRPr="00511330">
        <w:rPr>
          <w:rFonts w:asciiTheme="majorBidi" w:hAnsiTheme="majorBidi" w:cstheme="majorBidi"/>
          <w:noProof/>
          <w:sz w:val="24"/>
          <w:szCs w:val="24"/>
          <w:lang w:val="en-US"/>
        </w:rPr>
        <w:t>Allows</w:t>
      </w:r>
      <w:r w:rsidRPr="00511330">
        <w:rPr>
          <w:rFonts w:asciiTheme="majorBidi" w:hAnsiTheme="majorBidi" w:cstheme="majorBidi"/>
          <w:sz w:val="24"/>
          <w:szCs w:val="24"/>
          <w:lang w:val="en-US"/>
        </w:rPr>
        <w:t xml:space="preserve"> energy organizations to better establish their knowledge sharing flow internally and externally to ensure better processes and adaption of renewable energy.</w:t>
      </w:r>
    </w:p>
    <w:p w14:paraId="07373EC0" w14:textId="77777777" w:rsidR="00E024DF" w:rsidRPr="00511330" w:rsidRDefault="00E024DF" w:rsidP="00E024DF">
      <w:pPr>
        <w:pStyle w:val="ListParagraph"/>
        <w:numPr>
          <w:ilvl w:val="0"/>
          <w:numId w:val="1"/>
        </w:numPr>
        <w:tabs>
          <w:tab w:val="left" w:pos="450"/>
        </w:tabs>
        <w:spacing w:after="0" w:line="480" w:lineRule="auto"/>
        <w:ind w:left="461" w:right="-450" w:hanging="274"/>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Ensures that employees and top management are working in </w:t>
      </w:r>
      <w:r w:rsidRPr="00511330">
        <w:rPr>
          <w:rFonts w:asciiTheme="majorBidi" w:hAnsiTheme="majorBidi" w:cstheme="majorBidi"/>
          <w:noProof/>
          <w:sz w:val="24"/>
          <w:szCs w:val="24"/>
          <w:lang w:val="en-US"/>
        </w:rPr>
        <w:t>synergized</w:t>
      </w:r>
      <w:r w:rsidRPr="00511330">
        <w:rPr>
          <w:rFonts w:asciiTheme="majorBidi" w:hAnsiTheme="majorBidi" w:cstheme="majorBidi"/>
          <w:sz w:val="24"/>
          <w:szCs w:val="24"/>
          <w:lang w:val="en-US"/>
        </w:rPr>
        <w:t xml:space="preserve"> groups and avoid misunderstanding of new laws of renewable energy outcomes.</w:t>
      </w:r>
    </w:p>
    <w:p w14:paraId="6D6EF316" w14:textId="77777777" w:rsidR="00E024DF" w:rsidRPr="00511330" w:rsidRDefault="00E024DF" w:rsidP="00E024DF">
      <w:pPr>
        <w:pStyle w:val="ListParagraph"/>
        <w:numPr>
          <w:ilvl w:val="0"/>
          <w:numId w:val="1"/>
        </w:numPr>
        <w:tabs>
          <w:tab w:val="left" w:pos="450"/>
        </w:tabs>
        <w:spacing w:after="0" w:line="480" w:lineRule="auto"/>
        <w:ind w:left="461" w:right="-450" w:hanging="274"/>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Sets a solid strategy that services all levels of the stakeholders and steers all working groups in the </w:t>
      </w:r>
      <w:r w:rsidRPr="00511330">
        <w:rPr>
          <w:rFonts w:asciiTheme="majorBidi" w:hAnsiTheme="majorBidi" w:cstheme="majorBidi"/>
          <w:noProof/>
          <w:sz w:val="24"/>
          <w:szCs w:val="24"/>
          <w:lang w:val="en-US"/>
        </w:rPr>
        <w:t>same</w:t>
      </w:r>
      <w:r w:rsidRPr="00511330">
        <w:rPr>
          <w:rFonts w:asciiTheme="majorBidi" w:hAnsiTheme="majorBidi" w:cstheme="majorBidi"/>
          <w:sz w:val="24"/>
          <w:szCs w:val="24"/>
          <w:lang w:val="en-US"/>
        </w:rPr>
        <w:t xml:space="preserve"> direction with greater accountability.</w:t>
      </w:r>
    </w:p>
    <w:p w14:paraId="54707AB1" w14:textId="77777777" w:rsidR="00E024DF" w:rsidRPr="00511330" w:rsidRDefault="00E024DF" w:rsidP="00E024DF">
      <w:pPr>
        <w:pStyle w:val="ListParagraph"/>
        <w:numPr>
          <w:ilvl w:val="0"/>
          <w:numId w:val="1"/>
        </w:numPr>
        <w:tabs>
          <w:tab w:val="left" w:pos="450"/>
        </w:tabs>
        <w:spacing w:after="0" w:line="480" w:lineRule="auto"/>
        <w:ind w:left="461" w:right="-450" w:hanging="274"/>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Streamlines </w:t>
      </w:r>
      <w:r w:rsidRPr="00511330">
        <w:rPr>
          <w:rFonts w:asciiTheme="majorBidi" w:hAnsiTheme="majorBidi" w:cstheme="majorBidi"/>
          <w:noProof/>
          <w:sz w:val="24"/>
          <w:szCs w:val="24"/>
          <w:lang w:val="en-US"/>
        </w:rPr>
        <w:t>processes</w:t>
      </w:r>
      <w:r w:rsidRPr="00511330">
        <w:rPr>
          <w:rFonts w:asciiTheme="majorBidi" w:hAnsiTheme="majorBidi" w:cstheme="majorBidi"/>
          <w:sz w:val="24"/>
          <w:szCs w:val="24"/>
          <w:lang w:val="en-US"/>
        </w:rPr>
        <w:t xml:space="preserve"> and allow more innovative ideas to receive recognition to enhance the efficiencies among stakeholders. </w:t>
      </w:r>
    </w:p>
    <w:p w14:paraId="1F850602" w14:textId="2F40C6E3" w:rsidR="00090B84" w:rsidRPr="00511330" w:rsidRDefault="00090B84" w:rsidP="00E024DF">
      <w:pPr>
        <w:pStyle w:val="ListParagraph"/>
        <w:tabs>
          <w:tab w:val="left" w:pos="450"/>
        </w:tabs>
        <w:spacing w:after="0" w:line="480" w:lineRule="auto"/>
        <w:ind w:left="461"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 </w:t>
      </w:r>
      <w:bookmarkStart w:id="93" w:name="_Toc32085690"/>
      <w:bookmarkStart w:id="94" w:name="_Toc32085874"/>
      <w:bookmarkStart w:id="95" w:name="_Toc32086061"/>
      <w:bookmarkStart w:id="96" w:name="_Toc32090198"/>
      <w:bookmarkStart w:id="97" w:name="_Toc32090528"/>
      <w:bookmarkStart w:id="98" w:name="_Toc32091444"/>
      <w:bookmarkStart w:id="99" w:name="_Toc32085691"/>
      <w:bookmarkStart w:id="100" w:name="_Toc32085875"/>
      <w:bookmarkStart w:id="101" w:name="_Toc32086062"/>
      <w:bookmarkStart w:id="102" w:name="_Toc32090199"/>
      <w:bookmarkStart w:id="103" w:name="_Toc32090529"/>
      <w:bookmarkStart w:id="104" w:name="_Toc32091445"/>
      <w:bookmarkStart w:id="105" w:name="_Toc32085695"/>
      <w:bookmarkStart w:id="106" w:name="_Toc32085879"/>
      <w:bookmarkStart w:id="107" w:name="_Toc32086066"/>
      <w:bookmarkStart w:id="108" w:name="_Toc32090203"/>
      <w:bookmarkStart w:id="109" w:name="_Toc32090533"/>
      <w:bookmarkStart w:id="110" w:name="_Toc32091449"/>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64416179" w14:textId="77777777" w:rsidR="008D3598" w:rsidRPr="00511330" w:rsidRDefault="008D3598" w:rsidP="00721566">
      <w:pPr>
        <w:pStyle w:val="Heading2"/>
        <w:numPr>
          <w:ilvl w:val="1"/>
          <w:numId w:val="11"/>
        </w:numPr>
        <w:ind w:right="-450"/>
        <w:rPr>
          <w:lang w:val="en-US"/>
        </w:rPr>
      </w:pPr>
      <w:bookmarkStart w:id="111" w:name="_Toc43311605"/>
      <w:r w:rsidRPr="00511330">
        <w:rPr>
          <w:lang w:val="en-US"/>
        </w:rPr>
        <w:t>Research Questions and Objectives</w:t>
      </w:r>
      <w:bookmarkEnd w:id="111"/>
    </w:p>
    <w:p w14:paraId="6441617A"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main objective of the study is to analyze the insights of CM from the perspectives of different regarding how they intercept change. Categorically, these objectives can be stated as follows:</w:t>
      </w:r>
    </w:p>
    <w:p w14:paraId="6441617B" w14:textId="77777777" w:rsidR="008D3598" w:rsidRPr="00511330" w:rsidRDefault="008D3598" w:rsidP="00721566">
      <w:pPr>
        <w:numPr>
          <w:ilvl w:val="0"/>
          <w:numId w:val="8"/>
        </w:numPr>
        <w:spacing w:after="0" w:line="480" w:lineRule="auto"/>
        <w:ind w:left="450" w:right="-450" w:hanging="27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Identify and state the motives, enablers, and barriers to change in the UAE energy sector and then layout the successful CM factors and elements for energy organizations in the UAE. </w:t>
      </w:r>
    </w:p>
    <w:p w14:paraId="6441617C" w14:textId="77777777" w:rsidR="008D3598" w:rsidRPr="00511330" w:rsidRDefault="008D3598" w:rsidP="00721566">
      <w:pPr>
        <w:numPr>
          <w:ilvl w:val="0"/>
          <w:numId w:val="8"/>
        </w:numPr>
        <w:spacing w:after="0" w:line="480" w:lineRule="auto"/>
        <w:ind w:left="450" w:right="-450" w:hanging="27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Identify the commonalities among groups of stakeholders in terms of motives, enablers, and barriers of CM. </w:t>
      </w:r>
    </w:p>
    <w:p w14:paraId="6441617D" w14:textId="77777777" w:rsidR="008D3598" w:rsidRPr="00511330" w:rsidRDefault="008D3598" w:rsidP="00721566">
      <w:pPr>
        <w:numPr>
          <w:ilvl w:val="0"/>
          <w:numId w:val="8"/>
        </w:numPr>
        <w:spacing w:after="0" w:line="480" w:lineRule="auto"/>
        <w:ind w:left="450" w:right="-450" w:hanging="27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Layout implications for the change leaders by highlighting the critical factors of CM practices in the energy sector, as perceived by stakeholder groups.</w:t>
      </w:r>
    </w:p>
    <w:p w14:paraId="64416180" w14:textId="77777777" w:rsidR="008D3598" w:rsidRPr="00511330" w:rsidRDefault="008D3598" w:rsidP="00721566">
      <w:pPr>
        <w:pStyle w:val="Heading2"/>
        <w:numPr>
          <w:ilvl w:val="1"/>
          <w:numId w:val="11"/>
        </w:numPr>
        <w:ind w:right="-450"/>
        <w:rPr>
          <w:lang w:val="en-US"/>
        </w:rPr>
      </w:pPr>
      <w:bookmarkStart w:id="112" w:name="_Toc43311606"/>
      <w:r w:rsidRPr="00511330">
        <w:rPr>
          <w:lang w:val="en-US"/>
        </w:rPr>
        <w:t>Research Contribution</w:t>
      </w:r>
      <w:bookmarkEnd w:id="112"/>
    </w:p>
    <w:p w14:paraId="64416181" w14:textId="38AC75CF"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literature lacks comprehensive studies on the motivators, enablers</w:t>
      </w:r>
      <w:r w:rsidR="00D6782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barriers for institution</w:t>
      </w:r>
      <w:r w:rsidR="00D67820"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human resources</w:t>
      </w:r>
      <w:r w:rsidR="00D6782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energy professionals within foresight experts. This, in turn, has emphasized the need to identify motivators, enabler</w:t>
      </w:r>
      <w:r w:rsidR="00D67820"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and barriers to renewables energy adoption for different stakeholder groups. Therefore, the research would be among the first to investigate the motivators, enablers</w:t>
      </w:r>
      <w:r w:rsidR="00D6782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barriers to CM in renewable energy sector in UAE. Furthermore, it would scrutinize communities from the viewpoints of different stakeholder groups. Meanwhile, the research will display the interaction between stakeholders’ groups affected by change transformation to renewable energy in the UAE’s energy sector.</w:t>
      </w:r>
    </w:p>
    <w:p w14:paraId="64416182" w14:textId="14EB3E40"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research reveals different answers driven from the responses that highlight the factors of motivators, enablers and barriers adoption in the renewable energy of </w:t>
      </w:r>
      <w:r w:rsidR="00B1690B"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w:t>
      </w:r>
    </w:p>
    <w:p w14:paraId="64416183"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This research contributes to the following:</w:t>
      </w:r>
    </w:p>
    <w:p w14:paraId="64416184" w14:textId="1FBFC7E3" w:rsidR="008D3598" w:rsidRPr="00511330" w:rsidRDefault="008D3598" w:rsidP="00721566">
      <w:pPr>
        <w:pStyle w:val="ListParagraph"/>
        <w:numPr>
          <w:ilvl w:val="0"/>
          <w:numId w:val="7"/>
        </w:numPr>
        <w:tabs>
          <w:tab w:val="left" w:pos="450"/>
        </w:tabs>
        <w:spacing w:after="0" w:line="480" w:lineRule="auto"/>
        <w:ind w:left="450" w:right="-450" w:hanging="27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Identify motivators, enablers and barriers to renewable energy transformation in </w:t>
      </w:r>
      <w:r w:rsidR="00B1690B"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w:t>
      </w:r>
    </w:p>
    <w:p w14:paraId="64416185" w14:textId="1B641081" w:rsidR="008D3598" w:rsidRPr="00511330" w:rsidRDefault="008D3598" w:rsidP="00721566">
      <w:pPr>
        <w:pStyle w:val="ListParagraph"/>
        <w:numPr>
          <w:ilvl w:val="0"/>
          <w:numId w:val="7"/>
        </w:numPr>
        <w:tabs>
          <w:tab w:val="left" w:pos="450"/>
        </w:tabs>
        <w:spacing w:after="0" w:line="480" w:lineRule="auto"/>
        <w:ind w:left="450" w:right="-450" w:hanging="270"/>
        <w:jc w:val="both"/>
        <w:rPr>
          <w:rFonts w:asciiTheme="majorBidi" w:hAnsiTheme="majorBidi" w:cstheme="majorBidi"/>
          <w:sz w:val="24"/>
          <w:szCs w:val="24"/>
          <w:lang w:val="en-US"/>
        </w:rPr>
      </w:pPr>
      <w:r w:rsidRPr="00511330">
        <w:rPr>
          <w:rFonts w:asciiTheme="majorBidi" w:hAnsiTheme="majorBidi" w:cstheme="majorBidi"/>
          <w:sz w:val="24"/>
          <w:szCs w:val="24"/>
          <w:lang w:val="en-US"/>
        </w:rPr>
        <w:t>Highlight common stakeholders’ concerns for future studies and experts of renewable energy in</w:t>
      </w:r>
      <w:r w:rsidR="00B1690B" w:rsidRPr="00511330">
        <w:rPr>
          <w:rFonts w:asciiTheme="majorBidi" w:hAnsiTheme="majorBidi" w:cstheme="majorBidi"/>
          <w:sz w:val="24"/>
          <w:szCs w:val="24"/>
          <w:lang w:val="en-US"/>
        </w:rPr>
        <w:t xml:space="preserve"> the</w:t>
      </w:r>
      <w:r w:rsidRPr="00511330">
        <w:rPr>
          <w:rFonts w:asciiTheme="majorBidi" w:hAnsiTheme="majorBidi" w:cstheme="majorBidi"/>
          <w:sz w:val="24"/>
          <w:szCs w:val="24"/>
          <w:lang w:val="en-US"/>
        </w:rPr>
        <w:t xml:space="preserve"> UAE.</w:t>
      </w:r>
    </w:p>
    <w:p w14:paraId="64416186" w14:textId="77777777" w:rsidR="008D3598" w:rsidRPr="00511330" w:rsidRDefault="008D3598" w:rsidP="00721566">
      <w:pPr>
        <w:pStyle w:val="ListParagraph"/>
        <w:numPr>
          <w:ilvl w:val="0"/>
          <w:numId w:val="7"/>
        </w:numPr>
        <w:tabs>
          <w:tab w:val="left" w:pos="450"/>
        </w:tabs>
        <w:spacing w:afterLines="160" w:after="384" w:line="480" w:lineRule="auto"/>
        <w:ind w:left="450" w:right="-450" w:hanging="270"/>
        <w:jc w:val="both"/>
        <w:rPr>
          <w:rFonts w:asciiTheme="majorBidi" w:hAnsiTheme="majorBidi" w:cstheme="majorBidi"/>
          <w:sz w:val="24"/>
          <w:szCs w:val="24"/>
          <w:lang w:val="en-US"/>
        </w:rPr>
      </w:pPr>
      <w:r w:rsidRPr="00511330">
        <w:rPr>
          <w:rFonts w:asciiTheme="majorBidi" w:hAnsiTheme="majorBidi" w:cstheme="majorBidi"/>
          <w:sz w:val="24"/>
          <w:szCs w:val="24"/>
          <w:lang w:val="en-US"/>
        </w:rPr>
        <w:t>Prioritization of motivators, enablers to accelerate change process and underline barriers to overcome obstacles for major stakeholder groups.</w:t>
      </w:r>
    </w:p>
    <w:p w14:paraId="64416187" w14:textId="77777777" w:rsidR="008D3598" w:rsidRPr="00511330" w:rsidRDefault="008D3598" w:rsidP="00721566">
      <w:pPr>
        <w:pStyle w:val="Heading2"/>
        <w:numPr>
          <w:ilvl w:val="1"/>
          <w:numId w:val="11"/>
        </w:numPr>
        <w:ind w:right="-450"/>
        <w:rPr>
          <w:lang w:val="en-US"/>
        </w:rPr>
      </w:pPr>
      <w:bookmarkStart w:id="113" w:name="_Toc43311607"/>
      <w:r w:rsidRPr="00511330">
        <w:rPr>
          <w:lang w:val="en-US"/>
        </w:rPr>
        <w:lastRenderedPageBreak/>
        <w:t>Summary</w:t>
      </w:r>
      <w:bookmarkEnd w:id="113"/>
    </w:p>
    <w:p w14:paraId="64416188" w14:textId="4A72800A"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This research identifies the key motivators, enablers and barriers for various stakeholder groups with regards to CM towards renewables energy in the UAE by using two perspectives of methodologies. The first one is the face to face interviews of member</w:t>
      </w:r>
      <w:r w:rsidR="00D67820"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identified stakeholders’ groups in energy organizations and analysis of the responses to pint out similarities, phrases</w:t>
      </w:r>
      <w:r w:rsidR="00D6782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different perspectives of each group. In fact, the factors driven from motivators, enablers and barriers were grouped into broad categories of Affiliate viability, Feasibility</w:t>
      </w:r>
      <w:r w:rsidR="00D6782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satisfact</w:t>
      </w:r>
      <w:r w:rsidR="00D67820" w:rsidRPr="00511330">
        <w:rPr>
          <w:rFonts w:asciiTheme="majorBidi" w:hAnsiTheme="majorBidi" w:cstheme="majorBidi"/>
          <w:sz w:val="24"/>
          <w:szCs w:val="24"/>
          <w:lang w:val="en-US"/>
        </w:rPr>
        <w:t>ion</w:t>
      </w:r>
      <w:r w:rsidRPr="00511330">
        <w:rPr>
          <w:rFonts w:asciiTheme="majorBidi" w:hAnsiTheme="majorBidi" w:cstheme="majorBidi"/>
          <w:sz w:val="24"/>
          <w:szCs w:val="24"/>
          <w:lang w:val="en-US"/>
        </w:rPr>
        <w:t>, trust and evolving with future visions, and aligning perpetual change and Sustainability as main motivators. Meanwhile, engagement and support, alignment of strategy, resources and capabilities, flexibility and feedback were included as main enablers. On the other hand, fear and negative perception, feeble communication, conflict of workforce commitment, and uncertain objectives were outlined as the strongest factors of barriers.</w:t>
      </w:r>
    </w:p>
    <w:p w14:paraId="64416189"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research at the initial stage was confronted with major challenges, especially with the interviews carried out, due to security issues’ entrance to power and solar plants. Also, the results were contradicting in some parts. Nevertheless, there were experts with future foresight opinions providing information on planning and technical details capacity that this research was unable to adopt.  </w:t>
      </w:r>
    </w:p>
    <w:p w14:paraId="6441618A" w14:textId="45F33A0B"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Included in the research </w:t>
      </w:r>
      <w:r w:rsidR="00D67820" w:rsidRPr="00511330">
        <w:rPr>
          <w:rFonts w:asciiTheme="majorBidi" w:hAnsiTheme="majorBidi" w:cstheme="majorBidi"/>
          <w:sz w:val="24"/>
          <w:szCs w:val="24"/>
          <w:lang w:val="en-US"/>
        </w:rPr>
        <w:t>are</w:t>
      </w:r>
      <w:r w:rsidRPr="00511330">
        <w:rPr>
          <w:rFonts w:asciiTheme="majorBidi" w:hAnsiTheme="majorBidi" w:cstheme="majorBidi"/>
          <w:sz w:val="24"/>
          <w:szCs w:val="24"/>
          <w:lang w:val="en-US"/>
        </w:rPr>
        <w:t xml:space="preserve"> the statement of the problem, the research context, and research justification. Along with the chapter on literature reviews, it helps create a base for understanding and realizing the reason of change management in the UAE. Chapter three will state the main stakeholders in research and the basic selection identification of workgroups. Chapter four will provide the design and </w:t>
      </w:r>
      <w:r w:rsidRPr="00511330">
        <w:rPr>
          <w:rFonts w:asciiTheme="majorBidi" w:hAnsiTheme="majorBidi" w:cstheme="majorBidi"/>
          <w:sz w:val="24"/>
          <w:szCs w:val="24"/>
          <w:lang w:val="en-US"/>
        </w:rPr>
        <w:lastRenderedPageBreak/>
        <w:t xml:space="preserve">methods of data-collections and examine the various motivators, enablers and barriers through EFA and CFA analysis model. Lastly, chapter five will present and discuss the findings and layout the future research directions before making a set of recommendations for enhancing the research further. </w:t>
      </w:r>
    </w:p>
    <w:p w14:paraId="263B34E8" w14:textId="77777777" w:rsidR="0033045F" w:rsidRPr="00511330" w:rsidRDefault="0033045F">
      <w:pPr>
        <w:rPr>
          <w:rFonts w:ascii="Times New Roman" w:eastAsia="Times New Roman" w:hAnsi="Times New Roman" w:cs="Times New Roman"/>
          <w:b/>
          <w:bCs/>
          <w:kern w:val="36"/>
          <w:sz w:val="32"/>
          <w:szCs w:val="48"/>
          <w:lang w:val="en-US" w:eastAsia="en-GB"/>
        </w:rPr>
      </w:pPr>
      <w:r w:rsidRPr="00511330">
        <w:rPr>
          <w:lang w:val="en-US"/>
        </w:rPr>
        <w:br w:type="page"/>
      </w:r>
    </w:p>
    <w:p w14:paraId="64416194" w14:textId="17D01ED3" w:rsidR="008D3598" w:rsidRPr="00511330" w:rsidRDefault="008D3598" w:rsidP="00721566">
      <w:pPr>
        <w:pStyle w:val="Heading1"/>
        <w:ind w:right="-450"/>
        <w:rPr>
          <w:lang w:val="en-US"/>
        </w:rPr>
      </w:pPr>
      <w:bookmarkStart w:id="114" w:name="_Toc43311608"/>
      <w:r w:rsidRPr="00511330">
        <w:rPr>
          <w:lang w:val="en-US"/>
        </w:rPr>
        <w:lastRenderedPageBreak/>
        <w:t>CHAPTER 2: LITER</w:t>
      </w:r>
      <w:r w:rsidR="00D67820" w:rsidRPr="00511330">
        <w:rPr>
          <w:lang w:val="en-US"/>
        </w:rPr>
        <w:t>A</w:t>
      </w:r>
      <w:r w:rsidRPr="00511330">
        <w:rPr>
          <w:lang w:val="en-US"/>
        </w:rPr>
        <w:t>TURE REVIEW</w:t>
      </w:r>
      <w:bookmarkEnd w:id="114"/>
    </w:p>
    <w:p w14:paraId="64416195" w14:textId="2A1C8E44" w:rsidR="008D3598" w:rsidRPr="00511330" w:rsidRDefault="008D3598" w:rsidP="00721566">
      <w:pPr>
        <w:spacing w:line="480" w:lineRule="auto"/>
        <w:ind w:right="-450"/>
        <w:jc w:val="both"/>
        <w:rPr>
          <w:rFonts w:asciiTheme="majorBidi" w:hAnsiTheme="majorBidi" w:cstheme="majorBidi"/>
          <w:b/>
          <w:bCs/>
          <w:sz w:val="24"/>
          <w:szCs w:val="24"/>
          <w:lang w:val="en-US"/>
        </w:rPr>
      </w:pPr>
      <w:r w:rsidRPr="00511330">
        <w:rPr>
          <w:rFonts w:asciiTheme="majorBidi" w:hAnsiTheme="majorBidi" w:cstheme="majorBidi"/>
          <w:b/>
          <w:bCs/>
          <w:sz w:val="24"/>
          <w:szCs w:val="24"/>
          <w:lang w:val="en-US"/>
        </w:rPr>
        <w:t xml:space="preserve">Structure of </w:t>
      </w:r>
      <w:r w:rsidR="00D67820" w:rsidRPr="00511330">
        <w:rPr>
          <w:rFonts w:asciiTheme="majorBidi" w:hAnsiTheme="majorBidi" w:cstheme="majorBidi"/>
          <w:b/>
          <w:bCs/>
          <w:sz w:val="24"/>
          <w:szCs w:val="24"/>
          <w:lang w:val="en-US"/>
        </w:rPr>
        <w:t>C</w:t>
      </w:r>
      <w:r w:rsidRPr="00511330">
        <w:rPr>
          <w:rFonts w:asciiTheme="majorBidi" w:hAnsiTheme="majorBidi" w:cstheme="majorBidi"/>
          <w:b/>
          <w:bCs/>
          <w:sz w:val="24"/>
          <w:szCs w:val="24"/>
          <w:lang w:val="en-US"/>
        </w:rPr>
        <w:t>hapter Two</w:t>
      </w:r>
    </w:p>
    <w:p w14:paraId="64416196" w14:textId="77777777" w:rsidR="008D3598" w:rsidRPr="00511330" w:rsidRDefault="008D3598" w:rsidP="00721566">
      <w:pPr>
        <w:spacing w:line="480" w:lineRule="auto"/>
        <w:ind w:right="-450"/>
        <w:jc w:val="both"/>
        <w:rPr>
          <w:rFonts w:asciiTheme="majorBidi" w:hAnsiTheme="majorBidi" w:cstheme="majorBidi"/>
          <w:b/>
          <w:bCs/>
          <w:sz w:val="24"/>
          <w:szCs w:val="24"/>
          <w:lang w:val="en-US"/>
        </w:rPr>
      </w:pPr>
      <w:r w:rsidRPr="00511330">
        <w:rPr>
          <w:rFonts w:asciiTheme="majorBidi" w:eastAsia="Calibri" w:hAnsiTheme="majorBidi" w:cstheme="majorBidi"/>
          <w:noProof/>
          <w:sz w:val="24"/>
          <w:szCs w:val="24"/>
          <w:bdr w:val="single" w:sz="18" w:space="0" w:color="auto"/>
          <w:lang w:val="en-US"/>
        </w:rPr>
        <w:drawing>
          <wp:inline distT="0" distB="0" distL="0" distR="0" wp14:anchorId="64416D3C" wp14:editId="7F075DB5">
            <wp:extent cx="4660135" cy="3316077"/>
            <wp:effectExtent l="0" t="0" r="2667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4416197" w14:textId="7B8E7F89"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This chapter examines the literature related to CM factors in general before focusing on the specifics of renewable energy change in </w:t>
      </w:r>
      <w:r w:rsidR="00B1690B"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 Furthermore, it discusses the previous studies that explored enablers, barriers</w:t>
      </w:r>
      <w:r w:rsidR="002F795A"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motivators behind organizations</w:t>
      </w:r>
      <w:r w:rsidR="00211E11"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change adoption, followed by a discussion on the role of the stakeholders in this area.</w:t>
      </w:r>
    </w:p>
    <w:p w14:paraId="64416198" w14:textId="77777777" w:rsidR="008D3598" w:rsidRPr="00511330" w:rsidRDefault="008D3598" w:rsidP="00721566">
      <w:pPr>
        <w:pStyle w:val="ListParagraph"/>
        <w:keepNext/>
        <w:keepLines/>
        <w:spacing w:before="200" w:after="0" w:line="360" w:lineRule="auto"/>
        <w:ind w:left="480" w:right="-450"/>
        <w:contextualSpacing w:val="0"/>
        <w:outlineLvl w:val="1"/>
        <w:rPr>
          <w:rFonts w:asciiTheme="majorBidi" w:eastAsiaTheme="majorEastAsia" w:hAnsiTheme="majorBidi" w:cstheme="majorBidi"/>
          <w:b/>
          <w:bCs/>
          <w:vanish/>
          <w:sz w:val="28"/>
          <w:szCs w:val="26"/>
          <w:lang w:val="en-US"/>
        </w:rPr>
      </w:pPr>
      <w:bookmarkStart w:id="115" w:name="_Toc32085700"/>
      <w:bookmarkStart w:id="116" w:name="_Toc32085885"/>
      <w:bookmarkStart w:id="117" w:name="_Toc32086072"/>
      <w:bookmarkStart w:id="118" w:name="_Toc32090209"/>
      <w:bookmarkStart w:id="119" w:name="_Toc32090539"/>
      <w:bookmarkStart w:id="120" w:name="_Toc32091455"/>
      <w:bookmarkEnd w:id="115"/>
      <w:bookmarkEnd w:id="116"/>
      <w:bookmarkEnd w:id="117"/>
      <w:bookmarkEnd w:id="118"/>
      <w:bookmarkEnd w:id="119"/>
      <w:bookmarkEnd w:id="120"/>
    </w:p>
    <w:p w14:paraId="64416199" w14:textId="0CBCA55A" w:rsidR="008D3598" w:rsidRPr="00511330" w:rsidRDefault="008D3598" w:rsidP="00C20368">
      <w:pPr>
        <w:pStyle w:val="Heading2"/>
        <w:ind w:left="720" w:right="-450" w:hanging="720"/>
        <w:rPr>
          <w:lang w:val="en-US"/>
        </w:rPr>
      </w:pPr>
      <w:bookmarkStart w:id="121" w:name="_Toc43311609"/>
      <w:r w:rsidRPr="00511330">
        <w:rPr>
          <w:lang w:val="en-US"/>
        </w:rPr>
        <w:t xml:space="preserve">2.1. </w:t>
      </w:r>
      <w:r w:rsidR="00C20368" w:rsidRPr="00511330">
        <w:rPr>
          <w:lang w:val="en-US"/>
        </w:rPr>
        <w:tab/>
      </w:r>
      <w:r w:rsidRPr="00511330">
        <w:rPr>
          <w:lang w:val="en-US"/>
        </w:rPr>
        <w:t>Change Management Overview</w:t>
      </w:r>
      <w:bookmarkEnd w:id="121"/>
    </w:p>
    <w:p w14:paraId="6441619A" w14:textId="0A839BD5" w:rsidR="008D3598" w:rsidRPr="00511330" w:rsidRDefault="008D3598" w:rsidP="00D4631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Change is a part of </w:t>
      </w:r>
      <w:r w:rsidR="006C0249"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life cycle in businesses and corporates in recent years. To cope better, some organizations focus on developing an ability to quickly modify existing products in response to marketplace changes (i.e., life-cycle flexibility) Arnett et al. (2018). </w:t>
      </w:r>
      <w:r w:rsidR="00CA31B4" w:rsidRPr="00511330">
        <w:rPr>
          <w:rFonts w:asciiTheme="majorBidi" w:hAnsiTheme="majorBidi" w:cstheme="majorBidi"/>
          <w:sz w:val="24"/>
          <w:szCs w:val="24"/>
          <w:lang w:val="en-US"/>
        </w:rPr>
        <w:t xml:space="preserve">Additionally, </w:t>
      </w:r>
      <w:r w:rsidRPr="00511330">
        <w:rPr>
          <w:rFonts w:asciiTheme="majorBidi" w:hAnsiTheme="majorBidi" w:cstheme="majorBidi"/>
          <w:sz w:val="24"/>
          <w:szCs w:val="24"/>
          <w:lang w:val="en-US"/>
        </w:rPr>
        <w:t>develop</w:t>
      </w:r>
      <w:r w:rsidR="00CA31B4" w:rsidRPr="00511330">
        <w:rPr>
          <w:rFonts w:asciiTheme="majorBidi" w:hAnsiTheme="majorBidi" w:cstheme="majorBidi"/>
          <w:sz w:val="24"/>
          <w:szCs w:val="24"/>
          <w:lang w:val="en-US"/>
        </w:rPr>
        <w:t>ing</w:t>
      </w:r>
      <w:r w:rsidRPr="00511330">
        <w:rPr>
          <w:rFonts w:asciiTheme="majorBidi" w:hAnsiTheme="majorBidi" w:cstheme="majorBidi"/>
          <w:sz w:val="24"/>
          <w:szCs w:val="24"/>
          <w:lang w:val="en-US"/>
        </w:rPr>
        <w:t xml:space="preserve"> life-cycle flexibility</w:t>
      </w:r>
      <w:r w:rsidR="00C200FA" w:rsidRPr="00511330">
        <w:rPr>
          <w:rFonts w:asciiTheme="majorBidi" w:hAnsiTheme="majorBidi" w:cstheme="majorBidi"/>
          <w:sz w:val="24"/>
          <w:szCs w:val="24"/>
          <w:lang w:val="en-US"/>
        </w:rPr>
        <w:t xml:space="preserve"> requires </w:t>
      </w:r>
      <w:r w:rsidRPr="00511330">
        <w:rPr>
          <w:rFonts w:asciiTheme="majorBidi" w:hAnsiTheme="majorBidi" w:cstheme="majorBidi"/>
          <w:sz w:val="24"/>
          <w:szCs w:val="24"/>
          <w:lang w:val="en-US"/>
        </w:rPr>
        <w:t xml:space="preserve">up-to-date knowledge of the business environment (Schoenherr </w:t>
      </w:r>
      <w:r w:rsidR="00D46316"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Swink, 2015)</w:t>
      </w:r>
      <w:r w:rsidR="00C200FA"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In </w:t>
      </w:r>
      <w:r w:rsidRPr="00511330">
        <w:rPr>
          <w:rFonts w:asciiTheme="majorBidi" w:hAnsiTheme="majorBidi" w:cstheme="majorBidi"/>
          <w:sz w:val="24"/>
          <w:szCs w:val="24"/>
          <w:lang w:val="en-US"/>
        </w:rPr>
        <w:lastRenderedPageBreak/>
        <w:t xml:space="preserve">particular, it requires organizations to monitor the performance of their market offerings and react to changes in the marketplace (Arnett et al., 2018).  The ability to quickly adapt and redesign offerings in response to marketplace changes is a form of dynamic capability and an essential resource for firms in industries characterized by continuous streams of incremental and/or radical innovation (Day, 2014). </w:t>
      </w:r>
    </w:p>
    <w:p w14:paraId="6441619B" w14:textId="5A2F3CDD" w:rsidR="008D3598" w:rsidRPr="00511330" w:rsidRDefault="008D3598" w:rsidP="00C21509">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 Firms that produce evolving rather than mature products in an industry characterized by rapid technological change (short product life cycle) have a market incentive to externalize R&amp;D activities and maintain access to changing knowledge despite the increased risk of spillovers (Boardman, Gray, </w:t>
      </w:r>
      <w:r w:rsidR="00D46316"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Rivers, 2013). </w:t>
      </w:r>
      <w:r w:rsidR="001815B0" w:rsidRPr="00511330">
        <w:rPr>
          <w:rFonts w:asciiTheme="majorBidi" w:hAnsiTheme="majorBidi" w:cstheme="majorBidi"/>
          <w:sz w:val="24"/>
          <w:szCs w:val="24"/>
          <w:lang w:val="en-US"/>
        </w:rPr>
        <w:t>A</w:t>
      </w:r>
      <w:r w:rsidR="00836DEB" w:rsidRPr="00511330">
        <w:rPr>
          <w:rFonts w:asciiTheme="majorBidi" w:hAnsiTheme="majorBidi" w:cstheme="majorBidi"/>
          <w:sz w:val="24"/>
          <w:szCs w:val="24"/>
          <w:lang w:val="en-US"/>
        </w:rPr>
        <w:t>ccessi</w:t>
      </w:r>
      <w:r w:rsidR="001815B0" w:rsidRPr="00511330">
        <w:rPr>
          <w:rFonts w:asciiTheme="majorBidi" w:hAnsiTheme="majorBidi" w:cstheme="majorBidi"/>
          <w:sz w:val="24"/>
          <w:szCs w:val="24"/>
          <w:lang w:val="en-US"/>
        </w:rPr>
        <w:t>ng</w:t>
      </w:r>
      <w:r w:rsidR="00836DEB" w:rsidRPr="00511330">
        <w:rPr>
          <w:rFonts w:asciiTheme="majorBidi" w:hAnsiTheme="majorBidi" w:cstheme="majorBidi"/>
          <w:sz w:val="24"/>
          <w:szCs w:val="24"/>
          <w:lang w:val="en-US"/>
        </w:rPr>
        <w:t xml:space="preserve"> </w:t>
      </w:r>
      <w:r w:rsidR="001815B0" w:rsidRPr="00511330">
        <w:rPr>
          <w:rFonts w:asciiTheme="majorBidi" w:hAnsiTheme="majorBidi" w:cstheme="majorBidi"/>
          <w:sz w:val="24"/>
          <w:szCs w:val="24"/>
          <w:lang w:val="en-US"/>
        </w:rPr>
        <w:t xml:space="preserve">a </w:t>
      </w:r>
      <w:r w:rsidR="00836DEB" w:rsidRPr="00511330">
        <w:rPr>
          <w:rFonts w:asciiTheme="majorBidi" w:hAnsiTheme="majorBidi" w:cstheme="majorBidi"/>
          <w:sz w:val="24"/>
          <w:szCs w:val="24"/>
          <w:lang w:val="en-US"/>
        </w:rPr>
        <w:t xml:space="preserve">dynamic knowledge base </w:t>
      </w:r>
      <w:r w:rsidRPr="00511330">
        <w:rPr>
          <w:rFonts w:asciiTheme="majorBidi" w:hAnsiTheme="majorBidi" w:cstheme="majorBidi"/>
          <w:sz w:val="24"/>
          <w:szCs w:val="24"/>
          <w:lang w:val="en-US"/>
        </w:rPr>
        <w:t xml:space="preserve">is a nemesis of modern time for some organizations and a new horizon of hopes and development for others. We propose that exploring the range of perceptions of employees in different roles, departments, and hierarchical levels will provide a more nuanced account, not </w:t>
      </w:r>
      <w:r w:rsidR="004B6828" w:rsidRPr="00511330">
        <w:rPr>
          <w:rFonts w:asciiTheme="majorBidi" w:hAnsiTheme="majorBidi" w:cstheme="majorBidi"/>
          <w:sz w:val="24"/>
          <w:szCs w:val="24"/>
          <w:lang w:val="en-US"/>
        </w:rPr>
        <w:t xml:space="preserve">merely </w:t>
      </w:r>
      <w:r w:rsidRPr="00511330">
        <w:rPr>
          <w:rFonts w:asciiTheme="majorBidi" w:hAnsiTheme="majorBidi" w:cstheme="majorBidi"/>
          <w:sz w:val="24"/>
          <w:szCs w:val="24"/>
          <w:lang w:val="en-US"/>
        </w:rPr>
        <w:t xml:space="preserve">of whether one change has failed or succeeded, but also to what extent and why (Smollan and Morrison,2019).  In the UAE’s public sector, just like in any other context, resistance to BPR (Business Process Reengineering) often comes from people who are directly or indirectly impacted by the change (Appelbaum et al., 2012; Yaseen </w:t>
      </w:r>
      <w:r w:rsidR="00C21509"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Okour, 2012). In most instances, employees resist because the change is implemented suddenly without proper consultations; they lack the skills to implement the change; fear of failure; they do not lack trust</w:t>
      </w:r>
      <w:r w:rsidR="00BD4ED8" w:rsidRPr="00511330">
        <w:rPr>
          <w:rFonts w:asciiTheme="majorBidi" w:hAnsiTheme="majorBidi" w:cstheme="majorBidi"/>
          <w:sz w:val="24"/>
          <w:szCs w:val="24"/>
          <w:lang w:val="en-US"/>
        </w:rPr>
        <w:t xml:space="preserve"> in</w:t>
      </w:r>
      <w:r w:rsidRPr="00511330">
        <w:rPr>
          <w:rFonts w:asciiTheme="majorBidi" w:hAnsiTheme="majorBidi" w:cstheme="majorBidi"/>
          <w:sz w:val="24"/>
          <w:szCs w:val="24"/>
          <w:lang w:val="en-US"/>
        </w:rPr>
        <w:t xml:space="preserve"> the change initiators; personality clashes among employees; poor timing </w:t>
      </w:r>
      <w:r w:rsidR="00BD4ED8" w:rsidRPr="00511330">
        <w:rPr>
          <w:rFonts w:asciiTheme="majorBidi" w:hAnsiTheme="majorBidi" w:cstheme="majorBidi"/>
          <w:sz w:val="24"/>
          <w:szCs w:val="24"/>
          <w:lang w:val="en-US"/>
        </w:rPr>
        <w:t>about</w:t>
      </w:r>
      <w:r w:rsidRPr="00511330">
        <w:rPr>
          <w:rFonts w:asciiTheme="majorBidi" w:hAnsiTheme="majorBidi" w:cstheme="majorBidi"/>
          <w:sz w:val="24"/>
          <w:szCs w:val="24"/>
          <w:lang w:val="en-US"/>
        </w:rPr>
        <w:t xml:space="preserve"> the implementation of change; change initiators lack tact and display insensitive </w:t>
      </w:r>
      <w:r w:rsidRPr="00511330">
        <w:rPr>
          <w:rFonts w:asciiTheme="majorBidi" w:hAnsiTheme="majorBidi" w:cstheme="majorBidi"/>
          <w:sz w:val="24"/>
          <w:szCs w:val="24"/>
          <w:lang w:val="en-US"/>
        </w:rPr>
        <w:lastRenderedPageBreak/>
        <w:t>behavior; the change threatens or leads to job insecurity; and there are unexplained changes to the timeline for change (D’Ortenzio, 2012)</w:t>
      </w:r>
    </w:p>
    <w:p w14:paraId="6441619C" w14:textId="258B3956" w:rsidR="008D3598" w:rsidRPr="00511330" w:rsidRDefault="008D3598" w:rsidP="00EB3AB2">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Spencer-Matthews (2001, p. 52) described </w:t>
      </w:r>
      <w:r w:rsidR="00BD4ED8"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organizational change as “the negotiation or the renegotiation of shared meaning about what is to be valued, believed in</w:t>
      </w:r>
      <w:r w:rsidR="00423C2E"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aimed for.” </w:t>
      </w:r>
      <w:r w:rsidR="009C57EE" w:rsidRPr="00511330">
        <w:rPr>
          <w:rFonts w:asciiTheme="majorBidi" w:hAnsiTheme="majorBidi" w:cstheme="majorBidi"/>
          <w:sz w:val="24"/>
          <w:szCs w:val="24"/>
          <w:lang w:val="en-US"/>
        </w:rPr>
        <w:t xml:space="preserve">Organizational change </w:t>
      </w:r>
      <w:r w:rsidRPr="00511330">
        <w:rPr>
          <w:rFonts w:asciiTheme="majorBidi" w:hAnsiTheme="majorBidi" w:cstheme="majorBidi"/>
          <w:sz w:val="24"/>
          <w:szCs w:val="24"/>
          <w:lang w:val="en-US"/>
        </w:rPr>
        <w:t>is</w:t>
      </w:r>
      <w:r w:rsidR="009C57EE" w:rsidRPr="00511330">
        <w:rPr>
          <w:rFonts w:asciiTheme="majorBidi" w:hAnsiTheme="majorBidi" w:cstheme="majorBidi"/>
          <w:sz w:val="24"/>
          <w:szCs w:val="24"/>
          <w:lang w:val="en-US"/>
        </w:rPr>
        <w:t xml:space="preserve"> altogether</w:t>
      </w:r>
      <w:r w:rsidRPr="00511330">
        <w:rPr>
          <w:rFonts w:asciiTheme="majorBidi" w:hAnsiTheme="majorBidi" w:cstheme="majorBidi"/>
          <w:sz w:val="24"/>
          <w:szCs w:val="24"/>
          <w:lang w:val="en-US"/>
        </w:rPr>
        <w:t xml:space="preserve"> </w:t>
      </w:r>
      <w:r w:rsidR="009C57EE"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cultural change,</w:t>
      </w:r>
      <w:r w:rsidR="00336FAA" w:rsidRPr="00511330">
        <w:rPr>
          <w:rFonts w:asciiTheme="majorBidi" w:hAnsiTheme="majorBidi" w:cstheme="majorBidi"/>
          <w:sz w:val="24"/>
          <w:szCs w:val="24"/>
          <w:lang w:val="en-US"/>
        </w:rPr>
        <w:t xml:space="preserve"> </w:t>
      </w:r>
      <w:r w:rsidR="00B631F1"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institutionalization of the idea about change, </w:t>
      </w:r>
      <w:r w:rsidR="009C57EE" w:rsidRPr="00511330">
        <w:rPr>
          <w:rFonts w:asciiTheme="majorBidi" w:hAnsiTheme="majorBidi" w:cstheme="majorBidi"/>
          <w:sz w:val="24"/>
          <w:szCs w:val="24"/>
          <w:lang w:val="en-US"/>
        </w:rPr>
        <w:t>re</w:t>
      </w:r>
      <w:r w:rsidRPr="00511330">
        <w:rPr>
          <w:rFonts w:asciiTheme="majorBidi" w:hAnsiTheme="majorBidi" w:cstheme="majorBidi"/>
          <w:sz w:val="24"/>
          <w:szCs w:val="24"/>
          <w:lang w:val="en-US"/>
        </w:rPr>
        <w:t>shaping the organizational culture</w:t>
      </w:r>
      <w:r w:rsidR="00EB1F59"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changing people’s attitudes (Newton, 2003; </w:t>
      </w:r>
      <w:r w:rsidR="00EF2B4F" w:rsidRPr="00511330">
        <w:rPr>
          <w:rFonts w:asciiTheme="majorBidi" w:hAnsiTheme="majorBidi" w:cstheme="majorBidi"/>
          <w:sz w:val="24"/>
          <w:szCs w:val="24"/>
          <w:lang w:val="en-US"/>
        </w:rPr>
        <w:t>Ylijoki, 2003</w:t>
      </w:r>
      <w:r w:rsidRPr="00511330">
        <w:rPr>
          <w:rFonts w:asciiTheme="majorBidi" w:hAnsiTheme="majorBidi" w:cstheme="majorBidi"/>
          <w:sz w:val="24"/>
          <w:szCs w:val="24"/>
          <w:lang w:val="en-US"/>
        </w:rPr>
        <w:t xml:space="preserve">; Spencer-Matthews, 2001; Martin et al., 2001; Austin et al., 1997). Various changes stem from outside an organization, and a desire to maintain a competitive advantage necessitates constant internal changes in an organization (Kotter 2008; Beer </w:t>
      </w:r>
      <w:r w:rsidR="00C21509"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Nohria 2000; Wanberg </w:t>
      </w:r>
      <w:r w:rsidR="00C21509"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Banas 2000). Most of </w:t>
      </w:r>
      <w:r w:rsidR="00D552E6"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change process </w:t>
      </w:r>
      <w:r w:rsidR="00D552E6" w:rsidRPr="00511330">
        <w:rPr>
          <w:rFonts w:asciiTheme="majorBidi" w:hAnsiTheme="majorBidi" w:cstheme="majorBidi"/>
          <w:sz w:val="24"/>
          <w:szCs w:val="24"/>
          <w:lang w:val="en-US"/>
        </w:rPr>
        <w:t xml:space="preserve">was </w:t>
      </w:r>
      <w:r w:rsidRPr="00511330">
        <w:rPr>
          <w:rFonts w:asciiTheme="majorBidi" w:hAnsiTheme="majorBidi" w:cstheme="majorBidi"/>
          <w:sz w:val="24"/>
          <w:szCs w:val="24"/>
          <w:lang w:val="en-US"/>
        </w:rPr>
        <w:t xml:space="preserve">carried out, but the results were not as </w:t>
      </w:r>
      <w:r w:rsidR="00EB1F59" w:rsidRPr="00511330">
        <w:rPr>
          <w:rFonts w:asciiTheme="majorBidi" w:hAnsiTheme="majorBidi" w:cstheme="majorBidi"/>
          <w:sz w:val="24"/>
          <w:szCs w:val="24"/>
          <w:lang w:val="en-US"/>
        </w:rPr>
        <w:t>expected.</w:t>
      </w:r>
      <w:r w:rsidRPr="00511330">
        <w:rPr>
          <w:rFonts w:asciiTheme="majorBidi" w:hAnsiTheme="majorBidi" w:cstheme="majorBidi"/>
          <w:sz w:val="24"/>
          <w:szCs w:val="24"/>
          <w:lang w:val="en-US"/>
        </w:rPr>
        <w:t xml:space="preserve"> </w:t>
      </w:r>
      <w:r w:rsidR="00EB1F59"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ome of them were lost in time maze</w:t>
      </w:r>
      <w:r w:rsidR="00B631F1"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that still</w:t>
      </w:r>
      <w:r w:rsidR="00B631F1"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fragments of change results left being chased and enhanced till </w:t>
      </w:r>
      <w:r w:rsidR="00B631F1" w:rsidRPr="00511330">
        <w:rPr>
          <w:rFonts w:asciiTheme="majorBidi" w:hAnsiTheme="majorBidi" w:cstheme="majorBidi"/>
          <w:sz w:val="24"/>
          <w:szCs w:val="24"/>
          <w:lang w:val="en-US"/>
        </w:rPr>
        <w:t xml:space="preserve">now </w:t>
      </w:r>
      <w:r w:rsidRPr="00511330">
        <w:rPr>
          <w:rFonts w:asciiTheme="majorBidi" w:hAnsiTheme="majorBidi" w:cstheme="majorBidi"/>
          <w:sz w:val="24"/>
          <w:szCs w:val="24"/>
          <w:lang w:val="en-US"/>
        </w:rPr>
        <w:t>(Baddah, 2016) in terms of what is missing from the UAE intellectual arena, as suggested by Armenakis and Bedeian (1999). In the recent past, theoretical and empirical change literature has included content issues, contextual issues, process issues</w:t>
      </w:r>
      <w:r w:rsidR="00D63AD5"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criterion issues. Change usually does not happen at once (Hammer, 1993), as it requires continuous evaluation of results and several iterations of the change management process (Yaseen &amp; Okour, 2012).</w:t>
      </w:r>
      <w:r w:rsidR="00EB3AB2" w:rsidRPr="00511330">
        <w:rPr>
          <w:rFonts w:asciiTheme="majorBidi" w:hAnsiTheme="majorBidi" w:cstheme="majorBidi"/>
          <w:sz w:val="24"/>
          <w:szCs w:val="24"/>
          <w:lang w:val="en-US"/>
        </w:rPr>
        <w:t xml:space="preserve"> Bin </w:t>
      </w:r>
      <w:r w:rsidRPr="00511330">
        <w:rPr>
          <w:rFonts w:asciiTheme="majorBidi" w:hAnsiTheme="majorBidi" w:cstheme="majorBidi"/>
          <w:sz w:val="24"/>
          <w:szCs w:val="24"/>
          <w:lang w:val="en-US"/>
        </w:rPr>
        <w:t>Taher, Krotov</w:t>
      </w:r>
      <w:r w:rsidR="00EF342E"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Silva (2015) pointed out that projects consider</w:t>
      </w:r>
      <w:r w:rsidR="00047DC0" w:rsidRPr="00511330">
        <w:rPr>
          <w:rFonts w:asciiTheme="majorBidi" w:hAnsiTheme="majorBidi" w:cstheme="majorBidi"/>
          <w:sz w:val="24"/>
          <w:szCs w:val="24"/>
          <w:lang w:val="en-US"/>
        </w:rPr>
        <w:t>ing</w:t>
      </w:r>
      <w:r w:rsidRPr="00511330">
        <w:rPr>
          <w:rFonts w:asciiTheme="majorBidi" w:hAnsiTheme="majorBidi" w:cstheme="majorBidi"/>
          <w:sz w:val="24"/>
          <w:szCs w:val="24"/>
          <w:lang w:val="en-US"/>
        </w:rPr>
        <w:t xml:space="preserve"> the UAE’s social and organizational culture often bring projects to a standstill, with the exact causes of the stalling often remaining a mystery.</w:t>
      </w:r>
    </w:p>
    <w:p w14:paraId="6441619D" w14:textId="57CA7378" w:rsidR="008D3598" w:rsidRPr="00511330" w:rsidRDefault="008D3598" w:rsidP="00643D63">
      <w:pPr>
        <w:pStyle w:val="Heading2"/>
        <w:spacing w:line="480" w:lineRule="auto"/>
        <w:ind w:left="720" w:right="-450" w:hanging="720"/>
        <w:rPr>
          <w:lang w:val="en-US"/>
        </w:rPr>
      </w:pPr>
      <w:bookmarkStart w:id="122" w:name="_Toc43311610"/>
      <w:r w:rsidRPr="00511330">
        <w:rPr>
          <w:lang w:val="en-US"/>
        </w:rPr>
        <w:lastRenderedPageBreak/>
        <w:t xml:space="preserve">2.2. </w:t>
      </w:r>
      <w:r w:rsidR="00C20368" w:rsidRPr="00511330">
        <w:rPr>
          <w:lang w:val="en-US"/>
        </w:rPr>
        <w:tab/>
      </w:r>
      <w:r w:rsidRPr="00511330">
        <w:rPr>
          <w:lang w:val="en-US"/>
        </w:rPr>
        <w:t>Change Management in Renewable Energy Market</w:t>
      </w:r>
      <w:bookmarkEnd w:id="122"/>
    </w:p>
    <w:p w14:paraId="4DB985BD" w14:textId="4B7CB646" w:rsidR="0078420A" w:rsidRPr="00511330" w:rsidRDefault="0078420A" w:rsidP="0078420A">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Most of the past era’s</w:t>
      </w:r>
      <w:r w:rsidR="00FE1D09" w:rsidRPr="00511330">
        <w:rPr>
          <w:rFonts w:asciiTheme="majorBidi" w:hAnsiTheme="majorBidi" w:cstheme="majorBidi"/>
          <w:sz w:val="24"/>
          <w:szCs w:val="24"/>
          <w:lang w:val="en-US"/>
        </w:rPr>
        <w:t>, the</w:t>
      </w:r>
      <w:r w:rsidRPr="00511330">
        <w:rPr>
          <w:rFonts w:asciiTheme="majorBidi" w:hAnsiTheme="majorBidi" w:cstheme="majorBidi"/>
          <w:sz w:val="24"/>
          <w:szCs w:val="24"/>
          <w:lang w:val="en-US"/>
        </w:rPr>
        <w:t xml:space="preserve"> UAE had stability and minor changes, which came within the need </w:t>
      </w:r>
      <w:r w:rsidR="00FE1D09" w:rsidRPr="00511330">
        <w:rPr>
          <w:rFonts w:asciiTheme="majorBidi" w:hAnsiTheme="majorBidi" w:cstheme="majorBidi"/>
          <w:sz w:val="24"/>
          <w:szCs w:val="24"/>
          <w:lang w:val="en-US"/>
        </w:rPr>
        <w:t>for</w:t>
      </w:r>
      <w:r w:rsidRPr="00511330">
        <w:rPr>
          <w:rFonts w:asciiTheme="majorBidi" w:hAnsiTheme="majorBidi" w:cstheme="majorBidi"/>
          <w:sz w:val="24"/>
          <w:szCs w:val="24"/>
          <w:lang w:val="en-US"/>
        </w:rPr>
        <w:t xml:space="preserve"> leadership visions. However, recent years </w:t>
      </w:r>
      <w:r w:rsidR="009F76D8" w:rsidRPr="00511330">
        <w:rPr>
          <w:rFonts w:asciiTheme="majorBidi" w:hAnsiTheme="majorBidi" w:cstheme="majorBidi"/>
          <w:sz w:val="24"/>
          <w:szCs w:val="24"/>
          <w:lang w:val="en-US"/>
        </w:rPr>
        <w:t xml:space="preserve">have </w:t>
      </w:r>
      <w:r w:rsidRPr="00511330">
        <w:rPr>
          <w:rFonts w:asciiTheme="majorBidi" w:hAnsiTheme="majorBidi" w:cstheme="majorBidi"/>
          <w:sz w:val="24"/>
          <w:szCs w:val="24"/>
          <w:lang w:val="en-US"/>
        </w:rPr>
        <w:t xml:space="preserve">shown the change has been implemented more </w:t>
      </w:r>
      <w:r w:rsidR="00EE7FCD" w:rsidRPr="00511330">
        <w:rPr>
          <w:rFonts w:asciiTheme="majorBidi" w:hAnsiTheme="majorBidi" w:cstheme="majorBidi"/>
          <w:sz w:val="24"/>
          <w:szCs w:val="24"/>
          <w:lang w:val="en-US"/>
        </w:rPr>
        <w:t xml:space="preserve">often, </w:t>
      </w:r>
      <w:r w:rsidRPr="00511330">
        <w:rPr>
          <w:rFonts w:asciiTheme="majorBidi" w:hAnsiTheme="majorBidi" w:cstheme="majorBidi"/>
          <w:sz w:val="24"/>
          <w:szCs w:val="24"/>
          <w:lang w:val="en-US"/>
        </w:rPr>
        <w:t>and</w:t>
      </w:r>
      <w:r w:rsidR="00EE7FCD" w:rsidRPr="00511330">
        <w:rPr>
          <w:rFonts w:asciiTheme="majorBidi" w:hAnsiTheme="majorBidi" w:cstheme="majorBidi"/>
          <w:sz w:val="24"/>
          <w:szCs w:val="24"/>
          <w:lang w:val="en-US"/>
        </w:rPr>
        <w:t xml:space="preserve"> the</w:t>
      </w:r>
      <w:r w:rsidRPr="00511330">
        <w:rPr>
          <w:rFonts w:asciiTheme="majorBidi" w:hAnsiTheme="majorBidi" w:cstheme="majorBidi"/>
          <w:sz w:val="24"/>
          <w:szCs w:val="24"/>
          <w:lang w:val="en-US"/>
        </w:rPr>
        <w:t xml:space="preserve"> market is changing trend more often. Over the past few decades, the UAE has been going through rapid changes (ADCED, 2008). UAE recently established a regulation towards change by releasing the power generation and </w:t>
      </w:r>
      <w:r w:rsidR="00015D82" w:rsidRPr="00511330">
        <w:rPr>
          <w:rFonts w:asciiTheme="majorBidi" w:hAnsiTheme="majorBidi" w:cstheme="majorBidi"/>
          <w:sz w:val="24"/>
          <w:szCs w:val="24"/>
          <w:lang w:val="en-US"/>
        </w:rPr>
        <w:t>positioning</w:t>
      </w:r>
      <w:r w:rsidRPr="00511330">
        <w:rPr>
          <w:rFonts w:asciiTheme="majorBidi" w:hAnsiTheme="majorBidi" w:cstheme="majorBidi"/>
          <w:sz w:val="24"/>
          <w:szCs w:val="24"/>
          <w:lang w:val="en-US"/>
        </w:rPr>
        <w:t xml:space="preserve"> all organizations in a competition track to rebuild their internal systems to fit into new services, something that has never been considered since the formation of </w:t>
      </w:r>
      <w:r w:rsidR="00B1690B"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 in 1972. Add to that, change towards green energy is promising, but the main issue is that such projects take many new operation business</w:t>
      </w:r>
      <w:r w:rsidR="00D805C9"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driven capabilities. The motivation is driven by the UAE’s federal government to have 12% of total energy production to be accounted for by green and renewable energies by 2020 (Lilliestam, J and Patt, 2015).</w:t>
      </w:r>
    </w:p>
    <w:p w14:paraId="614C87EA" w14:textId="3254FB73" w:rsidR="0078420A" w:rsidRPr="00511330" w:rsidRDefault="0078420A" w:rsidP="00A65770">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Renewable energy is a growing phenomenon that started in the 1980s and has grown to become an awareness planted in corporations and the public. Green or natural capitalism (Foster 2002; Hawken et al., 1999; Kovel 1999) is typically concerned with the reconciliation of ecological and economic values</w:t>
      </w:r>
      <w:r w:rsidR="0032086C" w:rsidRPr="00511330">
        <w:rPr>
          <w:rFonts w:asciiTheme="majorBidi" w:hAnsiTheme="majorBidi" w:cstheme="majorBidi"/>
          <w:sz w:val="24"/>
          <w:szCs w:val="24"/>
          <w:lang w:val="en-US"/>
        </w:rPr>
        <w:t>.</w:t>
      </w:r>
      <w:r w:rsidR="00C43CE5" w:rsidRPr="00511330">
        <w:rPr>
          <w:rFonts w:asciiTheme="majorBidi" w:hAnsiTheme="majorBidi" w:cstheme="majorBidi"/>
          <w:sz w:val="24"/>
          <w:szCs w:val="24"/>
          <w:lang w:val="en-US"/>
        </w:rPr>
        <w:t xml:space="preserve"> M</w:t>
      </w:r>
      <w:r w:rsidRPr="00511330">
        <w:rPr>
          <w:rFonts w:asciiTheme="majorBidi" w:hAnsiTheme="majorBidi" w:cstheme="majorBidi"/>
          <w:sz w:val="24"/>
          <w:szCs w:val="24"/>
          <w:lang w:val="en-US"/>
        </w:rPr>
        <w:t xml:space="preserve">ost approaches towards renewable resources have been concurrently supported by arguments </w:t>
      </w:r>
      <w:r w:rsidR="0032086C" w:rsidRPr="00511330">
        <w:rPr>
          <w:rFonts w:asciiTheme="majorBidi" w:hAnsiTheme="majorBidi" w:cstheme="majorBidi"/>
          <w:sz w:val="24"/>
          <w:szCs w:val="24"/>
          <w:lang w:val="en-US"/>
        </w:rPr>
        <w:t>regarding</w:t>
      </w:r>
      <w:r w:rsidRPr="00511330">
        <w:rPr>
          <w:rFonts w:asciiTheme="majorBidi" w:hAnsiTheme="majorBidi" w:cstheme="majorBidi"/>
          <w:sz w:val="24"/>
          <w:szCs w:val="24"/>
          <w:lang w:val="en-US"/>
        </w:rPr>
        <w:t xml:space="preserve"> the sustainability and future of humanity. Renewable capitalism becomes a brand image of a company that applies sustainability and renewable energy approaches to grasp potential customers along with the attention of major corporations as part of </w:t>
      </w:r>
      <w:r w:rsidR="00156B05" w:rsidRPr="00511330">
        <w:rPr>
          <w:rFonts w:asciiTheme="majorBidi" w:hAnsiTheme="majorBidi" w:cstheme="majorBidi"/>
          <w:sz w:val="24"/>
          <w:szCs w:val="24"/>
          <w:lang w:val="en-US"/>
        </w:rPr>
        <w:t xml:space="preserve">the global </w:t>
      </w:r>
      <w:r w:rsidRPr="00511330">
        <w:rPr>
          <w:rFonts w:asciiTheme="majorBidi" w:hAnsiTheme="majorBidi" w:cstheme="majorBidi"/>
          <w:sz w:val="24"/>
          <w:szCs w:val="24"/>
          <w:lang w:val="en-US"/>
        </w:rPr>
        <w:t>branding. Studies have shown that firm-related outcomes such as brand image (Brown</w:t>
      </w:r>
      <w:r w:rsidR="00C40C8A" w:rsidRPr="00511330">
        <w:rPr>
          <w:rFonts w:asciiTheme="majorBidi" w:hAnsiTheme="majorBidi" w:cstheme="majorBidi"/>
          <w:sz w:val="24"/>
          <w:szCs w:val="24"/>
          <w:lang w:val="en-US"/>
        </w:rPr>
        <w:t xml:space="preserve"> and</w:t>
      </w:r>
      <w:r w:rsidRPr="00511330">
        <w:rPr>
          <w:rFonts w:asciiTheme="majorBidi" w:hAnsiTheme="majorBidi" w:cstheme="majorBidi"/>
          <w:sz w:val="24"/>
          <w:szCs w:val="24"/>
          <w:lang w:val="en-US"/>
        </w:rPr>
        <w:t xml:space="preserve"> Dacin, 1997), brand attitudes, or purchase intentions (Barone et al., 2007; Becker-Olsen et al., 2006) can be </w:t>
      </w:r>
      <w:r w:rsidRPr="00511330">
        <w:rPr>
          <w:rFonts w:asciiTheme="majorBidi" w:hAnsiTheme="majorBidi" w:cstheme="majorBidi"/>
          <w:sz w:val="24"/>
          <w:szCs w:val="24"/>
          <w:lang w:val="en-US"/>
        </w:rPr>
        <w:lastRenderedPageBreak/>
        <w:t>enhanced when consumers look favorably upon company initiatives that benefit the society.</w:t>
      </w:r>
      <w:r w:rsidRPr="00511330">
        <w:rPr>
          <w:rFonts w:asciiTheme="majorBidi" w:hAnsiTheme="majorBidi" w:cstheme="majorBidi"/>
          <w:lang w:val="en-US"/>
        </w:rPr>
        <w:t xml:space="preserve"> </w:t>
      </w:r>
      <w:r w:rsidRPr="00511330">
        <w:rPr>
          <w:rFonts w:asciiTheme="majorBidi" w:hAnsiTheme="majorBidi" w:cstheme="majorBidi"/>
          <w:sz w:val="24"/>
          <w:szCs w:val="24"/>
          <w:lang w:val="en-US"/>
        </w:rPr>
        <w:t>The relationship between firms and society was not theorized until 1953</w:t>
      </w:r>
      <w:r w:rsidR="005F2246"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when Howard Bowen published Social Responsibilities of the Businessman (Lee,2008). Successful change relies on specific tools that most forget or kept it unconsidered. Thus, we are portraying specific factors and elements that shift the course of change management.</w:t>
      </w:r>
      <w:r w:rsidRPr="00511330">
        <w:rPr>
          <w:rFonts w:asciiTheme="majorBidi" w:hAnsiTheme="majorBidi" w:cstheme="majorBidi"/>
          <w:lang w:val="en-US"/>
        </w:rPr>
        <w:t xml:space="preserve"> </w:t>
      </w:r>
      <w:r w:rsidRPr="00511330">
        <w:rPr>
          <w:rFonts w:asciiTheme="majorBidi" w:hAnsiTheme="majorBidi" w:cstheme="majorBidi"/>
          <w:sz w:val="24"/>
          <w:szCs w:val="24"/>
          <w:lang w:val="en-US"/>
        </w:rPr>
        <w:t xml:space="preserve">The energy industry, through the worlds undergoing accelerating expansions at dramatic rates among which efficiency and competitiveness, holds the key to survival in any organization that would like to see itself in the market in the upcoming years. Since then, changes were made in a cyclic operation </w:t>
      </w:r>
      <w:r w:rsidR="00A65770" w:rsidRPr="00511330">
        <w:rPr>
          <w:rFonts w:asciiTheme="majorBidi" w:hAnsiTheme="majorBidi" w:cstheme="majorBidi"/>
          <w:sz w:val="24"/>
          <w:szCs w:val="24"/>
          <w:lang w:val="en-US"/>
        </w:rPr>
        <w:t>for</w:t>
      </w:r>
      <w:r w:rsidRPr="00511330">
        <w:rPr>
          <w:rFonts w:asciiTheme="majorBidi" w:hAnsiTheme="majorBidi" w:cstheme="majorBidi"/>
          <w:sz w:val="24"/>
          <w:szCs w:val="24"/>
          <w:lang w:val="en-US"/>
        </w:rPr>
        <w:t xml:space="preserve"> development and up</w:t>
      </w:r>
      <w:r w:rsidR="00D805C9"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gradation in firms, organizations and eco-economics</w:t>
      </w:r>
      <w:r w:rsidR="00A65770" w:rsidRPr="00511330">
        <w:rPr>
          <w:rFonts w:asciiTheme="majorBidi" w:hAnsiTheme="majorBidi" w:cstheme="majorBidi"/>
          <w:sz w:val="24"/>
          <w:szCs w:val="24"/>
          <w:lang w:val="en-US"/>
        </w:rPr>
        <w:t>. At the same time the cycles became n</w:t>
      </w:r>
      <w:r w:rsidRPr="00511330">
        <w:rPr>
          <w:rFonts w:asciiTheme="majorBidi" w:hAnsiTheme="majorBidi" w:cstheme="majorBidi"/>
          <w:sz w:val="24"/>
          <w:szCs w:val="24"/>
          <w:lang w:val="en-US"/>
        </w:rPr>
        <w:t xml:space="preserve">arrow and short. Geels (2014) argues that firms face selection pressures from two </w:t>
      </w:r>
      <w:r w:rsidR="00F76BC7" w:rsidRPr="00511330">
        <w:rPr>
          <w:rFonts w:asciiTheme="majorBidi" w:hAnsiTheme="majorBidi" w:cstheme="majorBidi"/>
          <w:sz w:val="24"/>
          <w:szCs w:val="24"/>
          <w:lang w:val="en-US"/>
        </w:rPr>
        <w:t xml:space="preserve">distinct </w:t>
      </w:r>
      <w:r w:rsidRPr="00511330">
        <w:rPr>
          <w:rFonts w:asciiTheme="majorBidi" w:hAnsiTheme="majorBidi" w:cstheme="majorBidi"/>
          <w:sz w:val="24"/>
          <w:szCs w:val="24"/>
          <w:lang w:val="en-US"/>
        </w:rPr>
        <w:t>environments, i.e.</w:t>
      </w:r>
      <w:r w:rsidR="00E17A97"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the socio-political environment which selects firms from social legitimacy and the economic environment which selects firms through economic competitiveness.</w:t>
      </w:r>
    </w:p>
    <w:p w14:paraId="644161A0" w14:textId="77777777" w:rsidR="008D3598" w:rsidRPr="00511330" w:rsidRDefault="008D3598" w:rsidP="00C20368">
      <w:pPr>
        <w:pStyle w:val="Heading2"/>
        <w:numPr>
          <w:ilvl w:val="1"/>
          <w:numId w:val="12"/>
        </w:numPr>
        <w:ind w:right="-450"/>
        <w:rPr>
          <w:lang w:val="en-US"/>
        </w:rPr>
      </w:pPr>
      <w:bookmarkStart w:id="123" w:name="_Toc43311611"/>
      <w:r w:rsidRPr="00511330">
        <w:rPr>
          <w:lang w:val="en-US"/>
        </w:rPr>
        <w:t>Role of Stakeholders</w:t>
      </w:r>
      <w:bookmarkEnd w:id="123"/>
    </w:p>
    <w:p w14:paraId="644161A1" w14:textId="2DE24009"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This research presents an exploration of CM initiatives towards </w:t>
      </w:r>
      <w:r w:rsidR="00602F52"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and trailing rules, regulations, and processes to apply to all layers of the UAE’s community. This research provides the first insight into adopting CM while transforming the services to </w:t>
      </w:r>
      <w:r w:rsidR="00461833"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energies and how the implementation process is impeded and facilitated. In this regard, the research adds an element that has never been explored among customers, employees, top management</w:t>
      </w:r>
      <w:r w:rsidR="00E67C56"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governments with regards to change and transformation to use </w:t>
      </w:r>
      <w:r w:rsidR="00602F52"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in the UAE. The research used a qualitative approach through face-to-face interviews with senior and experienced employees</w:t>
      </w:r>
      <w:r w:rsidR="00E67C56"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w:t>
      </w:r>
      <w:r w:rsidR="0084046F"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major energy users. </w:t>
      </w:r>
      <w:r w:rsidRPr="00511330">
        <w:rPr>
          <w:rFonts w:asciiTheme="majorBidi" w:hAnsiTheme="majorBidi" w:cstheme="majorBidi"/>
          <w:sz w:val="24"/>
          <w:szCs w:val="24"/>
          <w:lang w:val="en-US"/>
        </w:rPr>
        <w:lastRenderedPageBreak/>
        <w:t xml:space="preserve">Meanwhile, governments’ views of </w:t>
      </w:r>
      <w:r w:rsidR="00B1690B"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w:t>
      </w:r>
      <w:r w:rsidR="00053D1C"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vision 2021 and current projects were discussed through articles and newspapers supporting the government’s vision of the</w:t>
      </w:r>
      <w:r w:rsidR="005109B1" w:rsidRPr="00511330">
        <w:rPr>
          <w:rFonts w:asciiTheme="majorBidi" w:hAnsiTheme="majorBidi" w:cstheme="majorBidi"/>
          <w:sz w:val="24"/>
          <w:szCs w:val="24"/>
          <w:lang w:val="en-US"/>
        </w:rPr>
        <w:t xml:space="preserve"> UAE’s</w:t>
      </w:r>
      <w:r w:rsidRPr="00511330">
        <w:rPr>
          <w:rFonts w:asciiTheme="majorBidi" w:hAnsiTheme="majorBidi" w:cstheme="majorBidi"/>
          <w:sz w:val="24"/>
          <w:szCs w:val="24"/>
          <w:lang w:val="en-US"/>
        </w:rPr>
        <w:t xml:space="preserve"> energy sector</w:t>
      </w:r>
      <w:r w:rsidR="005109B1" w:rsidRPr="00511330">
        <w:rPr>
          <w:rFonts w:asciiTheme="majorBidi" w:hAnsiTheme="majorBidi" w:cstheme="majorBidi"/>
          <w:sz w:val="24"/>
          <w:szCs w:val="24"/>
          <w:lang w:val="en-US"/>
        </w:rPr>
        <w:t>.</w:t>
      </w:r>
    </w:p>
    <w:p w14:paraId="791BA2E3" w14:textId="51CE9239" w:rsidR="000818BE" w:rsidRPr="00511330" w:rsidRDefault="008D3598" w:rsidP="00805C65">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As analyzed and scrutinized, the main motives were revolving around two streams of work environment and benefits. The top management </w:t>
      </w:r>
      <w:r w:rsidR="00D07313" w:rsidRPr="00511330">
        <w:rPr>
          <w:rFonts w:asciiTheme="majorBidi" w:hAnsiTheme="majorBidi" w:cstheme="majorBidi"/>
          <w:sz w:val="24"/>
          <w:szCs w:val="24"/>
          <w:lang w:val="en-US"/>
        </w:rPr>
        <w:t xml:space="preserve">was </w:t>
      </w:r>
      <w:r w:rsidR="006B6A1C" w:rsidRPr="00511330">
        <w:rPr>
          <w:rFonts w:asciiTheme="majorBidi" w:hAnsiTheme="majorBidi" w:cstheme="majorBidi"/>
          <w:sz w:val="24"/>
          <w:szCs w:val="24"/>
          <w:lang w:val="en-US"/>
        </w:rPr>
        <w:t xml:space="preserve">inspired </w:t>
      </w:r>
      <w:r w:rsidRPr="00511330">
        <w:rPr>
          <w:rFonts w:asciiTheme="majorBidi" w:hAnsiTheme="majorBidi" w:cstheme="majorBidi"/>
          <w:sz w:val="24"/>
          <w:szCs w:val="24"/>
          <w:lang w:val="en-US"/>
        </w:rPr>
        <w:t xml:space="preserve">by accreditation and benefits, whereas the remaining stakeholders were driven by the perception resulting from the outcome. The barriers </w:t>
      </w:r>
      <w:r w:rsidR="00227AFE" w:rsidRPr="00511330">
        <w:rPr>
          <w:rFonts w:asciiTheme="majorBidi" w:hAnsiTheme="majorBidi" w:cstheme="majorBidi"/>
          <w:sz w:val="24"/>
          <w:szCs w:val="24"/>
          <w:lang w:val="en-US"/>
        </w:rPr>
        <w:t>had</w:t>
      </w:r>
      <w:r w:rsidRPr="00511330">
        <w:rPr>
          <w:rFonts w:asciiTheme="majorBidi" w:hAnsiTheme="majorBidi" w:cstheme="majorBidi"/>
          <w:sz w:val="24"/>
          <w:szCs w:val="24"/>
          <w:lang w:val="en-US"/>
        </w:rPr>
        <w:t xml:space="preserve"> a </w:t>
      </w:r>
      <w:r w:rsidR="00C16200" w:rsidRPr="00511330">
        <w:rPr>
          <w:rFonts w:asciiTheme="majorBidi" w:hAnsiTheme="majorBidi" w:cstheme="majorBidi"/>
          <w:sz w:val="24"/>
          <w:szCs w:val="24"/>
          <w:lang w:val="en-US"/>
        </w:rPr>
        <w:t xml:space="preserve">huge </w:t>
      </w:r>
      <w:r w:rsidRPr="00511330">
        <w:rPr>
          <w:rFonts w:asciiTheme="majorBidi" w:hAnsiTheme="majorBidi" w:cstheme="majorBidi"/>
          <w:sz w:val="24"/>
          <w:szCs w:val="24"/>
          <w:lang w:val="en-US"/>
        </w:rPr>
        <w:t>contradiction depending on the age range and hierarchical position of the personnel. Meanwhile, it's overwhelming to mention that most of the participants are well aware of the government’s approach towards renewable energy and updated with all the projects carried out. Overall findings</w:t>
      </w:r>
      <w:r w:rsidR="00D805C9" w:rsidRPr="00511330">
        <w:rPr>
          <w:rFonts w:asciiTheme="majorBidi" w:hAnsiTheme="majorBidi" w:cstheme="majorBidi"/>
          <w:sz w:val="24"/>
          <w:szCs w:val="24"/>
          <w:lang w:val="en-US"/>
        </w:rPr>
        <w:t xml:space="preserve"> generally</w:t>
      </w:r>
      <w:r w:rsidRPr="00511330">
        <w:rPr>
          <w:rFonts w:asciiTheme="majorBidi" w:hAnsiTheme="majorBidi" w:cstheme="majorBidi"/>
          <w:sz w:val="24"/>
          <w:szCs w:val="24"/>
          <w:lang w:val="en-US"/>
        </w:rPr>
        <w:t xml:space="preserve"> corroborate previous studies conducted on CM and pinpoint some factors that other studies mentioned briefly on </w:t>
      </w:r>
      <w:r w:rsidR="00655CE3"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same subject. For example, Schmieder and Mallette (2007) specified that environmental factors have </w:t>
      </w:r>
      <w:r w:rsidR="00477731"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direct impact on CM. Also, Cooper (2012) posited that funding is</w:t>
      </w:r>
      <w:r w:rsidR="009C72B3" w:rsidRPr="00511330">
        <w:rPr>
          <w:rFonts w:asciiTheme="majorBidi" w:hAnsiTheme="majorBidi" w:cstheme="majorBidi"/>
          <w:sz w:val="24"/>
          <w:szCs w:val="24"/>
          <w:lang w:val="en-US"/>
        </w:rPr>
        <w:t xml:space="preserve"> a</w:t>
      </w:r>
      <w:r w:rsidRPr="00511330">
        <w:rPr>
          <w:rFonts w:asciiTheme="majorBidi" w:hAnsiTheme="majorBidi" w:cstheme="majorBidi"/>
          <w:sz w:val="24"/>
          <w:szCs w:val="24"/>
          <w:lang w:val="en-US"/>
        </w:rPr>
        <w:t xml:space="preserve"> major barrier for the CM. According to Kailash (2005), the perception of employees plays a historical rule in resisting change.</w:t>
      </w:r>
    </w:p>
    <w:p w14:paraId="1B4286F6" w14:textId="2506FF56" w:rsidR="008B3659" w:rsidRPr="00511330" w:rsidRDefault="008D3598" w:rsidP="00805C65">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Consequently, fear is a </w:t>
      </w:r>
      <w:r w:rsidR="000818BE" w:rsidRPr="00511330">
        <w:rPr>
          <w:rFonts w:asciiTheme="majorBidi" w:hAnsiTheme="majorBidi" w:cstheme="majorBidi"/>
          <w:sz w:val="24"/>
          <w:szCs w:val="24"/>
          <w:lang w:val="en-US"/>
        </w:rPr>
        <w:t xml:space="preserve">dominant </w:t>
      </w:r>
      <w:r w:rsidRPr="00511330">
        <w:rPr>
          <w:rFonts w:asciiTheme="majorBidi" w:hAnsiTheme="majorBidi" w:cstheme="majorBidi"/>
          <w:sz w:val="24"/>
          <w:szCs w:val="24"/>
          <w:lang w:val="en-US"/>
        </w:rPr>
        <w:t xml:space="preserve">subject in change, which plays a critical role in creating barriers to successful CM.  The study helps energy organizations prioritize the areas they need to focus on their aims and objectives towards </w:t>
      </w:r>
      <w:r w:rsidR="00602F52"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The study addresses the leveraging points, identifies the bottlenecks and mishaps, and enables the organizations to ensure customer satisfaction. </w:t>
      </w:r>
      <w:r w:rsidR="001A2BAA" w:rsidRPr="00511330">
        <w:rPr>
          <w:rFonts w:asciiTheme="majorBidi" w:hAnsiTheme="majorBidi" w:cstheme="majorBidi"/>
          <w:sz w:val="24"/>
          <w:szCs w:val="24"/>
          <w:lang w:val="en-US"/>
        </w:rPr>
        <w:t>It</w:t>
      </w:r>
      <w:r w:rsidRPr="00511330">
        <w:rPr>
          <w:rFonts w:asciiTheme="majorBidi" w:hAnsiTheme="majorBidi" w:cstheme="majorBidi"/>
          <w:sz w:val="24"/>
          <w:szCs w:val="24"/>
          <w:lang w:val="en-US"/>
        </w:rPr>
        <w:t xml:space="preserve"> also provides energy companies with clear points they need to address while transforming and managing change. At the same time, the study allows companies to anticipate the level of severity and allocate their effort/ resources towards factors </w:t>
      </w:r>
      <w:r w:rsidRPr="00511330">
        <w:rPr>
          <w:rFonts w:asciiTheme="majorBidi" w:hAnsiTheme="majorBidi" w:cstheme="majorBidi"/>
          <w:sz w:val="24"/>
          <w:szCs w:val="24"/>
          <w:lang w:val="en-US"/>
        </w:rPr>
        <w:lastRenderedPageBreak/>
        <w:t xml:space="preserve">that accelerate CM and minimize failure risks. The study is essential for energy companies to analyze their current situation and apply necessary changes in their strategies, workgroups, and services, facilitating what is </w:t>
      </w:r>
      <w:r w:rsidR="00B5653D" w:rsidRPr="00511330">
        <w:rPr>
          <w:rFonts w:asciiTheme="majorBidi" w:hAnsiTheme="majorBidi" w:cstheme="majorBidi"/>
          <w:sz w:val="24"/>
          <w:szCs w:val="24"/>
          <w:lang w:val="en-US"/>
        </w:rPr>
        <w:t xml:space="preserve">required </w:t>
      </w:r>
      <w:r w:rsidRPr="00511330">
        <w:rPr>
          <w:rFonts w:asciiTheme="majorBidi" w:hAnsiTheme="majorBidi" w:cstheme="majorBidi"/>
          <w:sz w:val="24"/>
          <w:szCs w:val="24"/>
          <w:lang w:val="en-US"/>
        </w:rPr>
        <w:t>and which elements needed to be applied at what stages.</w:t>
      </w:r>
      <w:bookmarkStart w:id="124" w:name="_Toc32085704"/>
      <w:bookmarkStart w:id="125" w:name="_Toc32085889"/>
      <w:bookmarkStart w:id="126" w:name="_Toc32086076"/>
      <w:bookmarkStart w:id="127" w:name="_Toc32090213"/>
      <w:bookmarkStart w:id="128" w:name="_Toc32090543"/>
      <w:bookmarkStart w:id="129" w:name="_Toc32091459"/>
      <w:bookmarkStart w:id="130" w:name="_Toc32085705"/>
      <w:bookmarkStart w:id="131" w:name="_Toc32085890"/>
      <w:bookmarkStart w:id="132" w:name="_Toc32086077"/>
      <w:bookmarkStart w:id="133" w:name="_Toc32090214"/>
      <w:bookmarkStart w:id="134" w:name="_Toc32090544"/>
      <w:bookmarkStart w:id="135" w:name="_Toc32091460"/>
      <w:bookmarkStart w:id="136" w:name="_Toc32085706"/>
      <w:bookmarkStart w:id="137" w:name="_Toc32085891"/>
      <w:bookmarkStart w:id="138" w:name="_Toc32086078"/>
      <w:bookmarkStart w:id="139" w:name="_Toc32090215"/>
      <w:bookmarkStart w:id="140" w:name="_Toc32090545"/>
      <w:bookmarkStart w:id="141" w:name="_Toc32091461"/>
      <w:bookmarkStart w:id="142" w:name="_Toc32085707"/>
      <w:bookmarkStart w:id="143" w:name="_Toc32085892"/>
      <w:bookmarkStart w:id="144" w:name="_Toc32086079"/>
      <w:bookmarkStart w:id="145" w:name="_Toc32090216"/>
      <w:bookmarkStart w:id="146" w:name="_Toc32090546"/>
      <w:bookmarkStart w:id="147" w:name="_Toc32091462"/>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787357B4" w14:textId="1A118C6D" w:rsidR="00D37CF2" w:rsidRPr="00511330" w:rsidRDefault="00D37CF2" w:rsidP="00D37CF2">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The metal analysis </w:t>
      </w:r>
      <w:r w:rsidR="00F7280C" w:rsidRPr="00511330">
        <w:rPr>
          <w:rFonts w:asciiTheme="majorBidi" w:hAnsiTheme="majorBidi" w:cstheme="majorBidi"/>
          <w:sz w:val="24"/>
          <w:szCs w:val="24"/>
        </w:rPr>
        <w:t xml:space="preserve">Table 2.1 </w:t>
      </w:r>
      <w:r w:rsidRPr="00511330">
        <w:rPr>
          <w:rFonts w:asciiTheme="majorBidi" w:hAnsiTheme="majorBidi" w:cstheme="majorBidi"/>
          <w:sz w:val="24"/>
          <w:szCs w:val="24"/>
        </w:rPr>
        <w:t>below was made to present previous researchers' investigation of change management in</w:t>
      </w:r>
      <w:r w:rsidR="00B1690B" w:rsidRPr="00511330">
        <w:rPr>
          <w:rFonts w:asciiTheme="majorBidi" w:hAnsiTheme="majorBidi" w:cstheme="majorBidi"/>
          <w:sz w:val="24"/>
          <w:szCs w:val="24"/>
        </w:rPr>
        <w:t xml:space="preserve"> the</w:t>
      </w:r>
      <w:r w:rsidRPr="00511330">
        <w:rPr>
          <w:rFonts w:asciiTheme="majorBidi" w:hAnsiTheme="majorBidi" w:cstheme="majorBidi"/>
          <w:sz w:val="24"/>
          <w:szCs w:val="24"/>
        </w:rPr>
        <w:t xml:space="preserve"> UAE. Mainly researchers focused on </w:t>
      </w:r>
      <w:r w:rsidR="00B5653D" w:rsidRPr="00511330">
        <w:rPr>
          <w:rFonts w:asciiTheme="majorBidi" w:hAnsiTheme="majorBidi" w:cstheme="majorBidi"/>
          <w:sz w:val="24"/>
          <w:szCs w:val="24"/>
        </w:rPr>
        <w:t xml:space="preserve">three </w:t>
      </w:r>
      <w:r w:rsidR="003212F4" w:rsidRPr="00511330">
        <w:rPr>
          <w:rFonts w:asciiTheme="majorBidi" w:hAnsiTheme="majorBidi" w:cstheme="majorBidi"/>
          <w:sz w:val="24"/>
          <w:szCs w:val="24"/>
        </w:rPr>
        <w:t xml:space="preserve">fundamental </w:t>
      </w:r>
      <w:r w:rsidRPr="00511330">
        <w:rPr>
          <w:rFonts w:asciiTheme="majorBidi" w:hAnsiTheme="majorBidi" w:cstheme="majorBidi"/>
          <w:sz w:val="24"/>
          <w:szCs w:val="24"/>
        </w:rPr>
        <w:t xml:space="preserve">aspects of change management leadership, employees, or organizations only. The meta-analysis concludes a 15 years compilation of different researcher's contributions to CM in </w:t>
      </w:r>
      <w:r w:rsidR="00B1690B" w:rsidRPr="00511330">
        <w:rPr>
          <w:rFonts w:asciiTheme="majorBidi" w:hAnsiTheme="majorBidi" w:cstheme="majorBidi"/>
          <w:sz w:val="24"/>
          <w:szCs w:val="24"/>
        </w:rPr>
        <w:t xml:space="preserve">the </w:t>
      </w:r>
      <w:r w:rsidRPr="00511330">
        <w:rPr>
          <w:rFonts w:asciiTheme="majorBidi" w:hAnsiTheme="majorBidi" w:cstheme="majorBidi"/>
          <w:sz w:val="24"/>
          <w:szCs w:val="24"/>
        </w:rPr>
        <w:t>UAE. Most of the researchers</w:t>
      </w:r>
      <w:r w:rsidR="0079054A" w:rsidRPr="00511330">
        <w:rPr>
          <w:rFonts w:asciiTheme="majorBidi" w:hAnsiTheme="majorBidi" w:cstheme="majorBidi"/>
          <w:sz w:val="24"/>
          <w:szCs w:val="24"/>
        </w:rPr>
        <w:t>,</w:t>
      </w:r>
      <w:r w:rsidRPr="00511330">
        <w:rPr>
          <w:rFonts w:asciiTheme="majorBidi" w:hAnsiTheme="majorBidi" w:cstheme="majorBidi"/>
          <w:sz w:val="24"/>
          <w:szCs w:val="24"/>
        </w:rPr>
        <w:t xml:space="preserve"> specifically in the UAE</w:t>
      </w:r>
      <w:r w:rsidR="009D0FC2" w:rsidRPr="00511330">
        <w:rPr>
          <w:rFonts w:asciiTheme="majorBidi" w:hAnsiTheme="majorBidi" w:cstheme="majorBidi"/>
          <w:sz w:val="24"/>
          <w:szCs w:val="24"/>
        </w:rPr>
        <w:t>,</w:t>
      </w:r>
      <w:r w:rsidRPr="00511330">
        <w:rPr>
          <w:rFonts w:asciiTheme="majorBidi" w:hAnsiTheme="majorBidi" w:cstheme="majorBidi"/>
          <w:sz w:val="24"/>
          <w:szCs w:val="24"/>
        </w:rPr>
        <w:t xml:space="preserve"> referred to organization strategy for change communications, leaders managing change process and employees involved and change and their needs. </w:t>
      </w:r>
      <w:r w:rsidRPr="00511330">
        <w:rPr>
          <w:rFonts w:asciiTheme="majorBidi" w:hAnsiTheme="majorBidi" w:cstheme="majorBidi"/>
          <w:sz w:val="24"/>
          <w:szCs w:val="24"/>
          <w:lang w:val="en-US"/>
        </w:rPr>
        <w:t xml:space="preserve">The meta-analysis had driven </w:t>
      </w:r>
      <w:r w:rsidR="009D0FC2" w:rsidRPr="00511330">
        <w:rPr>
          <w:rFonts w:asciiTheme="majorBidi" w:hAnsiTheme="majorBidi" w:cstheme="majorBidi"/>
          <w:sz w:val="24"/>
          <w:szCs w:val="24"/>
          <w:lang w:val="en-US"/>
        </w:rPr>
        <w:t>explicitly</w:t>
      </w:r>
      <w:r w:rsidRPr="00511330">
        <w:rPr>
          <w:rFonts w:asciiTheme="majorBidi" w:hAnsiTheme="majorBidi" w:cstheme="majorBidi"/>
          <w:sz w:val="24"/>
          <w:szCs w:val="24"/>
          <w:lang w:val="en-US"/>
        </w:rPr>
        <w:t xml:space="preserve"> form various researchers starting from the year 2008, as the world witnessed the financial crisis. It was the year that </w:t>
      </w:r>
      <w:r w:rsidR="009E2F82" w:rsidRPr="00511330">
        <w:rPr>
          <w:rFonts w:asciiTheme="majorBidi" w:hAnsiTheme="majorBidi" w:cstheme="majorBidi"/>
          <w:sz w:val="24"/>
          <w:szCs w:val="24"/>
          <w:lang w:val="en-US"/>
        </w:rPr>
        <w:t xml:space="preserve">opened </w:t>
      </w:r>
      <w:r w:rsidRPr="00511330">
        <w:rPr>
          <w:rFonts w:asciiTheme="majorBidi" w:hAnsiTheme="majorBidi" w:cstheme="majorBidi"/>
          <w:sz w:val="24"/>
          <w:szCs w:val="24"/>
          <w:lang w:val="en-US"/>
        </w:rPr>
        <w:t xml:space="preserve">doors for change in </w:t>
      </w:r>
      <w:r w:rsidR="00B1690B"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 government</w:t>
      </w:r>
      <w:r w:rsidR="009E2F82"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especially </w:t>
      </w:r>
      <w:r w:rsidR="0074542B"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energy market,</w:t>
      </w:r>
      <w:r w:rsidR="009E2F82" w:rsidRPr="00511330">
        <w:rPr>
          <w:rFonts w:asciiTheme="majorBidi" w:hAnsiTheme="majorBidi" w:cstheme="majorBidi"/>
          <w:sz w:val="24"/>
          <w:szCs w:val="24"/>
          <w:lang w:val="en-US"/>
        </w:rPr>
        <w:t xml:space="preserve"> as</w:t>
      </w:r>
      <w:r w:rsidRPr="00511330">
        <w:rPr>
          <w:rFonts w:asciiTheme="majorBidi" w:hAnsiTheme="majorBidi" w:cstheme="majorBidi"/>
          <w:sz w:val="24"/>
          <w:szCs w:val="24"/>
          <w:lang w:val="en-US"/>
        </w:rPr>
        <w:t xml:space="preserve"> dynamic changes took place that blended the basic theory of change management in </w:t>
      </w:r>
      <w:r w:rsidR="00B1690B"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w:t>
      </w:r>
    </w:p>
    <w:p w14:paraId="7BF88C46" w14:textId="2E44EBF8" w:rsidR="00D37CF2" w:rsidRPr="00511330" w:rsidRDefault="00D37CF2" w:rsidP="00D37CF2">
      <w:pPr>
        <w:spacing w:line="480" w:lineRule="auto"/>
        <w:ind w:right="-450"/>
        <w:jc w:val="both"/>
        <w:rPr>
          <w:rFonts w:asciiTheme="majorBidi" w:hAnsiTheme="majorBidi" w:cstheme="majorBidi"/>
          <w:sz w:val="24"/>
          <w:szCs w:val="24"/>
        </w:rPr>
      </w:pPr>
      <w:r w:rsidRPr="00511330">
        <w:rPr>
          <w:rFonts w:asciiTheme="majorBidi" w:hAnsiTheme="majorBidi" w:cstheme="majorBidi"/>
          <w:sz w:val="24"/>
          <w:szCs w:val="24"/>
        </w:rPr>
        <w:t>Therefore, this research will surpass and provide a unique insight related to renewable energy covering all stakeholders starting from end customers of commercial, public</w:t>
      </w:r>
      <w:r w:rsidR="009E2F82" w:rsidRPr="00511330">
        <w:rPr>
          <w:rFonts w:asciiTheme="majorBidi" w:hAnsiTheme="majorBidi" w:cstheme="majorBidi"/>
          <w:sz w:val="24"/>
          <w:szCs w:val="24"/>
        </w:rPr>
        <w:t>,</w:t>
      </w:r>
      <w:r w:rsidRPr="00511330">
        <w:rPr>
          <w:rFonts w:asciiTheme="majorBidi" w:hAnsiTheme="majorBidi" w:cstheme="majorBidi"/>
          <w:sz w:val="24"/>
          <w:szCs w:val="24"/>
        </w:rPr>
        <w:t xml:space="preserve"> and industrial</w:t>
      </w:r>
      <w:r w:rsidR="009E2F82" w:rsidRPr="00511330">
        <w:rPr>
          <w:rFonts w:asciiTheme="majorBidi" w:hAnsiTheme="majorBidi" w:cstheme="majorBidi"/>
          <w:sz w:val="24"/>
          <w:szCs w:val="24"/>
        </w:rPr>
        <w:t>,</w:t>
      </w:r>
      <w:r w:rsidRPr="00511330">
        <w:rPr>
          <w:rFonts w:asciiTheme="majorBidi" w:hAnsiTheme="majorBidi" w:cstheme="majorBidi"/>
          <w:sz w:val="24"/>
          <w:szCs w:val="24"/>
        </w:rPr>
        <w:t xml:space="preserve"> </w:t>
      </w:r>
      <w:r w:rsidR="009E2F82" w:rsidRPr="00511330">
        <w:rPr>
          <w:rFonts w:asciiTheme="majorBidi" w:hAnsiTheme="majorBidi" w:cstheme="majorBidi"/>
          <w:sz w:val="24"/>
          <w:szCs w:val="24"/>
        </w:rPr>
        <w:t xml:space="preserve">then </w:t>
      </w:r>
      <w:r w:rsidRPr="00511330">
        <w:rPr>
          <w:rFonts w:asciiTheme="majorBidi" w:hAnsiTheme="majorBidi" w:cstheme="majorBidi"/>
          <w:sz w:val="24"/>
          <w:szCs w:val="24"/>
        </w:rPr>
        <w:t>process</w:t>
      </w:r>
      <w:r w:rsidR="009E2F82" w:rsidRPr="00511330">
        <w:rPr>
          <w:rFonts w:asciiTheme="majorBidi" w:hAnsiTheme="majorBidi" w:cstheme="majorBidi"/>
          <w:sz w:val="24"/>
          <w:szCs w:val="24"/>
        </w:rPr>
        <w:t>ing</w:t>
      </w:r>
      <w:r w:rsidRPr="00511330">
        <w:rPr>
          <w:rFonts w:asciiTheme="majorBidi" w:hAnsiTheme="majorBidi" w:cstheme="majorBidi"/>
          <w:sz w:val="24"/>
          <w:szCs w:val="24"/>
        </w:rPr>
        <w:t xml:space="preserve"> through employees, leaders, managers, and end</w:t>
      </w:r>
      <w:r w:rsidR="009E2F82" w:rsidRPr="00511330">
        <w:rPr>
          <w:rFonts w:asciiTheme="majorBidi" w:hAnsiTheme="majorBidi" w:cstheme="majorBidi"/>
          <w:sz w:val="24"/>
          <w:szCs w:val="24"/>
        </w:rPr>
        <w:t>ing</w:t>
      </w:r>
      <w:r w:rsidRPr="00511330">
        <w:rPr>
          <w:rFonts w:asciiTheme="majorBidi" w:hAnsiTheme="majorBidi" w:cstheme="majorBidi"/>
          <w:sz w:val="24"/>
          <w:szCs w:val="24"/>
        </w:rPr>
        <w:t xml:space="preserve"> with total organizational approach behavior. </w:t>
      </w:r>
    </w:p>
    <w:p w14:paraId="092A4B40" w14:textId="0D03C543" w:rsidR="00D37CF2" w:rsidRPr="00511330" w:rsidRDefault="009E2F82" w:rsidP="00D37CF2">
      <w:pPr>
        <w:spacing w:line="480" w:lineRule="auto"/>
        <w:ind w:right="-450"/>
        <w:jc w:val="both"/>
        <w:rPr>
          <w:rFonts w:asciiTheme="majorBidi" w:hAnsiTheme="majorBidi" w:cstheme="majorBidi"/>
          <w:sz w:val="24"/>
          <w:szCs w:val="24"/>
        </w:rPr>
      </w:pPr>
      <w:r w:rsidRPr="00511330">
        <w:rPr>
          <w:rFonts w:asciiTheme="majorBidi" w:hAnsiTheme="majorBidi" w:cstheme="majorBidi"/>
          <w:sz w:val="24"/>
          <w:szCs w:val="24"/>
        </w:rPr>
        <w:t>It is</w:t>
      </w:r>
      <w:r w:rsidR="00D37CF2" w:rsidRPr="00511330">
        <w:rPr>
          <w:rFonts w:asciiTheme="majorBidi" w:hAnsiTheme="majorBidi" w:cstheme="majorBidi"/>
          <w:sz w:val="24"/>
          <w:szCs w:val="24"/>
        </w:rPr>
        <w:t xml:space="preserve"> worth mention</w:t>
      </w:r>
      <w:r w:rsidR="0033045F" w:rsidRPr="00511330">
        <w:rPr>
          <w:rFonts w:asciiTheme="majorBidi" w:hAnsiTheme="majorBidi" w:cstheme="majorBidi"/>
          <w:sz w:val="24"/>
          <w:szCs w:val="24"/>
        </w:rPr>
        <w:t>ing</w:t>
      </w:r>
      <w:r w:rsidR="00D37CF2" w:rsidRPr="00511330">
        <w:rPr>
          <w:rFonts w:asciiTheme="majorBidi" w:hAnsiTheme="majorBidi" w:cstheme="majorBidi"/>
          <w:sz w:val="24"/>
          <w:szCs w:val="24"/>
        </w:rPr>
        <w:t xml:space="preserve"> that other researchers have mostly tapped into the relation of leaders with employees</w:t>
      </w:r>
      <w:r w:rsidR="000C283A" w:rsidRPr="00511330">
        <w:rPr>
          <w:rFonts w:asciiTheme="majorBidi" w:hAnsiTheme="majorBidi" w:cstheme="majorBidi"/>
          <w:sz w:val="24"/>
          <w:szCs w:val="24"/>
        </w:rPr>
        <w:t>,</w:t>
      </w:r>
      <w:r w:rsidR="00D37CF2" w:rsidRPr="00511330">
        <w:rPr>
          <w:rFonts w:asciiTheme="majorBidi" w:hAnsiTheme="majorBidi" w:cstheme="majorBidi"/>
          <w:sz w:val="24"/>
          <w:szCs w:val="24"/>
        </w:rPr>
        <w:t xml:space="preserve"> stating sets of psychological and emotional factors driving change for</w:t>
      </w:r>
      <w:r w:rsidR="000C283A" w:rsidRPr="00511330">
        <w:rPr>
          <w:rFonts w:asciiTheme="majorBidi" w:hAnsiTheme="majorBidi" w:cstheme="majorBidi"/>
          <w:sz w:val="24"/>
          <w:szCs w:val="24"/>
        </w:rPr>
        <w:t xml:space="preserve"> the</w:t>
      </w:r>
      <w:r w:rsidR="00D37CF2" w:rsidRPr="00511330">
        <w:rPr>
          <w:rFonts w:asciiTheme="majorBidi" w:hAnsiTheme="majorBidi" w:cstheme="majorBidi"/>
          <w:sz w:val="24"/>
          <w:szCs w:val="24"/>
        </w:rPr>
        <w:t xml:space="preserve"> past decade. The emotional aspect considered as one aspect </w:t>
      </w:r>
      <w:r w:rsidR="00D37CF2" w:rsidRPr="00511330">
        <w:rPr>
          <w:rFonts w:asciiTheme="majorBidi" w:hAnsiTheme="majorBidi" w:cstheme="majorBidi"/>
          <w:sz w:val="24"/>
          <w:szCs w:val="24"/>
        </w:rPr>
        <w:lastRenderedPageBreak/>
        <w:t xml:space="preserve">of </w:t>
      </w:r>
      <w:r w:rsidR="00676374" w:rsidRPr="00511330">
        <w:rPr>
          <w:rFonts w:asciiTheme="majorBidi" w:hAnsiTheme="majorBidi" w:cstheme="majorBidi"/>
          <w:sz w:val="24"/>
          <w:szCs w:val="24"/>
        </w:rPr>
        <w:t xml:space="preserve">the </w:t>
      </w:r>
      <w:r w:rsidR="00D37CF2" w:rsidRPr="00511330">
        <w:rPr>
          <w:rFonts w:asciiTheme="majorBidi" w:hAnsiTheme="majorBidi" w:cstheme="majorBidi"/>
          <w:sz w:val="24"/>
          <w:szCs w:val="24"/>
        </w:rPr>
        <w:t>communication channel where direct sense interactions will synthesize by leaders</w:t>
      </w:r>
      <w:r w:rsidR="00A44223" w:rsidRPr="00511330">
        <w:rPr>
          <w:rFonts w:asciiTheme="majorBidi" w:hAnsiTheme="majorBidi" w:cstheme="majorBidi"/>
          <w:sz w:val="24"/>
          <w:szCs w:val="24"/>
        </w:rPr>
        <w:t>,</w:t>
      </w:r>
      <w:r w:rsidR="00D37CF2" w:rsidRPr="00511330">
        <w:rPr>
          <w:rFonts w:asciiTheme="majorBidi" w:hAnsiTheme="majorBidi" w:cstheme="majorBidi"/>
          <w:sz w:val="24"/>
          <w:szCs w:val="24"/>
        </w:rPr>
        <w:t xml:space="preserve"> </w:t>
      </w:r>
      <w:r w:rsidR="00A44223" w:rsidRPr="00511330">
        <w:rPr>
          <w:rFonts w:asciiTheme="majorBidi" w:hAnsiTheme="majorBidi" w:cstheme="majorBidi"/>
          <w:sz w:val="24"/>
          <w:szCs w:val="24"/>
        </w:rPr>
        <w:t xml:space="preserve">where </w:t>
      </w:r>
      <w:r w:rsidR="00D37CF2" w:rsidRPr="00511330">
        <w:rPr>
          <w:rFonts w:asciiTheme="majorBidi" w:hAnsiTheme="majorBidi" w:cstheme="majorBidi"/>
          <w:sz w:val="24"/>
          <w:szCs w:val="24"/>
        </w:rPr>
        <w:t>most of the researchers refer to leaders-employee interaction.  Mulligan and Barber (1998) speak of the yin and yang of change: respectively</w:t>
      </w:r>
      <w:r w:rsidR="000A0936" w:rsidRPr="00511330">
        <w:rPr>
          <w:rFonts w:asciiTheme="majorBidi" w:hAnsiTheme="majorBidi" w:cstheme="majorBidi"/>
          <w:sz w:val="24"/>
          <w:szCs w:val="24"/>
        </w:rPr>
        <w:t>,</w:t>
      </w:r>
      <w:r w:rsidR="00D37CF2" w:rsidRPr="00511330">
        <w:rPr>
          <w:rFonts w:asciiTheme="majorBidi" w:hAnsiTheme="majorBidi" w:cstheme="majorBidi"/>
          <w:sz w:val="24"/>
          <w:szCs w:val="24"/>
        </w:rPr>
        <w:t xml:space="preserve"> the social and emotional considerations (leadership)</w:t>
      </w:r>
      <w:r w:rsidR="000A0936" w:rsidRPr="00511330">
        <w:rPr>
          <w:rFonts w:asciiTheme="majorBidi" w:hAnsiTheme="majorBidi" w:cstheme="majorBidi"/>
          <w:sz w:val="24"/>
          <w:szCs w:val="24"/>
        </w:rPr>
        <w:t>,</w:t>
      </w:r>
      <w:r w:rsidR="00D37CF2" w:rsidRPr="00511330">
        <w:rPr>
          <w:rFonts w:asciiTheme="majorBidi" w:hAnsiTheme="majorBidi" w:cstheme="majorBidi"/>
          <w:sz w:val="24"/>
          <w:szCs w:val="24"/>
        </w:rPr>
        <w:t xml:space="preserve"> and the technical aspects (management).</w:t>
      </w:r>
    </w:p>
    <w:p w14:paraId="2F724E7D" w14:textId="372BF474" w:rsidR="00F7280C" w:rsidRPr="00511330" w:rsidRDefault="00D37CF2" w:rsidP="00F7280C">
      <w:pPr>
        <w:spacing w:line="480" w:lineRule="auto"/>
        <w:ind w:right="-450"/>
        <w:jc w:val="both"/>
        <w:rPr>
          <w:rFonts w:asciiTheme="majorBidi" w:hAnsiTheme="majorBidi" w:cstheme="majorBidi"/>
          <w:sz w:val="24"/>
          <w:szCs w:val="24"/>
        </w:rPr>
      </w:pPr>
      <w:r w:rsidRPr="00511330">
        <w:rPr>
          <w:rFonts w:asciiTheme="majorBidi" w:hAnsiTheme="majorBidi" w:cstheme="majorBidi"/>
          <w:sz w:val="24"/>
          <w:szCs w:val="24"/>
        </w:rPr>
        <w:t>Therefore, this research had surpassed previous researchers by providing additional insight to stakeholders of renewable compared to other previous studies. This</w:t>
      </w:r>
      <w:r w:rsidR="00E70334" w:rsidRPr="00511330">
        <w:rPr>
          <w:rFonts w:asciiTheme="majorBidi" w:hAnsiTheme="majorBidi" w:cstheme="majorBidi"/>
          <w:sz w:val="24"/>
          <w:szCs w:val="24"/>
        </w:rPr>
        <w:t xml:space="preserve"> research</w:t>
      </w:r>
      <w:r w:rsidRPr="00511330">
        <w:rPr>
          <w:rFonts w:asciiTheme="majorBidi" w:hAnsiTheme="majorBidi" w:cstheme="majorBidi"/>
          <w:sz w:val="24"/>
          <w:szCs w:val="24"/>
        </w:rPr>
        <w:t xml:space="preserve"> covered both qualitative and quantitative approaches to strengthen the research and given it more validated and effective outcomes.  Nevertheless, other researchers have investigated the technological development impact on change, which also our studies have covered to ensure the uniqueness of this study. </w:t>
      </w:r>
    </w:p>
    <w:p w14:paraId="6CA85209" w14:textId="613EC8EB" w:rsidR="009A0B5B" w:rsidRPr="00511330" w:rsidRDefault="00E70334" w:rsidP="005D6487">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M</w:t>
      </w:r>
      <w:r w:rsidR="00D37CF2" w:rsidRPr="00511330">
        <w:rPr>
          <w:rFonts w:asciiTheme="majorBidi" w:hAnsiTheme="majorBidi" w:cstheme="majorBidi"/>
          <w:sz w:val="24"/>
          <w:szCs w:val="24"/>
          <w:lang w:val="en-US"/>
        </w:rPr>
        <w:t>ost of the researchers and annual conference speakers indicate the pessimistic gaze about</w:t>
      </w:r>
      <w:r w:rsidR="00B1690B" w:rsidRPr="00511330">
        <w:rPr>
          <w:rFonts w:asciiTheme="majorBidi" w:hAnsiTheme="majorBidi" w:cstheme="majorBidi"/>
          <w:sz w:val="24"/>
          <w:szCs w:val="24"/>
          <w:lang w:val="en-US"/>
        </w:rPr>
        <w:t xml:space="preserve"> the</w:t>
      </w:r>
      <w:r w:rsidR="00D37CF2" w:rsidRPr="00511330">
        <w:rPr>
          <w:rFonts w:asciiTheme="majorBidi" w:hAnsiTheme="majorBidi" w:cstheme="majorBidi"/>
          <w:sz w:val="24"/>
          <w:szCs w:val="24"/>
          <w:lang w:val="en-US"/>
        </w:rPr>
        <w:t xml:space="preserve"> UAE organization's change success.  The meta-analysis shows what most researchers considered the aim in terms of factors mentioned that shifts the change management paradigms towards success or failure. Researchers solely or jointly were always referring to variables controlling and adapting change management. (Kotter, 1990a, 1990b); who </w:t>
      </w:r>
      <w:r w:rsidR="00996871" w:rsidRPr="00511330">
        <w:rPr>
          <w:rFonts w:asciiTheme="majorBidi" w:hAnsiTheme="majorBidi" w:cstheme="majorBidi"/>
          <w:sz w:val="24"/>
          <w:szCs w:val="24"/>
          <w:lang w:val="en-US"/>
        </w:rPr>
        <w:t xml:space="preserve">is </w:t>
      </w:r>
      <w:r w:rsidR="00D37CF2" w:rsidRPr="00511330">
        <w:rPr>
          <w:rFonts w:asciiTheme="majorBidi" w:hAnsiTheme="majorBidi" w:cstheme="majorBidi"/>
          <w:sz w:val="24"/>
          <w:szCs w:val="24"/>
          <w:lang w:val="en-US"/>
        </w:rPr>
        <w:t>considered a guru of change, says that “management produces orderly results which keep something working efficiently, whereas leadership creates useful change; neither is necessarily better or a replacement for the other. Both are needed if organizations and nations are to prosper</w:t>
      </w:r>
      <w:r w:rsidR="00D10587" w:rsidRPr="00511330">
        <w:rPr>
          <w:rFonts w:asciiTheme="majorBidi" w:hAnsiTheme="majorBidi" w:cstheme="majorBidi"/>
          <w:sz w:val="24"/>
          <w:szCs w:val="24"/>
          <w:lang w:val="en-US"/>
        </w:rPr>
        <w:t>.</w:t>
      </w:r>
      <w:r w:rsidR="00D37CF2" w:rsidRPr="00511330">
        <w:rPr>
          <w:rFonts w:asciiTheme="majorBidi" w:hAnsiTheme="majorBidi" w:cstheme="majorBidi"/>
          <w:sz w:val="24"/>
          <w:szCs w:val="24"/>
          <w:lang w:val="en-US"/>
        </w:rPr>
        <w:t>” According to an American Management Association survey (1994), are first a</w:t>
      </w:r>
      <w:r w:rsidR="00F7280C" w:rsidRPr="00511330">
        <w:rPr>
          <w:rFonts w:asciiTheme="majorBidi" w:hAnsiTheme="majorBidi" w:cstheme="majorBidi"/>
          <w:sz w:val="24"/>
          <w:szCs w:val="24"/>
          <w:lang w:val="en-US"/>
        </w:rPr>
        <w:t>nd foremost leadership followed closely by corporate values and communication.</w:t>
      </w:r>
    </w:p>
    <w:p w14:paraId="552E6A60" w14:textId="77777777" w:rsidR="008B52AD" w:rsidRPr="00511330" w:rsidRDefault="008B52AD" w:rsidP="00F7280C">
      <w:pPr>
        <w:spacing w:line="480" w:lineRule="auto"/>
        <w:ind w:right="-450"/>
        <w:jc w:val="both"/>
        <w:rPr>
          <w:rFonts w:asciiTheme="majorBidi" w:hAnsiTheme="majorBidi" w:cstheme="majorBidi"/>
          <w:sz w:val="24"/>
          <w:szCs w:val="24"/>
          <w:lang w:val="en-US"/>
        </w:rPr>
        <w:sectPr w:rsidR="008B52AD" w:rsidRPr="00511330" w:rsidSect="009A0B5B">
          <w:pgSz w:w="11906" w:h="16838" w:code="9"/>
          <w:pgMar w:top="1728" w:right="2362" w:bottom="1728" w:left="2160" w:header="706" w:footer="706" w:gutter="0"/>
          <w:pgNumType w:start="1"/>
          <w:cols w:space="708"/>
          <w:docGrid w:linePitch="360"/>
        </w:sectPr>
      </w:pPr>
    </w:p>
    <w:p w14:paraId="03B02941" w14:textId="1DD49D35" w:rsidR="00610818" w:rsidRPr="00511330" w:rsidRDefault="00610818" w:rsidP="00544782">
      <w:pPr>
        <w:pStyle w:val="Caption"/>
        <w:keepNext/>
        <w:spacing w:after="0"/>
        <w:rPr>
          <w:rFonts w:ascii="Times New Roman" w:hAnsi="Times New Roman" w:cs="Times New Roman"/>
          <w:b w:val="0"/>
          <w:bCs w:val="0"/>
          <w:color w:val="auto"/>
        </w:rPr>
      </w:pPr>
      <w:bookmarkStart w:id="148" w:name="_Toc43310873"/>
      <w:r w:rsidRPr="00511330">
        <w:rPr>
          <w:rFonts w:ascii="Times New Roman" w:hAnsi="Times New Roman" w:cs="Times New Roman"/>
          <w:b w:val="0"/>
          <w:bCs w:val="0"/>
          <w:color w:val="auto"/>
        </w:rPr>
        <w:lastRenderedPageBreak/>
        <w:t xml:space="preserve">Table 2. </w:t>
      </w:r>
      <w:r w:rsidRPr="00511330">
        <w:rPr>
          <w:rFonts w:ascii="Times New Roman" w:hAnsi="Times New Roman" w:cs="Times New Roman"/>
          <w:b w:val="0"/>
          <w:bCs w:val="0"/>
          <w:color w:val="auto"/>
        </w:rPr>
        <w:fldChar w:fldCharType="begin"/>
      </w:r>
      <w:r w:rsidRPr="00511330">
        <w:rPr>
          <w:rFonts w:ascii="Times New Roman" w:hAnsi="Times New Roman" w:cs="Times New Roman"/>
          <w:b w:val="0"/>
          <w:bCs w:val="0"/>
          <w:color w:val="auto"/>
        </w:rPr>
        <w:instrText xml:space="preserve"> SEQ Table_2. \* ARABIC </w:instrText>
      </w:r>
      <w:r w:rsidRPr="00511330">
        <w:rPr>
          <w:rFonts w:ascii="Times New Roman" w:hAnsi="Times New Roman" w:cs="Times New Roman"/>
          <w:b w:val="0"/>
          <w:bCs w:val="0"/>
          <w:color w:val="auto"/>
        </w:rPr>
        <w:fldChar w:fldCharType="separate"/>
      </w:r>
      <w:r w:rsidRPr="00511330">
        <w:rPr>
          <w:rFonts w:ascii="Times New Roman" w:hAnsi="Times New Roman" w:cs="Times New Roman"/>
          <w:b w:val="0"/>
          <w:bCs w:val="0"/>
          <w:noProof/>
          <w:color w:val="auto"/>
        </w:rPr>
        <w:t>1</w:t>
      </w:r>
      <w:r w:rsidRPr="00511330">
        <w:rPr>
          <w:rFonts w:ascii="Times New Roman" w:hAnsi="Times New Roman" w:cs="Times New Roman"/>
          <w:b w:val="0"/>
          <w:bCs w:val="0"/>
          <w:color w:val="auto"/>
        </w:rPr>
        <w:fldChar w:fldCharType="end"/>
      </w:r>
      <w:r w:rsidRPr="00511330">
        <w:rPr>
          <w:rFonts w:ascii="Times New Roman" w:hAnsi="Times New Roman" w:cs="Times New Roman"/>
          <w:b w:val="0"/>
          <w:bCs w:val="0"/>
          <w:color w:val="auto"/>
        </w:rPr>
        <w:t xml:space="preserve">: </w:t>
      </w:r>
      <w:r w:rsidRPr="00511330">
        <w:rPr>
          <w:rFonts w:ascii="Times New Roman" w:hAnsi="Times New Roman" w:cs="Times New Roman"/>
          <w:b w:val="0"/>
          <w:bCs w:val="0"/>
          <w:i/>
          <w:iCs/>
          <w:color w:val="auto"/>
        </w:rPr>
        <w:t>Review of literature of CM in the UAE (Meta-Analysis)</w:t>
      </w:r>
      <w:bookmarkEnd w:id="148"/>
    </w:p>
    <w:tbl>
      <w:tblPr>
        <w:tblStyle w:val="TableGrid"/>
        <w:tblpPr w:leftFromText="180" w:rightFromText="180" w:horzAnchor="margin" w:tblpY="450"/>
        <w:tblW w:w="13045" w:type="dxa"/>
        <w:tblCellMar>
          <w:left w:w="115" w:type="dxa"/>
          <w:right w:w="115" w:type="dxa"/>
        </w:tblCellMar>
        <w:tblLook w:val="04A0" w:firstRow="1" w:lastRow="0" w:firstColumn="1" w:lastColumn="0" w:noHBand="0" w:noVBand="1"/>
      </w:tblPr>
      <w:tblGrid>
        <w:gridCol w:w="1885"/>
        <w:gridCol w:w="3419"/>
        <w:gridCol w:w="1353"/>
        <w:gridCol w:w="1386"/>
        <w:gridCol w:w="5002"/>
      </w:tblGrid>
      <w:tr w:rsidR="00F31813" w:rsidRPr="00511330" w14:paraId="0C48CD8B" w14:textId="77777777" w:rsidTr="00A640D8">
        <w:trPr>
          <w:trHeight w:val="170"/>
          <w:tblHeader/>
        </w:trPr>
        <w:tc>
          <w:tcPr>
            <w:tcW w:w="1885" w:type="dxa"/>
            <w:shd w:val="clear" w:color="auto" w:fill="D9D9D9" w:themeFill="background1" w:themeFillShade="D9"/>
            <w:vAlign w:val="center"/>
          </w:tcPr>
          <w:p w14:paraId="694710CD" w14:textId="5C2FD33B" w:rsidR="006460C3" w:rsidRPr="00511330" w:rsidRDefault="006460C3" w:rsidP="00610818">
            <w:pPr>
              <w:pStyle w:val="Caption"/>
              <w:keepNext/>
              <w:tabs>
                <w:tab w:val="right" w:pos="13382"/>
              </w:tabs>
              <w:spacing w:after="0"/>
              <w:jc w:val="center"/>
              <w:rPr>
                <w:rFonts w:ascii="Times New Roman" w:hAnsi="Times New Roman" w:cs="Times New Roman"/>
                <w:color w:val="auto"/>
                <w:sz w:val="20"/>
                <w:szCs w:val="20"/>
              </w:rPr>
            </w:pPr>
            <w:r w:rsidRPr="00511330">
              <w:rPr>
                <w:rFonts w:ascii="Times New Roman" w:hAnsi="Times New Roman" w:cs="Times New Roman"/>
                <w:color w:val="auto"/>
                <w:sz w:val="20"/>
                <w:szCs w:val="20"/>
              </w:rPr>
              <w:t>Authors/Year</w:t>
            </w:r>
          </w:p>
        </w:tc>
        <w:tc>
          <w:tcPr>
            <w:tcW w:w="3419" w:type="dxa"/>
            <w:shd w:val="clear" w:color="auto" w:fill="D9D9D9" w:themeFill="background1" w:themeFillShade="D9"/>
            <w:vAlign w:val="center"/>
          </w:tcPr>
          <w:p w14:paraId="665C7006" w14:textId="1E18295F" w:rsidR="006460C3" w:rsidRPr="00511330" w:rsidRDefault="006460C3" w:rsidP="00610818">
            <w:pPr>
              <w:pStyle w:val="Caption"/>
              <w:keepNext/>
              <w:tabs>
                <w:tab w:val="right" w:pos="13382"/>
              </w:tabs>
              <w:spacing w:after="0"/>
              <w:jc w:val="center"/>
              <w:rPr>
                <w:rFonts w:ascii="Times New Roman" w:hAnsi="Times New Roman" w:cs="Times New Roman"/>
                <w:color w:val="auto"/>
                <w:sz w:val="20"/>
                <w:szCs w:val="20"/>
              </w:rPr>
            </w:pPr>
            <w:r w:rsidRPr="00511330">
              <w:rPr>
                <w:rFonts w:ascii="Times New Roman" w:hAnsi="Times New Roman" w:cs="Times New Roman"/>
                <w:color w:val="auto"/>
                <w:sz w:val="20"/>
                <w:szCs w:val="20"/>
              </w:rPr>
              <w:t>Title</w:t>
            </w:r>
          </w:p>
        </w:tc>
        <w:tc>
          <w:tcPr>
            <w:tcW w:w="1353" w:type="dxa"/>
            <w:shd w:val="clear" w:color="auto" w:fill="D9D9D9" w:themeFill="background1" w:themeFillShade="D9"/>
            <w:vAlign w:val="center"/>
          </w:tcPr>
          <w:p w14:paraId="03427112" w14:textId="281D8A08" w:rsidR="006460C3" w:rsidRPr="00511330" w:rsidRDefault="006460C3" w:rsidP="00610818">
            <w:pPr>
              <w:pStyle w:val="Caption"/>
              <w:keepNext/>
              <w:tabs>
                <w:tab w:val="right" w:pos="13382"/>
              </w:tabs>
              <w:spacing w:after="0"/>
              <w:jc w:val="center"/>
              <w:rPr>
                <w:rFonts w:ascii="Times New Roman" w:hAnsi="Times New Roman" w:cs="Times New Roman"/>
                <w:color w:val="auto"/>
                <w:sz w:val="20"/>
                <w:szCs w:val="20"/>
              </w:rPr>
            </w:pPr>
            <w:r w:rsidRPr="00511330">
              <w:rPr>
                <w:rFonts w:ascii="Times New Roman" w:hAnsi="Times New Roman" w:cs="Times New Roman"/>
                <w:color w:val="auto"/>
                <w:sz w:val="20"/>
                <w:szCs w:val="20"/>
              </w:rPr>
              <w:t>Methodology</w:t>
            </w:r>
          </w:p>
        </w:tc>
        <w:tc>
          <w:tcPr>
            <w:tcW w:w="1386" w:type="dxa"/>
            <w:shd w:val="clear" w:color="auto" w:fill="D9D9D9" w:themeFill="background1" w:themeFillShade="D9"/>
            <w:vAlign w:val="center"/>
          </w:tcPr>
          <w:p w14:paraId="26F87FAE" w14:textId="03A78601" w:rsidR="006460C3" w:rsidRPr="00511330" w:rsidRDefault="006460C3" w:rsidP="00610818">
            <w:pPr>
              <w:pStyle w:val="Caption"/>
              <w:keepNext/>
              <w:tabs>
                <w:tab w:val="right" w:pos="13382"/>
              </w:tabs>
              <w:spacing w:after="0"/>
              <w:jc w:val="center"/>
              <w:rPr>
                <w:rFonts w:ascii="Times New Roman" w:hAnsi="Times New Roman" w:cs="Times New Roman"/>
                <w:color w:val="auto"/>
                <w:sz w:val="20"/>
                <w:szCs w:val="20"/>
              </w:rPr>
            </w:pPr>
            <w:r w:rsidRPr="00511330">
              <w:rPr>
                <w:rFonts w:ascii="Times New Roman" w:hAnsi="Times New Roman" w:cs="Times New Roman"/>
                <w:color w:val="auto"/>
                <w:sz w:val="20"/>
                <w:szCs w:val="20"/>
              </w:rPr>
              <w:t>Area/Domain</w:t>
            </w:r>
          </w:p>
        </w:tc>
        <w:tc>
          <w:tcPr>
            <w:tcW w:w="5002" w:type="dxa"/>
            <w:shd w:val="clear" w:color="auto" w:fill="D9D9D9" w:themeFill="background1" w:themeFillShade="D9"/>
            <w:vAlign w:val="center"/>
          </w:tcPr>
          <w:p w14:paraId="2646FC46" w14:textId="49E8C3BA" w:rsidR="006460C3" w:rsidRPr="00511330" w:rsidRDefault="006460C3" w:rsidP="00610818">
            <w:pPr>
              <w:pStyle w:val="Caption"/>
              <w:keepNext/>
              <w:tabs>
                <w:tab w:val="right" w:pos="13382"/>
              </w:tabs>
              <w:spacing w:after="0"/>
              <w:jc w:val="center"/>
              <w:rPr>
                <w:rFonts w:ascii="Times New Roman" w:hAnsi="Times New Roman" w:cs="Times New Roman"/>
                <w:color w:val="auto"/>
                <w:sz w:val="20"/>
                <w:szCs w:val="20"/>
              </w:rPr>
            </w:pPr>
            <w:r w:rsidRPr="00511330">
              <w:rPr>
                <w:rFonts w:ascii="Times New Roman" w:hAnsi="Times New Roman" w:cs="Times New Roman"/>
                <w:color w:val="auto"/>
                <w:sz w:val="20"/>
                <w:szCs w:val="20"/>
              </w:rPr>
              <w:t>Outcomes</w:t>
            </w:r>
          </w:p>
        </w:tc>
      </w:tr>
      <w:tr w:rsidR="00F31813" w:rsidRPr="00511330" w14:paraId="38F09D31" w14:textId="77777777" w:rsidTr="00A640D8">
        <w:tc>
          <w:tcPr>
            <w:tcW w:w="1885" w:type="dxa"/>
            <w:vAlign w:val="center"/>
          </w:tcPr>
          <w:p w14:paraId="6EF4D5C1" w14:textId="77777777"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Arqam Iqbal</w:t>
            </w:r>
          </w:p>
          <w:p w14:paraId="6002053E" w14:textId="41B93869" w:rsidR="006460C3" w:rsidRPr="00511330" w:rsidRDefault="006460C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(2008)</w:t>
            </w:r>
          </w:p>
        </w:tc>
        <w:tc>
          <w:tcPr>
            <w:tcW w:w="3419" w:type="dxa"/>
            <w:vAlign w:val="center"/>
          </w:tcPr>
          <w:p w14:paraId="488FFAC2" w14:textId="1F73CEE0"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Improving the effectiveness of public sector organizations to manage change</w:t>
            </w:r>
          </w:p>
        </w:tc>
        <w:tc>
          <w:tcPr>
            <w:tcW w:w="1353" w:type="dxa"/>
            <w:vAlign w:val="center"/>
          </w:tcPr>
          <w:p w14:paraId="5693B925" w14:textId="38DDD736"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w:t>
            </w:r>
          </w:p>
        </w:tc>
        <w:tc>
          <w:tcPr>
            <w:tcW w:w="1386" w:type="dxa"/>
            <w:vAlign w:val="center"/>
          </w:tcPr>
          <w:p w14:paraId="0635F69E" w14:textId="77777777"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7C32A405" w14:textId="5F42AD44"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Public Sector</w:t>
            </w:r>
          </w:p>
        </w:tc>
        <w:tc>
          <w:tcPr>
            <w:tcW w:w="5002" w:type="dxa"/>
          </w:tcPr>
          <w:p w14:paraId="3DCB3D04" w14:textId="61F333DB" w:rsidR="006460C3" w:rsidRPr="00511330" w:rsidRDefault="006460C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To examine and improve the effectiveness of the public sector organizations to manage change. Investigate how the road and traffic agency is managing change, especially change related to the implementation of advance technology; evaluate the consequences of this change on the existing network and stakeholders.</w:t>
            </w:r>
          </w:p>
        </w:tc>
      </w:tr>
      <w:tr w:rsidR="00F31813" w:rsidRPr="00511330" w14:paraId="22F6A3E6" w14:textId="77777777" w:rsidTr="00A640D8">
        <w:trPr>
          <w:trHeight w:val="665"/>
        </w:trPr>
        <w:tc>
          <w:tcPr>
            <w:tcW w:w="1885" w:type="dxa"/>
            <w:vAlign w:val="center"/>
          </w:tcPr>
          <w:p w14:paraId="79B5F22D" w14:textId="77777777"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Randeree,</w:t>
            </w:r>
          </w:p>
          <w:p w14:paraId="01CB395F" w14:textId="5418A6FA" w:rsidR="006460C3" w:rsidRPr="00511330" w:rsidRDefault="006460C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(2008)</w:t>
            </w:r>
          </w:p>
        </w:tc>
        <w:tc>
          <w:tcPr>
            <w:tcW w:w="3419" w:type="dxa"/>
            <w:vAlign w:val="center"/>
          </w:tcPr>
          <w:p w14:paraId="6C649972" w14:textId="38D422CB"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Managing Organizational Change: Challenges to the e-Learning Paradigm in the United Arab Emirates</w:t>
            </w:r>
          </w:p>
        </w:tc>
        <w:tc>
          <w:tcPr>
            <w:tcW w:w="1353" w:type="dxa"/>
            <w:vAlign w:val="center"/>
          </w:tcPr>
          <w:p w14:paraId="3195FF58" w14:textId="77777777"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w:t>
            </w:r>
          </w:p>
          <w:p w14:paraId="6A5FA380" w14:textId="77777777"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p>
        </w:tc>
        <w:tc>
          <w:tcPr>
            <w:tcW w:w="1386" w:type="dxa"/>
            <w:vAlign w:val="center"/>
          </w:tcPr>
          <w:p w14:paraId="1BFDE771" w14:textId="77777777"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7210446E" w14:textId="76A49671"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Education</w:t>
            </w:r>
          </w:p>
        </w:tc>
        <w:tc>
          <w:tcPr>
            <w:tcW w:w="5002" w:type="dxa"/>
            <w:vAlign w:val="center"/>
          </w:tcPr>
          <w:p w14:paraId="751E357B" w14:textId="31B51EFA"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The study stresses the importance of change management and the management of resistance. It identifies the challenges to change management and organizational change from a structural and behavioural perspective</w:t>
            </w:r>
          </w:p>
        </w:tc>
      </w:tr>
      <w:tr w:rsidR="00F31813" w:rsidRPr="00511330" w14:paraId="2BC87004" w14:textId="77777777" w:rsidTr="00A640D8">
        <w:trPr>
          <w:trHeight w:val="800"/>
        </w:trPr>
        <w:tc>
          <w:tcPr>
            <w:tcW w:w="1885" w:type="dxa"/>
            <w:vAlign w:val="center"/>
          </w:tcPr>
          <w:p w14:paraId="6AFA7DE7" w14:textId="50CA9DC2" w:rsidR="006460C3" w:rsidRPr="00511330" w:rsidRDefault="006460C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Al Hashemi (2009)</w:t>
            </w:r>
          </w:p>
        </w:tc>
        <w:tc>
          <w:tcPr>
            <w:tcW w:w="3419" w:type="dxa"/>
            <w:vAlign w:val="center"/>
          </w:tcPr>
          <w:p w14:paraId="26BCEE79" w14:textId="3D47A129"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The Global economic crisis &amp; organisational change: Case studies in the United Arab Emirates</w:t>
            </w:r>
          </w:p>
        </w:tc>
        <w:tc>
          <w:tcPr>
            <w:tcW w:w="1353" w:type="dxa"/>
            <w:vAlign w:val="center"/>
          </w:tcPr>
          <w:p w14:paraId="39154CA2" w14:textId="6271ACCE"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w:t>
            </w:r>
          </w:p>
        </w:tc>
        <w:tc>
          <w:tcPr>
            <w:tcW w:w="1386" w:type="dxa"/>
            <w:vAlign w:val="center"/>
          </w:tcPr>
          <w:p w14:paraId="232C5654" w14:textId="77777777"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0129B0EE" w14:textId="76F88FEE"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Organizations</w:t>
            </w:r>
          </w:p>
        </w:tc>
        <w:tc>
          <w:tcPr>
            <w:tcW w:w="5002" w:type="dxa"/>
            <w:vAlign w:val="center"/>
          </w:tcPr>
          <w:p w14:paraId="37755847" w14:textId="0C723444"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This research conclude the importance of understanding the effect of organizational change on size, and also to compare the history of other incidents in the region.</w:t>
            </w:r>
          </w:p>
        </w:tc>
      </w:tr>
      <w:tr w:rsidR="00F31813" w:rsidRPr="00511330" w14:paraId="3D2DD62B" w14:textId="77777777" w:rsidTr="00A640D8">
        <w:trPr>
          <w:trHeight w:val="665"/>
        </w:trPr>
        <w:tc>
          <w:tcPr>
            <w:tcW w:w="1885" w:type="dxa"/>
            <w:vAlign w:val="center"/>
          </w:tcPr>
          <w:p w14:paraId="08130C9F" w14:textId="77777777"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Randeree, Kasim; Narwani, Anjli</w:t>
            </w:r>
          </w:p>
          <w:p w14:paraId="437E0EB0" w14:textId="5DD7EDE0" w:rsidR="006460C3" w:rsidRPr="00511330" w:rsidRDefault="006460C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(2009)</w:t>
            </w:r>
          </w:p>
        </w:tc>
        <w:tc>
          <w:tcPr>
            <w:tcW w:w="3419" w:type="dxa"/>
            <w:vAlign w:val="center"/>
          </w:tcPr>
          <w:p w14:paraId="5606497B" w14:textId="7FFE6C72"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Managing Change in Higher Education: An Exploration of the Role of Training in ICT Enabled Institutions in the United Arab Emirates</w:t>
            </w:r>
          </w:p>
        </w:tc>
        <w:tc>
          <w:tcPr>
            <w:tcW w:w="1353" w:type="dxa"/>
            <w:vAlign w:val="center"/>
          </w:tcPr>
          <w:p w14:paraId="4A3DE1D4" w14:textId="3DFF52DF"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w:t>
            </w:r>
          </w:p>
        </w:tc>
        <w:tc>
          <w:tcPr>
            <w:tcW w:w="1386" w:type="dxa"/>
            <w:vAlign w:val="center"/>
          </w:tcPr>
          <w:p w14:paraId="38B69F3D" w14:textId="77777777"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430D5C4E" w14:textId="5107B1B7"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Education</w:t>
            </w:r>
          </w:p>
        </w:tc>
        <w:tc>
          <w:tcPr>
            <w:tcW w:w="5002" w:type="dxa"/>
            <w:vAlign w:val="center"/>
          </w:tcPr>
          <w:p w14:paraId="729AF174" w14:textId="144BC735" w:rsidR="006460C3" w:rsidRPr="00511330" w:rsidRDefault="006460C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The paper concludes that there is imperative need for smooth change management in terms of making effective use of educational technology, and provisioning for return on investment produces a demand for effective blackboard user-training.</w:t>
            </w:r>
          </w:p>
        </w:tc>
      </w:tr>
      <w:tr w:rsidR="00F31813" w:rsidRPr="00511330" w14:paraId="2DA8F6DA" w14:textId="77777777" w:rsidTr="00A640D8">
        <w:trPr>
          <w:trHeight w:val="70"/>
        </w:trPr>
        <w:tc>
          <w:tcPr>
            <w:tcW w:w="1885" w:type="dxa"/>
            <w:vAlign w:val="center"/>
          </w:tcPr>
          <w:p w14:paraId="627C7CC6"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Ali M. Al-Khouri</w:t>
            </w:r>
          </w:p>
          <w:p w14:paraId="227E002C" w14:textId="5CCB93A4"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(2010)</w:t>
            </w:r>
          </w:p>
        </w:tc>
        <w:tc>
          <w:tcPr>
            <w:tcW w:w="3419" w:type="dxa"/>
            <w:vAlign w:val="center"/>
          </w:tcPr>
          <w:p w14:paraId="56D95593" w14:textId="08EBE102"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The Challenge of Identity in a Changing World: The Case of GCC Countries</w:t>
            </w:r>
          </w:p>
        </w:tc>
        <w:tc>
          <w:tcPr>
            <w:tcW w:w="1353" w:type="dxa"/>
            <w:vAlign w:val="center"/>
          </w:tcPr>
          <w:p w14:paraId="6AB4CE14" w14:textId="5C23C8D1"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w:t>
            </w:r>
          </w:p>
        </w:tc>
        <w:tc>
          <w:tcPr>
            <w:tcW w:w="1386" w:type="dxa"/>
            <w:vAlign w:val="center"/>
          </w:tcPr>
          <w:p w14:paraId="63DBD184"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 xml:space="preserve">Linked to </w:t>
            </w:r>
          </w:p>
          <w:p w14:paraId="3552C1C3" w14:textId="03019BC2"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the UAE</w:t>
            </w:r>
          </w:p>
        </w:tc>
        <w:tc>
          <w:tcPr>
            <w:tcW w:w="5002" w:type="dxa"/>
            <w:vAlign w:val="center"/>
          </w:tcPr>
          <w:p w14:paraId="42E03047" w14:textId="7FF992CA" w:rsidR="00F31813" w:rsidRPr="00511330" w:rsidRDefault="00F31813"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Change management models were proposed as well as methods to help management to implement changes in different situations.</w:t>
            </w:r>
          </w:p>
        </w:tc>
      </w:tr>
      <w:tr w:rsidR="00F31813" w:rsidRPr="00511330" w14:paraId="12883011" w14:textId="77777777" w:rsidTr="00A640D8">
        <w:trPr>
          <w:trHeight w:val="152"/>
        </w:trPr>
        <w:tc>
          <w:tcPr>
            <w:tcW w:w="1885" w:type="dxa"/>
            <w:vAlign w:val="center"/>
          </w:tcPr>
          <w:p w14:paraId="5E841859"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Tibi and McLeod</w:t>
            </w:r>
          </w:p>
          <w:p w14:paraId="4612C19E" w14:textId="0CA6E7BA"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(2011)</w:t>
            </w:r>
          </w:p>
        </w:tc>
        <w:tc>
          <w:tcPr>
            <w:tcW w:w="3419" w:type="dxa"/>
            <w:vAlign w:val="center"/>
          </w:tcPr>
          <w:p w14:paraId="589A9B9F" w14:textId="7A14726E"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Faculty members’ perceptions about the management of organizational change</w:t>
            </w:r>
          </w:p>
        </w:tc>
        <w:tc>
          <w:tcPr>
            <w:tcW w:w="1353" w:type="dxa"/>
            <w:vAlign w:val="center"/>
          </w:tcPr>
          <w:p w14:paraId="7D76D813"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w:t>
            </w:r>
          </w:p>
          <w:p w14:paraId="3E50F8B4"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p>
        </w:tc>
        <w:tc>
          <w:tcPr>
            <w:tcW w:w="1386" w:type="dxa"/>
            <w:vAlign w:val="center"/>
          </w:tcPr>
          <w:p w14:paraId="534C4351"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4361F858" w14:textId="2FBF625A"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Education</w:t>
            </w:r>
          </w:p>
        </w:tc>
        <w:tc>
          <w:tcPr>
            <w:tcW w:w="5002" w:type="dxa"/>
            <w:vAlign w:val="center"/>
          </w:tcPr>
          <w:p w14:paraId="2081117A" w14:textId="5C2CEE0F"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Investigate a stratified purposeful sample of some faculty members’ perspectives about the changes implemented during the past decade at the UAE University’s College of Education (CEDU).</w:t>
            </w:r>
          </w:p>
        </w:tc>
      </w:tr>
      <w:tr w:rsidR="00A640D8" w:rsidRPr="00511330" w14:paraId="3464751D" w14:textId="77777777" w:rsidTr="00A640D8">
        <w:trPr>
          <w:trHeight w:val="152"/>
        </w:trPr>
        <w:tc>
          <w:tcPr>
            <w:tcW w:w="1885" w:type="dxa"/>
            <w:vAlign w:val="center"/>
          </w:tcPr>
          <w:p w14:paraId="2E341D03" w14:textId="77777777" w:rsidR="00A640D8" w:rsidRPr="00511330" w:rsidRDefault="00A640D8"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Yazeen, Zahi</w:t>
            </w:r>
          </w:p>
          <w:p w14:paraId="2049C17A" w14:textId="77777777" w:rsidR="00A640D8" w:rsidRPr="00511330" w:rsidRDefault="00A640D8"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Okour, Adnan</w:t>
            </w:r>
          </w:p>
          <w:p w14:paraId="14709FBF" w14:textId="48902ED3" w:rsidR="00A640D8" w:rsidRPr="00511330" w:rsidRDefault="00A640D8"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(2012)</w:t>
            </w:r>
          </w:p>
        </w:tc>
        <w:tc>
          <w:tcPr>
            <w:tcW w:w="3419" w:type="dxa"/>
            <w:vAlign w:val="center"/>
          </w:tcPr>
          <w:p w14:paraId="3FAD1783" w14:textId="5E6135C2" w:rsidR="00A640D8" w:rsidRPr="00511330" w:rsidRDefault="00A640D8"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Managing organizational change: Decision’s maker perceptions in the UAE manufacturing industry</w:t>
            </w:r>
          </w:p>
        </w:tc>
        <w:tc>
          <w:tcPr>
            <w:tcW w:w="1353" w:type="dxa"/>
            <w:vAlign w:val="center"/>
          </w:tcPr>
          <w:p w14:paraId="6E6BCE1C" w14:textId="52583CE6" w:rsidR="00A640D8" w:rsidRPr="00511330" w:rsidRDefault="00A640D8"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Quantitative</w:t>
            </w:r>
          </w:p>
        </w:tc>
        <w:tc>
          <w:tcPr>
            <w:tcW w:w="1386" w:type="dxa"/>
            <w:vAlign w:val="center"/>
          </w:tcPr>
          <w:p w14:paraId="1E253333" w14:textId="77777777" w:rsidR="00A640D8" w:rsidRPr="00511330" w:rsidRDefault="00A640D8"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38CEF9FD" w14:textId="1429F7BB" w:rsidR="00A640D8" w:rsidRPr="00511330" w:rsidRDefault="00A640D8"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Industry</w:t>
            </w:r>
          </w:p>
        </w:tc>
        <w:tc>
          <w:tcPr>
            <w:tcW w:w="5002" w:type="dxa"/>
            <w:vAlign w:val="center"/>
          </w:tcPr>
          <w:p w14:paraId="77593573" w14:textId="2911905C" w:rsidR="00A640D8" w:rsidRPr="00511330" w:rsidRDefault="00A640D8"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Examine the common practices of change projects in the manufacturing industry in the  UAE and the key factors for effective implementation and highlighting the roadblocks of organizational change.</w:t>
            </w:r>
          </w:p>
        </w:tc>
      </w:tr>
      <w:tr w:rsidR="00A640D8" w:rsidRPr="00511330" w14:paraId="385EBB8D" w14:textId="77777777" w:rsidTr="00A640D8">
        <w:trPr>
          <w:trHeight w:val="260"/>
        </w:trPr>
        <w:tc>
          <w:tcPr>
            <w:tcW w:w="1885" w:type="dxa"/>
            <w:shd w:val="clear" w:color="auto" w:fill="D9D9D9" w:themeFill="background1" w:themeFillShade="D9"/>
            <w:vAlign w:val="center"/>
          </w:tcPr>
          <w:p w14:paraId="47015324" w14:textId="3743D16F" w:rsidR="00A640D8" w:rsidRPr="00511330" w:rsidRDefault="00A640D8" w:rsidP="00A640D8">
            <w:pPr>
              <w:pStyle w:val="Caption"/>
              <w:keepNext/>
              <w:tabs>
                <w:tab w:val="right" w:pos="13382"/>
              </w:tabs>
              <w:spacing w:after="0"/>
              <w:jc w:val="center"/>
              <w:rPr>
                <w:rStyle w:val="hlfld-abstract"/>
                <w:rFonts w:ascii="Times New Roman" w:hAnsi="Times New Roman" w:cs="Times New Roman"/>
                <w:b w:val="0"/>
                <w:bCs w:val="0"/>
                <w:color w:val="000000" w:themeColor="text1"/>
                <w:sz w:val="20"/>
                <w:szCs w:val="20"/>
              </w:rPr>
            </w:pPr>
            <w:r w:rsidRPr="00511330">
              <w:rPr>
                <w:rFonts w:ascii="Times New Roman" w:hAnsi="Times New Roman" w:cs="Times New Roman"/>
                <w:color w:val="auto"/>
                <w:sz w:val="20"/>
                <w:szCs w:val="20"/>
              </w:rPr>
              <w:lastRenderedPageBreak/>
              <w:t>Authors/Year</w:t>
            </w:r>
          </w:p>
        </w:tc>
        <w:tc>
          <w:tcPr>
            <w:tcW w:w="3419" w:type="dxa"/>
            <w:shd w:val="clear" w:color="auto" w:fill="D9D9D9" w:themeFill="background1" w:themeFillShade="D9"/>
            <w:vAlign w:val="center"/>
          </w:tcPr>
          <w:p w14:paraId="18DF6C37" w14:textId="3FC66006" w:rsidR="00A640D8" w:rsidRPr="00511330" w:rsidRDefault="00A640D8" w:rsidP="00A640D8">
            <w:pPr>
              <w:pStyle w:val="Caption"/>
              <w:keepNext/>
              <w:tabs>
                <w:tab w:val="right" w:pos="13382"/>
              </w:tabs>
              <w:spacing w:after="0"/>
              <w:jc w:val="center"/>
              <w:rPr>
                <w:rStyle w:val="hlfld-abstract"/>
                <w:rFonts w:ascii="Times New Roman" w:hAnsi="Times New Roman" w:cs="Times New Roman"/>
                <w:b w:val="0"/>
                <w:bCs w:val="0"/>
                <w:color w:val="000000" w:themeColor="text1"/>
                <w:sz w:val="20"/>
                <w:szCs w:val="20"/>
              </w:rPr>
            </w:pPr>
            <w:r w:rsidRPr="00511330">
              <w:rPr>
                <w:rFonts w:ascii="Times New Roman" w:hAnsi="Times New Roman" w:cs="Times New Roman"/>
                <w:color w:val="auto"/>
                <w:sz w:val="20"/>
                <w:szCs w:val="20"/>
              </w:rPr>
              <w:t>Title</w:t>
            </w:r>
          </w:p>
        </w:tc>
        <w:tc>
          <w:tcPr>
            <w:tcW w:w="1353" w:type="dxa"/>
            <w:shd w:val="clear" w:color="auto" w:fill="D9D9D9" w:themeFill="background1" w:themeFillShade="D9"/>
            <w:vAlign w:val="center"/>
          </w:tcPr>
          <w:p w14:paraId="4E472F2E" w14:textId="385E91B5" w:rsidR="00A640D8" w:rsidRPr="00511330" w:rsidRDefault="00A640D8" w:rsidP="00A640D8">
            <w:pPr>
              <w:pStyle w:val="Caption"/>
              <w:keepNext/>
              <w:tabs>
                <w:tab w:val="right" w:pos="13382"/>
              </w:tabs>
              <w:spacing w:after="0"/>
              <w:jc w:val="center"/>
              <w:rPr>
                <w:rStyle w:val="hlfld-abstract"/>
                <w:rFonts w:ascii="Times New Roman" w:hAnsi="Times New Roman" w:cs="Times New Roman"/>
                <w:b w:val="0"/>
                <w:bCs w:val="0"/>
                <w:color w:val="000000" w:themeColor="text1"/>
                <w:sz w:val="20"/>
                <w:szCs w:val="20"/>
              </w:rPr>
            </w:pPr>
            <w:r w:rsidRPr="00511330">
              <w:rPr>
                <w:rFonts w:ascii="Times New Roman" w:hAnsi="Times New Roman" w:cs="Times New Roman"/>
                <w:color w:val="auto"/>
                <w:sz w:val="20"/>
                <w:szCs w:val="20"/>
              </w:rPr>
              <w:t>Methodology</w:t>
            </w:r>
          </w:p>
        </w:tc>
        <w:tc>
          <w:tcPr>
            <w:tcW w:w="1386" w:type="dxa"/>
            <w:shd w:val="clear" w:color="auto" w:fill="D9D9D9" w:themeFill="background1" w:themeFillShade="D9"/>
            <w:vAlign w:val="center"/>
          </w:tcPr>
          <w:p w14:paraId="1BE9D034" w14:textId="1F08AA31" w:rsidR="00A640D8" w:rsidRPr="00511330" w:rsidRDefault="00A640D8" w:rsidP="00A640D8">
            <w:pPr>
              <w:pStyle w:val="Caption"/>
              <w:keepNext/>
              <w:tabs>
                <w:tab w:val="right" w:pos="13382"/>
              </w:tabs>
              <w:spacing w:after="0"/>
              <w:jc w:val="center"/>
              <w:rPr>
                <w:rStyle w:val="hlfld-abstract"/>
                <w:rFonts w:ascii="Times New Roman" w:hAnsi="Times New Roman" w:cs="Times New Roman"/>
                <w:b w:val="0"/>
                <w:bCs w:val="0"/>
                <w:color w:val="000000" w:themeColor="text1"/>
                <w:sz w:val="20"/>
                <w:szCs w:val="20"/>
              </w:rPr>
            </w:pPr>
            <w:r w:rsidRPr="00511330">
              <w:rPr>
                <w:rFonts w:ascii="Times New Roman" w:hAnsi="Times New Roman" w:cs="Times New Roman"/>
                <w:color w:val="auto"/>
                <w:sz w:val="20"/>
                <w:szCs w:val="20"/>
              </w:rPr>
              <w:t>Area/Domain</w:t>
            </w:r>
          </w:p>
        </w:tc>
        <w:tc>
          <w:tcPr>
            <w:tcW w:w="5002" w:type="dxa"/>
            <w:shd w:val="clear" w:color="auto" w:fill="D9D9D9" w:themeFill="background1" w:themeFillShade="D9"/>
            <w:vAlign w:val="center"/>
          </w:tcPr>
          <w:p w14:paraId="73E52238" w14:textId="2A75E0AF" w:rsidR="00A640D8" w:rsidRPr="00511330" w:rsidRDefault="00A640D8" w:rsidP="00A640D8">
            <w:pPr>
              <w:pStyle w:val="Caption"/>
              <w:keepNext/>
              <w:tabs>
                <w:tab w:val="right" w:pos="13382"/>
              </w:tabs>
              <w:spacing w:after="0"/>
              <w:jc w:val="center"/>
              <w:rPr>
                <w:rStyle w:val="hlfld-abstract"/>
                <w:rFonts w:ascii="Times New Roman" w:hAnsi="Times New Roman" w:cs="Times New Roman"/>
                <w:b w:val="0"/>
                <w:bCs w:val="0"/>
                <w:color w:val="000000" w:themeColor="text1"/>
                <w:sz w:val="20"/>
                <w:szCs w:val="20"/>
              </w:rPr>
            </w:pPr>
            <w:r w:rsidRPr="00511330">
              <w:rPr>
                <w:rFonts w:ascii="Times New Roman" w:hAnsi="Times New Roman" w:cs="Times New Roman"/>
                <w:color w:val="auto"/>
                <w:sz w:val="20"/>
                <w:szCs w:val="20"/>
              </w:rPr>
              <w:t>Outcomes</w:t>
            </w:r>
          </w:p>
        </w:tc>
      </w:tr>
      <w:tr w:rsidR="00317C6F" w:rsidRPr="00511330" w14:paraId="01A5F87A" w14:textId="77777777" w:rsidTr="00A640D8">
        <w:tc>
          <w:tcPr>
            <w:tcW w:w="1885" w:type="dxa"/>
            <w:vAlign w:val="center"/>
          </w:tcPr>
          <w:p w14:paraId="0A73527E"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Zahi and Adnan</w:t>
            </w:r>
          </w:p>
          <w:p w14:paraId="032F8C51" w14:textId="05307488"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(2012)</w:t>
            </w:r>
          </w:p>
        </w:tc>
        <w:tc>
          <w:tcPr>
            <w:tcW w:w="3419" w:type="dxa"/>
            <w:vAlign w:val="center"/>
          </w:tcPr>
          <w:p w14:paraId="5226A02B" w14:textId="2EF34732"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Managing organizational change: Decision’s maker perceptions in the UAE manufacturing industry</w:t>
            </w:r>
          </w:p>
        </w:tc>
        <w:tc>
          <w:tcPr>
            <w:tcW w:w="1353" w:type="dxa"/>
            <w:vAlign w:val="center"/>
          </w:tcPr>
          <w:p w14:paraId="2EDB79ED" w14:textId="45FF0F12"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 and Quantitative</w:t>
            </w:r>
          </w:p>
        </w:tc>
        <w:tc>
          <w:tcPr>
            <w:tcW w:w="1386" w:type="dxa"/>
            <w:vAlign w:val="center"/>
          </w:tcPr>
          <w:p w14:paraId="64F2116F"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34E13D95" w14:textId="380C0902"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Industry</w:t>
            </w:r>
          </w:p>
        </w:tc>
        <w:tc>
          <w:tcPr>
            <w:tcW w:w="5002" w:type="dxa"/>
            <w:vAlign w:val="center"/>
          </w:tcPr>
          <w:p w14:paraId="400457B8" w14:textId="00095CB0"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Findings revealed that technology change is the change most practiced by the UAE manufacturing industry, then strategy development, total quality management (TQM) driven change, and software development with less emphasis on cultural change.</w:t>
            </w:r>
          </w:p>
        </w:tc>
      </w:tr>
      <w:tr w:rsidR="00317C6F" w:rsidRPr="00511330" w14:paraId="7F651DB5" w14:textId="77777777" w:rsidTr="00A640D8">
        <w:tc>
          <w:tcPr>
            <w:tcW w:w="1885" w:type="dxa"/>
            <w:vAlign w:val="center"/>
          </w:tcPr>
          <w:p w14:paraId="0235815E"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Mohammed AL Ameri</w:t>
            </w:r>
          </w:p>
          <w:p w14:paraId="0C5A9665" w14:textId="59B093D1"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(2013)</w:t>
            </w:r>
          </w:p>
        </w:tc>
        <w:tc>
          <w:tcPr>
            <w:tcW w:w="3419" w:type="dxa"/>
            <w:vAlign w:val="center"/>
          </w:tcPr>
          <w:p w14:paraId="0A484F13" w14:textId="6623A7E9"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Assessing Resistance to Technological Change for Improved Job Performance in the UAE</w:t>
            </w:r>
          </w:p>
        </w:tc>
        <w:tc>
          <w:tcPr>
            <w:tcW w:w="1353" w:type="dxa"/>
            <w:vAlign w:val="center"/>
          </w:tcPr>
          <w:p w14:paraId="130E5017" w14:textId="00ED8E5C"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 and Quantitative</w:t>
            </w:r>
          </w:p>
        </w:tc>
        <w:tc>
          <w:tcPr>
            <w:tcW w:w="1386" w:type="dxa"/>
            <w:vAlign w:val="center"/>
          </w:tcPr>
          <w:p w14:paraId="347B0470"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27234113" w14:textId="6E660C2F"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Oil &amp; Gas</w:t>
            </w:r>
          </w:p>
        </w:tc>
        <w:tc>
          <w:tcPr>
            <w:tcW w:w="5002" w:type="dxa"/>
            <w:vAlign w:val="center"/>
          </w:tcPr>
          <w:p w14:paraId="0E842AA8" w14:textId="5BEE6810"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Change has positively impaction all public sector companies in the UAE. In addition, technology development and corporate evolution are the factors that drive technology change.</w:t>
            </w:r>
          </w:p>
        </w:tc>
      </w:tr>
      <w:tr w:rsidR="00F31813" w:rsidRPr="00511330" w14:paraId="79DB5206" w14:textId="77777777" w:rsidTr="00A640D8">
        <w:tc>
          <w:tcPr>
            <w:tcW w:w="1885" w:type="dxa"/>
            <w:vAlign w:val="center"/>
          </w:tcPr>
          <w:p w14:paraId="70B171DC"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Jefferey P. Jones</w:t>
            </w:r>
          </w:p>
          <w:p w14:paraId="1658ABCC" w14:textId="6269FE3B"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(2013)</w:t>
            </w:r>
          </w:p>
        </w:tc>
        <w:tc>
          <w:tcPr>
            <w:tcW w:w="3419" w:type="dxa"/>
            <w:vAlign w:val="center"/>
          </w:tcPr>
          <w:p w14:paraId="62C36AE1" w14:textId="174AFA46"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TQM implementation and change management in an unfavorable environment</w:t>
            </w:r>
          </w:p>
        </w:tc>
        <w:tc>
          <w:tcPr>
            <w:tcW w:w="1353" w:type="dxa"/>
            <w:vAlign w:val="center"/>
          </w:tcPr>
          <w:p w14:paraId="7DE8154C" w14:textId="327004EE"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 and Quantitative</w:t>
            </w:r>
          </w:p>
        </w:tc>
        <w:tc>
          <w:tcPr>
            <w:tcW w:w="1386" w:type="dxa"/>
            <w:vAlign w:val="center"/>
          </w:tcPr>
          <w:p w14:paraId="0E79EC77"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4B860376" w14:textId="5CDA26B6"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Industry</w:t>
            </w:r>
          </w:p>
        </w:tc>
        <w:tc>
          <w:tcPr>
            <w:tcW w:w="5002" w:type="dxa"/>
            <w:vAlign w:val="center"/>
          </w:tcPr>
          <w:p w14:paraId="6F3FB3A2" w14:textId="72E6FF9A"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Examine the potential for successful TQM implementation in a “theoretically” unfavorable TQM environment, and what can be expected from such implementation if it is successful. Degree of success in implementing TQM is assessed through the changes that resulted in both internal performance indicators and an independent external governmental evaluation of the company.</w:t>
            </w:r>
          </w:p>
        </w:tc>
      </w:tr>
      <w:tr w:rsidR="00F31813" w:rsidRPr="00511330" w14:paraId="01375DAB" w14:textId="77777777" w:rsidTr="00A640D8">
        <w:tc>
          <w:tcPr>
            <w:tcW w:w="1885" w:type="dxa"/>
            <w:vAlign w:val="center"/>
          </w:tcPr>
          <w:p w14:paraId="22E8BD25"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Albert Angehrn, Florian Schloderer and Alicia Cheak</w:t>
            </w:r>
          </w:p>
          <w:p w14:paraId="7C27F75E" w14:textId="55ACF434"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(2013)</w:t>
            </w:r>
          </w:p>
        </w:tc>
        <w:tc>
          <w:tcPr>
            <w:tcW w:w="3419" w:type="dxa"/>
            <w:vAlign w:val="center"/>
          </w:tcPr>
          <w:p w14:paraId="2449CDC2" w14:textId="67215ED5"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Training for change and innovation management competencies in Middle-East organization. A Multimedia simulation approach.</w:t>
            </w:r>
          </w:p>
        </w:tc>
        <w:tc>
          <w:tcPr>
            <w:tcW w:w="1353" w:type="dxa"/>
            <w:vAlign w:val="center"/>
          </w:tcPr>
          <w:p w14:paraId="3E6741A6" w14:textId="063FF975"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w:t>
            </w:r>
          </w:p>
        </w:tc>
        <w:tc>
          <w:tcPr>
            <w:tcW w:w="1386" w:type="dxa"/>
            <w:vAlign w:val="center"/>
          </w:tcPr>
          <w:p w14:paraId="5F51BC71"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1A4E63A9" w14:textId="5DB72B11"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Oil &amp; Gas</w:t>
            </w:r>
          </w:p>
        </w:tc>
        <w:tc>
          <w:tcPr>
            <w:tcW w:w="5002" w:type="dxa"/>
            <w:vAlign w:val="center"/>
          </w:tcPr>
          <w:p w14:paraId="4C520284" w14:textId="56FC1A38"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Describe approach of training for change and innovation management competencies through simulation-based multimedia learning experiences and a number of specific dynamics and challenges of managing change and innovation in the Middle Eastern context that will be implemented in the new simulation</w:t>
            </w:r>
          </w:p>
        </w:tc>
      </w:tr>
      <w:tr w:rsidR="00F31813" w:rsidRPr="00511330" w14:paraId="28DD00B1" w14:textId="77777777" w:rsidTr="00A640D8">
        <w:tc>
          <w:tcPr>
            <w:tcW w:w="1885" w:type="dxa"/>
            <w:vAlign w:val="center"/>
          </w:tcPr>
          <w:p w14:paraId="2086B787"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Rami Alasadi, Saeed Askary</w:t>
            </w:r>
          </w:p>
          <w:p w14:paraId="36E9A1F5" w14:textId="6B3B8012"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(2014)</w:t>
            </w:r>
          </w:p>
        </w:tc>
        <w:tc>
          <w:tcPr>
            <w:tcW w:w="3419" w:type="dxa"/>
            <w:vAlign w:val="center"/>
          </w:tcPr>
          <w:p w14:paraId="3BF6F498" w14:textId="64AD1E0F"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Employee involvement and the barriers to organizational change</w:t>
            </w:r>
          </w:p>
        </w:tc>
        <w:tc>
          <w:tcPr>
            <w:tcW w:w="1353" w:type="dxa"/>
            <w:vAlign w:val="center"/>
          </w:tcPr>
          <w:p w14:paraId="0C1234BA" w14:textId="60671876"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Quantitative</w:t>
            </w:r>
          </w:p>
        </w:tc>
        <w:tc>
          <w:tcPr>
            <w:tcW w:w="1386" w:type="dxa"/>
            <w:vAlign w:val="center"/>
          </w:tcPr>
          <w:p w14:paraId="6E226019"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317D7E51" w14:textId="37CD9B3D"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Military</w:t>
            </w:r>
          </w:p>
        </w:tc>
        <w:tc>
          <w:tcPr>
            <w:tcW w:w="5002" w:type="dxa"/>
            <w:vAlign w:val="center"/>
          </w:tcPr>
          <w:p w14:paraId="3663AC7D" w14:textId="65C94C3F"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Considering employees’ needs, empowering employees, implementing the change strategies and helping</w:t>
            </w:r>
            <w:r w:rsidRPr="00511330">
              <w:rPr>
                <w:rStyle w:val="hlfld-abstract"/>
                <w:rFonts w:ascii="Times New Roman" w:hAnsi="Times New Roman" w:cs="Times New Roman"/>
                <w:b w:val="0"/>
                <w:bCs w:val="0"/>
                <w:color w:val="000000" w:themeColor="text1"/>
                <w:sz w:val="20"/>
                <w:szCs w:val="20"/>
                <w:rtl/>
              </w:rPr>
              <w:t xml:space="preserve"> </w:t>
            </w:r>
            <w:r w:rsidRPr="00511330">
              <w:rPr>
                <w:rStyle w:val="hlfld-abstract"/>
                <w:rFonts w:ascii="Times New Roman" w:hAnsi="Times New Roman" w:cs="Times New Roman"/>
                <w:b w:val="0"/>
                <w:bCs w:val="0"/>
                <w:color w:val="000000" w:themeColor="text1"/>
                <w:sz w:val="20"/>
                <w:szCs w:val="20"/>
              </w:rPr>
              <w:t>employ-</w:t>
            </w:r>
            <w:r w:rsidRPr="00511330">
              <w:rPr>
                <w:rStyle w:val="hlfld-abstract"/>
                <w:rFonts w:ascii="Times New Roman" w:hAnsi="Times New Roman" w:cs="Times New Roman"/>
                <w:b w:val="0"/>
                <w:bCs w:val="0"/>
                <w:color w:val="000000" w:themeColor="text1"/>
                <w:sz w:val="20"/>
                <w:szCs w:val="20"/>
                <w:rtl/>
              </w:rPr>
              <w:t xml:space="preserve"> </w:t>
            </w:r>
            <w:r w:rsidRPr="00511330">
              <w:rPr>
                <w:rStyle w:val="hlfld-abstract"/>
                <w:rFonts w:ascii="Times New Roman" w:hAnsi="Times New Roman" w:cs="Times New Roman"/>
                <w:b w:val="0"/>
                <w:bCs w:val="0"/>
                <w:color w:val="000000" w:themeColor="text1"/>
                <w:sz w:val="20"/>
                <w:szCs w:val="20"/>
              </w:rPr>
              <w:t>eyes witness change as it takes place were all found to be strongly related to the success of organizational change.</w:t>
            </w:r>
          </w:p>
        </w:tc>
      </w:tr>
      <w:tr w:rsidR="00F31813" w:rsidRPr="00511330" w14:paraId="08884B49" w14:textId="77777777" w:rsidTr="00A640D8">
        <w:tc>
          <w:tcPr>
            <w:tcW w:w="1885" w:type="dxa"/>
            <w:vAlign w:val="center"/>
          </w:tcPr>
          <w:p w14:paraId="7CC3D56F" w14:textId="767F0BF6"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Renukapp (2014)</w:t>
            </w:r>
          </w:p>
        </w:tc>
        <w:tc>
          <w:tcPr>
            <w:tcW w:w="3419" w:type="dxa"/>
            <w:vAlign w:val="center"/>
          </w:tcPr>
          <w:p w14:paraId="7FDFEF84" w14:textId="02FADEF9"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Transformative Change Towards Sustainability: The Case of Abu Dhabi Public Sector Organisation</w:t>
            </w:r>
          </w:p>
        </w:tc>
        <w:tc>
          <w:tcPr>
            <w:tcW w:w="1353" w:type="dxa"/>
            <w:vAlign w:val="center"/>
          </w:tcPr>
          <w:p w14:paraId="4CF4A63F" w14:textId="6D489AA5"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w:t>
            </w:r>
          </w:p>
        </w:tc>
        <w:tc>
          <w:tcPr>
            <w:tcW w:w="1386" w:type="dxa"/>
            <w:vAlign w:val="center"/>
          </w:tcPr>
          <w:p w14:paraId="1561A1E2"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609A8C23" w14:textId="5D8C21E8"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Public Sector organization</w:t>
            </w:r>
          </w:p>
        </w:tc>
        <w:tc>
          <w:tcPr>
            <w:tcW w:w="5002" w:type="dxa"/>
            <w:vAlign w:val="center"/>
          </w:tcPr>
          <w:p w14:paraId="23FEFEF9" w14:textId="63FDB412"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The implementation of change management initiatives to deal with sustainability initiatives is still evolving in the case study organization; therefore, collaboration is required to share the best and worst practices related to change management</w:t>
            </w:r>
          </w:p>
        </w:tc>
      </w:tr>
      <w:tr w:rsidR="00A640D8" w:rsidRPr="00511330" w14:paraId="461E8B93" w14:textId="77777777" w:rsidTr="00A640D8">
        <w:tc>
          <w:tcPr>
            <w:tcW w:w="1885" w:type="dxa"/>
            <w:shd w:val="clear" w:color="auto" w:fill="D9D9D9" w:themeFill="background1" w:themeFillShade="D9"/>
            <w:vAlign w:val="center"/>
          </w:tcPr>
          <w:p w14:paraId="7C8C315D" w14:textId="2F91155D" w:rsidR="00A640D8" w:rsidRPr="00511330" w:rsidRDefault="00A640D8" w:rsidP="00A640D8">
            <w:pPr>
              <w:pStyle w:val="Caption"/>
              <w:keepNext/>
              <w:tabs>
                <w:tab w:val="right" w:pos="13382"/>
              </w:tabs>
              <w:spacing w:after="0"/>
              <w:jc w:val="center"/>
              <w:rPr>
                <w:rStyle w:val="hlfld-abstract"/>
                <w:rFonts w:ascii="Times New Roman" w:hAnsi="Times New Roman" w:cs="Times New Roman"/>
                <w:b w:val="0"/>
                <w:bCs w:val="0"/>
                <w:color w:val="000000" w:themeColor="text1"/>
                <w:sz w:val="20"/>
                <w:szCs w:val="20"/>
              </w:rPr>
            </w:pPr>
            <w:r w:rsidRPr="00511330">
              <w:rPr>
                <w:rFonts w:ascii="Times New Roman" w:hAnsi="Times New Roman" w:cs="Times New Roman"/>
                <w:color w:val="auto"/>
                <w:sz w:val="20"/>
                <w:szCs w:val="20"/>
              </w:rPr>
              <w:lastRenderedPageBreak/>
              <w:t>Authors/Year</w:t>
            </w:r>
          </w:p>
        </w:tc>
        <w:tc>
          <w:tcPr>
            <w:tcW w:w="3419" w:type="dxa"/>
            <w:shd w:val="clear" w:color="auto" w:fill="D9D9D9" w:themeFill="background1" w:themeFillShade="D9"/>
            <w:vAlign w:val="center"/>
          </w:tcPr>
          <w:p w14:paraId="294EB858" w14:textId="6BED630E" w:rsidR="00A640D8" w:rsidRPr="00511330" w:rsidRDefault="00A640D8" w:rsidP="00A640D8">
            <w:pPr>
              <w:pStyle w:val="Caption"/>
              <w:keepNext/>
              <w:tabs>
                <w:tab w:val="right" w:pos="13382"/>
              </w:tabs>
              <w:spacing w:after="0"/>
              <w:jc w:val="center"/>
              <w:rPr>
                <w:rStyle w:val="hlfld-abstract"/>
                <w:rFonts w:ascii="Times New Roman" w:hAnsi="Times New Roman" w:cs="Times New Roman"/>
                <w:b w:val="0"/>
                <w:bCs w:val="0"/>
                <w:color w:val="000000" w:themeColor="text1"/>
                <w:sz w:val="20"/>
                <w:szCs w:val="20"/>
              </w:rPr>
            </w:pPr>
            <w:r w:rsidRPr="00511330">
              <w:rPr>
                <w:rFonts w:ascii="Times New Roman" w:hAnsi="Times New Roman" w:cs="Times New Roman"/>
                <w:color w:val="auto"/>
                <w:sz w:val="20"/>
                <w:szCs w:val="20"/>
              </w:rPr>
              <w:t>Title</w:t>
            </w:r>
          </w:p>
        </w:tc>
        <w:tc>
          <w:tcPr>
            <w:tcW w:w="1353" w:type="dxa"/>
            <w:shd w:val="clear" w:color="auto" w:fill="D9D9D9" w:themeFill="background1" w:themeFillShade="D9"/>
            <w:vAlign w:val="center"/>
          </w:tcPr>
          <w:p w14:paraId="4C02CFAD" w14:textId="0CFDFADD" w:rsidR="00A640D8" w:rsidRPr="00511330" w:rsidRDefault="00A640D8" w:rsidP="00A640D8">
            <w:pPr>
              <w:pStyle w:val="Caption"/>
              <w:keepNext/>
              <w:tabs>
                <w:tab w:val="right" w:pos="13382"/>
              </w:tabs>
              <w:spacing w:after="0"/>
              <w:jc w:val="center"/>
              <w:rPr>
                <w:rStyle w:val="hlfld-abstract"/>
                <w:rFonts w:ascii="Times New Roman" w:hAnsi="Times New Roman" w:cs="Times New Roman"/>
                <w:b w:val="0"/>
                <w:bCs w:val="0"/>
                <w:color w:val="000000" w:themeColor="text1"/>
                <w:sz w:val="20"/>
                <w:szCs w:val="20"/>
              </w:rPr>
            </w:pPr>
            <w:r w:rsidRPr="00511330">
              <w:rPr>
                <w:rFonts w:ascii="Times New Roman" w:hAnsi="Times New Roman" w:cs="Times New Roman"/>
                <w:color w:val="auto"/>
                <w:sz w:val="20"/>
                <w:szCs w:val="20"/>
              </w:rPr>
              <w:t>Methodology</w:t>
            </w:r>
          </w:p>
        </w:tc>
        <w:tc>
          <w:tcPr>
            <w:tcW w:w="1386" w:type="dxa"/>
            <w:shd w:val="clear" w:color="auto" w:fill="D9D9D9" w:themeFill="background1" w:themeFillShade="D9"/>
            <w:vAlign w:val="center"/>
          </w:tcPr>
          <w:p w14:paraId="22E5F32C" w14:textId="068D9D9F" w:rsidR="00A640D8" w:rsidRPr="00511330" w:rsidRDefault="00A640D8" w:rsidP="00A640D8">
            <w:pPr>
              <w:pStyle w:val="Caption"/>
              <w:keepNext/>
              <w:tabs>
                <w:tab w:val="right" w:pos="13382"/>
              </w:tabs>
              <w:spacing w:after="0"/>
              <w:jc w:val="center"/>
              <w:rPr>
                <w:rStyle w:val="hlfld-abstract"/>
                <w:rFonts w:ascii="Times New Roman" w:hAnsi="Times New Roman" w:cs="Times New Roman"/>
                <w:b w:val="0"/>
                <w:bCs w:val="0"/>
                <w:color w:val="000000" w:themeColor="text1"/>
                <w:sz w:val="20"/>
                <w:szCs w:val="20"/>
              </w:rPr>
            </w:pPr>
            <w:r w:rsidRPr="00511330">
              <w:rPr>
                <w:rFonts w:ascii="Times New Roman" w:hAnsi="Times New Roman" w:cs="Times New Roman"/>
                <w:color w:val="auto"/>
                <w:sz w:val="20"/>
                <w:szCs w:val="20"/>
              </w:rPr>
              <w:t>Area/Domain</w:t>
            </w:r>
          </w:p>
        </w:tc>
        <w:tc>
          <w:tcPr>
            <w:tcW w:w="5002" w:type="dxa"/>
            <w:shd w:val="clear" w:color="auto" w:fill="D9D9D9" w:themeFill="background1" w:themeFillShade="D9"/>
            <w:vAlign w:val="center"/>
          </w:tcPr>
          <w:p w14:paraId="6AAE91DC" w14:textId="01E48C1F" w:rsidR="00A640D8" w:rsidRPr="00511330" w:rsidRDefault="00A640D8" w:rsidP="00A640D8">
            <w:pPr>
              <w:pStyle w:val="Caption"/>
              <w:keepNext/>
              <w:tabs>
                <w:tab w:val="right" w:pos="13382"/>
              </w:tabs>
              <w:spacing w:after="0"/>
              <w:jc w:val="center"/>
              <w:rPr>
                <w:rStyle w:val="hlfld-abstract"/>
                <w:rFonts w:ascii="Times New Roman" w:hAnsi="Times New Roman" w:cs="Times New Roman"/>
                <w:b w:val="0"/>
                <w:bCs w:val="0"/>
                <w:color w:val="000000" w:themeColor="text1"/>
                <w:sz w:val="20"/>
                <w:szCs w:val="20"/>
              </w:rPr>
            </w:pPr>
            <w:r w:rsidRPr="00511330">
              <w:rPr>
                <w:rFonts w:ascii="Times New Roman" w:hAnsi="Times New Roman" w:cs="Times New Roman"/>
                <w:color w:val="auto"/>
                <w:sz w:val="20"/>
                <w:szCs w:val="20"/>
              </w:rPr>
              <w:t>Outcomes</w:t>
            </w:r>
          </w:p>
        </w:tc>
      </w:tr>
      <w:tr w:rsidR="00317C6F" w:rsidRPr="00511330" w14:paraId="090CB3B0" w14:textId="77777777" w:rsidTr="00A640D8">
        <w:trPr>
          <w:trHeight w:val="647"/>
        </w:trPr>
        <w:tc>
          <w:tcPr>
            <w:tcW w:w="1885" w:type="dxa"/>
            <w:vAlign w:val="center"/>
          </w:tcPr>
          <w:p w14:paraId="471D95FD"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Al Harahsheh</w:t>
            </w:r>
          </w:p>
          <w:p w14:paraId="45214392" w14:textId="550FEF8A"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(2014)</w:t>
            </w:r>
          </w:p>
        </w:tc>
        <w:tc>
          <w:tcPr>
            <w:tcW w:w="3419" w:type="dxa"/>
            <w:vAlign w:val="center"/>
          </w:tcPr>
          <w:p w14:paraId="282A1600" w14:textId="5F6558CC"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The relationship between leadership skills &amp; successful change management skills: a survey study on Police Sciences Academy in Sharjah, UAE.</w:t>
            </w:r>
          </w:p>
        </w:tc>
        <w:tc>
          <w:tcPr>
            <w:tcW w:w="1353" w:type="dxa"/>
            <w:vAlign w:val="center"/>
          </w:tcPr>
          <w:p w14:paraId="719ACF4B" w14:textId="4E0C77E1"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Quantitative</w:t>
            </w:r>
          </w:p>
        </w:tc>
        <w:tc>
          <w:tcPr>
            <w:tcW w:w="1386" w:type="dxa"/>
            <w:vAlign w:val="center"/>
          </w:tcPr>
          <w:p w14:paraId="4F5FD08C" w14:textId="77777777" w:rsidR="00F31813" w:rsidRPr="00511330" w:rsidRDefault="00F31813"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5B0F7385" w14:textId="29D07496" w:rsidR="00F31813" w:rsidRPr="00511330" w:rsidRDefault="00F31813"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Military</w:t>
            </w:r>
          </w:p>
        </w:tc>
        <w:tc>
          <w:tcPr>
            <w:tcW w:w="5002" w:type="dxa"/>
            <w:vAlign w:val="center"/>
          </w:tcPr>
          <w:p w14:paraId="7ACF9825" w14:textId="7AE5C091" w:rsidR="00F31813" w:rsidRPr="00511330" w:rsidRDefault="00F31813"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 xml:space="preserve">study indicates that leadership skills have a significant impact on </w:t>
            </w:r>
            <w:r w:rsidR="00A640D8" w:rsidRPr="00511330">
              <w:rPr>
                <w:rStyle w:val="hlfld-abstract"/>
                <w:rFonts w:ascii="Times New Roman" w:hAnsi="Times New Roman" w:cs="Times New Roman"/>
                <w:b w:val="0"/>
                <w:bCs w:val="0"/>
                <w:color w:val="000000" w:themeColor="text1"/>
                <w:sz w:val="20"/>
                <w:szCs w:val="20"/>
              </w:rPr>
              <w:t>CM</w:t>
            </w:r>
            <w:r w:rsidRPr="00511330">
              <w:rPr>
                <w:rStyle w:val="hlfld-abstract"/>
                <w:rFonts w:ascii="Times New Roman" w:hAnsi="Times New Roman" w:cs="Times New Roman"/>
                <w:b w:val="0"/>
                <w:bCs w:val="0"/>
                <w:color w:val="000000" w:themeColor="text1"/>
                <w:sz w:val="20"/>
                <w:szCs w:val="20"/>
              </w:rPr>
              <w:t xml:space="preserve"> skills among PSA officers in Sharjah Emirate, the UAE</w:t>
            </w:r>
          </w:p>
        </w:tc>
      </w:tr>
      <w:tr w:rsidR="00F31813" w:rsidRPr="00511330" w14:paraId="4564D2A2" w14:textId="77777777" w:rsidTr="00A640D8">
        <w:tc>
          <w:tcPr>
            <w:tcW w:w="1885" w:type="dxa"/>
            <w:vAlign w:val="center"/>
          </w:tcPr>
          <w:p w14:paraId="77A8753C"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Bin Taher, Krotov and Silva</w:t>
            </w:r>
          </w:p>
          <w:p w14:paraId="3649D846" w14:textId="14A67616"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(2015)</w:t>
            </w:r>
          </w:p>
        </w:tc>
        <w:tc>
          <w:tcPr>
            <w:tcW w:w="3419" w:type="dxa"/>
            <w:vAlign w:val="center"/>
          </w:tcPr>
          <w:p w14:paraId="49FAC4A1" w14:textId="510CE410"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A framework for leading change in the UAE public sector</w:t>
            </w:r>
          </w:p>
        </w:tc>
        <w:tc>
          <w:tcPr>
            <w:tcW w:w="1353" w:type="dxa"/>
            <w:vAlign w:val="center"/>
          </w:tcPr>
          <w:p w14:paraId="34562E1B" w14:textId="76960AE2"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w:t>
            </w:r>
          </w:p>
        </w:tc>
        <w:tc>
          <w:tcPr>
            <w:tcW w:w="1386" w:type="dxa"/>
            <w:vAlign w:val="center"/>
          </w:tcPr>
          <w:p w14:paraId="752C6E78" w14:textId="77777777" w:rsidR="00F31813" w:rsidRPr="00511330" w:rsidRDefault="00F31813"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69337E93" w14:textId="20D66B2B" w:rsidR="00F31813" w:rsidRPr="00511330" w:rsidRDefault="00F31813" w:rsidP="00A640D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Public Sector</w:t>
            </w:r>
          </w:p>
        </w:tc>
        <w:tc>
          <w:tcPr>
            <w:tcW w:w="5002" w:type="dxa"/>
            <w:vAlign w:val="center"/>
          </w:tcPr>
          <w:p w14:paraId="778BB327" w14:textId="6B3D4E15"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Leadership &amp; communication are essential for change implementation, especially given the particular cultural conditions of the UAE. Moreover, change should be a continuous process supported by communication</w:t>
            </w:r>
          </w:p>
        </w:tc>
      </w:tr>
      <w:tr w:rsidR="00F31813" w:rsidRPr="00511330" w14:paraId="2432550F" w14:textId="77777777" w:rsidTr="00A640D8">
        <w:tc>
          <w:tcPr>
            <w:tcW w:w="1885" w:type="dxa"/>
            <w:vAlign w:val="center"/>
          </w:tcPr>
          <w:p w14:paraId="3523B13F" w14:textId="29E966A1"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Al-Darmaki, O (2015)</w:t>
            </w:r>
          </w:p>
        </w:tc>
        <w:tc>
          <w:tcPr>
            <w:tcW w:w="3419" w:type="dxa"/>
            <w:vAlign w:val="center"/>
          </w:tcPr>
          <w:p w14:paraId="35539C4C" w14:textId="7A12F0A6"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Managing change: an investigation into readiness for change within the public sector in the UAE - the case of the Ministry of Interior (MOI)</w:t>
            </w:r>
          </w:p>
        </w:tc>
        <w:tc>
          <w:tcPr>
            <w:tcW w:w="1353" w:type="dxa"/>
            <w:vAlign w:val="center"/>
          </w:tcPr>
          <w:p w14:paraId="639FE45A" w14:textId="43A6F90E"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 and Quantitative</w:t>
            </w:r>
          </w:p>
        </w:tc>
        <w:tc>
          <w:tcPr>
            <w:tcW w:w="1386" w:type="dxa"/>
            <w:vAlign w:val="center"/>
          </w:tcPr>
          <w:p w14:paraId="77AD6586" w14:textId="77777777" w:rsidR="00F31813" w:rsidRPr="00511330" w:rsidRDefault="00F31813" w:rsidP="00A640D8">
            <w:pPr>
              <w:tabs>
                <w:tab w:val="left" w:pos="866"/>
              </w:tabs>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color w:val="000000" w:themeColor="text1"/>
                <w:sz w:val="20"/>
                <w:szCs w:val="20"/>
              </w:rPr>
              <w:t>UAE</w:t>
            </w:r>
          </w:p>
          <w:p w14:paraId="08083B3F" w14:textId="1DDC2078" w:rsidR="00F31813" w:rsidRPr="00511330" w:rsidRDefault="00F31813" w:rsidP="00A640D8">
            <w:pPr>
              <w:autoSpaceDE w:val="0"/>
              <w:autoSpaceDN w:val="0"/>
              <w:adjustRightInd w:val="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color w:val="000000" w:themeColor="text1"/>
                <w:sz w:val="20"/>
                <w:szCs w:val="20"/>
              </w:rPr>
              <w:t>Ministry of Interior (MOI)</w:t>
            </w:r>
          </w:p>
        </w:tc>
        <w:tc>
          <w:tcPr>
            <w:tcW w:w="5002" w:type="dxa"/>
            <w:vAlign w:val="center"/>
          </w:tcPr>
          <w:p w14:paraId="3ED59E9A" w14:textId="7FAFACBB" w:rsidR="00F31813" w:rsidRPr="00511330" w:rsidRDefault="00F31813" w:rsidP="00A640D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Make theoretical and methodological contributions to knowledge by examining how change is managed and to what extent employees in the UAE are ready to lead and implement change initiatives.</w:t>
            </w:r>
          </w:p>
        </w:tc>
      </w:tr>
      <w:tr w:rsidR="00F31813" w:rsidRPr="00511330" w14:paraId="45C7AAE3" w14:textId="77777777" w:rsidTr="00A640D8">
        <w:tc>
          <w:tcPr>
            <w:tcW w:w="1885" w:type="dxa"/>
            <w:vAlign w:val="center"/>
          </w:tcPr>
          <w:p w14:paraId="0094247C"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Abdulla Baddah</w:t>
            </w:r>
          </w:p>
          <w:p w14:paraId="789E497F" w14:textId="4E486A29"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(2016)</w:t>
            </w:r>
          </w:p>
        </w:tc>
        <w:tc>
          <w:tcPr>
            <w:tcW w:w="3419" w:type="dxa"/>
            <w:vAlign w:val="center"/>
          </w:tcPr>
          <w:p w14:paraId="6B768F96" w14:textId="4B1D7AD1"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The direction of change management in United Arab Emirates</w:t>
            </w:r>
          </w:p>
        </w:tc>
        <w:tc>
          <w:tcPr>
            <w:tcW w:w="1353" w:type="dxa"/>
            <w:vAlign w:val="center"/>
          </w:tcPr>
          <w:p w14:paraId="3E6F5079" w14:textId="44FD73A6"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w:t>
            </w:r>
          </w:p>
        </w:tc>
        <w:tc>
          <w:tcPr>
            <w:tcW w:w="1386" w:type="dxa"/>
            <w:vAlign w:val="center"/>
          </w:tcPr>
          <w:p w14:paraId="4A4A8B55"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4F6F09D9" w14:textId="28D02887"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Abu Dhabi</w:t>
            </w:r>
          </w:p>
        </w:tc>
        <w:tc>
          <w:tcPr>
            <w:tcW w:w="5002" w:type="dxa"/>
            <w:vAlign w:val="center"/>
          </w:tcPr>
          <w:p w14:paraId="71D9A624" w14:textId="793590A4" w:rsidR="00F31813" w:rsidRPr="00511330" w:rsidRDefault="00F31813" w:rsidP="00A640D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 xml:space="preserve">To gain some understanding on the direction of change management in the UAE in order to guide future research about </w:t>
            </w:r>
            <w:r w:rsidR="00A640D8" w:rsidRPr="00511330">
              <w:rPr>
                <w:rStyle w:val="hlfld-abstract"/>
                <w:rFonts w:ascii="Times New Roman" w:hAnsi="Times New Roman" w:cs="Times New Roman"/>
                <w:b w:val="0"/>
                <w:bCs w:val="0"/>
                <w:color w:val="000000" w:themeColor="text1"/>
                <w:sz w:val="20"/>
                <w:szCs w:val="20"/>
              </w:rPr>
              <w:t>CM</w:t>
            </w:r>
            <w:r w:rsidRPr="00511330">
              <w:rPr>
                <w:rStyle w:val="hlfld-abstract"/>
                <w:rFonts w:ascii="Times New Roman" w:hAnsi="Times New Roman" w:cs="Times New Roman"/>
                <w:b w:val="0"/>
                <w:bCs w:val="0"/>
                <w:color w:val="000000" w:themeColor="text1"/>
                <w:sz w:val="20"/>
                <w:szCs w:val="20"/>
              </w:rPr>
              <w:t xml:space="preserve"> and to stimulate interest in the topic.</w:t>
            </w:r>
          </w:p>
        </w:tc>
      </w:tr>
      <w:tr w:rsidR="00F31813" w:rsidRPr="00511330" w14:paraId="15D50728" w14:textId="77777777" w:rsidTr="00A640D8">
        <w:tc>
          <w:tcPr>
            <w:tcW w:w="1885" w:type="dxa"/>
            <w:vAlign w:val="center"/>
          </w:tcPr>
          <w:p w14:paraId="1FFEA5C7" w14:textId="29AC1032" w:rsidR="00F31813" w:rsidRPr="00511330" w:rsidRDefault="00F31813" w:rsidP="00A640D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Abdulla A, Sanjay K</w:t>
            </w:r>
            <w:r w:rsidR="00A640D8" w:rsidRPr="00511330">
              <w:rPr>
                <w:rStyle w:val="hlfld-abstract"/>
                <w:rFonts w:ascii="Times New Roman" w:hAnsi="Times New Roman" w:cs="Times New Roman"/>
                <w:b w:val="0"/>
                <w:bCs w:val="0"/>
                <w:color w:val="000000" w:themeColor="text1"/>
                <w:sz w:val="20"/>
                <w:szCs w:val="20"/>
              </w:rPr>
              <w:t xml:space="preserve"> </w:t>
            </w:r>
            <w:r w:rsidRPr="00511330">
              <w:rPr>
                <w:rStyle w:val="hlfld-abstract"/>
                <w:rFonts w:ascii="Times New Roman" w:hAnsi="Times New Roman" w:cs="Times New Roman"/>
                <w:b w:val="0"/>
                <w:bCs w:val="0"/>
                <w:color w:val="000000" w:themeColor="text1"/>
                <w:sz w:val="20"/>
                <w:szCs w:val="20"/>
              </w:rPr>
              <w:t>Singh and Moza Al-Nahyan</w:t>
            </w:r>
            <w:r w:rsidR="00A640D8" w:rsidRPr="00511330">
              <w:rPr>
                <w:rStyle w:val="hlfld-abstract"/>
                <w:rFonts w:ascii="Times New Roman" w:hAnsi="Times New Roman" w:cs="Times New Roman"/>
                <w:b w:val="0"/>
                <w:bCs w:val="0"/>
                <w:color w:val="000000" w:themeColor="text1"/>
                <w:sz w:val="20"/>
                <w:szCs w:val="20"/>
              </w:rPr>
              <w:t xml:space="preserve"> </w:t>
            </w:r>
            <w:r w:rsidRPr="00511330">
              <w:rPr>
                <w:rStyle w:val="hlfld-abstract"/>
                <w:rFonts w:ascii="Times New Roman" w:hAnsi="Times New Roman" w:cs="Times New Roman"/>
                <w:b w:val="0"/>
                <w:bCs w:val="0"/>
                <w:color w:val="000000" w:themeColor="text1"/>
                <w:sz w:val="20"/>
                <w:szCs w:val="20"/>
              </w:rPr>
              <w:t>(2017)</w:t>
            </w:r>
          </w:p>
        </w:tc>
        <w:tc>
          <w:tcPr>
            <w:tcW w:w="3419" w:type="dxa"/>
            <w:vAlign w:val="center"/>
          </w:tcPr>
          <w:p w14:paraId="072A8349" w14:textId="412764DE"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Change management through leadership: the mediating role of organizational culture</w:t>
            </w:r>
          </w:p>
        </w:tc>
        <w:tc>
          <w:tcPr>
            <w:tcW w:w="1353" w:type="dxa"/>
            <w:vAlign w:val="center"/>
          </w:tcPr>
          <w:p w14:paraId="04FB3FA5" w14:textId="1F557F61"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w:t>
            </w:r>
          </w:p>
        </w:tc>
        <w:tc>
          <w:tcPr>
            <w:tcW w:w="1386" w:type="dxa"/>
            <w:vAlign w:val="center"/>
          </w:tcPr>
          <w:p w14:paraId="2E0460D7"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35C5524B" w14:textId="7903DF36"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Public-Sector</w:t>
            </w:r>
          </w:p>
        </w:tc>
        <w:tc>
          <w:tcPr>
            <w:tcW w:w="5002" w:type="dxa"/>
            <w:vAlign w:val="center"/>
          </w:tcPr>
          <w:p w14:paraId="6DF2C74F" w14:textId="12369840" w:rsidR="00F31813" w:rsidRPr="00511330" w:rsidRDefault="00F31813" w:rsidP="00825465">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 xml:space="preserve">Examine the influence of change leadership on organizational culture and </w:t>
            </w:r>
            <w:r w:rsidR="00825465" w:rsidRPr="00511330">
              <w:rPr>
                <w:rStyle w:val="hlfld-abstract"/>
                <w:rFonts w:ascii="Times New Roman" w:hAnsi="Times New Roman" w:cs="Times New Roman"/>
                <w:b w:val="0"/>
                <w:bCs w:val="0"/>
                <w:color w:val="000000" w:themeColor="text1"/>
                <w:sz w:val="20"/>
                <w:szCs w:val="20"/>
              </w:rPr>
              <w:t>CM</w:t>
            </w:r>
            <w:r w:rsidRPr="00511330">
              <w:rPr>
                <w:rStyle w:val="hlfld-abstract"/>
                <w:rFonts w:ascii="Times New Roman" w:hAnsi="Times New Roman" w:cs="Times New Roman"/>
                <w:b w:val="0"/>
                <w:bCs w:val="0"/>
                <w:color w:val="000000" w:themeColor="text1"/>
                <w:sz w:val="20"/>
                <w:szCs w:val="20"/>
              </w:rPr>
              <w:t xml:space="preserve"> practices in public-sector firms in the United Arab Emirates (UAE)</w:t>
            </w:r>
          </w:p>
        </w:tc>
      </w:tr>
      <w:tr w:rsidR="00F31813" w:rsidRPr="00511330" w14:paraId="10B77A7D" w14:textId="77777777" w:rsidTr="00A640D8">
        <w:tc>
          <w:tcPr>
            <w:tcW w:w="1885" w:type="dxa"/>
            <w:vAlign w:val="center"/>
          </w:tcPr>
          <w:p w14:paraId="5057C537"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J.r Alshamsi  et al.,</w:t>
            </w:r>
          </w:p>
          <w:p w14:paraId="170E967B" w14:textId="5235B2A2"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(2018)</w:t>
            </w:r>
          </w:p>
        </w:tc>
        <w:tc>
          <w:tcPr>
            <w:tcW w:w="3419" w:type="dxa"/>
            <w:vAlign w:val="center"/>
          </w:tcPr>
          <w:p w14:paraId="25AF991E" w14:textId="7112E104"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Managing Change - Case Study of Dubai Airport: New Technology</w:t>
            </w:r>
          </w:p>
        </w:tc>
        <w:tc>
          <w:tcPr>
            <w:tcW w:w="1353" w:type="dxa"/>
            <w:vAlign w:val="center"/>
          </w:tcPr>
          <w:p w14:paraId="5C91E2B9" w14:textId="7C4F536E"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w:t>
            </w:r>
          </w:p>
        </w:tc>
        <w:tc>
          <w:tcPr>
            <w:tcW w:w="1386" w:type="dxa"/>
            <w:vAlign w:val="center"/>
          </w:tcPr>
          <w:p w14:paraId="0A40A245"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63B3B057" w14:textId="6C9DD58E"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Airline</w:t>
            </w:r>
          </w:p>
        </w:tc>
        <w:tc>
          <w:tcPr>
            <w:tcW w:w="5002" w:type="dxa"/>
            <w:vAlign w:val="center"/>
          </w:tcPr>
          <w:p w14:paraId="7F80F156" w14:textId="7C4934BD" w:rsidR="00F31813" w:rsidRPr="00511330" w:rsidRDefault="00A640D8"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CM</w:t>
            </w:r>
            <w:r w:rsidR="00F31813" w:rsidRPr="00511330">
              <w:rPr>
                <w:rStyle w:val="hlfld-abstract"/>
                <w:rFonts w:ascii="Times New Roman" w:hAnsi="Times New Roman" w:cs="Times New Roman"/>
                <w:b w:val="0"/>
                <w:bCs w:val="0"/>
                <w:color w:val="000000" w:themeColor="text1"/>
                <w:sz w:val="20"/>
                <w:szCs w:val="20"/>
              </w:rPr>
              <w:t xml:space="preserve"> is a crucial concept that helps organizations to make structural, cultural, and organizational changes without interrupting essential processes. Also, it is worth noting that changes are inevitable as public and private companies seek to adapt to the ever changing business environment.</w:t>
            </w:r>
          </w:p>
        </w:tc>
      </w:tr>
      <w:tr w:rsidR="00F31813" w:rsidRPr="00511330" w14:paraId="6EC0D358" w14:textId="77777777" w:rsidTr="00A640D8">
        <w:tc>
          <w:tcPr>
            <w:tcW w:w="1885" w:type="dxa"/>
            <w:vAlign w:val="center"/>
          </w:tcPr>
          <w:p w14:paraId="51967AFB" w14:textId="487D878B" w:rsidR="00F31813" w:rsidRPr="00511330" w:rsidRDefault="00F31813" w:rsidP="00A96E95">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A.N Al-Sakkaf,  et al.,</w:t>
            </w:r>
            <w:r w:rsidR="00A96E95" w:rsidRPr="00511330">
              <w:rPr>
                <w:rStyle w:val="hlfld-abstract"/>
                <w:rFonts w:ascii="Times New Roman" w:hAnsi="Times New Roman" w:cs="Times New Roman"/>
                <w:b w:val="0"/>
                <w:bCs w:val="0"/>
                <w:color w:val="000000" w:themeColor="text1"/>
                <w:sz w:val="20"/>
                <w:szCs w:val="20"/>
              </w:rPr>
              <w:t xml:space="preserve"> </w:t>
            </w:r>
            <w:r w:rsidRPr="00511330">
              <w:rPr>
                <w:rStyle w:val="hlfld-abstract"/>
                <w:rFonts w:ascii="Times New Roman" w:hAnsi="Times New Roman" w:cs="Times New Roman"/>
                <w:b w:val="0"/>
                <w:bCs w:val="0"/>
                <w:color w:val="000000" w:themeColor="text1"/>
                <w:sz w:val="20"/>
                <w:szCs w:val="20"/>
              </w:rPr>
              <w:t>(2019)</w:t>
            </w:r>
          </w:p>
        </w:tc>
        <w:tc>
          <w:tcPr>
            <w:tcW w:w="3419" w:type="dxa"/>
            <w:vAlign w:val="center"/>
          </w:tcPr>
          <w:p w14:paraId="14F8D89C" w14:textId="61F74308"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Managing Change - Case Study of Change Management in Local Courts within UAE</w:t>
            </w:r>
          </w:p>
        </w:tc>
        <w:tc>
          <w:tcPr>
            <w:tcW w:w="1353" w:type="dxa"/>
            <w:vAlign w:val="center"/>
          </w:tcPr>
          <w:p w14:paraId="299AA1F4" w14:textId="65D362B2"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Qualitative</w:t>
            </w:r>
          </w:p>
        </w:tc>
        <w:tc>
          <w:tcPr>
            <w:tcW w:w="1386" w:type="dxa"/>
            <w:vAlign w:val="center"/>
          </w:tcPr>
          <w:p w14:paraId="797E29DE"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2C43D9D8" w14:textId="6414D528"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Local Courts</w:t>
            </w:r>
          </w:p>
        </w:tc>
        <w:tc>
          <w:tcPr>
            <w:tcW w:w="5002" w:type="dxa"/>
            <w:vAlign w:val="center"/>
          </w:tcPr>
          <w:p w14:paraId="420902E5" w14:textId="757C0390"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An analytical descriptive study that focuses on the management of change, the reasons, and results in one of the government sectors in the United Arab Emirates</w:t>
            </w:r>
          </w:p>
        </w:tc>
      </w:tr>
      <w:tr w:rsidR="00F31813" w:rsidRPr="00511330" w14:paraId="776D8D61" w14:textId="77777777" w:rsidTr="00A640D8">
        <w:tc>
          <w:tcPr>
            <w:tcW w:w="1885" w:type="dxa"/>
            <w:vAlign w:val="center"/>
          </w:tcPr>
          <w:p w14:paraId="31A1AF6A"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Almansoori, S</w:t>
            </w:r>
          </w:p>
          <w:p w14:paraId="2D54C084" w14:textId="22D331FA"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(2019)</w:t>
            </w:r>
          </w:p>
        </w:tc>
        <w:tc>
          <w:tcPr>
            <w:tcW w:w="3419" w:type="dxa"/>
            <w:vAlign w:val="center"/>
          </w:tcPr>
          <w:p w14:paraId="1B310DB4"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Shaping the future through strategic change management framework in the UAE Law Enforcement Agency</w:t>
            </w:r>
          </w:p>
          <w:p w14:paraId="276A6265"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p>
        </w:tc>
        <w:tc>
          <w:tcPr>
            <w:tcW w:w="1353" w:type="dxa"/>
            <w:vAlign w:val="center"/>
          </w:tcPr>
          <w:p w14:paraId="374D7962" w14:textId="4915CAE0" w:rsidR="00F31813" w:rsidRPr="00511330" w:rsidRDefault="00F31813" w:rsidP="0061081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 xml:space="preserve">Qualitative </w:t>
            </w:r>
            <w:r w:rsidR="00A96E95" w:rsidRPr="00511330">
              <w:rPr>
                <w:rStyle w:val="hlfld-abstract"/>
                <w:rFonts w:ascii="Times New Roman" w:hAnsi="Times New Roman" w:cs="Times New Roman"/>
                <w:b w:val="0"/>
                <w:bCs w:val="0"/>
                <w:color w:val="000000" w:themeColor="text1"/>
                <w:sz w:val="20"/>
                <w:szCs w:val="20"/>
              </w:rPr>
              <w:t>&amp;</w:t>
            </w:r>
            <w:r w:rsidRPr="00511330">
              <w:rPr>
                <w:rStyle w:val="hlfld-abstract"/>
                <w:rFonts w:ascii="Times New Roman" w:hAnsi="Times New Roman" w:cs="Times New Roman"/>
                <w:b w:val="0"/>
                <w:bCs w:val="0"/>
                <w:color w:val="000000" w:themeColor="text1"/>
                <w:sz w:val="20"/>
                <w:szCs w:val="20"/>
              </w:rPr>
              <w:t xml:space="preserve"> Quantitative</w:t>
            </w:r>
          </w:p>
        </w:tc>
        <w:tc>
          <w:tcPr>
            <w:tcW w:w="1386" w:type="dxa"/>
            <w:vAlign w:val="center"/>
          </w:tcPr>
          <w:p w14:paraId="1FCB80DB" w14:textId="77777777"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UAE</w:t>
            </w:r>
          </w:p>
          <w:p w14:paraId="32368363" w14:textId="0E423AF2" w:rsidR="00F31813" w:rsidRPr="00511330" w:rsidRDefault="00F31813" w:rsidP="00610818">
            <w:pPr>
              <w:pStyle w:val="Caption"/>
              <w:keepNext/>
              <w:tabs>
                <w:tab w:val="right" w:pos="13382"/>
              </w:tabs>
              <w:spacing w:after="0"/>
              <w:rPr>
                <w:rStyle w:val="hlfld-abstract"/>
                <w:rFonts w:ascii="Times New Roman" w:hAnsi="Times New Roman" w:cs="Times New Roman"/>
                <w:b w:val="0"/>
                <w:bCs w:val="0"/>
                <w:color w:val="000000" w:themeColor="text1"/>
                <w:sz w:val="20"/>
                <w:szCs w:val="20"/>
              </w:rPr>
            </w:pPr>
            <w:r w:rsidRPr="00511330">
              <w:rPr>
                <w:rStyle w:val="hlfld-abstract"/>
                <w:rFonts w:ascii="Times New Roman" w:hAnsi="Times New Roman" w:cs="Times New Roman"/>
                <w:b w:val="0"/>
                <w:bCs w:val="0"/>
                <w:color w:val="000000" w:themeColor="text1"/>
                <w:sz w:val="20"/>
                <w:szCs w:val="20"/>
              </w:rPr>
              <w:t>Low Firms</w:t>
            </w:r>
          </w:p>
        </w:tc>
        <w:tc>
          <w:tcPr>
            <w:tcW w:w="5002" w:type="dxa"/>
            <w:vAlign w:val="center"/>
          </w:tcPr>
          <w:p w14:paraId="705B3E2F" w14:textId="538F0D37" w:rsidR="00F31813" w:rsidRPr="00511330" w:rsidRDefault="002C51AC" w:rsidP="00A640D8">
            <w:pPr>
              <w:pStyle w:val="Caption"/>
              <w:keepNext/>
              <w:tabs>
                <w:tab w:val="right" w:pos="13382"/>
              </w:tabs>
              <w:spacing w:after="0"/>
              <w:rPr>
                <w:rStyle w:val="hlfld-abstract"/>
                <w:rFonts w:ascii="Times New Roman" w:hAnsi="Times New Roman" w:cs="Times New Roman"/>
                <w:color w:val="000000" w:themeColor="text1"/>
                <w:sz w:val="20"/>
                <w:szCs w:val="20"/>
              </w:rPr>
            </w:pPr>
            <w:r w:rsidRPr="00511330">
              <w:rPr>
                <w:rStyle w:val="hlfld-abstract"/>
                <w:rFonts w:ascii="Times New Roman" w:hAnsi="Times New Roman" w:cs="Times New Roman"/>
                <w:b w:val="0"/>
                <w:bCs w:val="0"/>
                <w:color w:val="000000" w:themeColor="text1"/>
                <w:sz w:val="20"/>
                <w:szCs w:val="20"/>
              </w:rPr>
              <w:t>Contribution to knowledge and practice in the UAE is emphasized for commitment to change is evident, but change management processes and strategies are vague</w:t>
            </w:r>
          </w:p>
        </w:tc>
      </w:tr>
    </w:tbl>
    <w:p w14:paraId="74FDFA4B" w14:textId="0F1C44A3" w:rsidR="009A0B5B" w:rsidRPr="00511330" w:rsidRDefault="009A0B5B" w:rsidP="00EB65DA">
      <w:pPr>
        <w:pStyle w:val="Caption"/>
        <w:rPr>
          <w:rFonts w:ascii="Times New Roman" w:hAnsi="Times New Roman" w:cs="Times New Roman"/>
          <w:b w:val="0"/>
          <w:bCs w:val="0"/>
          <w:color w:val="000000" w:themeColor="text1"/>
          <w:sz w:val="24"/>
          <w:szCs w:val="24"/>
          <w:lang w:val="en-US"/>
        </w:rPr>
        <w:sectPr w:rsidR="009A0B5B" w:rsidRPr="00511330" w:rsidSect="0033045F">
          <w:pgSz w:w="16838" w:h="11906" w:orient="landscape" w:code="9"/>
          <w:pgMar w:top="2160" w:right="2160" w:bottom="2160" w:left="2160" w:header="706" w:footer="706" w:gutter="0"/>
          <w:cols w:space="708"/>
          <w:docGrid w:linePitch="360"/>
        </w:sectPr>
      </w:pPr>
    </w:p>
    <w:p w14:paraId="644161A5" w14:textId="77777777" w:rsidR="008D3598" w:rsidRPr="00511330" w:rsidRDefault="008D3598" w:rsidP="00721566">
      <w:pPr>
        <w:pStyle w:val="Heading2"/>
        <w:numPr>
          <w:ilvl w:val="1"/>
          <w:numId w:val="12"/>
        </w:numPr>
        <w:ind w:left="540" w:right="-450" w:hanging="540"/>
        <w:rPr>
          <w:lang w:val="en-US"/>
        </w:rPr>
      </w:pPr>
      <w:bookmarkStart w:id="149" w:name="_Toc32085708"/>
      <w:bookmarkStart w:id="150" w:name="_Toc32085893"/>
      <w:bookmarkStart w:id="151" w:name="_Toc32086080"/>
      <w:bookmarkStart w:id="152" w:name="_Toc32090217"/>
      <w:bookmarkStart w:id="153" w:name="_Toc32090547"/>
      <w:bookmarkStart w:id="154" w:name="_Toc32091463"/>
      <w:bookmarkEnd w:id="149"/>
      <w:bookmarkEnd w:id="150"/>
      <w:bookmarkEnd w:id="151"/>
      <w:bookmarkEnd w:id="152"/>
      <w:bookmarkEnd w:id="153"/>
      <w:bookmarkEnd w:id="154"/>
      <w:r w:rsidRPr="00511330">
        <w:rPr>
          <w:lang w:val="en-US"/>
        </w:rPr>
        <w:lastRenderedPageBreak/>
        <w:t xml:space="preserve"> </w:t>
      </w:r>
      <w:bookmarkStart w:id="155" w:name="_Toc43311612"/>
      <w:r w:rsidRPr="00511330">
        <w:rPr>
          <w:lang w:val="en-US"/>
        </w:rPr>
        <w:t>Motivators of Change Management</w:t>
      </w:r>
      <w:bookmarkEnd w:id="155"/>
    </w:p>
    <w:p w14:paraId="644161A6" w14:textId="11C38B1C" w:rsidR="008D3598" w:rsidRPr="00511330" w:rsidRDefault="008D3598" w:rsidP="00FC626A">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UAE’s energy market is considered one of the fastest</w:t>
      </w:r>
      <w:r w:rsidR="00D805C9"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growing industries in the world. The anticipated power required in </w:t>
      </w:r>
      <w:r w:rsidR="000A38E2" w:rsidRPr="00511330">
        <w:rPr>
          <w:rFonts w:asciiTheme="majorBidi" w:hAnsiTheme="majorBidi" w:cstheme="majorBidi"/>
          <w:sz w:val="24"/>
          <w:szCs w:val="24"/>
          <w:lang w:val="en-US"/>
        </w:rPr>
        <w:t xml:space="preserve">the coming </w:t>
      </w:r>
      <w:r w:rsidRPr="00511330">
        <w:rPr>
          <w:rFonts w:asciiTheme="majorBidi" w:hAnsiTheme="majorBidi" w:cstheme="majorBidi"/>
          <w:sz w:val="24"/>
          <w:szCs w:val="24"/>
          <w:lang w:val="en-US"/>
        </w:rPr>
        <w:t>years has increased rapidly. The renewable energy approach was adopted in 2006</w:t>
      </w:r>
      <w:r w:rsidR="00F17CD6"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local energy providers had laid down plans all to 2030 (Mezher et al., 2015). </w:t>
      </w:r>
      <w:r w:rsidR="00F17CD6" w:rsidRPr="00511330">
        <w:rPr>
          <w:rFonts w:asciiTheme="majorBidi" w:hAnsiTheme="majorBidi" w:cstheme="majorBidi"/>
          <w:sz w:val="24"/>
          <w:szCs w:val="24"/>
          <w:lang w:val="en-US"/>
        </w:rPr>
        <w:t>B</w:t>
      </w:r>
      <w:r w:rsidR="001A2BAA" w:rsidRPr="00511330">
        <w:rPr>
          <w:rFonts w:asciiTheme="majorBidi" w:hAnsiTheme="majorBidi" w:cstheme="majorBidi"/>
          <w:sz w:val="24"/>
          <w:szCs w:val="24"/>
          <w:lang w:val="en-US"/>
        </w:rPr>
        <w:t>ased on its continuous</w:t>
      </w:r>
      <w:r w:rsidRPr="00511330">
        <w:rPr>
          <w:rFonts w:asciiTheme="majorBidi" w:hAnsiTheme="majorBidi" w:cstheme="majorBidi"/>
          <w:sz w:val="24"/>
          <w:szCs w:val="24"/>
          <w:lang w:val="en-US"/>
        </w:rPr>
        <w:t xml:space="preserve"> approach to be</w:t>
      </w:r>
      <w:r w:rsidR="00F17CD6" w:rsidRPr="00511330">
        <w:rPr>
          <w:rFonts w:asciiTheme="majorBidi" w:hAnsiTheme="majorBidi" w:cstheme="majorBidi"/>
          <w:sz w:val="24"/>
          <w:szCs w:val="24"/>
          <w:lang w:val="en-US"/>
        </w:rPr>
        <w:t>coming</w:t>
      </w:r>
      <w:r w:rsidRPr="00511330">
        <w:rPr>
          <w:rFonts w:asciiTheme="majorBidi" w:hAnsiTheme="majorBidi" w:cstheme="majorBidi"/>
          <w:sz w:val="24"/>
          <w:szCs w:val="24"/>
          <w:lang w:val="en-US"/>
        </w:rPr>
        <w:t xml:space="preserve"> a leading country in RE, the UAE raised the bar for its anticipation transformation towards renewables to higher limits. In 2018, the UAE decided to </w:t>
      </w:r>
      <w:r w:rsidR="00F9445F" w:rsidRPr="00511330">
        <w:rPr>
          <w:rFonts w:asciiTheme="majorBidi" w:hAnsiTheme="majorBidi" w:cstheme="majorBidi"/>
          <w:sz w:val="24"/>
          <w:szCs w:val="24"/>
          <w:lang w:val="en-US"/>
        </w:rPr>
        <w:t xml:space="preserve">elevate </w:t>
      </w:r>
      <w:r w:rsidRPr="00511330">
        <w:rPr>
          <w:rFonts w:asciiTheme="majorBidi" w:hAnsiTheme="majorBidi" w:cstheme="majorBidi"/>
          <w:sz w:val="24"/>
          <w:szCs w:val="24"/>
          <w:lang w:val="en-US"/>
        </w:rPr>
        <w:t>its clean energy target from 24% to 27% by 2021 as part of its commitment to global efforts to fight climate change (</w:t>
      </w:r>
      <w:r w:rsidR="00FC626A" w:rsidRPr="00511330">
        <w:rPr>
          <w:rFonts w:asciiTheme="majorBidi" w:hAnsiTheme="majorBidi" w:cstheme="majorBidi"/>
          <w:sz w:val="24"/>
          <w:szCs w:val="24"/>
          <w:lang w:val="en-US"/>
        </w:rPr>
        <w:t>AbdulKader</w:t>
      </w:r>
      <w:r w:rsidRPr="00511330">
        <w:rPr>
          <w:rFonts w:asciiTheme="majorBidi" w:hAnsiTheme="majorBidi" w:cstheme="majorBidi"/>
          <w:sz w:val="24"/>
          <w:szCs w:val="24"/>
          <w:lang w:val="en-US"/>
        </w:rPr>
        <w:t>, 2016). In</w:t>
      </w:r>
      <w:r w:rsidR="00892A00" w:rsidRPr="00511330">
        <w:rPr>
          <w:rFonts w:asciiTheme="majorBidi" w:hAnsiTheme="majorBidi" w:cstheme="majorBidi"/>
          <w:sz w:val="24"/>
          <w:szCs w:val="24"/>
          <w:lang w:val="en-US"/>
        </w:rPr>
        <w:t xml:space="preserve"> the UAE</w:t>
      </w:r>
      <w:r w:rsidRPr="00511330">
        <w:rPr>
          <w:rFonts w:asciiTheme="majorBidi" w:hAnsiTheme="majorBidi" w:cstheme="majorBidi"/>
          <w:sz w:val="24"/>
          <w:szCs w:val="24"/>
          <w:lang w:val="en-US"/>
        </w:rPr>
        <w:t>, energy and water consumption levels are growing continuously with both the economy and the population growth (Saleh et al., 2019).</w:t>
      </w:r>
    </w:p>
    <w:p w14:paraId="644161A7" w14:textId="51F2294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Change to the nation’s energy sector has come as </w:t>
      </w:r>
      <w:r w:rsidR="00D805C9"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 xml:space="preserve">result of its ambition to be on top of leading countries of </w:t>
      </w:r>
      <w:r w:rsidR="00D744BF"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renewable energy market. However, </w:t>
      </w:r>
      <w:r w:rsidR="00FA73C2" w:rsidRPr="00511330">
        <w:rPr>
          <w:rFonts w:asciiTheme="majorBidi" w:hAnsiTheme="majorBidi" w:cstheme="majorBidi"/>
          <w:sz w:val="24"/>
          <w:szCs w:val="24"/>
          <w:lang w:val="en-US"/>
        </w:rPr>
        <w:t xml:space="preserve">frequent sudden </w:t>
      </w:r>
      <w:r w:rsidRPr="00511330">
        <w:rPr>
          <w:rFonts w:asciiTheme="majorBidi" w:hAnsiTheme="majorBidi" w:cstheme="majorBidi"/>
          <w:sz w:val="24"/>
          <w:szCs w:val="24"/>
          <w:lang w:val="en-US"/>
        </w:rPr>
        <w:t>changes were implemented</w:t>
      </w:r>
      <w:r w:rsidR="00A032DF"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many organizations have </w:t>
      </w:r>
      <w:r w:rsidR="00FA73C2" w:rsidRPr="00511330">
        <w:rPr>
          <w:rFonts w:asciiTheme="majorBidi" w:hAnsiTheme="majorBidi" w:cstheme="majorBidi"/>
          <w:sz w:val="24"/>
          <w:szCs w:val="24"/>
          <w:lang w:val="en-US"/>
        </w:rPr>
        <w:t xml:space="preserve">suffered </w:t>
      </w:r>
      <w:r w:rsidRPr="00511330">
        <w:rPr>
          <w:rFonts w:asciiTheme="majorBidi" w:hAnsiTheme="majorBidi" w:cstheme="majorBidi"/>
          <w:sz w:val="24"/>
          <w:szCs w:val="24"/>
          <w:lang w:val="en-US"/>
        </w:rPr>
        <w:t>flaw</w:t>
      </w:r>
      <w:r w:rsidR="00FA73C2"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during the process, as a result of which the relation with stakeholders has taken dramatic turns. The UAE has gone through </w:t>
      </w:r>
      <w:r w:rsidR="004D66FC" w:rsidRPr="00511330">
        <w:rPr>
          <w:rFonts w:asciiTheme="majorBidi" w:hAnsiTheme="majorBidi" w:cstheme="majorBidi"/>
          <w:sz w:val="24"/>
          <w:szCs w:val="24"/>
          <w:lang w:val="en-US"/>
        </w:rPr>
        <w:t xml:space="preserve">various </w:t>
      </w:r>
      <w:r w:rsidRPr="00511330">
        <w:rPr>
          <w:rFonts w:asciiTheme="majorBidi" w:hAnsiTheme="majorBidi" w:cstheme="majorBidi"/>
          <w:sz w:val="24"/>
          <w:szCs w:val="24"/>
          <w:lang w:val="en-US"/>
        </w:rPr>
        <w:t>public sector restructurings</w:t>
      </w:r>
      <w:r w:rsidR="00574CCB"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w:t>
      </w:r>
      <w:r w:rsidR="00574CCB" w:rsidRPr="00511330">
        <w:rPr>
          <w:rFonts w:asciiTheme="majorBidi" w:hAnsiTheme="majorBidi" w:cstheme="majorBidi"/>
          <w:sz w:val="24"/>
          <w:szCs w:val="24"/>
          <w:lang w:val="en-US"/>
        </w:rPr>
        <w:t xml:space="preserve">Still, </w:t>
      </w:r>
      <w:r w:rsidRPr="00511330">
        <w:rPr>
          <w:rFonts w:asciiTheme="majorBidi" w:hAnsiTheme="majorBidi" w:cstheme="majorBidi"/>
          <w:sz w:val="24"/>
          <w:szCs w:val="24"/>
          <w:lang w:val="en-US"/>
        </w:rPr>
        <w:t xml:space="preserve">the coordination and collaboration between all major stakeholders in the energy and water sectors are not adequate due to the lack of experience in implementing RE projects (Al Naqbi et al., 2019). Due to </w:t>
      </w:r>
      <w:r w:rsidR="00B92E41"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struggle on organizational levels and stakeholders of renewables, a continuous challenge was posed, especially for leaderships, to ensure that all changes were implemented internally through the organizations. As evidenced in the recent past, the UAE has taken the Climate Change challenge</w:t>
      </w:r>
      <w:r w:rsidR="00011118" w:rsidRPr="00511330">
        <w:rPr>
          <w:rFonts w:asciiTheme="majorBidi" w:hAnsiTheme="majorBidi" w:cstheme="majorBidi"/>
          <w:sz w:val="24"/>
          <w:szCs w:val="24"/>
          <w:lang w:val="en-US"/>
        </w:rPr>
        <w:t xml:space="preserve"> seriously</w:t>
      </w:r>
      <w:r w:rsidRPr="00511330">
        <w:rPr>
          <w:rFonts w:asciiTheme="majorBidi" w:hAnsiTheme="majorBidi" w:cstheme="majorBidi"/>
          <w:sz w:val="24"/>
          <w:szCs w:val="24"/>
          <w:lang w:val="en-US"/>
        </w:rPr>
        <w:t xml:space="preserve"> and is increasingly becoming a benchmark for other countries regionally and globally (Al Naqbi et al., 2019). </w:t>
      </w:r>
      <w:r w:rsidRPr="00511330">
        <w:rPr>
          <w:rFonts w:asciiTheme="majorBidi" w:hAnsiTheme="majorBidi" w:cstheme="majorBidi"/>
          <w:sz w:val="24"/>
          <w:szCs w:val="24"/>
          <w:lang w:val="en-US"/>
        </w:rPr>
        <w:lastRenderedPageBreak/>
        <w:t xml:space="preserve">Externally, there was a continuous approach to ensure that the energy business models shall fit the international standard. Hence, introducing new laws and decrees </w:t>
      </w:r>
      <w:r w:rsidR="004D63F0" w:rsidRPr="00511330">
        <w:rPr>
          <w:rFonts w:asciiTheme="majorBidi" w:hAnsiTheme="majorBidi" w:cstheme="majorBidi"/>
          <w:sz w:val="24"/>
          <w:szCs w:val="24"/>
          <w:lang w:val="en-US"/>
        </w:rPr>
        <w:t>guarantees</w:t>
      </w:r>
      <w:r w:rsidRPr="00511330">
        <w:rPr>
          <w:rFonts w:asciiTheme="majorBidi" w:hAnsiTheme="majorBidi" w:cstheme="majorBidi"/>
          <w:sz w:val="24"/>
          <w:szCs w:val="24"/>
          <w:lang w:val="en-US"/>
        </w:rPr>
        <w:t xml:space="preserve"> that the new business model shall be sustainable along with the desired future visions. The UAE has developed vision 2021, green growth economy, and water security strategy 2030 as parts of its efforts </w:t>
      </w:r>
      <w:r w:rsidR="00D51DCE" w:rsidRPr="00511330">
        <w:rPr>
          <w:rFonts w:asciiTheme="majorBidi" w:hAnsiTheme="majorBidi" w:cstheme="majorBidi"/>
          <w:sz w:val="24"/>
          <w:szCs w:val="24"/>
          <w:lang w:val="en-US"/>
        </w:rPr>
        <w:t xml:space="preserve">towards </w:t>
      </w:r>
      <w:r w:rsidRPr="00511330">
        <w:rPr>
          <w:rFonts w:asciiTheme="majorBidi" w:hAnsiTheme="majorBidi" w:cstheme="majorBidi"/>
          <w:sz w:val="24"/>
          <w:szCs w:val="24"/>
          <w:lang w:val="en-US"/>
        </w:rPr>
        <w:t>sustainable development (Saleh et al., 2019). After the government introduced new RE policies and targets, there was a transition toward more public-private partnership (PPP) by using Independent Power Producers (IPP) and Power Purchase Agreement (PPA) model (Naqbi et al., 2019).</w:t>
      </w:r>
    </w:p>
    <w:p w14:paraId="644161A8" w14:textId="52267CEE"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Finally, the process of change never stopped</w:t>
      </w:r>
      <w:r w:rsidR="00D51DCE"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all energy organizations are still on their way to applying new systematic approaches by introducing photovoltaic cells and allowing homeowners to contribute to the national grid. </w:t>
      </w:r>
      <w:r w:rsidR="003A7245" w:rsidRPr="00511330">
        <w:rPr>
          <w:rFonts w:asciiTheme="majorBidi" w:hAnsiTheme="majorBidi" w:cstheme="majorBidi"/>
          <w:sz w:val="24"/>
          <w:szCs w:val="24"/>
          <w:lang w:val="en-US"/>
        </w:rPr>
        <w:t xml:space="preserve">Dubai was chosen as a pilot project for adopting the ‘Solar Town’ program. The primary goal of this project is to scale up the urban installation and utilization of renewable energy through developing a partnership involving governmental authorities, local community master developers, local community management, building owners, householders further to the construction, as well as the industry and business sector </w:t>
      </w:r>
      <w:r w:rsidRPr="00511330">
        <w:rPr>
          <w:rFonts w:asciiTheme="majorBidi" w:hAnsiTheme="majorBidi" w:cstheme="majorBidi"/>
          <w:sz w:val="24"/>
          <w:szCs w:val="24"/>
          <w:lang w:val="en-US"/>
        </w:rPr>
        <w:t>Dubai was chosen to explore the capability of adopting the ‘Solar Town’ program, whose goal is to increase the installation and utilization of renewable energy on an urban scale through developing a partnership involving the different levels of governmental authorities, local community master developers, local community management, building owners, householders further to the construction, as well as the industry and business sector (MESIA.2015).</w:t>
      </w:r>
    </w:p>
    <w:p w14:paraId="644161A9" w14:textId="09E728FB"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The original word for motivation is the Latin word “movere</w:t>
      </w:r>
      <w:r w:rsidR="00D35A6F"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which means “to move” (Steers, Porter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Bigley, 1996, p.8). Motivation on a personal level would mean the self-desire to change or do willingly and desirably to achieve. "The term motivation refers to factors that activate, direct, and sustain goal-directed behavior. Motives are the "whys" of behavior - the needs or wants that drive behavior and explain what we do. We don't actually observe a motive; rather, we infer that one exists based on the </w:t>
      </w:r>
      <w:r w:rsidR="00E136BA" w:rsidRPr="00511330">
        <w:rPr>
          <w:rFonts w:asciiTheme="majorBidi" w:hAnsiTheme="majorBidi" w:cstheme="majorBidi"/>
          <w:sz w:val="24"/>
          <w:szCs w:val="24"/>
          <w:lang w:val="en-US"/>
        </w:rPr>
        <w:t>behavior</w:t>
      </w:r>
      <w:r w:rsidRPr="00511330">
        <w:rPr>
          <w:rFonts w:asciiTheme="majorBidi" w:hAnsiTheme="majorBidi" w:cstheme="majorBidi"/>
          <w:sz w:val="24"/>
          <w:szCs w:val="24"/>
          <w:lang w:val="en-US"/>
        </w:rPr>
        <w:t xml:space="preserve"> we observe" (Canvas Network</w:t>
      </w:r>
      <w:r w:rsidR="00C453F1"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2014).</w:t>
      </w:r>
    </w:p>
    <w:p w14:paraId="644161AA" w14:textId="335AFAA1" w:rsidR="008D3598" w:rsidRPr="00511330" w:rsidRDefault="008D3598" w:rsidP="00385C3A">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question of motivation ignited a lot of interest in leaders’ level as </w:t>
      </w:r>
      <w:r w:rsidR="00D805C9" w:rsidRPr="00511330">
        <w:rPr>
          <w:rFonts w:asciiTheme="majorBidi" w:hAnsiTheme="majorBidi" w:cstheme="majorBidi"/>
          <w:sz w:val="24"/>
          <w:szCs w:val="24"/>
          <w:lang w:val="en-US"/>
        </w:rPr>
        <w:t xml:space="preserve">an </w:t>
      </w:r>
      <w:r w:rsidRPr="00511330">
        <w:rPr>
          <w:rFonts w:asciiTheme="majorBidi" w:hAnsiTheme="majorBidi" w:cstheme="majorBidi"/>
          <w:sz w:val="24"/>
          <w:szCs w:val="24"/>
          <w:lang w:val="en-US"/>
        </w:rPr>
        <w:t xml:space="preserve">accelerator towards </w:t>
      </w:r>
      <w:r w:rsidR="00DD5914"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future or aiming at </w:t>
      </w:r>
      <w:r w:rsidR="00D805C9"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 xml:space="preserve">direction where mass will follow. </w:t>
      </w:r>
      <w:r w:rsidR="007F0480" w:rsidRPr="00511330">
        <w:rPr>
          <w:rFonts w:asciiTheme="majorBidi" w:hAnsiTheme="majorBidi" w:cstheme="majorBidi"/>
          <w:sz w:val="24"/>
          <w:szCs w:val="24"/>
          <w:lang w:val="en-US"/>
        </w:rPr>
        <w:t>T</w:t>
      </w:r>
      <w:r w:rsidRPr="00511330">
        <w:rPr>
          <w:rFonts w:asciiTheme="majorBidi" w:hAnsiTheme="majorBidi" w:cstheme="majorBidi"/>
          <w:sz w:val="24"/>
          <w:szCs w:val="24"/>
          <w:lang w:val="en-US"/>
        </w:rPr>
        <w:t xml:space="preserve">here was a lot of diversion among researchers on the core subject of motivation and what </w:t>
      </w:r>
      <w:r w:rsidR="007F0480" w:rsidRPr="00511330">
        <w:rPr>
          <w:rFonts w:asciiTheme="majorBidi" w:hAnsiTheme="majorBidi" w:cstheme="majorBidi"/>
          <w:sz w:val="24"/>
          <w:szCs w:val="24"/>
          <w:lang w:val="en-US"/>
        </w:rPr>
        <w:t xml:space="preserve">caused </w:t>
      </w:r>
      <w:r w:rsidRPr="00511330">
        <w:rPr>
          <w:rFonts w:asciiTheme="majorBidi" w:hAnsiTheme="majorBidi" w:cstheme="majorBidi"/>
          <w:sz w:val="24"/>
          <w:szCs w:val="24"/>
          <w:lang w:val="en-US"/>
        </w:rPr>
        <w:t>it. Driven by epistemic motivation and inquisitiveness, critical thinkers can master new skills and knowledge, which, in turn, can enhance employees’ belief in their ability to present useful ideas to their leaders.</w:t>
      </w:r>
      <w:r w:rsidR="00385C3A" w:rsidRPr="00511330">
        <w:rPr>
          <w:rFonts w:asciiTheme="majorBidi" w:hAnsiTheme="majorBidi" w:cstheme="majorBidi"/>
          <w:sz w:val="24"/>
          <w:szCs w:val="24"/>
          <w:lang w:val="en-US"/>
        </w:rPr>
        <w:t xml:space="preserve"> (Jiang</w:t>
      </w:r>
      <w:r w:rsidRPr="00511330">
        <w:rPr>
          <w:rFonts w:asciiTheme="majorBidi" w:hAnsiTheme="majorBidi" w:cstheme="majorBidi"/>
          <w:sz w:val="24"/>
          <w:szCs w:val="24"/>
          <w:lang w:val="en-US"/>
        </w:rPr>
        <w:t xml:space="preserve"> et al., 2018).</w:t>
      </w:r>
    </w:p>
    <w:p w14:paraId="644161AB" w14:textId="291F237D" w:rsidR="008D3598" w:rsidRPr="00511330" w:rsidRDefault="008D3598" w:rsidP="00E136BA">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In our study of renewable energy, motivation consists of factors that matter to energy stakeholders in the UAE and satisfactorily deliver green energy for future generations. In such contexts, Maslow (Robbins, 2000, p. 408) propos</w:t>
      </w:r>
      <w:r w:rsidR="00E136BA" w:rsidRPr="00511330">
        <w:rPr>
          <w:rFonts w:asciiTheme="majorBidi" w:hAnsiTheme="majorBidi" w:cstheme="majorBidi"/>
          <w:sz w:val="24"/>
          <w:szCs w:val="24"/>
          <w:lang w:val="en-US"/>
        </w:rPr>
        <w:t>es a hierarchy of needs, lower o</w:t>
      </w:r>
      <w:r w:rsidRPr="00511330">
        <w:rPr>
          <w:rFonts w:asciiTheme="majorBidi" w:hAnsiTheme="majorBidi" w:cstheme="majorBidi"/>
          <w:sz w:val="24"/>
          <w:szCs w:val="24"/>
          <w:lang w:val="en-US"/>
        </w:rPr>
        <w:t>rder needs</w:t>
      </w:r>
      <w:r w:rsidR="00E136BA"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represent yang, since they have an extremal, "materialistic" focus: food, water, and shelter are necessary to nurture the body and call for reaching out into the environment to acquire the </w:t>
      </w:r>
      <w:r w:rsidR="006849DF" w:rsidRPr="00511330">
        <w:rPr>
          <w:rFonts w:asciiTheme="majorBidi" w:hAnsiTheme="majorBidi" w:cstheme="majorBidi"/>
          <w:sz w:val="24"/>
          <w:szCs w:val="24"/>
          <w:lang w:val="en-US"/>
        </w:rPr>
        <w:t xml:space="preserve">required </w:t>
      </w:r>
      <w:r w:rsidRPr="00511330">
        <w:rPr>
          <w:rFonts w:asciiTheme="majorBidi" w:hAnsiTheme="majorBidi" w:cstheme="majorBidi"/>
          <w:sz w:val="24"/>
          <w:szCs w:val="24"/>
          <w:lang w:val="en-US"/>
        </w:rPr>
        <w:t>objects. Importantly, motivation is a specialized profession</w:t>
      </w:r>
      <w:r w:rsidR="006849DF"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ensure that stakeholders are always motivated towards change objectives </w:t>
      </w:r>
      <w:r w:rsidR="00892353" w:rsidRPr="00511330">
        <w:rPr>
          <w:rFonts w:asciiTheme="majorBidi" w:hAnsiTheme="majorBidi" w:cstheme="majorBidi"/>
          <w:sz w:val="24"/>
          <w:szCs w:val="24"/>
          <w:lang w:val="en-US"/>
        </w:rPr>
        <w:t xml:space="preserve">and </w:t>
      </w:r>
      <w:r w:rsidRPr="00511330">
        <w:rPr>
          <w:rFonts w:asciiTheme="majorBidi" w:hAnsiTheme="majorBidi" w:cstheme="majorBidi"/>
          <w:sz w:val="24"/>
          <w:szCs w:val="24"/>
          <w:lang w:val="en-US"/>
        </w:rPr>
        <w:t>shall always</w:t>
      </w:r>
      <w:r w:rsidR="000E35C2" w:rsidRPr="00511330">
        <w:rPr>
          <w:rFonts w:asciiTheme="majorBidi" w:hAnsiTheme="majorBidi" w:cstheme="majorBidi"/>
          <w:sz w:val="24"/>
          <w:szCs w:val="24"/>
          <w:lang w:val="en-US"/>
        </w:rPr>
        <w:t xml:space="preserve"> be</w:t>
      </w:r>
      <w:r w:rsidRPr="00511330">
        <w:rPr>
          <w:rFonts w:asciiTheme="majorBidi" w:hAnsiTheme="majorBidi" w:cstheme="majorBidi"/>
          <w:sz w:val="24"/>
          <w:szCs w:val="24"/>
          <w:lang w:val="en-US"/>
        </w:rPr>
        <w:t xml:space="preserve"> visible in mind and physical life.  Bakker and Demerouti (2017) have also shown that job resources may present as motivators</w:t>
      </w:r>
      <w:r w:rsidR="00EC2339"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particularly when job demands are high. The </w:t>
      </w:r>
      <w:r w:rsidRPr="00511330">
        <w:rPr>
          <w:rFonts w:asciiTheme="majorBidi" w:hAnsiTheme="majorBidi" w:cstheme="majorBidi"/>
          <w:sz w:val="24"/>
          <w:szCs w:val="24"/>
          <w:lang w:val="en-US"/>
        </w:rPr>
        <w:lastRenderedPageBreak/>
        <w:t xml:space="preserve">factors for motivation differ dramatically when it comes to change motives. Another problem is that most managers pay little to no attention to the motivation of workers during change, mostly focusing </w:t>
      </w:r>
      <w:r w:rsidR="00EC2339" w:rsidRPr="00511330">
        <w:rPr>
          <w:rFonts w:asciiTheme="majorBidi" w:hAnsiTheme="majorBidi" w:cstheme="majorBidi"/>
          <w:sz w:val="24"/>
          <w:szCs w:val="24"/>
          <w:lang w:val="en-US"/>
        </w:rPr>
        <w:t xml:space="preserve">on </w:t>
      </w:r>
      <w:r w:rsidRPr="00511330">
        <w:rPr>
          <w:rFonts w:asciiTheme="majorBidi" w:hAnsiTheme="majorBidi" w:cstheme="majorBidi"/>
          <w:sz w:val="24"/>
          <w:szCs w:val="24"/>
          <w:lang w:val="en-US"/>
        </w:rPr>
        <w:t>general communication, consultation</w:t>
      </w:r>
      <w:r w:rsidR="00604AE8"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info sharing (Lyndon Pugh, 2007, p.186). Similarly, Ajmal et al. (2018) specified that organizations are under pressure to adapt socially sustainable practices, but the motivators and barriers of various stakeholders have not been methodically explored.</w:t>
      </w:r>
    </w:p>
    <w:p w14:paraId="644161AC" w14:textId="699006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Change must consider the stimulus of stakeholder motivation s as the reward of having a better lifestyle and achieve happiness. This suggests that whereas job demands can have a negative impact on job satisfaction and be positively related to exhaustion, they could also pose challenges that are positively related to ‘vigor’ and motivation (Richardson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McKenna, 2019). Most of </w:t>
      </w:r>
      <w:r w:rsidR="00D805C9"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changes initiated</w:t>
      </w:r>
      <w:r w:rsidR="00135CE5"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which do not consider employees at </w:t>
      </w:r>
      <w:r w:rsidR="00B05C0D"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first step, have resulted in mass adhocracy and employee</w:t>
      </w:r>
      <w:r w:rsidR="00400FA0"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w:t>
      </w:r>
      <w:r w:rsidR="00400FA0" w:rsidRPr="00511330">
        <w:rPr>
          <w:rFonts w:asciiTheme="majorBidi" w:hAnsiTheme="majorBidi" w:cstheme="majorBidi"/>
          <w:sz w:val="24"/>
          <w:szCs w:val="24"/>
          <w:lang w:val="en-US"/>
        </w:rPr>
        <w:t xml:space="preserve">experiencing </w:t>
      </w:r>
      <w:r w:rsidRPr="00511330">
        <w:rPr>
          <w:rFonts w:asciiTheme="majorBidi" w:hAnsiTheme="majorBidi" w:cstheme="majorBidi"/>
          <w:sz w:val="24"/>
          <w:szCs w:val="24"/>
          <w:lang w:val="en-US"/>
        </w:rPr>
        <w:t xml:space="preserve">a vague process and irresponsible at </w:t>
      </w:r>
      <w:r w:rsidR="00400FA0" w:rsidRPr="00511330">
        <w:rPr>
          <w:rFonts w:asciiTheme="majorBidi" w:hAnsiTheme="majorBidi" w:cstheme="majorBidi"/>
          <w:sz w:val="24"/>
          <w:szCs w:val="24"/>
          <w:lang w:val="en-US"/>
        </w:rPr>
        <w:t xml:space="preserve">a </w:t>
      </w:r>
      <w:r w:rsidR="00B45F87" w:rsidRPr="00511330">
        <w:rPr>
          <w:rFonts w:asciiTheme="majorBidi" w:hAnsiTheme="majorBidi" w:cstheme="majorBidi"/>
          <w:sz w:val="24"/>
          <w:szCs w:val="24"/>
          <w:lang w:val="en-US"/>
        </w:rPr>
        <w:t xml:space="preserve">larger </w:t>
      </w:r>
      <w:r w:rsidRPr="00511330">
        <w:rPr>
          <w:rFonts w:asciiTheme="majorBidi" w:hAnsiTheme="majorBidi" w:cstheme="majorBidi"/>
          <w:sz w:val="24"/>
          <w:szCs w:val="24"/>
          <w:lang w:val="en-US"/>
        </w:rPr>
        <w:t>scale</w:t>
      </w:r>
      <w:r w:rsidR="00ED2703" w:rsidRPr="00511330">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t xml:space="preserve">they tend to throw all systemic flaws in </w:t>
      </w:r>
      <w:r w:rsidR="00DF3B07"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face of the leaders to steer them back up the change process. Although addressing employee needs is key for successful sense giving, extant literature remains vague about how leaders account for different employee needs over the course of a change process (Kraft et al., 2018).  In other ways, an employee’s motivation may fade through proper fairness system and process delay would become inevitable due to lack of empowerment from the leaders. The transactional leadership style satisfies the need of followers in the form of recognition or exchange or rewards after reaching the agreed task objectives and goals, thus achieving the expectations of leaders (Bass, 1997); Podsakoff et al., 1990). The overall success of an institution in achieving its </w:t>
      </w:r>
      <w:r w:rsidRPr="00511330">
        <w:rPr>
          <w:rFonts w:asciiTheme="majorBidi" w:hAnsiTheme="majorBidi" w:cstheme="majorBidi"/>
          <w:sz w:val="24"/>
          <w:szCs w:val="24"/>
          <w:lang w:val="en-US"/>
        </w:rPr>
        <w:lastRenderedPageBreak/>
        <w:t>strategic objectives relies heavily on the performance level of employees. As a matter of fact, employee performance is a function of ability and motivation, where ability comprises of the skills, training</w:t>
      </w:r>
      <w:r w:rsidR="009D234F"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resources required for performing a task and motivation is described as an inner force that drives </w:t>
      </w:r>
      <w:r w:rsidR="00054829"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individual to act towards something (Kiruja et al., 2018).</w:t>
      </w:r>
      <w:bookmarkStart w:id="156" w:name="_Toc32085710"/>
      <w:bookmarkStart w:id="157" w:name="_Toc32085895"/>
      <w:bookmarkStart w:id="158" w:name="_Toc32086082"/>
      <w:bookmarkStart w:id="159" w:name="_Toc32090219"/>
      <w:bookmarkStart w:id="160" w:name="_Toc32090549"/>
      <w:bookmarkStart w:id="161" w:name="_Toc32091465"/>
      <w:bookmarkStart w:id="162" w:name="_Toc32085711"/>
      <w:bookmarkStart w:id="163" w:name="_Toc32085896"/>
      <w:bookmarkStart w:id="164" w:name="_Toc32086083"/>
      <w:bookmarkStart w:id="165" w:name="_Toc32090220"/>
      <w:bookmarkStart w:id="166" w:name="_Toc32090550"/>
      <w:bookmarkStart w:id="167" w:name="_Toc32091466"/>
      <w:bookmarkStart w:id="168" w:name="_Toc32085712"/>
      <w:bookmarkStart w:id="169" w:name="_Toc32085897"/>
      <w:bookmarkStart w:id="170" w:name="_Toc32086084"/>
      <w:bookmarkStart w:id="171" w:name="_Toc32090221"/>
      <w:bookmarkStart w:id="172" w:name="_Toc32090551"/>
      <w:bookmarkStart w:id="173" w:name="_Toc32091467"/>
      <w:bookmarkStart w:id="174" w:name="_Toc32085715"/>
      <w:bookmarkStart w:id="175" w:name="_Toc32085900"/>
      <w:bookmarkStart w:id="176" w:name="_Toc32086087"/>
      <w:bookmarkStart w:id="177" w:name="_Toc32090224"/>
      <w:bookmarkStart w:id="178" w:name="_Toc32090554"/>
      <w:bookmarkStart w:id="179" w:name="_Toc32091470"/>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644161AD" w14:textId="2FA1BC60" w:rsidR="008D3598" w:rsidRPr="00511330" w:rsidRDefault="008D3598" w:rsidP="00011024">
      <w:pPr>
        <w:pStyle w:val="Heading3"/>
        <w:numPr>
          <w:ilvl w:val="2"/>
          <w:numId w:val="12"/>
        </w:numPr>
        <w:spacing w:after="240"/>
        <w:ind w:right="-450"/>
        <w:rPr>
          <w:rtl/>
          <w:lang w:val="en-US"/>
        </w:rPr>
      </w:pPr>
      <w:bookmarkStart w:id="180" w:name="_Toc43311613"/>
      <w:r w:rsidRPr="00511330">
        <w:rPr>
          <w:lang w:val="en-US"/>
        </w:rPr>
        <w:t>Affiliate Viability, Feasibility and Satisfactory (AVFS)</w:t>
      </w:r>
      <w:bookmarkEnd w:id="180"/>
    </w:p>
    <w:p w14:paraId="644161AE" w14:textId="795A355B"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Any organization thrives </w:t>
      </w:r>
      <w:r w:rsidR="00236B65" w:rsidRPr="00511330">
        <w:rPr>
          <w:rFonts w:asciiTheme="majorBidi" w:hAnsiTheme="majorBidi" w:cstheme="majorBidi"/>
          <w:sz w:val="24"/>
          <w:szCs w:val="24"/>
          <w:lang w:val="en-US"/>
        </w:rPr>
        <w:t>on being</w:t>
      </w:r>
      <w:r w:rsidRPr="00511330">
        <w:rPr>
          <w:rFonts w:asciiTheme="majorBidi" w:hAnsiTheme="majorBidi" w:cstheme="majorBidi"/>
          <w:sz w:val="24"/>
          <w:szCs w:val="24"/>
          <w:lang w:val="en-US"/>
        </w:rPr>
        <w:t xml:space="preserve"> the best on what they do and what they are aiming to be </w:t>
      </w:r>
      <w:r w:rsidR="005F2326" w:rsidRPr="00511330">
        <w:rPr>
          <w:rFonts w:asciiTheme="majorBidi" w:hAnsiTheme="majorBidi" w:cstheme="majorBidi"/>
          <w:sz w:val="24"/>
          <w:szCs w:val="24"/>
          <w:lang w:val="en-US"/>
        </w:rPr>
        <w:t>distinguished</w:t>
      </w:r>
      <w:r w:rsidRPr="00511330">
        <w:rPr>
          <w:rFonts w:asciiTheme="majorBidi" w:hAnsiTheme="majorBidi" w:cstheme="majorBidi"/>
          <w:sz w:val="24"/>
          <w:szCs w:val="24"/>
          <w:lang w:val="en-US"/>
        </w:rPr>
        <w:t xml:space="preserve">. However, the question remains: what are the ingredients of </w:t>
      </w:r>
      <w:r w:rsidR="005F2326"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successful organization? To focus on certain areas in our research, the factor of change motives related to viability, feasibility</w:t>
      </w:r>
      <w:r w:rsidR="008E713B"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satisfaction is related to multiple elements that make the</w:t>
      </w:r>
      <w:r w:rsidR="00D805C9" w:rsidRPr="00511330">
        <w:rPr>
          <w:rFonts w:asciiTheme="majorBidi" w:hAnsiTheme="majorBidi" w:cstheme="majorBidi"/>
          <w:sz w:val="24"/>
          <w:szCs w:val="24"/>
          <w:lang w:val="en-US"/>
        </w:rPr>
        <w:t>m</w:t>
      </w:r>
      <w:r w:rsidRPr="00511330">
        <w:rPr>
          <w:rFonts w:asciiTheme="majorBidi" w:hAnsiTheme="majorBidi" w:cstheme="majorBidi"/>
          <w:sz w:val="24"/>
          <w:szCs w:val="24"/>
          <w:lang w:val="en-US"/>
        </w:rPr>
        <w:t xml:space="preserve"> </w:t>
      </w:r>
      <w:r w:rsidR="00D805C9"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major pillar of motivator</w:t>
      </w:r>
      <w:r w:rsidR="00B54E57"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towards CM.</w:t>
      </w:r>
    </w:p>
    <w:p w14:paraId="644161AF" w14:textId="14BDD54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factor of </w:t>
      </w:r>
      <w:r w:rsidR="00950AC7"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product’s ease of use has been defined in multiple disciplines of sustainable, accountable, accessible, and flexible. In emerging markets, the key to </w:t>
      </w:r>
      <w:r w:rsidR="001459D1"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sustainable management of people, process</w:t>
      </w:r>
      <w:r w:rsidR="008D032B"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product is not an easy task and organizations always have to develop a sustainable architecture to leverage the best out of “mind-share” and “market-share” philosophy (Singh, 2018). </w:t>
      </w:r>
      <w:r w:rsidR="00002AF7" w:rsidRPr="00511330">
        <w:rPr>
          <w:rFonts w:asciiTheme="majorBidi" w:hAnsiTheme="majorBidi" w:cstheme="majorBidi"/>
          <w:sz w:val="24"/>
          <w:szCs w:val="24"/>
          <w:lang w:val="en-US"/>
        </w:rPr>
        <w:t xml:space="preserve">The low </w:t>
      </w:r>
      <w:r w:rsidRPr="00511330">
        <w:rPr>
          <w:rFonts w:asciiTheme="majorBidi" w:hAnsiTheme="majorBidi" w:cstheme="majorBidi"/>
          <w:sz w:val="24"/>
          <w:szCs w:val="24"/>
          <w:lang w:val="en-US"/>
        </w:rPr>
        <w:t>feasibility of a suggested measure was also identified as a main barrier, and one of the main motivators (Svensson et al., 2019).</w:t>
      </w:r>
    </w:p>
    <w:p w14:paraId="644161B0" w14:textId="0F24B81C"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element of happiness is considered one of the high-stream motivators of successful change. By reflecting on emotional and motivational responses, happiness constitutes an integral part of an ongoing functional process, a part of our biological make-up that serves fitness-enhancing functions by mobilizing </w:t>
      </w:r>
      <w:r w:rsidRPr="00511330">
        <w:rPr>
          <w:rFonts w:asciiTheme="majorBidi" w:hAnsiTheme="majorBidi" w:cstheme="majorBidi"/>
          <w:sz w:val="24"/>
          <w:szCs w:val="24"/>
          <w:lang w:val="en-US"/>
        </w:rPr>
        <w:lastRenderedPageBreak/>
        <w:t xml:space="preserve">appropriate responses to immediate circumstances and events (Nes et al., 2017). Happiness always entails </w:t>
      </w:r>
      <w:r w:rsidR="00D805C9"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 xml:space="preserve">multitude </w:t>
      </w:r>
      <w:r w:rsidR="00C24E2D" w:rsidRPr="00511330">
        <w:rPr>
          <w:rFonts w:asciiTheme="majorBidi" w:hAnsiTheme="majorBidi" w:cstheme="majorBidi"/>
          <w:sz w:val="24"/>
          <w:szCs w:val="24"/>
          <w:lang w:val="en-US"/>
        </w:rPr>
        <w:t xml:space="preserve">of </w:t>
      </w:r>
      <w:r w:rsidRPr="00511330">
        <w:rPr>
          <w:rFonts w:asciiTheme="majorBidi" w:hAnsiTheme="majorBidi" w:cstheme="majorBidi"/>
          <w:sz w:val="24"/>
          <w:szCs w:val="24"/>
          <w:lang w:val="en-US"/>
        </w:rPr>
        <w:t xml:space="preserve">successful meaning </w:t>
      </w:r>
      <w:r w:rsidR="00902129" w:rsidRPr="00511330">
        <w:rPr>
          <w:rFonts w:asciiTheme="majorBidi" w:hAnsiTheme="majorBidi" w:cstheme="majorBidi"/>
          <w:sz w:val="24"/>
          <w:szCs w:val="24"/>
          <w:lang w:val="en-US"/>
        </w:rPr>
        <w:t xml:space="preserve">in </w:t>
      </w:r>
      <w:r w:rsidRPr="00511330">
        <w:rPr>
          <w:rFonts w:asciiTheme="majorBidi" w:hAnsiTheme="majorBidi" w:cstheme="majorBidi"/>
          <w:sz w:val="24"/>
          <w:szCs w:val="24"/>
          <w:lang w:val="en-US"/>
        </w:rPr>
        <w:t>any direction. It talks for itself</w:t>
      </w:r>
      <w:r w:rsidR="00BD016C"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there would </w:t>
      </w:r>
      <w:r w:rsidR="00BD016C" w:rsidRPr="00511330">
        <w:rPr>
          <w:rFonts w:asciiTheme="majorBidi" w:hAnsiTheme="majorBidi" w:cstheme="majorBidi"/>
          <w:sz w:val="24"/>
          <w:szCs w:val="24"/>
          <w:lang w:val="en-US"/>
        </w:rPr>
        <w:t xml:space="preserve">be </w:t>
      </w:r>
      <w:r w:rsidRPr="00511330">
        <w:rPr>
          <w:rFonts w:asciiTheme="majorBidi" w:hAnsiTheme="majorBidi" w:cstheme="majorBidi"/>
          <w:sz w:val="24"/>
          <w:szCs w:val="24"/>
          <w:lang w:val="en-US"/>
        </w:rPr>
        <w:t xml:space="preserve">no need to explain it forward. </w:t>
      </w:r>
      <w:r w:rsidR="00094B3C" w:rsidRPr="00511330">
        <w:rPr>
          <w:rFonts w:asciiTheme="majorBidi" w:hAnsiTheme="majorBidi" w:cstheme="majorBidi"/>
          <w:sz w:val="24"/>
          <w:szCs w:val="24"/>
          <w:lang w:val="en-US"/>
        </w:rPr>
        <w:t>Therefore, happiness</w:t>
      </w:r>
      <w:r w:rsidRPr="00511330">
        <w:rPr>
          <w:rFonts w:asciiTheme="majorBidi" w:hAnsiTheme="majorBidi" w:cstheme="majorBidi"/>
          <w:sz w:val="24"/>
          <w:szCs w:val="24"/>
          <w:lang w:val="en-US"/>
        </w:rPr>
        <w:t xml:space="preserve"> should be enhanced in everyday life, clinical practice, and education (Macaskill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Denovan, 2014). </w:t>
      </w:r>
      <w:r w:rsidR="00702600" w:rsidRPr="00511330">
        <w:rPr>
          <w:rFonts w:asciiTheme="majorBidi" w:hAnsiTheme="majorBidi" w:cstheme="majorBidi"/>
          <w:sz w:val="24"/>
          <w:szCs w:val="24"/>
          <w:lang w:val="en-US"/>
        </w:rPr>
        <w:t>Thus</w:t>
      </w:r>
      <w:r w:rsidRPr="00511330">
        <w:rPr>
          <w:rFonts w:asciiTheme="majorBidi" w:hAnsiTheme="majorBidi" w:cstheme="majorBidi"/>
          <w:sz w:val="24"/>
          <w:szCs w:val="24"/>
          <w:lang w:val="en-US"/>
        </w:rPr>
        <w:t xml:space="preserve">, the government of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has seen the necessity of happiness. In 2018, the UAE government and under the leadership of H.H Shaikh Mohammed Bin Rashid, the prime minister assigned the happiness minister with a clear vision and mission to measure the happiness of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 residen</w:t>
      </w:r>
      <w:r w:rsidR="00DB21C1" w:rsidRPr="00511330">
        <w:rPr>
          <w:rFonts w:asciiTheme="majorBidi" w:hAnsiTheme="majorBidi" w:cstheme="majorBidi"/>
          <w:sz w:val="24"/>
          <w:szCs w:val="24"/>
          <w:lang w:val="en-US"/>
        </w:rPr>
        <w:t>ts</w:t>
      </w:r>
      <w:r w:rsidRPr="00511330">
        <w:rPr>
          <w:rFonts w:asciiTheme="majorBidi" w:hAnsiTheme="majorBidi" w:cstheme="majorBidi"/>
          <w:sz w:val="24"/>
          <w:szCs w:val="24"/>
          <w:lang w:val="en-US"/>
        </w:rPr>
        <w:t xml:space="preserve"> in different aspects of life and services. To the date, there is a paucity of empirical studies on mental health and happiness in the UAE (Petkari et al., 2018). The UAE laid the foundation of this initiative by appointing Ohood bint Khalfan Al Roumi as the Minister of State for Happiness in the new UAE Cabinet on February 10, 2016, to promote the UAE's plans, programs</w:t>
      </w:r>
      <w:r w:rsidR="00102FBB"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policies to promote the happiness of the UAE society (Gulf News, 2017).  The reality of the UAE, to the best of the knowledge of the present authors, no study has focused on the associations of strengths with happiness and mental health in a context of a Middle Eastern country (Petkari et al., 2018). </w:t>
      </w:r>
    </w:p>
    <w:p w14:paraId="644161B1" w14:textId="508A4C6A"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Achievement of results was always an ally in the approach undertaken by the UAE government to fulfi</w:t>
      </w:r>
      <w:r w:rsidR="00D805C9" w:rsidRPr="00511330">
        <w:rPr>
          <w:rFonts w:asciiTheme="majorBidi" w:hAnsiTheme="majorBidi" w:cstheme="majorBidi"/>
          <w:sz w:val="24"/>
          <w:szCs w:val="24"/>
          <w:lang w:val="en-US"/>
        </w:rPr>
        <w:t>l</w:t>
      </w:r>
      <w:r w:rsidRPr="00511330">
        <w:rPr>
          <w:rFonts w:asciiTheme="majorBidi" w:hAnsiTheme="majorBidi" w:cstheme="majorBidi"/>
          <w:sz w:val="24"/>
          <w:szCs w:val="24"/>
          <w:lang w:val="en-US"/>
        </w:rPr>
        <w:t xml:space="preserve">l its objectives. With the implementation of mitigation strategies, the CO2 emissions can be reduced by more than 30 billion tons </w:t>
      </w:r>
      <w:r w:rsidR="00FD7BAC" w:rsidRPr="00511330">
        <w:rPr>
          <w:rFonts w:asciiTheme="majorBidi" w:hAnsiTheme="majorBidi" w:cstheme="majorBidi"/>
          <w:sz w:val="24"/>
          <w:szCs w:val="24"/>
          <w:lang w:val="en-US"/>
        </w:rPr>
        <w:t xml:space="preserve">by </w:t>
      </w:r>
      <w:r w:rsidRPr="00511330">
        <w:rPr>
          <w:rFonts w:asciiTheme="majorBidi" w:hAnsiTheme="majorBidi" w:cstheme="majorBidi"/>
          <w:sz w:val="24"/>
          <w:szCs w:val="24"/>
          <w:lang w:val="en-US"/>
        </w:rPr>
        <w:t>2030</w:t>
      </w:r>
      <w:r w:rsidR="00FA6C96"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with a</w:t>
      </w:r>
      <w:r w:rsidR="00FD7BAC" w:rsidRPr="00511330">
        <w:rPr>
          <w:rFonts w:asciiTheme="majorBidi" w:hAnsiTheme="majorBidi" w:cstheme="majorBidi"/>
          <w:sz w:val="24"/>
          <w:szCs w:val="24"/>
          <w:lang w:val="en-US"/>
        </w:rPr>
        <w:t xml:space="preserve">n annual </w:t>
      </w:r>
      <w:r w:rsidRPr="00511330">
        <w:rPr>
          <w:rFonts w:asciiTheme="majorBidi" w:hAnsiTheme="majorBidi" w:cstheme="majorBidi"/>
          <w:sz w:val="24"/>
          <w:szCs w:val="24"/>
          <w:lang w:val="en-US"/>
        </w:rPr>
        <w:t xml:space="preserve">average of around 14 billion tons. These savings are essential for the progress </w:t>
      </w:r>
      <w:r w:rsidR="00F83493" w:rsidRPr="00511330">
        <w:rPr>
          <w:rFonts w:asciiTheme="majorBidi" w:hAnsiTheme="majorBidi" w:cstheme="majorBidi"/>
          <w:sz w:val="24"/>
          <w:szCs w:val="24"/>
          <w:lang w:val="en-US"/>
        </w:rPr>
        <w:t>of ensuring</w:t>
      </w:r>
      <w:r w:rsidRPr="00511330">
        <w:rPr>
          <w:rFonts w:asciiTheme="majorBidi" w:hAnsiTheme="majorBidi" w:cstheme="majorBidi"/>
          <w:sz w:val="24"/>
          <w:szCs w:val="24"/>
          <w:lang w:val="en-US"/>
        </w:rPr>
        <w:t xml:space="preserve"> clean and sustainable development in the UAE (Saleh et al., 2019). In 2017, the UAE launched its Soft Power Strategy, which aims to increase </w:t>
      </w:r>
      <w:r w:rsidR="00227F16" w:rsidRPr="00511330">
        <w:rPr>
          <w:rFonts w:asciiTheme="majorBidi" w:hAnsiTheme="majorBidi" w:cstheme="majorBidi"/>
          <w:sz w:val="24"/>
          <w:szCs w:val="24"/>
          <w:lang w:val="en-US"/>
        </w:rPr>
        <w:t>its</w:t>
      </w:r>
      <w:r w:rsidRPr="00511330">
        <w:rPr>
          <w:rFonts w:asciiTheme="majorBidi" w:hAnsiTheme="majorBidi" w:cstheme="majorBidi"/>
          <w:sz w:val="24"/>
          <w:szCs w:val="24"/>
          <w:lang w:val="en-US"/>
        </w:rPr>
        <w:t xml:space="preserve"> global reputation abroad by highlighting its identity, heritage, culture</w:t>
      </w:r>
      <w:r w:rsidR="005D63AF"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lastRenderedPageBreak/>
        <w:t>and global contributions to the world (UAE Government, 2018). Stable nations are expected to be long-term energy exporters. The UAE is well</w:t>
      </w:r>
      <w:r w:rsidR="001275FD"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positioned to fill this role</w:t>
      </w:r>
      <w:r w:rsidR="00A90AC5"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given its stable political environment and ongoing economic diversification aimed at building strong economic foundations (Duan et al., 2018). However, considering </w:t>
      </w:r>
      <w:r w:rsidR="008C3D1C"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result</w:t>
      </w:r>
      <w:r w:rsidR="00C92950" w:rsidRPr="00511330">
        <w:rPr>
          <w:rFonts w:asciiTheme="majorBidi" w:hAnsiTheme="majorBidi" w:cstheme="majorBidi"/>
          <w:sz w:val="24"/>
          <w:szCs w:val="24"/>
          <w:lang w:val="en-US"/>
        </w:rPr>
        <w:t>’s achievement</w:t>
      </w:r>
      <w:r w:rsidRPr="00511330">
        <w:rPr>
          <w:rFonts w:asciiTheme="majorBidi" w:hAnsiTheme="majorBidi" w:cstheme="majorBidi"/>
          <w:sz w:val="24"/>
          <w:szCs w:val="24"/>
          <w:lang w:val="en-US"/>
        </w:rPr>
        <w:t xml:space="preserve"> as </w:t>
      </w:r>
      <w:r w:rsidR="0051678D"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motivator element comes after a solid history of success to achieve results</w:t>
      </w:r>
      <w:r w:rsidR="00D805C9" w:rsidRPr="00511330">
        <w:rPr>
          <w:rFonts w:asciiTheme="majorBidi" w:hAnsiTheme="majorBidi" w:cstheme="majorBidi"/>
          <w:sz w:val="24"/>
          <w:szCs w:val="24"/>
          <w:lang w:val="en-US"/>
        </w:rPr>
        <w:t xml:space="preserve"> in</w:t>
      </w:r>
      <w:r w:rsidRPr="00511330">
        <w:rPr>
          <w:rFonts w:asciiTheme="majorBidi" w:hAnsiTheme="majorBidi" w:cstheme="majorBidi"/>
          <w:sz w:val="24"/>
          <w:szCs w:val="24"/>
          <w:lang w:val="en-US"/>
        </w:rPr>
        <w:t xml:space="preserve"> government visions. In this regard, Jamali et al. (2006, p. 346) argue that the development of empowerment, teamwork, trust,  communication, commitment, and ﬂexibility all qualify as relevant emergent characteristics for the achievement of a learning organization as each contributes to the accomplishment of personal mastery, mental models, shared vision, team learning, and systemic thinking. In the UAE, for example, public sector managers differ from their private sector counterparts in their leadership and paternalistic decision-making style, and their motivation and career satisfaction (AlMazrouei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Pech, 2015). As a consequence </w:t>
      </w:r>
      <w:r w:rsidR="001D6D31" w:rsidRPr="00511330">
        <w:rPr>
          <w:rFonts w:asciiTheme="majorBidi" w:hAnsiTheme="majorBidi" w:cstheme="majorBidi"/>
          <w:sz w:val="24"/>
          <w:szCs w:val="24"/>
          <w:lang w:val="en-US"/>
        </w:rPr>
        <w:t xml:space="preserve">of </w:t>
      </w:r>
      <w:r w:rsidRPr="00511330">
        <w:rPr>
          <w:rFonts w:asciiTheme="majorBidi" w:hAnsiTheme="majorBidi" w:cstheme="majorBidi"/>
          <w:sz w:val="24"/>
          <w:szCs w:val="24"/>
          <w:lang w:val="en-US"/>
        </w:rPr>
        <w:t>such a young government, learning eventually became a habit. The result of change is ‘‘a difference in form, quality, or state over time in an organizational entity’’ (Poole and Van de Ven 2004).</w:t>
      </w:r>
    </w:p>
    <w:p w14:paraId="644161B2" w14:textId="383B3952"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Another element of motivator to successful change is the sustainable development of</w:t>
      </w:r>
      <w:r w:rsidR="00892A00" w:rsidRPr="00511330">
        <w:rPr>
          <w:rFonts w:asciiTheme="majorBidi" w:hAnsiTheme="majorBidi" w:cstheme="majorBidi"/>
          <w:sz w:val="24"/>
          <w:szCs w:val="24"/>
          <w:lang w:val="en-US"/>
        </w:rPr>
        <w:t xml:space="preserve"> the</w:t>
      </w:r>
      <w:r w:rsidRPr="00511330">
        <w:rPr>
          <w:rFonts w:asciiTheme="majorBidi" w:hAnsiTheme="majorBidi" w:cstheme="majorBidi"/>
          <w:sz w:val="24"/>
          <w:szCs w:val="24"/>
          <w:lang w:val="en-US"/>
        </w:rPr>
        <w:t xml:space="preserve"> UAE change to </w:t>
      </w:r>
      <w:r w:rsidR="00647B56"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environment. In 1987, the World Commission on Environment and Development defined SD as an ethical concept and </w:t>
      </w:r>
      <w:r w:rsidR="00B70072" w:rsidRPr="00511330">
        <w:rPr>
          <w:rFonts w:asciiTheme="majorBidi" w:hAnsiTheme="majorBidi" w:cstheme="majorBidi"/>
          <w:sz w:val="24"/>
          <w:szCs w:val="24"/>
          <w:lang w:val="en-US"/>
        </w:rPr>
        <w:t xml:space="preserve">had </w:t>
      </w:r>
      <w:r w:rsidRPr="00511330">
        <w:rPr>
          <w:rFonts w:asciiTheme="majorBidi" w:hAnsiTheme="majorBidi" w:cstheme="majorBidi"/>
          <w:sz w:val="24"/>
          <w:szCs w:val="24"/>
          <w:lang w:val="en-US"/>
        </w:rPr>
        <w:t xml:space="preserve">become the major definition of SD: “Sustainable Development is a development that meets the needs of the present without compromising the ability of future generations to meet their own needs (Daniela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Baumgartner, 2008). Currently, the UAE is considered as </w:t>
      </w:r>
      <w:r w:rsidR="003160A3"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 xml:space="preserve">world leader with MASDAR and SHAMS approach of producing energy through a megaproject in Abu Dhabi and Shams in Dubai. These measures </w:t>
      </w:r>
      <w:r w:rsidRPr="00511330">
        <w:rPr>
          <w:rFonts w:asciiTheme="majorBidi" w:hAnsiTheme="majorBidi" w:cstheme="majorBidi"/>
          <w:sz w:val="24"/>
          <w:szCs w:val="24"/>
          <w:lang w:val="en-US"/>
        </w:rPr>
        <w:lastRenderedPageBreak/>
        <w:t>place Masdar City squarely within the scope of being a recognized eco-city (Randeree et al., 2019). Masdar Institute is the world’s first university dedicated to the study of sustainability and renewable technologies (Alzaabi et al., 2019). Masdar City created synergy with various world-class organizations such as educational, research</w:t>
      </w:r>
      <w:r w:rsidR="00836C6D"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141 Sustainable urban development consultancies to become a hub for green technology innovation and, most importantly, business (Premalatha et al., 2013). Furthermore, the UAE government has allocated massive resources to the financial sector, aiming to enhance sustained economic growth (Shahbaz et al., 2018).</w:t>
      </w:r>
    </w:p>
    <w:p w14:paraId="227B52A8" w14:textId="5312D81A" w:rsidR="009529A3" w:rsidRPr="00511330" w:rsidRDefault="008D3598" w:rsidP="00721566">
      <w:pPr>
        <w:tabs>
          <w:tab w:val="left" w:pos="7173"/>
        </w:tabs>
        <w:spacing w:line="480" w:lineRule="auto"/>
        <w:ind w:right="-450"/>
        <w:jc w:val="both"/>
        <w:rPr>
          <w:rFonts w:cstheme="minorHAnsi"/>
          <w:b/>
          <w:bCs/>
        </w:rPr>
      </w:pPr>
      <w:r w:rsidRPr="00511330">
        <w:rPr>
          <w:rFonts w:asciiTheme="majorBidi" w:hAnsiTheme="majorBidi" w:cstheme="majorBidi"/>
          <w:sz w:val="24"/>
          <w:szCs w:val="24"/>
          <w:lang w:val="en-US"/>
        </w:rPr>
        <w:t>The element of better resource utilization and planning for renewable projects were allocated to fulfi</w:t>
      </w:r>
      <w:r w:rsidR="00D805C9" w:rsidRPr="00511330">
        <w:rPr>
          <w:rFonts w:asciiTheme="majorBidi" w:hAnsiTheme="majorBidi" w:cstheme="majorBidi"/>
          <w:sz w:val="24"/>
          <w:szCs w:val="24"/>
          <w:lang w:val="en-US"/>
        </w:rPr>
        <w:t>l</w:t>
      </w:r>
      <w:r w:rsidRPr="00511330">
        <w:rPr>
          <w:rFonts w:asciiTheme="majorBidi" w:hAnsiTheme="majorBidi" w:cstheme="majorBidi"/>
          <w:sz w:val="24"/>
          <w:szCs w:val="24"/>
          <w:lang w:val="en-US"/>
        </w:rPr>
        <w:t xml:space="preserve">l the objective of producing more than 24% of energy demand using </w:t>
      </w:r>
      <w:r w:rsidR="00602F52"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energies. Mainly, implementing factors of sustainability is a phenomenon that is sponsored by </w:t>
      </w:r>
      <w:r w:rsidR="007C4F49"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organization and country leaders. There is also a growing willingness among business leaders to devote time, expertise, and resources to helping seek solutions for pressing global problems (Carla, Patricia,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Magala, 2012). The managing director of DEWA (Dubai Electricity and Water Authority) stated: “Dubai still saw a 6-12 percent growth in energy production”. “</w:t>
      </w:r>
      <w:r w:rsidRPr="00511330">
        <w:rPr>
          <w:rFonts w:asciiTheme="majorBidi" w:hAnsiTheme="majorBidi" w:cstheme="majorBidi"/>
          <w:i/>
          <w:iCs/>
          <w:sz w:val="24"/>
          <w:szCs w:val="24"/>
          <w:lang w:val="en-US"/>
        </w:rPr>
        <w:t>Dubai is looking to have seven per cent of its total power from clean energy in the next four years, followed by 25 per cent by 2030 and 75 per cent by 2050”</w:t>
      </w:r>
      <w:r w:rsidRPr="00511330">
        <w:rPr>
          <w:rFonts w:asciiTheme="majorBidi" w:hAnsiTheme="majorBidi" w:cstheme="majorBidi"/>
          <w:sz w:val="24"/>
          <w:szCs w:val="24"/>
          <w:lang w:val="en-US"/>
        </w:rPr>
        <w:t xml:space="preserve"> </w:t>
      </w:r>
      <w:r w:rsidR="005D4273" w:rsidRPr="00511330">
        <w:rPr>
          <w:rFonts w:asciiTheme="majorBidi" w:hAnsiTheme="majorBidi" w:cstheme="majorBidi"/>
          <w:sz w:val="24"/>
          <w:szCs w:val="24"/>
          <w:lang w:val="en-US"/>
        </w:rPr>
        <w:t>Al Tayaer June 2016, (Gulf News).</w:t>
      </w:r>
    </w:p>
    <w:p w14:paraId="644161B3" w14:textId="14F94B11" w:rsidR="008D3598" w:rsidRPr="00511330" w:rsidRDefault="008D3598" w:rsidP="00721566">
      <w:pPr>
        <w:tabs>
          <w:tab w:val="left" w:pos="7173"/>
        </w:tabs>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Nevertheless, expanding industry job resources motives has opened up opportunities for more demand and self-confidence Job resources are the social, psychosocial, material or organizational dimensions of a job that enables an individual to fulfil</w:t>
      </w:r>
      <w:r w:rsidR="009529A3" w:rsidRPr="00511330">
        <w:rPr>
          <w:rFonts w:asciiTheme="majorBidi" w:hAnsiTheme="majorBidi" w:cstheme="majorBidi"/>
          <w:sz w:val="24"/>
          <w:szCs w:val="24"/>
          <w:lang w:val="en-US"/>
        </w:rPr>
        <w:t>l</w:t>
      </w:r>
      <w:r w:rsidRPr="00511330">
        <w:rPr>
          <w:rFonts w:asciiTheme="majorBidi" w:hAnsiTheme="majorBidi" w:cstheme="majorBidi"/>
          <w:sz w:val="24"/>
          <w:szCs w:val="24"/>
          <w:lang w:val="en-US"/>
        </w:rPr>
        <w:t xml:space="preserve"> his/her job demands (Bakker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Demerouti, 2017); Balducci </w:t>
      </w:r>
      <w:r w:rsidRPr="00511330">
        <w:rPr>
          <w:rFonts w:asciiTheme="majorBidi" w:hAnsiTheme="majorBidi" w:cstheme="majorBidi"/>
          <w:sz w:val="24"/>
          <w:szCs w:val="24"/>
          <w:lang w:val="en-US"/>
        </w:rPr>
        <w:lastRenderedPageBreak/>
        <w:t>et al., 2011), such as working with a collegial team, having access to the materials required to do one's job, etc. According to Bakker and Demerouti (2017), the element of resources follows the plans for sustainability and vision of the government. The vision was set by the plan and date</w:t>
      </w:r>
      <w:r w:rsidR="00875CD2"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the resources were allocated to achieve the results desired by the UAE government in 2030. In </w:t>
      </w:r>
      <w:r w:rsidR="001003FB"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case of the UAE economy, RE resources available to the kingdom are harnessed efficiently through proper management, planning, and implementation of its RE policy. The country can meet its target set for “2030 Plan for RE resources” and easily manage its energy demands required for its public usage, industrial utilization, as well as for its future economic development (Jamil et al., 2016). Any proposal for a change in the scope of a project should be submitted together with a detailed analysis of the impact of this change on organizational stakeholders, resources devoted to the project, and the project completion timeline (Davies, 2011; Project Management, 2013). </w:t>
      </w:r>
    </w:p>
    <w:p w14:paraId="644161B4" w14:textId="30660D54"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element of eliminating complexity in our study relate</w:t>
      </w:r>
      <w:r w:rsidR="00D100F0"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to variable effect causing slow process and decision making. It was recommended that researchers interested in change sustainability should be “sensitive to context, complexity, ambiguity, uncertainty, competing stakeholders and to the range of potential interlocking influences” (Ledger et al., 2013). The UAE government always strives for process automation and procedure simplification in consonance with the country’s vision of becoming a leading Artificial Intelligence (AI) country by 2031 (Al Suwaidi 2018). The process is not new but always goes through continuous improvement. Some studies consider uncertainty as one of the most important attributes of complexity (Lebcir, 2006). In this context, the UAE plans </w:t>
      </w:r>
      <w:r w:rsidRPr="00511330">
        <w:rPr>
          <w:rFonts w:asciiTheme="majorBidi" w:hAnsiTheme="majorBidi" w:cstheme="majorBidi"/>
          <w:sz w:val="24"/>
          <w:szCs w:val="24"/>
          <w:lang w:val="en-US"/>
        </w:rPr>
        <w:lastRenderedPageBreak/>
        <w:t>to establish a pioneering hub in the field of AI and Home Automation by taking advantage of the latest technological innovation, qualify local prepared skilled people, and invest in relative investigation and studies (Al Suwaidi, 2018).</w:t>
      </w:r>
    </w:p>
    <w:p w14:paraId="644161B5" w14:textId="561A0D8E"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Alternatively, the element of </w:t>
      </w:r>
      <w:r w:rsidR="00D805C9" w:rsidRPr="00511330">
        <w:rPr>
          <w:rFonts w:asciiTheme="majorBidi" w:hAnsiTheme="majorBidi" w:cstheme="majorBidi"/>
          <w:sz w:val="24"/>
          <w:szCs w:val="24"/>
          <w:lang w:val="en-US"/>
        </w:rPr>
        <w:t>R</w:t>
      </w:r>
      <w:r w:rsidRPr="00511330">
        <w:rPr>
          <w:rFonts w:asciiTheme="majorBidi" w:hAnsiTheme="majorBidi" w:cstheme="majorBidi"/>
          <w:sz w:val="24"/>
          <w:szCs w:val="24"/>
          <w:lang w:val="en-US"/>
        </w:rPr>
        <w:t xml:space="preserve">eturn </w:t>
      </w:r>
      <w:r w:rsidR="00D805C9" w:rsidRPr="00511330">
        <w:rPr>
          <w:rFonts w:asciiTheme="majorBidi" w:hAnsiTheme="majorBidi" w:cstheme="majorBidi"/>
          <w:sz w:val="24"/>
          <w:szCs w:val="24"/>
          <w:lang w:val="en-US"/>
        </w:rPr>
        <w:t>O</w:t>
      </w:r>
      <w:r w:rsidRPr="00511330">
        <w:rPr>
          <w:rFonts w:asciiTheme="majorBidi" w:hAnsiTheme="majorBidi" w:cstheme="majorBidi"/>
          <w:sz w:val="24"/>
          <w:szCs w:val="24"/>
          <w:lang w:val="en-US"/>
        </w:rPr>
        <w:t xml:space="preserve">n </w:t>
      </w:r>
      <w:r w:rsidR="00D805C9" w:rsidRPr="00511330">
        <w:rPr>
          <w:rFonts w:asciiTheme="majorBidi" w:hAnsiTheme="majorBidi" w:cstheme="majorBidi"/>
          <w:sz w:val="24"/>
          <w:szCs w:val="24"/>
          <w:lang w:val="en-US"/>
        </w:rPr>
        <w:t>I</w:t>
      </w:r>
      <w:r w:rsidRPr="00511330">
        <w:rPr>
          <w:rFonts w:asciiTheme="majorBidi" w:hAnsiTheme="majorBidi" w:cstheme="majorBidi"/>
          <w:sz w:val="24"/>
          <w:szCs w:val="24"/>
          <w:lang w:val="en-US"/>
        </w:rPr>
        <w:t>nvestment (ROI) and maximization projects sponsored by</w:t>
      </w:r>
      <w:r w:rsidR="00892A00" w:rsidRPr="00511330">
        <w:rPr>
          <w:rFonts w:asciiTheme="majorBidi" w:hAnsiTheme="majorBidi" w:cstheme="majorBidi"/>
          <w:sz w:val="24"/>
          <w:szCs w:val="24"/>
          <w:lang w:val="en-US"/>
        </w:rPr>
        <w:t xml:space="preserve"> the</w:t>
      </w:r>
      <w:r w:rsidRPr="00511330">
        <w:rPr>
          <w:rFonts w:asciiTheme="majorBidi" w:hAnsiTheme="majorBidi" w:cstheme="majorBidi"/>
          <w:sz w:val="24"/>
          <w:szCs w:val="24"/>
          <w:lang w:val="en-US"/>
        </w:rPr>
        <w:t xml:space="preserve"> UAE government so far in renewable energy has been paid back in terms of recovering environmental carbon footprint and gaining </w:t>
      </w:r>
      <w:r w:rsidR="00F96E4F"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 xml:space="preserve">worldwide reputation for having megaprojects backing global </w:t>
      </w:r>
      <w:r w:rsidR="00602F52"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approach. Since the UAE is considered to be an advanced educated country, the responses are predicted to positively accept the adaptation of Home Automation technologies to increase the comfort of occupants, as well as, conserving energy stemming from a concern for the environment and the need to have a balanced eco-system (Al Suwaidi, 2018). The ﬁndings of Anderson, Claes, and Rust (1997) indicate that customer satisfaction leads to higher levels of ROI by improving productivity.</w:t>
      </w:r>
    </w:p>
    <w:p w14:paraId="644161B6" w14:textId="75A10C65"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Fairness and equality element</w:t>
      </w:r>
      <w:r w:rsidR="00D61F49"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are impregnated in</w:t>
      </w:r>
      <w:r w:rsidR="00892A00" w:rsidRPr="00511330">
        <w:rPr>
          <w:rFonts w:asciiTheme="majorBidi" w:hAnsiTheme="majorBidi" w:cstheme="majorBidi"/>
          <w:sz w:val="24"/>
          <w:szCs w:val="24"/>
          <w:lang w:val="en-US"/>
        </w:rPr>
        <w:t xml:space="preserve"> the</w:t>
      </w:r>
      <w:r w:rsidRPr="00511330">
        <w:rPr>
          <w:rFonts w:asciiTheme="majorBidi" w:hAnsiTheme="majorBidi" w:cstheme="majorBidi"/>
          <w:sz w:val="24"/>
          <w:szCs w:val="24"/>
          <w:lang w:val="en-US"/>
        </w:rPr>
        <w:t xml:space="preserve"> UAE government in treating its residence with </w:t>
      </w:r>
      <w:r w:rsidR="00AE69F1"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same rules and regulation</w:t>
      </w:r>
      <w:r w:rsidR="00D805C9"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Furthermore, taking </w:t>
      </w:r>
      <w:r w:rsidR="00AE7057" w:rsidRPr="00511330">
        <w:rPr>
          <w:rFonts w:asciiTheme="majorBidi" w:hAnsiTheme="majorBidi" w:cstheme="majorBidi"/>
          <w:sz w:val="24"/>
          <w:szCs w:val="24"/>
          <w:lang w:val="en-US"/>
        </w:rPr>
        <w:t xml:space="preserve">exceptional </w:t>
      </w:r>
      <w:r w:rsidRPr="00511330">
        <w:rPr>
          <w:rFonts w:asciiTheme="majorBidi" w:hAnsiTheme="majorBidi" w:cstheme="majorBidi"/>
          <w:sz w:val="24"/>
          <w:szCs w:val="24"/>
          <w:lang w:val="en-US"/>
        </w:rPr>
        <w:t xml:space="preserve">cases as </w:t>
      </w:r>
      <w:r w:rsidR="00AE7057"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 xml:space="preserve">special gesture has resulted in the rise of general UAE happiness bars. Fairness is a crucial cornerstone of the UAE social culture </w:t>
      </w:r>
      <w:r w:rsidR="00385C3A"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B</w:t>
      </w:r>
      <w:r w:rsidR="00385C3A" w:rsidRPr="00511330">
        <w:rPr>
          <w:rFonts w:asciiTheme="majorBidi" w:hAnsiTheme="majorBidi" w:cstheme="majorBidi"/>
          <w:sz w:val="24"/>
          <w:szCs w:val="24"/>
          <w:lang w:val="en-US"/>
        </w:rPr>
        <w:t xml:space="preserve">in Taher et al, </w:t>
      </w:r>
      <w:r w:rsidRPr="00511330">
        <w:rPr>
          <w:rFonts w:asciiTheme="majorBidi" w:hAnsiTheme="majorBidi" w:cstheme="majorBidi"/>
          <w:sz w:val="24"/>
          <w:szCs w:val="24"/>
          <w:lang w:val="en-US"/>
        </w:rPr>
        <w:t xml:space="preserve">2015). As </w:t>
      </w:r>
      <w:r w:rsidR="005F42B8"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 xml:space="preserve">consequence, (Daly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Geyer, 1994) specified that the impression of fair treatment contributes to the successful implementation of</w:t>
      </w:r>
      <w:r w:rsidR="00A44377" w:rsidRPr="00511330">
        <w:rPr>
          <w:rFonts w:asciiTheme="majorBidi" w:hAnsiTheme="majorBidi" w:cstheme="majorBidi"/>
          <w:sz w:val="24"/>
          <w:szCs w:val="24"/>
          <w:lang w:val="en-US"/>
        </w:rPr>
        <w:t xml:space="preserve"> the</w:t>
      </w:r>
      <w:r w:rsidRPr="00511330">
        <w:rPr>
          <w:rFonts w:asciiTheme="majorBidi" w:hAnsiTheme="majorBidi" w:cstheme="majorBidi"/>
          <w:sz w:val="24"/>
          <w:szCs w:val="24"/>
          <w:lang w:val="en-US"/>
        </w:rPr>
        <w:t xml:space="preserve"> strategy. Dickinson et al. (2016) used moral foundations theory as a framework to examine the relevance of moral judgments to willingness to take personal action on climate change, observing that the value of fairness was indeed a significant predictor. According to Shormeman and Kopnina (2016), ‘‘The concepts of environmental </w:t>
      </w:r>
      <w:r w:rsidRPr="00511330">
        <w:rPr>
          <w:rFonts w:asciiTheme="majorBidi" w:hAnsiTheme="majorBidi" w:cstheme="majorBidi"/>
          <w:sz w:val="24"/>
          <w:szCs w:val="24"/>
          <w:lang w:val="en-US"/>
        </w:rPr>
        <w:lastRenderedPageBreak/>
        <w:t>justice are many-fold, and include equity, equality, and rights issues, in relation to both social and ecological actors.”</w:t>
      </w:r>
    </w:p>
    <w:p w14:paraId="644161B7" w14:textId="3E6587BC"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element of contributing </w:t>
      </w:r>
      <w:r w:rsidR="00D805C9" w:rsidRPr="00511330">
        <w:rPr>
          <w:rFonts w:asciiTheme="majorBidi" w:hAnsiTheme="majorBidi" w:cstheme="majorBidi"/>
          <w:sz w:val="24"/>
          <w:szCs w:val="24"/>
          <w:lang w:val="en-US"/>
        </w:rPr>
        <w:t>to</w:t>
      </w:r>
      <w:r w:rsidRPr="00511330">
        <w:rPr>
          <w:rFonts w:asciiTheme="majorBidi" w:hAnsiTheme="majorBidi" w:cstheme="majorBidi"/>
          <w:sz w:val="24"/>
          <w:szCs w:val="24"/>
          <w:lang w:val="en-US"/>
        </w:rPr>
        <w:t xml:space="preserve"> cost reduction can be transformed through </w:t>
      </w:r>
      <w:r w:rsidR="003739D6"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basic psychology of employee</w:t>
      </w:r>
      <w:r w:rsidR="00D805C9"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and other stakeholders. When their motivation is high and driven, the enthusiasm to contribute to change towards </w:t>
      </w:r>
      <w:r w:rsidR="00602F52"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w:t>
      </w:r>
      <w:r w:rsidR="003739D6" w:rsidRPr="00511330">
        <w:rPr>
          <w:rFonts w:asciiTheme="majorBidi" w:hAnsiTheme="majorBidi" w:cstheme="majorBidi"/>
          <w:sz w:val="24"/>
          <w:szCs w:val="24"/>
          <w:lang w:val="en-US"/>
        </w:rPr>
        <w:t>will</w:t>
      </w:r>
      <w:r w:rsidRPr="00511330">
        <w:rPr>
          <w:rFonts w:asciiTheme="majorBidi" w:hAnsiTheme="majorBidi" w:cstheme="majorBidi"/>
          <w:sz w:val="24"/>
          <w:szCs w:val="24"/>
          <w:lang w:val="en-US"/>
        </w:rPr>
        <w:t xml:space="preserve"> lead to cost reduction. The cost reduction through </w:t>
      </w:r>
      <w:r w:rsidR="00050EF7"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engagement of stakeholder</w:t>
      </w:r>
      <w:r w:rsidR="00D805C9"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totally would spark ideas to figure ways and new methods of reducing cost or carbon footprint (DEWA, 2019). Electricity tariff provides a consumption calculator for users according to building types to encourage electricity reduction for green purposes. Active participation and information provision promote readiness for change, which is a supportive link to the success of change implementation (Wanberg et al., 2000).</w:t>
      </w:r>
    </w:p>
    <w:p w14:paraId="644161B8" w14:textId="0E2F15A2" w:rsidR="008D3598" w:rsidRPr="00511330" w:rsidRDefault="008D3598" w:rsidP="00E136BA">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Another element of motive i</w:t>
      </w:r>
      <w:r w:rsidR="007D75C5" w:rsidRPr="00511330">
        <w:rPr>
          <w:rFonts w:asciiTheme="majorBidi" w:hAnsiTheme="majorBidi" w:cstheme="majorBidi"/>
          <w:sz w:val="24"/>
          <w:szCs w:val="24"/>
          <w:lang w:val="en-US"/>
        </w:rPr>
        <w:t xml:space="preserve">s </w:t>
      </w:r>
      <w:r w:rsidRPr="00511330">
        <w:rPr>
          <w:rFonts w:asciiTheme="majorBidi" w:hAnsiTheme="majorBidi" w:cstheme="majorBidi"/>
          <w:sz w:val="24"/>
          <w:szCs w:val="24"/>
          <w:lang w:val="en-US"/>
        </w:rPr>
        <w:t>international competition and a factor that improves the reputation of</w:t>
      </w:r>
      <w:r w:rsidR="00892A00" w:rsidRPr="00511330">
        <w:rPr>
          <w:rFonts w:asciiTheme="majorBidi" w:hAnsiTheme="majorBidi" w:cstheme="majorBidi"/>
          <w:sz w:val="24"/>
          <w:szCs w:val="24"/>
          <w:lang w:val="en-US"/>
        </w:rPr>
        <w:t xml:space="preserve"> the</w:t>
      </w:r>
      <w:r w:rsidRPr="00511330">
        <w:rPr>
          <w:rFonts w:asciiTheme="majorBidi" w:hAnsiTheme="majorBidi" w:cstheme="majorBidi"/>
          <w:sz w:val="24"/>
          <w:szCs w:val="24"/>
          <w:lang w:val="en-US"/>
        </w:rPr>
        <w:t xml:space="preserve"> UAE</w:t>
      </w:r>
      <w:r w:rsidR="00E136BA" w:rsidRPr="00511330">
        <w:rPr>
          <w:rFonts w:asciiTheme="majorBidi" w:hAnsiTheme="majorBidi" w:cstheme="majorBidi"/>
          <w:sz w:val="24"/>
          <w:szCs w:val="24"/>
          <w:lang w:val="en-US"/>
        </w:rPr>
        <w:t>. P</w:t>
      </w:r>
      <w:r w:rsidRPr="00511330">
        <w:rPr>
          <w:rFonts w:asciiTheme="majorBidi" w:hAnsiTheme="majorBidi" w:cstheme="majorBidi"/>
          <w:sz w:val="24"/>
          <w:szCs w:val="24"/>
          <w:lang w:val="en-US"/>
        </w:rPr>
        <w:t xml:space="preserve">remised in the fact that it leads in many aspects of </w:t>
      </w:r>
      <w:r w:rsidR="00602F52"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and renewable energy. Spreading the idea of maintainability and </w:t>
      </w:r>
      <w:r w:rsidR="00602F52"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advancement is still confronting impediments, which should be recognized and if conceivable, be expelled from the UAE development industry as a result of the significance of green technologies in the UAE (Yas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Jaafer, 2020). Alternatively, having </w:t>
      </w:r>
      <w:r w:rsidR="007D75C5"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 xml:space="preserve">reputation is an intangible element that cannot be measured with a specific scale. Reputation adds to </w:t>
      </w:r>
      <w:r w:rsidR="00AC473C"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perception of stakeholders and raises the scale bar and expectation of the UAE being a global hub for renewable energy. The UAE is also the only Gulf country to establish a Green Economy for Sustainable Development initiative in 2012—which was approved by the cabinet in 2015—and was the first Gulf country to release a climate action </w:t>
      </w:r>
      <w:r w:rsidRPr="00511330">
        <w:rPr>
          <w:rFonts w:asciiTheme="majorBidi" w:hAnsiTheme="majorBidi" w:cstheme="majorBidi"/>
          <w:sz w:val="24"/>
          <w:szCs w:val="24"/>
          <w:lang w:val="en-US"/>
        </w:rPr>
        <w:lastRenderedPageBreak/>
        <w:t xml:space="preserve">plan in 2017 (Al-Sarihi, 2018). According to extant research, these encompass positive effects on intangible ﬁrm assets such as brand and reputation (Adner, 2002; Avlonitis et al., 2001). Employees will feel proud to be members of an organization acknowledged for its reputation of being socially responsible towards them (Gond et al., 2010). </w:t>
      </w:r>
    </w:p>
    <w:p w14:paraId="5A87B25C" w14:textId="06B74E15" w:rsidR="00011024" w:rsidRPr="00511330" w:rsidRDefault="008D3598" w:rsidP="00011024">
      <w:pPr>
        <w:pStyle w:val="Heading3"/>
        <w:numPr>
          <w:ilvl w:val="2"/>
          <w:numId w:val="12"/>
        </w:numPr>
        <w:spacing w:after="240"/>
        <w:ind w:right="-450"/>
        <w:rPr>
          <w:lang w:val="en-US"/>
        </w:rPr>
      </w:pPr>
      <w:bookmarkStart w:id="181" w:name="_Toc43311614"/>
      <w:r w:rsidRPr="00511330">
        <w:rPr>
          <w:lang w:val="en-US"/>
        </w:rPr>
        <w:t>Trust and Evolving with Future Visions (TEFV)</w:t>
      </w:r>
      <w:bookmarkEnd w:id="181"/>
    </w:p>
    <w:p w14:paraId="644161BA" w14:textId="0825EFCC"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element of contributing to environmental protection and transformation to </w:t>
      </w:r>
      <w:r w:rsidR="00602F52"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has elicited great interest among</w:t>
      </w:r>
      <w:r w:rsidR="00892A00" w:rsidRPr="00511330">
        <w:rPr>
          <w:rFonts w:asciiTheme="majorBidi" w:hAnsiTheme="majorBidi" w:cstheme="majorBidi"/>
          <w:sz w:val="24"/>
          <w:szCs w:val="24"/>
          <w:lang w:val="en-US"/>
        </w:rPr>
        <w:t xml:space="preserve"> the</w:t>
      </w:r>
      <w:r w:rsidRPr="00511330">
        <w:rPr>
          <w:rFonts w:asciiTheme="majorBidi" w:hAnsiTheme="majorBidi" w:cstheme="majorBidi"/>
          <w:sz w:val="24"/>
          <w:szCs w:val="24"/>
          <w:lang w:val="en-US"/>
        </w:rPr>
        <w:t xml:space="preserve"> UAE leaders. With this motivation, Environment Agency-Abu Dhabi (EAD) developed a detailed Habitat, Land Use, Land Cover Map based on very high-resolution satellite imagery acquired between 2011 and 2013 (ADH, 2016)</w:t>
      </w:r>
      <w:r w:rsidR="001A6B05" w:rsidRPr="00511330">
        <w:rPr>
          <w:rFonts w:asciiTheme="majorBidi" w:hAnsiTheme="majorBidi" w:cstheme="majorBidi"/>
          <w:sz w:val="24"/>
          <w:szCs w:val="24"/>
          <w:lang w:val="en-US"/>
        </w:rPr>
        <w:t xml:space="preserve"> “Abdu Dhabi Habitat</w:t>
      </w:r>
      <w:r w:rsidR="00F2448E" w:rsidRPr="00511330">
        <w:rPr>
          <w:rFonts w:asciiTheme="majorBidi" w:hAnsiTheme="majorBidi" w:cstheme="majorBidi"/>
          <w:sz w:val="24"/>
          <w:szCs w:val="24"/>
          <w:lang w:val="en-US"/>
        </w:rPr>
        <w:t>.</w:t>
      </w:r>
      <w:r w:rsidR="001A6B05"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There is on-going effort to extend the process to cover the entire UAE, with key stakeholders such as the UAE Space Agency and the Ministry of Climate Change and </w:t>
      </w:r>
      <w:r w:rsidR="00F2448E" w:rsidRPr="00511330">
        <w:rPr>
          <w:rFonts w:asciiTheme="majorBidi" w:hAnsiTheme="majorBidi" w:cstheme="majorBidi"/>
          <w:sz w:val="24"/>
          <w:szCs w:val="24"/>
          <w:lang w:val="en-US"/>
        </w:rPr>
        <w:t xml:space="preserve">Environment </w:t>
      </w:r>
      <w:r w:rsidRPr="00511330">
        <w:rPr>
          <w:rFonts w:asciiTheme="majorBidi" w:hAnsiTheme="majorBidi" w:cstheme="majorBidi"/>
          <w:sz w:val="24"/>
          <w:szCs w:val="24"/>
          <w:lang w:val="en-US"/>
        </w:rPr>
        <w:t xml:space="preserve">leading the initiative (Marpu et al., 2018), starting from MASDAR and ending with SHAMS project in two major power generation government organizations. These measures place Masdar City squarely within the scope of being a recognized eco-city (Randeree et al., 2019). Over the past decade, initiatives that focus on reducing energy consumption and pursuing environmental sustainability have emerged, thus challenging our capacity to establish a common global imperative to respond to critical issues arising from </w:t>
      </w:r>
      <w:r w:rsidR="00252326" w:rsidRPr="00511330">
        <w:rPr>
          <w:rFonts w:asciiTheme="majorBidi" w:hAnsiTheme="majorBidi" w:cstheme="majorBidi"/>
          <w:sz w:val="24"/>
          <w:szCs w:val="24"/>
          <w:lang w:val="en-US"/>
        </w:rPr>
        <w:t>global</w:t>
      </w:r>
      <w:r w:rsidRPr="00511330">
        <w:rPr>
          <w:rFonts w:asciiTheme="majorBidi" w:hAnsiTheme="majorBidi" w:cstheme="majorBidi"/>
          <w:sz w:val="24"/>
          <w:szCs w:val="24"/>
          <w:lang w:val="en-US"/>
        </w:rPr>
        <w:t xml:space="preserve"> climate change and natural resources conservation (Bansal, 2005; Kleindorfer et al., 2005; Olson, 2008). A green strategy would fundamentally help an enterprise make decisions that have a positive impact on the environment (Olson, 2008). </w:t>
      </w:r>
      <w:r w:rsidR="00DD2C69" w:rsidRPr="00511330">
        <w:rPr>
          <w:rFonts w:asciiTheme="majorBidi" w:hAnsiTheme="majorBidi" w:cstheme="majorBidi"/>
          <w:sz w:val="24"/>
          <w:szCs w:val="24"/>
          <w:lang w:val="en-US"/>
        </w:rPr>
        <w:t xml:space="preserve">Accordingly, the stakeholders' motivation stated clearly within the UAE's community, where the </w:t>
      </w:r>
      <w:r w:rsidR="00DD2C69" w:rsidRPr="00511330">
        <w:rPr>
          <w:rFonts w:asciiTheme="majorBidi" w:hAnsiTheme="majorBidi" w:cstheme="majorBidi"/>
          <w:sz w:val="24"/>
          <w:szCs w:val="24"/>
          <w:lang w:val="en-US"/>
        </w:rPr>
        <w:lastRenderedPageBreak/>
        <w:t>project of renewable energy yet on the rise</w:t>
      </w:r>
      <w:r w:rsidRPr="00511330">
        <w:rPr>
          <w:rFonts w:asciiTheme="majorBidi" w:hAnsiTheme="majorBidi" w:cstheme="majorBidi"/>
          <w:sz w:val="24"/>
          <w:szCs w:val="24"/>
          <w:lang w:val="en-US"/>
        </w:rPr>
        <w:t>. Masdar City’s initial publicity</w:t>
      </w:r>
      <w:r w:rsidR="00F61F9C" w:rsidRPr="00511330">
        <w:rPr>
          <w:rFonts w:asciiTheme="majorBidi" w:hAnsiTheme="majorBidi" w:cstheme="majorBidi"/>
          <w:sz w:val="24"/>
          <w:szCs w:val="24"/>
          <w:lang w:val="en-US"/>
        </w:rPr>
        <w:t xml:space="preserve"> enabled</w:t>
      </w:r>
      <w:r w:rsidRPr="00511330">
        <w:rPr>
          <w:rFonts w:asciiTheme="majorBidi" w:hAnsiTheme="majorBidi" w:cstheme="majorBidi"/>
          <w:sz w:val="24"/>
          <w:szCs w:val="24"/>
          <w:lang w:val="en-US"/>
        </w:rPr>
        <w:t xml:space="preserve"> </w:t>
      </w:r>
      <w:r w:rsidR="00F61F9C" w:rsidRPr="00511330">
        <w:rPr>
          <w:rFonts w:asciiTheme="majorBidi" w:hAnsiTheme="majorBidi" w:cstheme="majorBidi"/>
          <w:sz w:val="24"/>
          <w:szCs w:val="24"/>
          <w:lang w:val="en-US"/>
        </w:rPr>
        <w:t xml:space="preserve">its </w:t>
      </w:r>
      <w:r w:rsidRPr="00511330">
        <w:rPr>
          <w:rFonts w:asciiTheme="majorBidi" w:hAnsiTheme="majorBidi" w:cstheme="majorBidi"/>
          <w:sz w:val="24"/>
          <w:szCs w:val="24"/>
          <w:lang w:val="en-US"/>
        </w:rPr>
        <w:t>high profile visibility, with the project managing to attract prestigious companies to what promised to be the epicenter for the development of leading green technology (Randeree et al., 2019).</w:t>
      </w:r>
    </w:p>
    <w:p w14:paraId="644161BB" w14:textId="08F15F0D"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element of coping with global development is omitted from the </w:t>
      </w:r>
      <w:r w:rsidR="00F61F9C" w:rsidRPr="00511330">
        <w:rPr>
          <w:rFonts w:asciiTheme="majorBidi" w:hAnsiTheme="majorBidi" w:cstheme="majorBidi"/>
          <w:sz w:val="24"/>
          <w:szCs w:val="24"/>
          <w:lang w:val="en-US"/>
        </w:rPr>
        <w:t xml:space="preserve">UAE’s </w:t>
      </w:r>
      <w:r w:rsidRPr="00511330">
        <w:rPr>
          <w:rFonts w:asciiTheme="majorBidi" w:hAnsiTheme="majorBidi" w:cstheme="majorBidi"/>
          <w:sz w:val="24"/>
          <w:szCs w:val="24"/>
          <w:lang w:val="en-US"/>
        </w:rPr>
        <w:t xml:space="preserve">brand and especially of Abu Dhabi and Dubai, which are the </w:t>
      </w:r>
      <w:r w:rsidR="00F61F9C" w:rsidRPr="00511330">
        <w:rPr>
          <w:rFonts w:asciiTheme="majorBidi" w:hAnsiTheme="majorBidi" w:cstheme="majorBidi"/>
          <w:sz w:val="24"/>
          <w:szCs w:val="24"/>
          <w:lang w:val="en-US"/>
        </w:rPr>
        <w:t xml:space="preserve">primary </w:t>
      </w:r>
      <w:r w:rsidRPr="00511330">
        <w:rPr>
          <w:rFonts w:asciiTheme="majorBidi" w:hAnsiTheme="majorBidi" w:cstheme="majorBidi"/>
          <w:sz w:val="24"/>
          <w:szCs w:val="24"/>
          <w:lang w:val="en-US"/>
        </w:rPr>
        <w:t>sponsor of environmental renewable megaproject holders. Renewable</w:t>
      </w:r>
      <w:r w:rsidR="00F61F9C"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eco-friendly sources of energy</w:t>
      </w:r>
      <w:r w:rsidR="00F61F9C" w:rsidRPr="00511330">
        <w:rPr>
          <w:rFonts w:asciiTheme="majorBidi" w:hAnsiTheme="majorBidi" w:cstheme="majorBidi"/>
          <w:sz w:val="24"/>
          <w:szCs w:val="24"/>
          <w:lang w:val="en-US"/>
        </w:rPr>
        <w:t xml:space="preserve"> such as</w:t>
      </w:r>
      <w:r w:rsidRPr="00511330">
        <w:rPr>
          <w:rFonts w:asciiTheme="majorBidi" w:hAnsiTheme="majorBidi" w:cstheme="majorBidi"/>
          <w:sz w:val="24"/>
          <w:szCs w:val="24"/>
          <w:lang w:val="en-US"/>
        </w:rPr>
        <w:t xml:space="preserve"> solar power are utilized in</w:t>
      </w:r>
      <w:r w:rsidR="00F61F9C" w:rsidRPr="00511330">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t>Shams Dubai Project</w:t>
      </w:r>
      <w:r w:rsidR="00F61F9C" w:rsidRPr="00511330">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t xml:space="preserve">by Dubai Electricity and Water Authority (DEWA), which is a program that is aimed at encouraging users to install Photovoltaic panels to generate electricity to their buildings (Al Suwaidi, 2018).  Another major project is “Mohammed bin Rashid Al Maktoum Solar Park.” Reputation is considered the top of </w:t>
      </w:r>
      <w:r w:rsidR="005425A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pyramid in having aligned with </w:t>
      </w:r>
      <w:r w:rsidR="005425A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global latest development of renewable technologies, which serves as a reminder that the UAE is</w:t>
      </w:r>
      <w:r w:rsidR="005425A0" w:rsidRPr="00511330">
        <w:rPr>
          <w:rFonts w:asciiTheme="majorBidi" w:hAnsiTheme="majorBidi" w:cstheme="majorBidi"/>
          <w:sz w:val="24"/>
          <w:szCs w:val="24"/>
          <w:lang w:val="en-US"/>
        </w:rPr>
        <w:t xml:space="preserve"> a</w:t>
      </w:r>
      <w:r w:rsidRPr="00511330">
        <w:rPr>
          <w:rFonts w:asciiTheme="majorBidi" w:hAnsiTheme="majorBidi" w:cstheme="majorBidi"/>
          <w:sz w:val="24"/>
          <w:szCs w:val="24"/>
          <w:lang w:val="en-US"/>
        </w:rPr>
        <w:t xml:space="preserve"> rich oil-based country. The UAE has been especially effective in using its wealth to forge an international reputation and progressive label (Ennis, 2018). The development meant was ‘development that meets the needs of the present without compromising the ability of future generations to meet their own needs’ (IISD, 2017). </w:t>
      </w:r>
      <w:r w:rsidR="003A4C82" w:rsidRPr="00511330">
        <w:rPr>
          <w:rFonts w:asciiTheme="majorBidi" w:hAnsiTheme="majorBidi" w:cstheme="majorBidi"/>
          <w:sz w:val="24"/>
          <w:szCs w:val="24"/>
          <w:lang w:val="en-US"/>
        </w:rPr>
        <w:t xml:space="preserve">This Development process has become apparent because </w:t>
      </w:r>
      <w:r w:rsidRPr="00511330">
        <w:rPr>
          <w:rFonts w:asciiTheme="majorBidi" w:hAnsiTheme="majorBidi" w:cstheme="majorBidi"/>
          <w:sz w:val="24"/>
          <w:szCs w:val="24"/>
          <w:lang w:val="en-US"/>
        </w:rPr>
        <w:t xml:space="preserve">consumers rarely conduct a thorough assessment of sustainability activities in company operations, but instead consciously or unconsciously rely on brand reputation (Hanss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Bohm, 2011).  Overall, it reflects the commitment towards green and renewable energy of stakeholders. The UAE has committed to positively contribut</w:t>
      </w:r>
      <w:r w:rsidR="00377988" w:rsidRPr="00511330">
        <w:rPr>
          <w:rFonts w:asciiTheme="majorBidi" w:hAnsiTheme="majorBidi" w:cstheme="majorBidi"/>
          <w:sz w:val="24"/>
          <w:szCs w:val="24"/>
          <w:lang w:val="en-US"/>
        </w:rPr>
        <w:t>ing</w:t>
      </w:r>
      <w:r w:rsidRPr="00511330">
        <w:rPr>
          <w:rFonts w:asciiTheme="majorBidi" w:hAnsiTheme="majorBidi" w:cstheme="majorBidi"/>
          <w:sz w:val="24"/>
          <w:szCs w:val="24"/>
          <w:lang w:val="en-US"/>
        </w:rPr>
        <w:t xml:space="preserve"> to the global environmental issues and concerns by promoting the initiatives that encourage reducing the use of fossil </w:t>
      </w:r>
      <w:r w:rsidRPr="00511330">
        <w:rPr>
          <w:rFonts w:asciiTheme="majorBidi" w:hAnsiTheme="majorBidi" w:cstheme="majorBidi"/>
          <w:sz w:val="24"/>
          <w:szCs w:val="24"/>
          <w:lang w:val="en-US"/>
        </w:rPr>
        <w:lastRenderedPageBreak/>
        <w:t xml:space="preserve">fuels, which is also supported by the new regulations promoting renewable energy (Shareef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Altan, 2019; Akchurina, 2019).</w:t>
      </w:r>
    </w:p>
    <w:p w14:paraId="644161BC" w14:textId="61BB679D"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Furthermore, the element of positioning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as </w:t>
      </w:r>
      <w:r w:rsidR="00D805C9"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hub for renewable energy was initiated by the time</w:t>
      </w:r>
      <w:r w:rsidR="00892A00" w:rsidRPr="00511330">
        <w:rPr>
          <w:rFonts w:asciiTheme="majorBidi" w:hAnsiTheme="majorBidi" w:cstheme="majorBidi"/>
          <w:sz w:val="24"/>
          <w:szCs w:val="24"/>
          <w:lang w:val="en-US"/>
        </w:rPr>
        <w:t xml:space="preserve"> the</w:t>
      </w:r>
      <w:r w:rsidRPr="00511330">
        <w:rPr>
          <w:rFonts w:asciiTheme="majorBidi" w:hAnsiTheme="majorBidi" w:cstheme="majorBidi"/>
          <w:sz w:val="24"/>
          <w:szCs w:val="24"/>
          <w:lang w:val="en-US"/>
        </w:rPr>
        <w:t xml:space="preserve"> UAE community has understood the value of vision set by </w:t>
      </w:r>
      <w:r w:rsidR="00083503"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government. The cities of Abu Dhabi and Dubai have started serious and rapid steps toward making a positive contribution to climate change issues and forms part of the Abu Dhabi Vision 2030 that is already becoming one of the top ten future sustainable cities (DPM, 2019).  Therefore, His Highness Sheikh Mohammed bin Rashid Al Maktoum, the Vice-President and Prime Minister of the UAE and Ruler of Dubai, launched the UAE Green Growth Strategy as a long-term national initiative in January 2012 under the slogan “A Green Economy for Sustainable Development” (MoEW 2015). Simultaneously, </w:t>
      </w:r>
      <w:r w:rsidR="00D7068E"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 xml:space="preserve">strategy is assigned to preserve </w:t>
      </w:r>
      <w:r w:rsidR="00D805C9"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environment for future generations and become a global hub for </w:t>
      </w:r>
      <w:r w:rsidR="00602F52" w:rsidRPr="00511330">
        <w:rPr>
          <w:rFonts w:asciiTheme="majorBidi" w:hAnsiTheme="majorBidi" w:cstheme="majorBidi"/>
          <w:sz w:val="24"/>
          <w:szCs w:val="24"/>
          <w:lang w:val="en-US"/>
        </w:rPr>
        <w:t>renewable energies</w:t>
      </w:r>
      <w:r w:rsidRPr="00511330">
        <w:rPr>
          <w:rFonts w:asciiTheme="majorBidi" w:hAnsiTheme="majorBidi" w:cstheme="majorBidi"/>
          <w:sz w:val="24"/>
          <w:szCs w:val="24"/>
          <w:lang w:val="en-US"/>
        </w:rPr>
        <w:t xml:space="preserve"> development. The capital of the UAE created the local green rating scheme, namely, the Pearl Rating System (PRS)</w:t>
      </w:r>
      <w:r w:rsidR="004B008E"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to drive the city toward World Sustainable Capital (WSC) (Shareef and Altan, 2019). Hence, the element of reputation was and still a </w:t>
      </w:r>
      <w:r w:rsidR="004F30CF" w:rsidRPr="00511330">
        <w:rPr>
          <w:rFonts w:asciiTheme="majorBidi" w:hAnsiTheme="majorBidi" w:cstheme="majorBidi"/>
          <w:sz w:val="24"/>
          <w:szCs w:val="24"/>
          <w:lang w:val="en-US"/>
        </w:rPr>
        <w:t xml:space="preserve">significant </w:t>
      </w:r>
      <w:r w:rsidRPr="00511330">
        <w:rPr>
          <w:rFonts w:asciiTheme="majorBidi" w:hAnsiTheme="majorBidi" w:cstheme="majorBidi"/>
          <w:sz w:val="24"/>
          <w:szCs w:val="24"/>
          <w:lang w:val="en-US"/>
        </w:rPr>
        <w:t xml:space="preserve">motive driving the residence of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w:t>
      </w:r>
    </w:p>
    <w:p w14:paraId="644161BD" w14:textId="4589DC4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Supporting the demand of energy consumption element in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 has been growing over the past years</w:t>
      </w:r>
      <w:r w:rsidR="00330CF8"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w:t>
      </w:r>
      <w:r w:rsidR="00330CF8" w:rsidRPr="00511330">
        <w:rPr>
          <w:rFonts w:asciiTheme="majorBidi" w:hAnsiTheme="majorBidi" w:cstheme="majorBidi"/>
          <w:sz w:val="24"/>
          <w:szCs w:val="24"/>
          <w:lang w:val="en-US"/>
        </w:rPr>
        <w:t xml:space="preserve">Yet, </w:t>
      </w:r>
      <w:r w:rsidRPr="00511330">
        <w:rPr>
          <w:rFonts w:asciiTheme="majorBidi" w:hAnsiTheme="majorBidi" w:cstheme="majorBidi"/>
          <w:sz w:val="24"/>
          <w:szCs w:val="24"/>
          <w:lang w:val="en-US"/>
        </w:rPr>
        <w:t>the stabilization and degradation</w:t>
      </w:r>
      <w:r w:rsidR="00330CF8" w:rsidRPr="00511330">
        <w:rPr>
          <w:rFonts w:asciiTheme="majorBidi" w:hAnsiTheme="majorBidi" w:cstheme="majorBidi"/>
          <w:sz w:val="24"/>
          <w:szCs w:val="24"/>
          <w:lang w:val="en-US"/>
        </w:rPr>
        <w:t xml:space="preserve"> signs</w:t>
      </w:r>
      <w:r w:rsidRPr="00511330">
        <w:rPr>
          <w:rFonts w:asciiTheme="majorBidi" w:hAnsiTheme="majorBidi" w:cstheme="majorBidi"/>
          <w:sz w:val="24"/>
          <w:szCs w:val="24"/>
          <w:lang w:val="en-US"/>
        </w:rPr>
        <w:t xml:space="preserve"> were not there, as referenced in the UAE’s case study mentioned earlier. </w:t>
      </w:r>
      <w:r w:rsidR="00330CF8" w:rsidRPr="00511330">
        <w:rPr>
          <w:rFonts w:asciiTheme="majorBidi" w:hAnsiTheme="majorBidi" w:cstheme="majorBidi"/>
          <w:sz w:val="24"/>
          <w:szCs w:val="24"/>
          <w:lang w:val="en-US"/>
        </w:rPr>
        <w:t>T</w:t>
      </w:r>
      <w:r w:rsidRPr="00511330">
        <w:rPr>
          <w:rFonts w:asciiTheme="majorBidi" w:hAnsiTheme="majorBidi" w:cstheme="majorBidi"/>
          <w:sz w:val="24"/>
          <w:szCs w:val="24"/>
          <w:lang w:val="en-US"/>
        </w:rPr>
        <w:t xml:space="preserve">he auction model is likely to be the most attractive option for both investors and government in rapidly ramping up renewable electricity investment going forward </w:t>
      </w:r>
      <w:r w:rsidR="00385C3A"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K</w:t>
      </w:r>
      <w:r w:rsidR="00385C3A" w:rsidRPr="00511330">
        <w:rPr>
          <w:rFonts w:asciiTheme="majorBidi" w:hAnsiTheme="majorBidi" w:cstheme="majorBidi"/>
          <w:sz w:val="24"/>
          <w:szCs w:val="24"/>
          <w:lang w:val="en-US"/>
        </w:rPr>
        <w:t xml:space="preserve">rupa, </w:t>
      </w:r>
      <w:r w:rsidRPr="00511330">
        <w:rPr>
          <w:rFonts w:asciiTheme="majorBidi" w:hAnsiTheme="majorBidi" w:cstheme="majorBidi"/>
          <w:sz w:val="24"/>
          <w:szCs w:val="24"/>
          <w:lang w:val="en-US"/>
        </w:rPr>
        <w:t>2019). Enormous infrastructure projects are currently taking place</w:t>
      </w:r>
      <w:r w:rsidR="00F3121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it is realized that </w:t>
      </w:r>
      <w:r w:rsidR="00322F84" w:rsidRPr="00511330">
        <w:rPr>
          <w:rFonts w:asciiTheme="majorBidi" w:hAnsiTheme="majorBidi" w:cstheme="majorBidi"/>
          <w:sz w:val="24"/>
          <w:szCs w:val="24"/>
          <w:lang w:val="en-US"/>
        </w:rPr>
        <w:t xml:space="preserve">energy is back-bone </w:t>
      </w:r>
      <w:r w:rsidRPr="00511330">
        <w:rPr>
          <w:rFonts w:asciiTheme="majorBidi" w:hAnsiTheme="majorBidi" w:cstheme="majorBidi"/>
          <w:sz w:val="24"/>
          <w:szCs w:val="24"/>
          <w:lang w:val="en-US"/>
        </w:rPr>
        <w:t>to keep</w:t>
      </w:r>
      <w:r w:rsidR="00322F84" w:rsidRPr="00511330">
        <w:rPr>
          <w:rFonts w:asciiTheme="majorBidi" w:hAnsiTheme="majorBidi" w:cstheme="majorBidi"/>
          <w:sz w:val="24"/>
          <w:szCs w:val="24"/>
          <w:lang w:val="en-US"/>
        </w:rPr>
        <w:t>ing</w:t>
      </w:r>
      <w:r w:rsidRPr="00511330">
        <w:rPr>
          <w:rFonts w:asciiTheme="majorBidi" w:hAnsiTheme="majorBidi" w:cstheme="majorBidi"/>
          <w:sz w:val="24"/>
          <w:szCs w:val="24"/>
          <w:lang w:val="en-US"/>
        </w:rPr>
        <w:t xml:space="preserve"> the country always on development </w:t>
      </w:r>
      <w:r w:rsidR="00322F84"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lastRenderedPageBreak/>
        <w:t xml:space="preserve">flourishment </w:t>
      </w:r>
      <w:r w:rsidR="00322F84" w:rsidRPr="00511330">
        <w:rPr>
          <w:rFonts w:asciiTheme="majorBidi" w:hAnsiTheme="majorBidi" w:cstheme="majorBidi"/>
          <w:sz w:val="24"/>
          <w:szCs w:val="24"/>
          <w:lang w:val="en-US"/>
        </w:rPr>
        <w:t>mode</w:t>
      </w:r>
      <w:r w:rsidRPr="00511330">
        <w:rPr>
          <w:rFonts w:asciiTheme="majorBidi" w:hAnsiTheme="majorBidi" w:cstheme="majorBidi"/>
          <w:sz w:val="24"/>
          <w:szCs w:val="24"/>
          <w:lang w:val="en-US"/>
        </w:rPr>
        <w:t xml:space="preserve">. </w:t>
      </w:r>
      <w:r w:rsidRPr="00511330">
        <w:rPr>
          <w:rFonts w:asciiTheme="majorBidi" w:hAnsiTheme="majorBidi" w:cstheme="majorBidi"/>
          <w:i/>
          <w:iCs/>
          <w:sz w:val="24"/>
          <w:szCs w:val="24"/>
          <w:lang w:val="en-US"/>
        </w:rPr>
        <w:t xml:space="preserve">“Dubai: UAE energy consumption is growing at an average rate of 10 per cent, more than double the global growth of 4 per cent, studies have shown.” </w:t>
      </w:r>
      <w:r w:rsidRPr="00511330">
        <w:rPr>
          <w:rFonts w:asciiTheme="majorBidi" w:hAnsiTheme="majorBidi" w:cstheme="majorBidi"/>
          <w:sz w:val="24"/>
          <w:szCs w:val="24"/>
          <w:lang w:val="en-US"/>
        </w:rPr>
        <w:t xml:space="preserve">(Gulf News, 2017). </w:t>
      </w:r>
    </w:p>
    <w:p w14:paraId="644161BE" w14:textId="59AC2BEE"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On the other hand, assure leverage supply</w:t>
      </w:r>
      <w:r w:rsidR="00B904B2"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the element of independence for renewal energy equipment will vary depending on the </w:t>
      </w:r>
      <w:r w:rsidR="00B904B2" w:rsidRPr="00511330">
        <w:rPr>
          <w:rFonts w:asciiTheme="majorBidi" w:hAnsiTheme="majorBidi" w:cstheme="majorBidi"/>
          <w:sz w:val="24"/>
          <w:szCs w:val="24"/>
          <w:lang w:val="en-US"/>
        </w:rPr>
        <w:t xml:space="preserve">required </w:t>
      </w:r>
      <w:r w:rsidRPr="00511330">
        <w:rPr>
          <w:rFonts w:asciiTheme="majorBidi" w:hAnsiTheme="majorBidi" w:cstheme="majorBidi"/>
          <w:sz w:val="24"/>
          <w:szCs w:val="24"/>
          <w:lang w:val="en-US"/>
        </w:rPr>
        <w:t xml:space="preserve">scale. The </w:t>
      </w:r>
      <w:r w:rsidR="00B904B2" w:rsidRPr="00511330">
        <w:rPr>
          <w:rFonts w:asciiTheme="majorBidi" w:hAnsiTheme="majorBidi" w:cstheme="majorBidi"/>
          <w:sz w:val="24"/>
          <w:szCs w:val="24"/>
          <w:lang w:val="en-US"/>
        </w:rPr>
        <w:t xml:space="preserve">aspect </w:t>
      </w:r>
      <w:r w:rsidRPr="00511330">
        <w:rPr>
          <w:rFonts w:asciiTheme="majorBidi" w:hAnsiTheme="majorBidi" w:cstheme="majorBidi"/>
          <w:sz w:val="24"/>
          <w:szCs w:val="24"/>
          <w:lang w:val="en-US"/>
        </w:rPr>
        <w:t>of leveraging supply independence would primarily refer to SCM (Supply Chain Management). Examining the successful Mohammed bin Rashid Al Maktoum Solar Park in the UAE, it was observed that a multi-phase initiative with projects ranging from a 13-megawatt solar photovoltaic array to a 700-megawatt concentrated on solar thermal power development (Krupa, 2019). In recent years, it has been observed that renewable energy equipment, specifically the solar cells development, has taken unexpected leaps in the manufacturing process. For example, Dubai has recently launched Mohammed bin Rashid al-Maktoum Solar Park, with a total capacity of 1GW, extending over 48 km2 and estimated at $3.27 billion. (Ferroukhi et al., 2013).</w:t>
      </w:r>
    </w:p>
    <w:p w14:paraId="644161BF" w14:textId="4CFC0C08" w:rsidR="008D3598" w:rsidRPr="00511330" w:rsidRDefault="008D3598" w:rsidP="00721566">
      <w:pPr>
        <w:tabs>
          <w:tab w:val="left" w:pos="6255"/>
        </w:tabs>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Although the prices had reduced from the year before, it became accessible to most public at this stage. Akkermans et al. (1999) recognized customer orientation as an </w:t>
      </w:r>
      <w:r w:rsidR="007D01CE" w:rsidRPr="00511330">
        <w:rPr>
          <w:rFonts w:asciiTheme="majorBidi" w:hAnsiTheme="majorBidi" w:cstheme="majorBidi"/>
          <w:sz w:val="24"/>
          <w:szCs w:val="24"/>
          <w:lang w:val="en-US"/>
        </w:rPr>
        <w:t xml:space="preserve">essential </w:t>
      </w:r>
      <w:r w:rsidRPr="00511330">
        <w:rPr>
          <w:rFonts w:asciiTheme="majorBidi" w:hAnsiTheme="majorBidi" w:cstheme="majorBidi"/>
          <w:sz w:val="24"/>
          <w:szCs w:val="24"/>
          <w:lang w:val="en-US"/>
        </w:rPr>
        <w:t>ingredient as well as the simultaneous integration of upstream, downstream</w:t>
      </w:r>
      <w:r w:rsidR="00252217"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internal performance systems. </w:t>
      </w:r>
      <w:r w:rsidR="003C742C" w:rsidRPr="00511330">
        <w:rPr>
          <w:rFonts w:asciiTheme="majorBidi" w:hAnsiTheme="majorBidi" w:cstheme="majorBidi"/>
          <w:sz w:val="24"/>
          <w:szCs w:val="24"/>
          <w:lang w:val="en-US"/>
        </w:rPr>
        <w:t>Consequently</w:t>
      </w:r>
      <w:r w:rsidRPr="00511330">
        <w:rPr>
          <w:rFonts w:asciiTheme="majorBidi" w:hAnsiTheme="majorBidi" w:cstheme="majorBidi"/>
          <w:sz w:val="24"/>
          <w:szCs w:val="24"/>
          <w:lang w:val="en-US"/>
        </w:rPr>
        <w:t>, the supply would drive the major contributors and public sectors to increas</w:t>
      </w:r>
      <w:r w:rsidR="00560D20" w:rsidRPr="00511330">
        <w:rPr>
          <w:rFonts w:asciiTheme="majorBidi" w:hAnsiTheme="majorBidi" w:cstheme="majorBidi"/>
          <w:sz w:val="24"/>
          <w:szCs w:val="24"/>
          <w:lang w:val="en-US"/>
        </w:rPr>
        <w:t>e</w:t>
      </w:r>
      <w:r w:rsidRPr="00511330">
        <w:rPr>
          <w:rFonts w:asciiTheme="majorBidi" w:hAnsiTheme="majorBidi" w:cstheme="majorBidi"/>
          <w:sz w:val="24"/>
          <w:szCs w:val="24"/>
          <w:lang w:val="en-US"/>
        </w:rPr>
        <w:t xml:space="preserve"> the use of environmentally friendly equipment. Only certain regions received an increase (such as the 40% increase implemented in Abu Dhabi, one of seven Emirates making up the UAE) (Krupa, 2019). The more they supply, the better future products we get, as the market widens. Hence, the motive driving customer, as </w:t>
      </w:r>
      <w:r w:rsidRPr="00511330">
        <w:rPr>
          <w:rFonts w:asciiTheme="majorBidi" w:hAnsiTheme="majorBidi" w:cstheme="majorBidi"/>
          <w:sz w:val="24"/>
          <w:szCs w:val="24"/>
          <w:lang w:val="en-US"/>
        </w:rPr>
        <w:lastRenderedPageBreak/>
        <w:t xml:space="preserve">specified, is from increased inventory turnover, increased revenue, and cost reduction across the chain as being the most sought after (Daugherty et al., 2005; Attaran, 2004; Ferdows et al., 2004; </w:t>
      </w:r>
      <w:bookmarkStart w:id="182" w:name="_Hlk40656256"/>
      <w:r w:rsidRPr="00511330">
        <w:rPr>
          <w:rFonts w:asciiTheme="majorBidi" w:hAnsiTheme="majorBidi" w:cstheme="majorBidi"/>
          <w:sz w:val="24"/>
          <w:szCs w:val="24"/>
          <w:lang w:val="en-US"/>
        </w:rPr>
        <w:t xml:space="preserve">Leonard </w:t>
      </w:r>
      <w:bookmarkEnd w:id="182"/>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Cronan, 2002; Fine, 2000).</w:t>
      </w:r>
    </w:p>
    <w:p w14:paraId="644161C0" w14:textId="0AC01CB0" w:rsidR="008D3598" w:rsidRPr="00511330" w:rsidRDefault="008D3598" w:rsidP="00FC626A">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Leadership trust and support in the UAE community ha</w:t>
      </w:r>
      <w:r w:rsidR="00560D20" w:rsidRPr="00511330">
        <w:rPr>
          <w:rFonts w:asciiTheme="majorBidi" w:hAnsiTheme="majorBidi" w:cstheme="majorBidi"/>
          <w:sz w:val="24"/>
          <w:szCs w:val="24"/>
          <w:lang w:val="en-US"/>
        </w:rPr>
        <w:t>d</w:t>
      </w:r>
      <w:r w:rsidRPr="00511330">
        <w:rPr>
          <w:rFonts w:asciiTheme="majorBidi" w:hAnsiTheme="majorBidi" w:cstheme="majorBidi"/>
          <w:sz w:val="24"/>
          <w:szCs w:val="24"/>
          <w:lang w:val="en-US"/>
        </w:rPr>
        <w:t xml:space="preserve"> a high</w:t>
      </w:r>
      <w:r w:rsidR="00560D20" w:rsidRPr="00511330">
        <w:rPr>
          <w:rFonts w:asciiTheme="majorBidi" w:hAnsiTheme="majorBidi" w:cstheme="majorBidi"/>
          <w:sz w:val="24"/>
          <w:szCs w:val="24"/>
          <w:lang w:val="en-US"/>
        </w:rPr>
        <w:t xml:space="preserve"> bias</w:t>
      </w:r>
      <w:r w:rsidRPr="00511330">
        <w:rPr>
          <w:rFonts w:asciiTheme="majorBidi" w:hAnsiTheme="majorBidi" w:cstheme="majorBidi"/>
          <w:sz w:val="24"/>
          <w:szCs w:val="24"/>
          <w:lang w:val="en-US"/>
        </w:rPr>
        <w:t xml:space="preserve"> trust for leadership</w:t>
      </w:r>
      <w:r w:rsidR="00560D2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s vision and mission</w:t>
      </w:r>
      <w:r w:rsidR="00CC330F"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leading them into </w:t>
      </w:r>
      <w:r w:rsidR="00CC330F"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future. The government perceives the public sector managers as capable and trusted leaders who can successfully improve people’s happiness (</w:t>
      </w:r>
      <w:r w:rsidR="00FC626A" w:rsidRPr="00511330">
        <w:rPr>
          <w:rFonts w:asciiTheme="majorBidi" w:hAnsiTheme="majorBidi" w:cstheme="majorBidi"/>
          <w:sz w:val="24"/>
          <w:szCs w:val="24"/>
          <w:lang w:val="en-US"/>
        </w:rPr>
        <w:t>Al Maktoum</w:t>
      </w:r>
      <w:r w:rsidRPr="00511330">
        <w:rPr>
          <w:rFonts w:asciiTheme="majorBidi" w:hAnsiTheme="majorBidi" w:cstheme="majorBidi"/>
          <w:sz w:val="24"/>
          <w:szCs w:val="24"/>
          <w:lang w:val="en-US"/>
        </w:rPr>
        <w:t xml:space="preserve">, 2016; Al Remeithi, 2016). Therefore, they would always </w:t>
      </w:r>
      <w:r w:rsidR="00560D20" w:rsidRPr="00511330">
        <w:rPr>
          <w:rFonts w:asciiTheme="majorBidi" w:hAnsiTheme="majorBidi" w:cstheme="majorBidi"/>
          <w:sz w:val="24"/>
          <w:szCs w:val="24"/>
          <w:lang w:val="en-US"/>
        </w:rPr>
        <w:t>support</w:t>
      </w:r>
      <w:r w:rsidRPr="00511330">
        <w:rPr>
          <w:rFonts w:asciiTheme="majorBidi" w:hAnsiTheme="majorBidi" w:cstheme="majorBidi"/>
          <w:sz w:val="24"/>
          <w:szCs w:val="24"/>
          <w:lang w:val="en-US"/>
        </w:rPr>
        <w:t xml:space="preserve"> and add to all initiatives and give feedback for improvements. In UAE, for example, highlighting trust as Bass (1997, p. 137) stresses – the status of the leaders in the society is predicated on leaders’ success in maintaining trust, keeping close ties with the people and on their ability to remain approachable and supportive (i.e.</w:t>
      </w:r>
      <w:r w:rsidR="00190C0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empowering) (Yaghi, 2017). </w:t>
      </w:r>
    </w:p>
    <w:p w14:paraId="644161C1" w14:textId="0F049CFF"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Trusting government vision and direction element of motive is not borne out of sudden; it’s a summation of </w:t>
      </w:r>
      <w:r w:rsidR="00666AD3"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chain of evolution of visions germinated several decades back, which shaped the UAE and put it on one of the top lists in many aspects of developments. Oxford English defines vision as “a desired future state” which is the basis for directing the change effort. In our region, we agree with (Bass, 2000; 2008)</w:t>
      </w:r>
      <w:r w:rsidR="00A75A5A"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who argued that the search for a single definition of leadership was pointless. For some dictatorship leaders who are forging their organizations over time, the employees under such leaders will envision them as charismatic as they could not form any other definition due to their position and organization regime, they are working in.</w:t>
      </w:r>
    </w:p>
    <w:p w14:paraId="644161C2" w14:textId="1F313359"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From long before, the UAE has a proven record</w:t>
      </w:r>
      <w:r w:rsidR="00D34368" w:rsidRPr="00511330">
        <w:rPr>
          <w:rFonts w:asciiTheme="majorBidi" w:hAnsiTheme="majorBidi" w:cstheme="majorBidi"/>
          <w:sz w:val="24"/>
          <w:szCs w:val="24"/>
          <w:lang w:val="en-US"/>
        </w:rPr>
        <w:t xml:space="preserve"> of confronting</w:t>
      </w:r>
      <w:r w:rsidRPr="00511330">
        <w:rPr>
          <w:rFonts w:asciiTheme="majorBidi" w:hAnsiTheme="majorBidi" w:cstheme="majorBidi"/>
          <w:sz w:val="24"/>
          <w:szCs w:val="24"/>
          <w:lang w:val="en-US"/>
        </w:rPr>
        <w:t xml:space="preserve"> with continued evolvement element. The development and evolvement of renewable energy </w:t>
      </w:r>
      <w:r w:rsidR="00560D20" w:rsidRPr="00511330">
        <w:rPr>
          <w:rFonts w:asciiTheme="majorBidi" w:hAnsiTheme="majorBidi" w:cstheme="majorBidi"/>
          <w:sz w:val="24"/>
          <w:szCs w:val="24"/>
          <w:lang w:val="en-US"/>
        </w:rPr>
        <w:t>take a</w:t>
      </w:r>
      <w:r w:rsidR="00267371" w:rsidRPr="00511330">
        <w:rPr>
          <w:rFonts w:asciiTheme="majorBidi" w:hAnsiTheme="majorBidi" w:cstheme="majorBidi"/>
          <w:sz w:val="24"/>
          <w:szCs w:val="24"/>
          <w:lang w:val="en-US"/>
        </w:rPr>
        <w:t>n immense</w:t>
      </w:r>
      <w:r w:rsidRPr="00511330">
        <w:rPr>
          <w:rFonts w:asciiTheme="majorBidi" w:hAnsiTheme="majorBidi" w:cstheme="majorBidi"/>
          <w:sz w:val="24"/>
          <w:szCs w:val="24"/>
          <w:lang w:val="en-US"/>
        </w:rPr>
        <w:t xml:space="preserve"> importance to medium and smaller entities that start to pinch the smaller</w:t>
      </w:r>
      <w:r w:rsidR="00560D2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scale renewable energy project</w:t>
      </w:r>
      <w:r w:rsidR="00D73ADA"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the public </w:t>
      </w:r>
      <w:r w:rsidR="000276D5" w:rsidRPr="00511330">
        <w:rPr>
          <w:rFonts w:asciiTheme="majorBidi" w:hAnsiTheme="majorBidi" w:cstheme="majorBidi"/>
          <w:sz w:val="24"/>
          <w:szCs w:val="24"/>
          <w:lang w:val="en-US"/>
        </w:rPr>
        <w:t xml:space="preserve">was </w:t>
      </w:r>
      <w:r w:rsidRPr="00511330">
        <w:rPr>
          <w:rFonts w:asciiTheme="majorBidi" w:hAnsiTheme="majorBidi" w:cstheme="majorBidi"/>
          <w:sz w:val="24"/>
          <w:szCs w:val="24"/>
          <w:lang w:val="en-US"/>
        </w:rPr>
        <w:t xml:space="preserve">motivated under the umbrella of benefits used by medium entities in the downstream market. The first example, based in the UAE, presents a well-designed template that, properly replicated and adapted to the idiosyncrasies of related regions, is likely to attract significant private sector interest (Krupa, 2019). </w:t>
      </w:r>
    </w:p>
    <w:p w14:paraId="644161C3" w14:textId="1EA21C36"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Readiness to </w:t>
      </w:r>
      <w:r w:rsidR="00461833"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requirements element attributed to pricing contributes back to the main electricity grids, which has turned the market concept of renewable equipment and prompted the public sector along with a major energy provider to get involved in various projects. The project gave the UAE private and public sectors learning opportunities and first mover prestige in a technology with significant implications for the region (that is, CSTP with storage), facilitated by backing of the UAE state (Krupa,2019). Therefore, the UAE, despite having some of the largest deposits of hydrocarbons in the world, is planning to diversify its energy mix beyond hydrocarbon-based electricity generation, which also includes nuclear and renewable-energy technologies (USEI, 2018).</w:t>
      </w:r>
    </w:p>
    <w:p w14:paraId="644161C4" w14:textId="5EECB182"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We always tend to ask ourselves if we are doing things for next generation. The element of conserving environment for future generations always spreads among personal, community and organizations, and corporates.  Abu Dhabi Education Council (ADEC) views this trend as a means to ‘‘ensure continued generations of learners who are prepared for a changing world and yet remain committed to the preservation of their country’s values and traditions’’ (Abu Dhabi Education </w:t>
      </w:r>
      <w:r w:rsidRPr="00511330">
        <w:rPr>
          <w:rFonts w:asciiTheme="majorBidi" w:hAnsiTheme="majorBidi" w:cstheme="majorBidi"/>
          <w:sz w:val="24"/>
          <w:szCs w:val="24"/>
          <w:lang w:val="en-US"/>
        </w:rPr>
        <w:lastRenderedPageBreak/>
        <w:t xml:space="preserve">Council 2013b). The concern for next generation has not been omitted in the past, but its long-lasting questions during the lifecycle of the organization deserve attention. The UAE’s goal is to invest AED 600 billion by 2050 to generate the vast majority of its electrical energy from clean sources (Saleh et al., 2019). The UAE had a deep concern for next generations, and always tends to raise slogans for better future or for upcoming generations in a form known as Corporate Social responsibility (CSR).  In this context, the UAE society’s expectations regarding CSR are no longer confined to philanthropy (Goby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Nickerson, 2016), a shift in the interpretation of CSR that drives organizations to consider a variety of issues, such as stakeholder engagement and sustainability (Almatrooshi et al., 2018).  CSR has also evolved through the years from philanthropy to strategic philanthropy, from investing to socially responsible investing (fund screening, social advocacy, community investment), from entrepreneurship to social entrepreneurship, from venture capital fund to social venture capital fund, from and MBA to an MBA in CSR, corporate social responsibility and profitability (employees, customers, governments, media), and the bottom line (Cochran, 2007).</w:t>
      </w:r>
    </w:p>
    <w:p w14:paraId="644161C5" w14:textId="65376CAE"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w:t>
      </w:r>
      <w:r w:rsidRPr="00511330">
        <w:rPr>
          <w:rFonts w:asciiTheme="majorBidi" w:hAnsiTheme="majorBidi" w:cstheme="majorBidi"/>
          <w:i/>
          <w:iCs/>
          <w:sz w:val="24"/>
          <w:szCs w:val="24"/>
          <w:lang w:val="en-US"/>
        </w:rPr>
        <w:t>We recognize that preserving our energy resources will be one of the greatest challenges in our drive towards sustainable development. This, however, will not materialize unless the different facets of our society adopt energy conservation principles in their core values. The future generations will be the chief beneficiary of our achievements and the best judge of what we accomplish in this field</w:t>
      </w:r>
      <w:r w:rsidRPr="00511330">
        <w:rPr>
          <w:rFonts w:asciiTheme="majorBidi" w:hAnsiTheme="majorBidi" w:cstheme="majorBidi"/>
          <w:sz w:val="24"/>
          <w:szCs w:val="24"/>
          <w:lang w:val="en-US"/>
        </w:rPr>
        <w:t xml:space="preserve">” said the vice president and prime ministry of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 and ruler of Dubai, (MoEW, 2015).</w:t>
      </w:r>
    </w:p>
    <w:p w14:paraId="644161C6" w14:textId="3698049D" w:rsidR="008D3598" w:rsidRPr="00511330" w:rsidRDefault="008D3598" w:rsidP="00721566">
      <w:pPr>
        <w:pStyle w:val="Heading3"/>
        <w:numPr>
          <w:ilvl w:val="2"/>
          <w:numId w:val="13"/>
        </w:numPr>
        <w:spacing w:after="240"/>
        <w:ind w:left="720" w:right="-450"/>
        <w:jc w:val="both"/>
        <w:rPr>
          <w:lang w:val="en-US"/>
        </w:rPr>
      </w:pPr>
      <w:bookmarkStart w:id="183" w:name="_Toc43311615"/>
      <w:r w:rsidRPr="00511330">
        <w:rPr>
          <w:lang w:val="en-US"/>
        </w:rPr>
        <w:lastRenderedPageBreak/>
        <w:t>Aligning Perpetual Change and Sustainability (APCS)</w:t>
      </w:r>
      <w:bookmarkEnd w:id="183"/>
    </w:p>
    <w:p w14:paraId="644161C7" w14:textId="104527D0"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 well-known stereotype about rewarding systems s that it is only for organizations’ benefits and there is minimal or no beneficial impact for the current community. How effectively and appropriately an organization defines, measures, manages and rewards performance will have a major impact on employee engagement and motivation </w:t>
      </w:r>
      <w:bookmarkStart w:id="184" w:name="_Hlk27219751"/>
      <w:r w:rsidRPr="00511330">
        <w:rPr>
          <w:rFonts w:asciiTheme="majorBidi" w:hAnsiTheme="majorBidi" w:cstheme="majorBidi"/>
          <w:sz w:val="24"/>
          <w:szCs w:val="24"/>
          <w:lang w:val="en-US"/>
        </w:rPr>
        <w:t xml:space="preserve">(Greene, 2018). </w:t>
      </w:r>
      <w:bookmarkEnd w:id="184"/>
    </w:p>
    <w:p w14:paraId="644161C8" w14:textId="6AA7B5D9"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Achieving global qualifications and rewards is a direct result of striving to become the premium in all fields and it is impregnated in all aspects of global culture. Performance and rewards strategies must be consistent with the culture. Due to the young age of the country to be recognized as </w:t>
      </w:r>
      <w:r w:rsidR="00560D20"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global leader and an example of benchmark to other world-wide organization</w:t>
      </w:r>
      <w:r w:rsidR="00560D20"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has a high motivational </w:t>
      </w:r>
      <w:r w:rsidR="00560D20" w:rsidRPr="00511330">
        <w:rPr>
          <w:rFonts w:asciiTheme="majorBidi" w:hAnsiTheme="majorBidi" w:cstheme="majorBidi"/>
          <w:sz w:val="24"/>
          <w:szCs w:val="24"/>
          <w:lang w:val="en-US"/>
        </w:rPr>
        <w:t>e</w:t>
      </w:r>
      <w:r w:rsidRPr="00511330">
        <w:rPr>
          <w:rFonts w:asciiTheme="majorBidi" w:hAnsiTheme="majorBidi" w:cstheme="majorBidi"/>
          <w:sz w:val="24"/>
          <w:szCs w:val="24"/>
          <w:lang w:val="en-US"/>
        </w:rPr>
        <w:t xml:space="preserve">ffect across all organizational levels. The value proposition they offer to the market must result in attracting and retaining the needed talent as well as motivating that talent to focus on contributing to the organization’s success (Greene, 2018). Nevertheless, leaders have to always direct employees towards a specific direction by ensuring transparency of the objective of being in a successful team. One of the critical prerequisites for producing motivation and alignment in the workforce is a clear definition of what is needed and a clear understanding by each person or unit of how they must act to facilitate attainment of the organization’s objectives. Nevertheless, with rapid development of renewable application technologies and quantum leap of solar cells concept, the knowledge shifted abruptly to realizing the benefits and rewards of renewable applications. Currently and while writing this research, the deployment of RE will provide that country with a wide variety of socioeconomic beneﬁts such as contributing to the diversiﬁcation of energy </w:t>
      </w:r>
      <w:r w:rsidRPr="00511330">
        <w:rPr>
          <w:rFonts w:asciiTheme="majorBidi" w:hAnsiTheme="majorBidi" w:cstheme="majorBidi"/>
          <w:sz w:val="24"/>
          <w:szCs w:val="24"/>
          <w:lang w:val="en-US"/>
        </w:rPr>
        <w:lastRenderedPageBreak/>
        <w:t xml:space="preserve">supply, enhancing its regional and rural development, and creating an opportunity for the domestic industry along with job creation potential (Del Rio, 2009; Mezher, 2011). </w:t>
      </w:r>
    </w:p>
    <w:p w14:paraId="644161C9" w14:textId="1A514B38"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An alternative motive that drives the change towards renewables is the associated social sustainability awareness rising element of applying health and safety requirements become the second level of concern in the community of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and organizations stakeholders. Previous studies (Azad 2017; Mohammadzadeh, 2017) have demonstrated that supplier integration is positively related to organizational sustainable performance. However, any sustainability plan was always incorporated with health and safety as part of evolvement interest nature. While a generalized definition of social sustainability is unachievable, this pillar has been commonly incorporated with the human side of sustainability, which includes human rights, health and safety, and community (Huq et al., 2014). The awareness of health and safety in the energy sector came as a consequence of the programs </w:t>
      </w:r>
      <w:r w:rsidR="00560D20" w:rsidRPr="00511330">
        <w:rPr>
          <w:rFonts w:asciiTheme="majorBidi" w:hAnsiTheme="majorBidi" w:cstheme="majorBidi"/>
          <w:sz w:val="24"/>
          <w:szCs w:val="24"/>
          <w:lang w:val="en-US"/>
        </w:rPr>
        <w:t>such as</w:t>
      </w:r>
      <w:r w:rsidRPr="00511330">
        <w:rPr>
          <w:rFonts w:asciiTheme="majorBidi" w:hAnsiTheme="majorBidi" w:cstheme="majorBidi"/>
          <w:sz w:val="24"/>
          <w:szCs w:val="24"/>
          <w:lang w:val="en-US"/>
        </w:rPr>
        <w:t xml:space="preserve"> knowledge sharing and community rapid awareness with fast-paced development in the UAE. Human element is involved at every stage of the healthcare process (Santilli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Vogenberg, 2015).   </w:t>
      </w:r>
    </w:p>
    <w:p w14:paraId="644161CA" w14:textId="3BBF6E6C"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In addition to the stage of aligning with international laws and decrees element, the local approach with international or global laws is another stage that drives motives of change and placing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 on global scale. World Economic Forum’s (WEF) recent survey concludes ‘‘in general, the expanded efforts of regulators to deliver more sustainable development mechanism have not yet produced tangible effects on a large-scale” (</w:t>
      </w:r>
      <w:r w:rsidR="008A5254" w:rsidRPr="00511330">
        <w:rPr>
          <w:rFonts w:asciiTheme="majorBidi" w:hAnsiTheme="majorBidi" w:cstheme="majorBidi"/>
          <w:sz w:val="24"/>
          <w:szCs w:val="24"/>
          <w:lang w:val="en-US"/>
        </w:rPr>
        <w:t>WEF (2014),</w:t>
      </w:r>
      <w:r w:rsidRPr="00511330">
        <w:rPr>
          <w:rFonts w:asciiTheme="majorBidi" w:hAnsiTheme="majorBidi" w:cstheme="majorBidi"/>
          <w:sz w:val="24"/>
          <w:szCs w:val="24"/>
          <w:lang w:val="en-US"/>
        </w:rPr>
        <w:t xml:space="preserve">.  However, each country has been afforded the opportunity to present all their statistics of renewable energy and determine the </w:t>
      </w:r>
      <w:r w:rsidRPr="00511330">
        <w:rPr>
          <w:rFonts w:asciiTheme="majorBidi" w:hAnsiTheme="majorBidi" w:cstheme="majorBidi"/>
          <w:sz w:val="24"/>
          <w:szCs w:val="24"/>
          <w:lang w:val="en-US"/>
        </w:rPr>
        <w:lastRenderedPageBreak/>
        <w:t xml:space="preserve">extent of its contribution to developing the country in multi-aspects. In 2010, the government implemented an updated code of corporate governance in an attempt to introduce internationally accepted corporate governance principles into the UAE (Alkaraan, 2018). The UAE has also outlined aggressive plans to launch renewable energy projects and align itself with the goal of most developed countries. The country has a great expectation in developing its RE economic sector in order to meet its ambitious RE targets. For the UAE, the total power capacity in 2021 is expected to be around 38 GW out of doing so; in this context, MASADAR and SHAMS became a landmark for renewable energy projects that are discussed in every conference and world energy index meetings (Al Naqbi et al., 2019). </w:t>
      </w:r>
    </w:p>
    <w:p w14:paraId="644161CB" w14:textId="10469511"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Meanwhile, the described UAE Government’s comprehensive training and development system consider</w:t>
      </w:r>
      <w:r w:rsidR="00560D20" w:rsidRPr="00511330">
        <w:rPr>
          <w:rFonts w:asciiTheme="majorBidi" w:hAnsiTheme="majorBidi" w:cstheme="majorBidi"/>
          <w:sz w:val="24"/>
          <w:szCs w:val="24"/>
          <w:lang w:val="en-US"/>
        </w:rPr>
        <w:t>ed as</w:t>
      </w:r>
      <w:r w:rsidRPr="00511330">
        <w:rPr>
          <w:rFonts w:asciiTheme="majorBidi" w:hAnsiTheme="majorBidi" w:cstheme="majorBidi"/>
          <w:sz w:val="24"/>
          <w:szCs w:val="24"/>
          <w:lang w:val="en-US"/>
        </w:rPr>
        <w:t xml:space="preserve"> Core </w:t>
      </w:r>
      <w:r w:rsidR="00560D20" w:rsidRPr="00511330">
        <w:rPr>
          <w:rFonts w:asciiTheme="majorBidi" w:hAnsiTheme="majorBidi" w:cstheme="majorBidi"/>
          <w:sz w:val="24"/>
          <w:szCs w:val="24"/>
          <w:lang w:val="en-US"/>
        </w:rPr>
        <w:t>for</w:t>
      </w:r>
      <w:r w:rsidRPr="00511330">
        <w:rPr>
          <w:rFonts w:asciiTheme="majorBidi" w:hAnsiTheme="majorBidi" w:cstheme="majorBidi"/>
          <w:sz w:val="24"/>
          <w:szCs w:val="24"/>
          <w:lang w:val="en-US"/>
        </w:rPr>
        <w:t xml:space="preserve"> leadership competency skills to be well defined</w:t>
      </w:r>
      <w:r w:rsidR="00560D20"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for that purpose, a robust performance management system is in place. Competencies are accompanied by a capability that defines the capacity to lay down blueprint for future works of renewables. The concept of renewable energy infrastructure refers to the physical capacity of the country to deploy those related technologies (Al Naqbi et al., 2019). The competency and capacity are not only motive that drives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and energy sector towards renewables; the availability of human factors is also considered in the equation.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 like many countries who are trying to transition the energy market, is facing challenges in having a well-trained human capacity throughout the value chain of the RE industry (Al Naqbi et al., 2019). The practice by</w:t>
      </w:r>
      <w:r w:rsidR="00892A00" w:rsidRPr="00511330">
        <w:rPr>
          <w:rFonts w:asciiTheme="majorBidi" w:hAnsiTheme="majorBidi" w:cstheme="majorBidi"/>
          <w:sz w:val="24"/>
          <w:szCs w:val="24"/>
          <w:lang w:val="en-US"/>
        </w:rPr>
        <w:t xml:space="preserve"> the</w:t>
      </w:r>
      <w:r w:rsidRPr="00511330">
        <w:rPr>
          <w:rFonts w:asciiTheme="majorBidi" w:hAnsiTheme="majorBidi" w:cstheme="majorBidi"/>
          <w:sz w:val="24"/>
          <w:szCs w:val="24"/>
          <w:lang w:val="en-US"/>
        </w:rPr>
        <w:t xml:space="preserve"> UAE state-owned firms of seeking the best project management competencies (i.e. knowledgeable, skilled </w:t>
      </w:r>
      <w:r w:rsidRPr="00511330">
        <w:rPr>
          <w:rFonts w:asciiTheme="majorBidi" w:hAnsiTheme="majorBidi" w:cstheme="majorBidi"/>
          <w:sz w:val="24"/>
          <w:szCs w:val="24"/>
          <w:lang w:val="en-US"/>
        </w:rPr>
        <w:lastRenderedPageBreak/>
        <w:t>and experienced labor) wherever one can find them – especially for megaprojects – probably contributes to the fact that the performance of government-owned PBFs (Project Based Firms) in our sample is not significantly different to that of international firms (Mainga, 2017).</w:t>
      </w:r>
    </w:p>
    <w:p w14:paraId="644161CC" w14:textId="038BE5C5"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motive element of having a better work environment and the rise of the global warming is a concern that has affected the UAE. Government buildings, which constitute 20% of the built environment, aim to lead the way, and are therefore required to attain a high level of achievement (Dakheel et al., 2018). Since the UAE’s culture is emotionally driven, governments and local communities were always paying attention to what next generation would be left with, </w:t>
      </w:r>
      <w:r w:rsidR="00560D20" w:rsidRPr="00511330">
        <w:rPr>
          <w:rFonts w:asciiTheme="majorBidi" w:hAnsiTheme="majorBidi" w:cstheme="majorBidi"/>
          <w:sz w:val="24"/>
          <w:szCs w:val="24"/>
          <w:lang w:val="en-US"/>
        </w:rPr>
        <w:t>e</w:t>
      </w:r>
      <w:r w:rsidRPr="00511330">
        <w:rPr>
          <w:rFonts w:asciiTheme="majorBidi" w:hAnsiTheme="majorBidi" w:cstheme="majorBidi"/>
          <w:sz w:val="24"/>
          <w:szCs w:val="24"/>
          <w:lang w:val="en-US"/>
        </w:rPr>
        <w:t xml:space="preserve">specially the work environment. The UAE is developing at a rapid pace, which places a huge burden on the environment along with the natural resources to accommodate these changes (Sajwani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Nielsen, 2017). One set defines the performance to define the development of employees and work environment (Dixit et al., 2019). Hence, there was a never-ending challenge to always develop, enhance and reshape process to work in favor of an improved work environment. The UAE’s extremely hold climate and subsequently, a high cooling demand generated a challenging environment for energy conservation and environmental sustainability of buildings (Friess, 2017).</w:t>
      </w:r>
    </w:p>
    <w:p w14:paraId="644161CD" w14:textId="1A6C6CA1"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Finally, there are no doubts that the opportunity for learning elements</w:t>
      </w:r>
      <w:r w:rsidR="00560D20" w:rsidRPr="00511330">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t xml:space="preserve">starting from education and continuous learning phenomena, which played a vital rule since the establishment of the UAE union. It is a deliberate choice, a firm belief, a fundamental principle and one of the values that the UAE Government is embracing in order to preserve the interest of society, as well as to build a happy </w:t>
      </w:r>
      <w:r w:rsidRPr="00511330">
        <w:rPr>
          <w:rFonts w:asciiTheme="majorBidi" w:hAnsiTheme="majorBidi" w:cstheme="majorBidi"/>
          <w:sz w:val="24"/>
          <w:szCs w:val="24"/>
          <w:lang w:val="en-US"/>
        </w:rPr>
        <w:lastRenderedPageBreak/>
        <w:t xml:space="preserve">future for communities and providing for them with the conditions to thrive, prosper, and enjoy a high-quality standard (Zairi, 2019). Therefore, the UAE government has specifically paid attention to the training and continuous learning </w:t>
      </w:r>
      <w:r w:rsidR="00DA6213" w:rsidRPr="00511330">
        <w:rPr>
          <w:rFonts w:asciiTheme="majorBidi" w:hAnsiTheme="majorBidi" w:cstheme="majorBidi"/>
          <w:sz w:val="24"/>
          <w:szCs w:val="24"/>
          <w:lang w:val="en-US"/>
        </w:rPr>
        <w:t xml:space="preserve">treating </w:t>
      </w:r>
      <w:r w:rsidRPr="00511330">
        <w:rPr>
          <w:rFonts w:asciiTheme="majorBidi" w:hAnsiTheme="majorBidi" w:cstheme="majorBidi"/>
          <w:sz w:val="24"/>
          <w:szCs w:val="24"/>
          <w:lang w:val="en-US"/>
        </w:rPr>
        <w:t>each in its own professionalism. There is, however, a new revolution emanating from the Middle East region and, in particular, led by the UAE Government (Zairi, 2019). ADEC’s (Abu Dhabi Education Council) strategy map outlines their objectives to align ‘‘higher education with labour market and socio-economic needs, guided by the Abu Dhabi Economic Vision 2030’’ and ‘‘build and maintain a research ecosystem to drive an innovation-based economy’’ (Abu Dhabi Education Council 2013c). A good example is Masdar, which, on basis of the photovoltaic eco</w:t>
      </w:r>
      <w:r w:rsidR="00DA6213"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city constructed, has also established a university to ensure that all tribes of communities are provided with an equal opportunity to learn the technology of renewable energies. In the UAE, Masdar Institute, which focuses on advanced RE, offers important dissemination activities towards the promotion of RE in the social sector (Ferroukhi et al., 2013). In reality, models for these cities are diverse, ranging from demonstrations of future urban development to educational tools that research sustainable living (Randeree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Ahmed 2019). </w:t>
      </w:r>
      <w:bookmarkStart w:id="185" w:name="_Toc32085719"/>
      <w:bookmarkStart w:id="186" w:name="_Toc32085904"/>
      <w:bookmarkStart w:id="187" w:name="_Toc32086091"/>
      <w:bookmarkStart w:id="188" w:name="_Toc32090228"/>
      <w:bookmarkStart w:id="189" w:name="_Toc32090558"/>
      <w:bookmarkStart w:id="190" w:name="_Toc32091474"/>
      <w:bookmarkStart w:id="191" w:name="_Toc32085720"/>
      <w:bookmarkStart w:id="192" w:name="_Toc32085905"/>
      <w:bookmarkStart w:id="193" w:name="_Toc32086092"/>
      <w:bookmarkStart w:id="194" w:name="_Toc32090229"/>
      <w:bookmarkStart w:id="195" w:name="_Toc32090559"/>
      <w:bookmarkStart w:id="196" w:name="_Toc32091475"/>
      <w:bookmarkStart w:id="197" w:name="_Toc32085724"/>
      <w:bookmarkStart w:id="198" w:name="_Toc32085909"/>
      <w:bookmarkStart w:id="199" w:name="_Toc32086096"/>
      <w:bookmarkStart w:id="200" w:name="_Toc32090233"/>
      <w:bookmarkStart w:id="201" w:name="_Toc32090563"/>
      <w:bookmarkStart w:id="202" w:name="_Toc32091479"/>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644161CE" w14:textId="77777777" w:rsidR="008D3598" w:rsidRPr="00511330" w:rsidRDefault="008D3598" w:rsidP="00721566">
      <w:pPr>
        <w:pStyle w:val="Heading2"/>
        <w:numPr>
          <w:ilvl w:val="1"/>
          <w:numId w:val="13"/>
        </w:numPr>
        <w:spacing w:after="240"/>
        <w:ind w:left="720" w:right="-450" w:hanging="720"/>
        <w:rPr>
          <w:lang w:val="en-US"/>
        </w:rPr>
      </w:pPr>
      <w:bookmarkStart w:id="203" w:name="_Toc43311616"/>
      <w:r w:rsidRPr="00511330">
        <w:rPr>
          <w:lang w:val="en-US"/>
        </w:rPr>
        <w:t>Enablers of Change Management</w:t>
      </w:r>
      <w:bookmarkEnd w:id="203"/>
    </w:p>
    <w:p w14:paraId="644161CF" w14:textId="1D4FA2E3"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Enabler has a broad </w:t>
      </w:r>
      <w:r w:rsidR="00DA6213" w:rsidRPr="00511330">
        <w:rPr>
          <w:rFonts w:asciiTheme="majorBidi" w:hAnsiTheme="majorBidi" w:cstheme="majorBidi"/>
          <w:sz w:val="24"/>
          <w:szCs w:val="24"/>
          <w:lang w:val="en-US"/>
        </w:rPr>
        <w:t xml:space="preserve">of </w:t>
      </w:r>
      <w:r w:rsidRPr="00511330">
        <w:rPr>
          <w:rFonts w:asciiTheme="majorBidi" w:hAnsiTheme="majorBidi" w:cstheme="majorBidi"/>
          <w:sz w:val="24"/>
          <w:szCs w:val="24"/>
          <w:lang w:val="en-US"/>
        </w:rPr>
        <w:t>meaning</w:t>
      </w:r>
      <w:r w:rsidR="00DA6213"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when referring to a dictionary. As for successful change management, the meaning serves as a facilitator towards specific objectives. Enablers are specific tools and mechanisms that organization</w:t>
      </w:r>
      <w:r w:rsidR="00DA6213"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or leaders use to facilitate a systemic acceleration of process as well as development in organization. Researchers opine that it is important to effectively and efficiently manage these organizational elements (knowledge enablers) in order to have a </w:t>
      </w:r>
      <w:r w:rsidRPr="00511330">
        <w:rPr>
          <w:rFonts w:asciiTheme="majorBidi" w:hAnsiTheme="majorBidi" w:cstheme="majorBidi"/>
          <w:sz w:val="24"/>
          <w:szCs w:val="24"/>
          <w:lang w:val="en-US"/>
        </w:rPr>
        <w:lastRenderedPageBreak/>
        <w:t xml:space="preserve">successful knowledge management process (Monavvarian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Kasaei, 2007). </w:t>
      </w:r>
      <w:r w:rsidR="00DA6213" w:rsidRPr="00511330">
        <w:rPr>
          <w:rFonts w:asciiTheme="majorBidi" w:hAnsiTheme="majorBidi" w:cstheme="majorBidi"/>
          <w:sz w:val="24"/>
          <w:szCs w:val="24"/>
          <w:lang w:val="en-US"/>
        </w:rPr>
        <w:t>Also</w:t>
      </w:r>
      <w:r w:rsidRPr="00511330">
        <w:rPr>
          <w:rFonts w:asciiTheme="majorBidi" w:hAnsiTheme="majorBidi" w:cstheme="majorBidi"/>
          <w:sz w:val="24"/>
          <w:szCs w:val="24"/>
          <w:lang w:val="en-US"/>
        </w:rPr>
        <w:t xml:space="preserve">, newer definitions of management deemphasize recurring processes while stressing the importance of the manager as an ‘enabler (facilitator) of employee performance’ rather than the much more traditional ‘activities’ (Robert Dailey 2012).  Meanwhile, Aurum et al., (2008) divided the knowledge management enablers into four enablers, </w:t>
      </w:r>
    </w:p>
    <w:p w14:paraId="644161D0" w14:textId="132893BE"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Leadership, technology, culture, and measurement in this study, the four subjects, were discussed and their elements were broken down. Accordingly, the four enablers in renewable energy factors were covered under different elements. For example, leadership was discussed under the umbrella of stakeholder</w:t>
      </w:r>
      <w:r w:rsidR="00DA6213"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Additionally, culture was discussed as an element of engagement of stakeholders. In addition to that measurement, the subject was discussed under elements of flexibility, feedback, and accuracy by adopting practices for the management of the relationship (Petroni et al., 2012; Terziovski, 2003; Verbano et al., 2013). Firms are required to correctly choose partners and organizational forms (Chiesa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Manzini, 1998), after which the partners should consider simultaneously integrated policies, information sharing, incentive alignment, and appropriate performance measures (Simatupang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Sridharan, 2002).</w:t>
      </w:r>
    </w:p>
    <w:p w14:paraId="644161D1" w14:textId="42D6FD79"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subject of enablers was discussed in various management fields, mostly in reference to moving ahead to continuous grow</w:t>
      </w:r>
      <w:r w:rsidR="00DA6213" w:rsidRPr="00511330">
        <w:rPr>
          <w:rFonts w:asciiTheme="majorBidi" w:hAnsiTheme="majorBidi" w:cstheme="majorBidi"/>
          <w:sz w:val="24"/>
          <w:szCs w:val="24"/>
          <w:lang w:val="en-US"/>
        </w:rPr>
        <w:t>th</w:t>
      </w:r>
      <w:r w:rsidRPr="00511330">
        <w:rPr>
          <w:rFonts w:asciiTheme="majorBidi" w:hAnsiTheme="majorBidi" w:cstheme="majorBidi"/>
          <w:sz w:val="24"/>
          <w:szCs w:val="24"/>
          <w:lang w:val="en-US"/>
        </w:rPr>
        <w:t xml:space="preserve"> or reaching objectives. This study of enablers will tackle the issue of change in renewable energy and identifying the enabling factors used to ensure that development and objective of change are met, as desired by organizations.</w:t>
      </w:r>
    </w:p>
    <w:p w14:paraId="644161D2" w14:textId="117C52E0"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Enablers of change in renewable energy industry would vary based on different perspective</w:t>
      </w:r>
      <w:r w:rsidR="00DA6213"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of </w:t>
      </w:r>
      <w:r w:rsidR="00DA6213"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organization, but the factors of enablers presented in the study are imperative for change in every energy organization. The study further delves deep into each factor of enabler to present the findings of elements which is </w:t>
      </w:r>
      <w:r w:rsidR="00DA6213"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root for any succession plan and strategy to be followed. </w:t>
      </w:r>
    </w:p>
    <w:p w14:paraId="644161D3" w14:textId="7ED15B1A"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Far at the end, H.H Shaikh Mohammed Bin Rashid Al Maktoum, Prime Mister of</w:t>
      </w:r>
      <w:r w:rsidR="00892A00" w:rsidRPr="00511330">
        <w:rPr>
          <w:rFonts w:asciiTheme="majorBidi" w:hAnsiTheme="majorBidi" w:cstheme="majorBidi"/>
          <w:sz w:val="24"/>
          <w:szCs w:val="24"/>
          <w:lang w:val="en-US"/>
        </w:rPr>
        <w:t xml:space="preserve"> the</w:t>
      </w:r>
      <w:r w:rsidRPr="00511330">
        <w:rPr>
          <w:rFonts w:asciiTheme="majorBidi" w:hAnsiTheme="majorBidi" w:cstheme="majorBidi"/>
          <w:sz w:val="24"/>
          <w:szCs w:val="24"/>
          <w:lang w:val="en-US"/>
        </w:rPr>
        <w:t xml:space="preserve"> UAE, clearly defined the strategy of the government and all its subsidiaries to be the “number one” in the world. According to Porter (1985), winning business strategies are those that enable the company to gain a competitive advantage in the market.</w:t>
      </w:r>
      <w:bookmarkStart w:id="204" w:name="_Toc32085726"/>
      <w:bookmarkStart w:id="205" w:name="_Toc32085911"/>
      <w:bookmarkStart w:id="206" w:name="_Toc32086098"/>
      <w:bookmarkStart w:id="207" w:name="_Toc32090235"/>
      <w:bookmarkStart w:id="208" w:name="_Toc32090565"/>
      <w:bookmarkStart w:id="209" w:name="_Toc32091481"/>
      <w:bookmarkStart w:id="210" w:name="_Toc32085727"/>
      <w:bookmarkStart w:id="211" w:name="_Toc32085912"/>
      <w:bookmarkStart w:id="212" w:name="_Toc32086099"/>
      <w:bookmarkStart w:id="213" w:name="_Toc32090236"/>
      <w:bookmarkStart w:id="214" w:name="_Toc32090566"/>
      <w:bookmarkStart w:id="215" w:name="_Toc32091482"/>
      <w:bookmarkStart w:id="216" w:name="_Toc32085728"/>
      <w:bookmarkStart w:id="217" w:name="_Toc32085913"/>
      <w:bookmarkStart w:id="218" w:name="_Toc32086100"/>
      <w:bookmarkStart w:id="219" w:name="_Toc32090237"/>
      <w:bookmarkStart w:id="220" w:name="_Toc32090567"/>
      <w:bookmarkStart w:id="221" w:name="_Toc32091483"/>
      <w:bookmarkStart w:id="222" w:name="_Toc32085731"/>
      <w:bookmarkStart w:id="223" w:name="_Toc32085916"/>
      <w:bookmarkStart w:id="224" w:name="_Toc32086103"/>
      <w:bookmarkStart w:id="225" w:name="_Toc32090240"/>
      <w:bookmarkStart w:id="226" w:name="_Toc32090570"/>
      <w:bookmarkStart w:id="227" w:name="_Toc32091486"/>
      <w:bookmarkStart w:id="228" w:name="_Toc32085732"/>
      <w:bookmarkStart w:id="229" w:name="_Toc32085917"/>
      <w:bookmarkStart w:id="230" w:name="_Toc32086104"/>
      <w:bookmarkStart w:id="231" w:name="_Toc32090241"/>
      <w:bookmarkStart w:id="232" w:name="_Toc32090571"/>
      <w:bookmarkStart w:id="233" w:name="_Toc32091487"/>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644161D4" w14:textId="6DFA8797" w:rsidR="008D3598" w:rsidRPr="00511330" w:rsidRDefault="008D3598" w:rsidP="00721566">
      <w:pPr>
        <w:pStyle w:val="Heading3"/>
        <w:numPr>
          <w:ilvl w:val="2"/>
          <w:numId w:val="14"/>
        </w:numPr>
        <w:spacing w:after="240"/>
        <w:ind w:right="-450"/>
        <w:rPr>
          <w:lang w:val="en-US"/>
        </w:rPr>
      </w:pPr>
      <w:bookmarkStart w:id="234" w:name="_Toc43311617"/>
      <w:r w:rsidRPr="00511330">
        <w:rPr>
          <w:lang w:val="en-US"/>
        </w:rPr>
        <w:t>Engagement and Support (E&amp;S)</w:t>
      </w:r>
      <w:bookmarkEnd w:id="234"/>
    </w:p>
    <w:p w14:paraId="644161D5"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Workforce is a majority part of any organizational change, subsequent to which leadership comes at the top of the pyramid as key ruling factor for change. A participative decision-making process provides them with an opportunity to be actively involved in making decisions, thus enhancing their inclination for change (Ertürk, 2008). A workforce in the organization covers top to bottom employees and vice versa. Trust and leadership are deemed important preconditions for creating an atmosphere of continual organizational learning and capability reconﬁguration. Both traits are seen as a dynamic capability enabler (Pablo et al., 2007). During change, trust is not only an enabling factor of workforce engagement; it is also accompanied by the free flow in information and knowledge, which overall contributes to successful change management. The energy markets were always faced with main characters of fear, especially among </w:t>
      </w:r>
      <w:r w:rsidRPr="00511330">
        <w:rPr>
          <w:rFonts w:asciiTheme="majorBidi" w:hAnsiTheme="majorBidi" w:cstheme="majorBidi"/>
          <w:sz w:val="24"/>
          <w:szCs w:val="24"/>
          <w:lang w:val="en-US"/>
        </w:rPr>
        <w:lastRenderedPageBreak/>
        <w:t>technical employees and administrative where the second party would always be apprehensive of the fact that the technical employees could manage to take over administrative works. Therefore, enabling technical employees would drive them to cooperate instead of contradicting. In this regard, Carter (2008) believes that effecting change involves controlling or coordinating the change process in such a manner that enables people to adapt to change in a positive way. The use of words such as coordinating, controlling and adapting all signify the importance of the role of a leader and the organizational culture in change management Abdulla, Moza et al (2017).</w:t>
      </w:r>
    </w:p>
    <w:p w14:paraId="644161D6" w14:textId="69841C7C"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Over the past decade, the interaction of company, employees and external customers has become much easier. That was obviously seen through portals, online complain systems and an ordinary emailing system. Recent studies on customer participation have focused on the identification of antecedents (Hau et al., 2017; Mahrous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Abdelmaaboud, 2017) and outcomes (Hau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Thuy, 2016) of customer participation. </w:t>
      </w:r>
    </w:p>
    <w:p w14:paraId="644161D7"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Nowadays, not many firms are found to be lacking in such a simple platform interaction. However, it depends on the company and their latest IT tools to be able to interact internally and externally. A poignant example of an interaction platform would be KM (Knowledge Management) web-based site. Companies would deliberately put their experiences, case history and work know-how in such platform in order to get inputs and then set their future objectives. The aim of this approach was to bring themes to the surface from deep inside the data by investigating causes, consequences, and interactions (Neuman, 1994).</w:t>
      </w:r>
    </w:p>
    <w:p w14:paraId="644161D8"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In order to step up the process of change, it is mandatory to overcome the constraints of having all internal and external stakeholders in the process. IT is considered a tool, but if it is not emphasized correctly, then there would be a missing link causing the chain to break at any time during change phases. Involvement has a significant role to play. According to Al Alami (2013), three components collectively constitute the construct of involvement: cognitive involvement involving thinking skills, affective involvement involving a spirit of motivation, and interactive involvement involving some action of appropriate reaction and purposeful performance.</w:t>
      </w:r>
    </w:p>
    <w:p w14:paraId="644161D9" w14:textId="5EF05EC7" w:rsidR="008D3598" w:rsidRPr="00511330" w:rsidRDefault="008D3598" w:rsidP="005C38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Additionally, rewarding system is an essential consequence of praising innovative ideas. Creating appropriate rewards and disciplinary mechanisms motivates impacted employees to contribute to the desired change and eventually helps institutionalize this change (Yaseen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Okour, 2012). Thus, the summation would lead to the shortcut or perfection of the change process. The potential rewards of cooperative research have fueled greater collaboration and open innovation (Chesbrough 2003; Chesbrough et al. 2006). Rewards are a form of satisfaction between leaders and employees or stakeholders’ groups, which, in turn, inflects the benefit to a greater organization form. Such changes will occur only when there is enough incentive for individuals to make the transition (Douglas, 1996). Contingent rewards are used to shape the relationships between leaders and followers by rewarding followers for not only following the directions, but also accomplishing tasks formulated by the leader (Northouse, 2013).</w:t>
      </w:r>
    </w:p>
    <w:p w14:paraId="644161DA" w14:textId="3024A53A"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Partnership exchange with private sector is one of the factors that accelerate the change process towards a better renewable approach. Unfortunately, the UAE </w:t>
      </w:r>
      <w:r w:rsidRPr="00511330">
        <w:rPr>
          <w:rFonts w:asciiTheme="majorBidi" w:hAnsiTheme="majorBidi" w:cstheme="majorBidi"/>
          <w:sz w:val="24"/>
          <w:szCs w:val="24"/>
          <w:lang w:val="en-US"/>
        </w:rPr>
        <w:lastRenderedPageBreak/>
        <w:t>energy sector is still at its nascent stage, and the only experiment thus far has been made by the ADWEA (Abu Dhabi Water and Electricity Authority) by having a power-producing partnership with private sectors such as AGP or Total-Tractable (IWP project 2019;</w:t>
      </w:r>
      <w:r w:rsidRPr="00511330">
        <w:rPr>
          <w:rFonts w:asciiTheme="majorBidi" w:hAnsiTheme="majorBidi" w:cstheme="majorBidi"/>
          <w:i/>
          <w:iCs/>
          <w:sz w:val="24"/>
          <w:szCs w:val="24"/>
          <w:lang w:val="en-US"/>
        </w:rPr>
        <w:t xml:space="preserve"> </w:t>
      </w:r>
      <w:r w:rsidRPr="00511330">
        <w:rPr>
          <w:rFonts w:asciiTheme="majorBidi" w:hAnsiTheme="majorBidi" w:cstheme="majorBidi"/>
          <w:sz w:val="24"/>
          <w:szCs w:val="24"/>
          <w:lang w:val="en-US"/>
        </w:rPr>
        <w:t>Mubasher, 2018). However, while the financial burden will still be quite large, Emirati officials have allowed for financial risk allocation with the development of a Public-Private Partnership where Kepco is in charge of designing, building and operating the nuclear power plant.</w:t>
      </w:r>
    </w:p>
    <w:p w14:paraId="644161DB" w14:textId="40A101E9"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UAE is also known to have one of the highest populations of multi-cultural individuals living within its boundaries and working collectively in governmental and private sectors.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culture tends to be high collectivism culture where the groups are very important (Al-Hummadi, 2013). </w:t>
      </w:r>
    </w:p>
    <w:p w14:paraId="644161DC"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Enabling the cultural interaction and exchange is considered to be a high advantage that is acquired from different experiences and work practices, if activated correctly for stakeholders. Lillrank (2001) suggests that cultures are one of the main objectives in making any change successful. However, different cultures tend to perceive each change situation differently. Therefore, cultures are not something to be ignored when considering CM. </w:t>
      </w:r>
    </w:p>
    <w:p w14:paraId="644161DD" w14:textId="7BD31F15"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On the other hand, legal decrees in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are considered one of the factors that require a lot of perusing.  After 12 years of implementation of IPP (independent Power Producers) in ADEWA, other emirates stepped up over the past year with decrees which took time, after taking cognizance of actual benefits of enabling private sectors in the energy sector. The visceral flexibility of legal decree is important at any colossal project of change, especially when dealing with mass </w:t>
      </w:r>
      <w:r w:rsidRPr="00511330">
        <w:rPr>
          <w:rFonts w:asciiTheme="majorBidi" w:hAnsiTheme="majorBidi" w:cstheme="majorBidi"/>
          <w:sz w:val="24"/>
          <w:szCs w:val="24"/>
          <w:lang w:val="en-US"/>
        </w:rPr>
        <w:lastRenderedPageBreak/>
        <w:t>receivers of specific services. Liyin et al. (2006) postulated that the practice of environmental management is mainly driven by external impetus such as legal enforcement incentive programs from the government. The legislative body has an important role to play in preparing the necessary legal infrastructure to safeguard the future environmental interests of all parties and prompt a wider option of sustainable construction practices (Majdalani et al., 2006).</w:t>
      </w:r>
    </w:p>
    <w:p w14:paraId="644161DE" w14:textId="6D5C67DB"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Another factor of strength in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 energy sector is its strong structure and flexibility, which makes it easy to adapt and alter, if required. In order to implement a renewable energy (RE) strategy in any country, a good market design is needed to ensure successful outcomes. Market design depends on several factors such as Infrastructure, Human Capacity and Institutions (Al Naqbi et al., 2019). Such a structure is considered to be an enabler in renewable energy sector owing to the close encounter among all stakeholders of energy in the UAE - establishing rules and agreed-on plans; making decisions about land-use policies, funding sources, infrastructure; and minimizing the degree of risk in crisis prevention, and that of  social and environmental systems (Guion et al., 2007).</w:t>
      </w:r>
    </w:p>
    <w:p w14:paraId="644161DF" w14:textId="4D8B5E0F"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Meanwhile, the subject of the R&amp;D has long been ignored, especially in the Middle East and specifically in energy towards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approach. In the UAE, the subject of R&amp;D has never been tackled in-depth and instead been relegated to the form of a research center. The absence of mature R&amp;D in this area has caused the future of solar energy in the region to be struggling with technical, environmental and social factors (</w:t>
      </w:r>
      <w:r w:rsidR="00847F10" w:rsidRPr="00511330">
        <w:rPr>
          <w:rFonts w:asciiTheme="majorBidi" w:hAnsiTheme="majorBidi" w:cstheme="majorBidi"/>
          <w:sz w:val="24"/>
          <w:szCs w:val="24"/>
          <w:lang w:val="en-US"/>
        </w:rPr>
        <w:t xml:space="preserve">Hanan </w:t>
      </w:r>
      <w:r w:rsidRPr="00511330">
        <w:rPr>
          <w:rFonts w:asciiTheme="majorBidi" w:hAnsiTheme="majorBidi" w:cstheme="majorBidi"/>
          <w:sz w:val="24"/>
          <w:szCs w:val="24"/>
          <w:lang w:val="en-US"/>
        </w:rPr>
        <w:t xml:space="preserve">Albufasa, 2015). The probability of market success increases tremendously when the R&amp;D department avails itself of the skill and experience of the sales department and when marketing campaigns </w:t>
      </w:r>
      <w:r w:rsidRPr="00511330">
        <w:rPr>
          <w:rFonts w:asciiTheme="majorBidi" w:hAnsiTheme="majorBidi" w:cstheme="majorBidi"/>
          <w:sz w:val="24"/>
          <w:szCs w:val="24"/>
          <w:lang w:val="en-US"/>
        </w:rPr>
        <w:lastRenderedPageBreak/>
        <w:t>depend on the R&amp;D department for providing accurate information about innovative products (to ensure the significance of cooperation between particular departments for supply chain management, see Cooper et al. (1997). Sharing the performance data of existing solar power plants with government and R&amp;D institutions, and RE (Renewable Energy) industry can help improve the RE policy decisions and identify technical solutions to some of the challenges of RETs especially in the UAE (Al Naqbi et al., 2019).</w:t>
      </w:r>
    </w:p>
    <w:p w14:paraId="644161E0" w14:textId="3CBCFF94"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Another part of enablers that need to be underlined is the loyalty, or the sense of belonging to the bigger picture of the states and organization you are within. Plenty of studies were conducted to enhance loyalty and belonging; however, the highest enabler that drives change is loyalty and belonging. Within that context, the attitudes and loyalties of employees are directly influenced by their participation in change efforts, which has a direct influence on their involvement in the change processes (D’Ortenzio, 2012). </w:t>
      </w:r>
      <w:r w:rsidR="00353329" w:rsidRPr="00511330">
        <w:rPr>
          <w:rFonts w:asciiTheme="majorBidi" w:hAnsiTheme="majorBidi" w:cstheme="majorBidi"/>
          <w:sz w:val="24"/>
          <w:szCs w:val="24"/>
          <w:lang w:val="en-US"/>
        </w:rPr>
        <w:t>Even though</w:t>
      </w:r>
      <w:r w:rsidRPr="00511330">
        <w:rPr>
          <w:rFonts w:asciiTheme="majorBidi" w:hAnsiTheme="majorBidi" w:cstheme="majorBidi"/>
          <w:sz w:val="24"/>
          <w:szCs w:val="24"/>
          <w:lang w:val="en-US"/>
        </w:rPr>
        <w:t xml:space="preserve"> it was not very convincing, it is a kind of enabler that needs to be explored further. One way of keeping employee’s loyalty and belonging is keeping them off all communication platforms and opening trust channels. All moments of contact between the company and the clients are valuable since every communication emanating from the company contributes to developing customer loyalty and organizational reputation (Kitchen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Schultz, 2003). On the other hand, (Duncan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Moriarty, 1998) specified that the integration at a strategic level of all communications is crucial to build and reinforce brands and to establish loyalty in the long-term.</w:t>
      </w:r>
    </w:p>
    <w:p w14:paraId="644161E1" w14:textId="39A5B6E5"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Lastly and one of the most essential elements of enabler comes from organizational support that could also be extended to community support towards a specific </w:t>
      </w:r>
      <w:r w:rsidRPr="00511330">
        <w:rPr>
          <w:rFonts w:asciiTheme="majorBidi" w:hAnsiTheme="majorBidi" w:cstheme="majorBidi"/>
          <w:sz w:val="24"/>
          <w:szCs w:val="24"/>
          <w:lang w:val="en-US"/>
        </w:rPr>
        <w:lastRenderedPageBreak/>
        <w:t>beneficial change. Yet, individual support of policy denotes an important category of environmentally significant behavior (Stern, 2000). Organization support takes different forms of communicating, empowering and adopting ideas with rewarding that helps make the transition to change successful</w:t>
      </w:r>
      <w:r w:rsidR="00353329" w:rsidRPr="00511330">
        <w:rPr>
          <w:rFonts w:asciiTheme="majorBidi" w:hAnsiTheme="majorBidi" w:cstheme="majorBidi"/>
          <w:sz w:val="24"/>
          <w:szCs w:val="24"/>
          <w:lang w:val="en-US"/>
        </w:rPr>
        <w:t>ly</w:t>
      </w:r>
      <w:r w:rsidRPr="00511330">
        <w:rPr>
          <w:rFonts w:asciiTheme="majorBidi" w:hAnsiTheme="majorBidi" w:cstheme="majorBidi"/>
          <w:sz w:val="24"/>
          <w:szCs w:val="24"/>
          <w:lang w:val="en-US"/>
        </w:rPr>
        <w:t>. The enablers must always be initialized and sponsored from the top of the pyramid in any organization leaders who are entrusted with the premium responsibility for enabling such a crucial enabler element. Some environmental policies are necessary to motivate and achieve necessary large-scale societal changes (Clayton, 2018). The need to be a leader in green energy has always been supported by a government-led approach, as described by the UAE Prime Minister, Shaikh Mohammad Al Maktoum “in order to preserve our local environment and achieve sustainable, low-cost development” (Gulf News, 2017).</w:t>
      </w:r>
    </w:p>
    <w:p w14:paraId="644161E2"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Beer et al. (1990) suggest several practical strategies for reducing resistance by increasing motivation, including support for innovative departments and better career opportunities for managers who implement organizational change successfully. Similarly, Freeman (1984) is of the view that there are many groups and individuals, other than shareholders, who have stakes in a business and can affect get affected by the achievement of the organization’s objectives, and without the support of which the organization would not meet its goals (Blair et al., 2002).</w:t>
      </w:r>
    </w:p>
    <w:p w14:paraId="644161E3" w14:textId="2EE4B01E" w:rsidR="008D3598" w:rsidRPr="00511330" w:rsidRDefault="008D3598" w:rsidP="00721566">
      <w:pPr>
        <w:pStyle w:val="Heading3"/>
        <w:numPr>
          <w:ilvl w:val="2"/>
          <w:numId w:val="14"/>
        </w:numPr>
        <w:spacing w:after="240"/>
        <w:ind w:right="-450"/>
        <w:rPr>
          <w:lang w:val="en-US"/>
        </w:rPr>
      </w:pPr>
      <w:bookmarkStart w:id="235" w:name="_Toc43311618"/>
      <w:r w:rsidRPr="00511330">
        <w:rPr>
          <w:lang w:val="en-US"/>
        </w:rPr>
        <w:t>Alignment of Strategy</w:t>
      </w:r>
      <w:bookmarkEnd w:id="235"/>
      <w:r w:rsidRPr="00511330">
        <w:rPr>
          <w:lang w:val="en-US"/>
        </w:rPr>
        <w:t xml:space="preserve"> </w:t>
      </w:r>
    </w:p>
    <w:p w14:paraId="644161E4" w14:textId="18DABE1E"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If strategy is aligned with vision, then the summation of change effort would leverage the benefits and collaborate in the same direction. Alignment of change with the organization mission (Cady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Neubert, 2001; Jaros, 2010) and the </w:t>
      </w:r>
      <w:r w:rsidRPr="00511330">
        <w:rPr>
          <w:rFonts w:asciiTheme="majorBidi" w:hAnsiTheme="majorBidi" w:cstheme="majorBidi"/>
          <w:sz w:val="24"/>
          <w:szCs w:val="24"/>
          <w:lang w:val="en-US"/>
        </w:rPr>
        <w:lastRenderedPageBreak/>
        <w:t xml:space="preserve">appropriateness of change (Neves, 2009) make employees feel both obligated and enthusiastic to participate in the change process. However, vision and strategy are not sperate entities; so, in order to get the correct result, the summation of both must be equal to successful change. As pointed out by Politis (2002), charismatic leaders provide the vision and energy for knowledge sharing within the organization. Correspondingly, Roblyer (1993) opined that many of the challenges faced by researches in achieving high levels of integration are at least partly caused by the lack of a clear definition or vision of what this means. Overall, the direction and process towards the same direction shall be synthesized and such kind of vision can be enabled if the leadership had what is required. Typically, this action entails creating the vision, promoting communication and anticipation, and facilitating the process (Lewis, Schmisseur, Stephens,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Wier, 2006).</w:t>
      </w:r>
    </w:p>
    <w:p w14:paraId="644161E5"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In doing so, the element of having goals and objectives are crucial as the objectives would indicate the change-related checkmark standpoints. According to Lucey (2008), any change initiatives and efforts should align with the corporate goals and objectives to ensure organizational success. This underscores the importance of CM. Yet, many forms of leadership do not realize that such an element of enabler, if not driven clearly, might confuse employees to follow a shattered direction under the erroneous assumption that they are in the correct path. The relational leadership and employee involvement are defined as the organization and employees being immersed, accepting, and supporting the process during the transformation and structure or change of objectives. All factors considered as superseding factors help position employees as the victorious team. Effectively communicating the vision, the mission, and the objectives of the change effort will </w:t>
      </w:r>
      <w:r w:rsidRPr="00511330">
        <w:rPr>
          <w:rFonts w:asciiTheme="majorBidi" w:hAnsiTheme="majorBidi" w:cstheme="majorBidi"/>
          <w:sz w:val="24"/>
          <w:szCs w:val="24"/>
          <w:lang w:val="en-US"/>
        </w:rPr>
        <w:lastRenderedPageBreak/>
        <w:t>help employees understand the manner in which these changes will affect them personally, subsequently reducing barriers to change, creating incentives to change, and equally importantly, introducing appropriate rewards for new behaviors (Bishop et al., 2008).</w:t>
      </w:r>
    </w:p>
    <w:p w14:paraId="644161E6"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On top of that, planning is considered one of the enabler’s elements that requires in-depth study prior to implementing the process of change. CM denotes the process of change: planning, coordinating, organizing and directing of the processes through which change is implemented, while leadership is aimed at motivating and influencing employees (Spicker, 2012). Analogously, Burnes (2004) explicates that organizational changes need to be approached appropriately; otherwise, planned and emergent changes may be competing with each other rather than being complementary. Energy sectors in the UAE perceived most of the changes on the management level and re-processed their existing way of work, forgetting the involvement of human factors, skills and communication that also must be considered and planned alongside in the journey of change success. </w:t>
      </w:r>
    </w:p>
    <w:p w14:paraId="644161E7" w14:textId="450A472C"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Indubitably, change cannot take place without considering the human factor; consequently, most of the resistance to change is caused by the human resistance factor. When planning change, many organizations focus on the plan and not the people. The psychological aspects of change are not addressed; as a result, decisions are made in the boardroom and not on the work floor (Coble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Vendl, 2016).</w:t>
      </w:r>
    </w:p>
    <w:p w14:paraId="644161E8" w14:textId="402050C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Yet, the enabler element of people’s willingness and enthusiasm is an element fraught with controversy due to the involvement of divergent backgrounds. </w:t>
      </w:r>
      <w:r w:rsidRPr="00511330">
        <w:rPr>
          <w:rFonts w:asciiTheme="majorBidi" w:hAnsiTheme="majorBidi" w:cstheme="majorBidi"/>
          <w:sz w:val="24"/>
          <w:szCs w:val="24"/>
          <w:lang w:val="en-US"/>
        </w:rPr>
        <w:lastRenderedPageBreak/>
        <w:t xml:space="preserve">Research calls for the examination of potential mediators in the affiliation of participative leadership with different employee elements, given that this profoundly lacks examination (Hassan et al., 2013; Miao et al., 2014). It is a well-known fact that the citizens of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have a strong element of trust on the country’s leaderships. Whenever rulers point towards a direction, we find all stakeholders are enthusiastic enough to follow that direction. It has long been believed that Arab managers in the MENA region are, in general, inclined towards consultation and the adoption of a participative leadership style (Suliman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Thomas, 2014). Thus far, the majority of renewable energy approaches were aimed towards specific targets and there is no less proof than major energy organizations planning their renewable energy projects towards the same objective. The UAE market has recently witnessed a drastic leap on the part of energy organizations, such as the Dubai Electricity and Water Authority (DEWA), Abu Dhabi Electricity and Water Authority (ADEWA), Sharjah Electricity and Water Authority (SEWA), and Federal Electricity and Water Authority (FEWA). Each organization had time lapses in development; however, all of them are following the same track of development (Petroleum Economist, 2015).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kept its track and commitments to investing in renewable energies. Shams1 was the first CSP power plant to have undergone construction in the UAE (Toufic, Goldsmith,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Choucri, 2011). Zaffane and Al-Zarooni (2008) found in their sample of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Government organizations that organizational culture affects job satisfaction and the degree of trust employees maintain with management. Nevertheless, Denise Skinner (2004) notes that an integral part of effective change and effective learning </w:t>
      </w:r>
      <w:r w:rsidRPr="00511330">
        <w:rPr>
          <w:rFonts w:asciiTheme="majorBidi" w:hAnsiTheme="majorBidi" w:cstheme="majorBidi"/>
          <w:sz w:val="24"/>
          <w:szCs w:val="24"/>
          <w:lang w:val="en-US"/>
        </w:rPr>
        <w:lastRenderedPageBreak/>
        <w:t>is the reflection on experience and the evaluation of process /outcomes in order to facilitate the productive progression to the next stage.</w:t>
      </w:r>
    </w:p>
    <w:p w14:paraId="644161E9" w14:textId="6D78A40E"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Lastly, the appropriate governance system is considered a pillar of change process, given that any misdirection or misconduct causes change process to lose its intended direction. Clearly, there is a rapid progression of emerging building energy efficiency regulations being implemented in response to the frantic growth of the UAE (Friess et al., 2017). Topping (2002) opined that once an enterprise is at a crossroad of unexpected emergency, it entails indispensable and impressive corporate governance to distinguish, segregate as well as administer the downturn. In addition, change leaders must be sure to establish the infrastructure and governance systems in order to accomplish this integration of mutually dependent components (Anderson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Anderson, 2001).  </w:t>
      </w:r>
      <w:bookmarkStart w:id="236" w:name="_Toc32085735"/>
      <w:bookmarkStart w:id="237" w:name="_Toc32085920"/>
      <w:bookmarkStart w:id="238" w:name="_Toc32086107"/>
      <w:bookmarkStart w:id="239" w:name="_Toc32090244"/>
      <w:bookmarkStart w:id="240" w:name="_Toc32090574"/>
      <w:bookmarkStart w:id="241" w:name="_Toc32091490"/>
      <w:bookmarkStart w:id="242" w:name="_Toc32085736"/>
      <w:bookmarkStart w:id="243" w:name="_Toc32085921"/>
      <w:bookmarkStart w:id="244" w:name="_Toc32086108"/>
      <w:bookmarkStart w:id="245" w:name="_Toc32090245"/>
      <w:bookmarkStart w:id="246" w:name="_Toc32090575"/>
      <w:bookmarkStart w:id="247" w:name="_Toc32091491"/>
      <w:bookmarkStart w:id="248" w:name="_Toc32085737"/>
      <w:bookmarkStart w:id="249" w:name="_Toc32085922"/>
      <w:bookmarkStart w:id="250" w:name="_Toc32086109"/>
      <w:bookmarkStart w:id="251" w:name="_Toc32090246"/>
      <w:bookmarkStart w:id="252" w:name="_Toc32090576"/>
      <w:bookmarkStart w:id="253" w:name="_Toc32091492"/>
      <w:bookmarkStart w:id="254" w:name="_Toc32085738"/>
      <w:bookmarkStart w:id="255" w:name="_Toc32085923"/>
      <w:bookmarkStart w:id="256" w:name="_Toc32086110"/>
      <w:bookmarkStart w:id="257" w:name="_Toc32090247"/>
      <w:bookmarkStart w:id="258" w:name="_Toc32090577"/>
      <w:bookmarkStart w:id="259" w:name="_Toc32091493"/>
      <w:bookmarkStart w:id="260" w:name="_Toc32085739"/>
      <w:bookmarkStart w:id="261" w:name="_Toc32085924"/>
      <w:bookmarkStart w:id="262" w:name="_Toc32086111"/>
      <w:bookmarkStart w:id="263" w:name="_Toc32090248"/>
      <w:bookmarkStart w:id="264" w:name="_Toc32090578"/>
      <w:bookmarkStart w:id="265" w:name="_Toc32091494"/>
      <w:bookmarkStart w:id="266" w:name="_Toc32085743"/>
      <w:bookmarkStart w:id="267" w:name="_Toc32085928"/>
      <w:bookmarkStart w:id="268" w:name="_Toc32086115"/>
      <w:bookmarkStart w:id="269" w:name="_Toc32090252"/>
      <w:bookmarkStart w:id="270" w:name="_Toc32090582"/>
      <w:bookmarkStart w:id="271" w:name="_Toc32091498"/>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644161EA" w14:textId="25CF20D5" w:rsidR="008D3598" w:rsidRPr="00511330" w:rsidRDefault="008D3598" w:rsidP="00721566">
      <w:pPr>
        <w:pStyle w:val="Heading3"/>
        <w:numPr>
          <w:ilvl w:val="2"/>
          <w:numId w:val="14"/>
        </w:numPr>
        <w:spacing w:after="240"/>
        <w:ind w:right="-450"/>
        <w:rPr>
          <w:lang w:val="en-US"/>
        </w:rPr>
      </w:pPr>
      <w:bookmarkStart w:id="272" w:name="_Toc43311619"/>
      <w:r w:rsidRPr="00511330">
        <w:rPr>
          <w:lang w:val="en-US"/>
        </w:rPr>
        <w:t>Resources and Capabilities (R&amp;C)</w:t>
      </w:r>
      <w:bookmarkEnd w:id="272"/>
    </w:p>
    <w:p w14:paraId="644161EB" w14:textId="0CC390E5"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financial and human capabilities enablers are one of the subjects that are commonly discussed in almost every reach related to CM. However, less research has been conducted to explore the financial support and identify the human capabilities required during change process. Organizational support relates to the guidance, resources, and assistance provided by the organization to help employees adopt embrace their new style of functioning (Kim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Kankanhalli, 2009). Put succinctly, it makes the organizational environment more conductive to change (</w:t>
      </w:r>
      <w:r w:rsidR="00FA33D3" w:rsidRPr="00511330">
        <w:rPr>
          <w:rFonts w:asciiTheme="majorBidi" w:hAnsiTheme="majorBidi" w:cstheme="majorBidi"/>
          <w:sz w:val="24"/>
          <w:szCs w:val="24"/>
          <w:lang w:val="en-US"/>
        </w:rPr>
        <w:t>Chaudhry</w:t>
      </w:r>
      <w:r w:rsidRPr="00511330">
        <w:rPr>
          <w:rFonts w:asciiTheme="majorBidi" w:hAnsiTheme="majorBidi" w:cstheme="majorBidi"/>
          <w:sz w:val="24"/>
          <w:szCs w:val="24"/>
          <w:lang w:val="en-US"/>
        </w:rPr>
        <w:t>, 2018).</w:t>
      </w:r>
    </w:p>
    <w:p w14:paraId="644161EC" w14:textId="0CBABAED"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Financial capability and support are considered a backbone to the implementation of renewable energy. Specifically, most of the renewable energy resources are </w:t>
      </w:r>
      <w:r w:rsidRPr="00511330">
        <w:rPr>
          <w:rFonts w:asciiTheme="majorBidi" w:hAnsiTheme="majorBidi" w:cstheme="majorBidi"/>
          <w:sz w:val="24"/>
          <w:szCs w:val="24"/>
          <w:lang w:val="en-US"/>
        </w:rPr>
        <w:lastRenderedPageBreak/>
        <w:t xml:space="preserve">highly costly and ROI can be made over a long year’s period. Activating the enabler element of financial support could unlock many possibilities to making the transition towards renewables. Financial support is considered as the potential backbone for renewables and the public sector, including stakeholders. Employees are reluctant to let the cost go waste (Karahanna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Polites, 2012). They feel a psychological commitment towards it that produces a status quo bias (Samuelson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Zeckhauser, 1988).</w:t>
      </w:r>
    </w:p>
    <w:p w14:paraId="644161ED" w14:textId="30432E9B"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Most of the local customers opine that a common factor of requesting government financial support is in implementing and adapting </w:t>
      </w:r>
      <w:r w:rsidR="00461833"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generators, such as solar panels. The request had a valid reason as the cost of solar panels is extremely high and ROI is beyond 12 years. Therefore, in May 2008, Masdar invested in a new company, Masdar PV, in Erfurt, Germany. Masdar PV is constructing a thin-film photovoltaic (PV) manufacturing facility, which is expected to produce more affordable panels (Hertog et al., 2009). At the same time, customers simultaneously foresee that the government will understand the importance of partially assisting in payment or bare partial cost of solar panels in order to encourage them to use </w:t>
      </w:r>
      <w:r w:rsidR="00461833"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sources. A need to develop and evolve is felt in an erratic market owing to financial changes taking place in business districts.</w:t>
      </w:r>
    </w:p>
    <w:p w14:paraId="644161EE" w14:textId="3E666761"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Abu Dhabi’s adoption of renewables fits the pattern of redundant institution building. Renewables exacerbate the government’s cost of providing electricity within its subsidized framework, while leaving intact incentives for energy-intense behavior (Krane, 2014).   When an organization decides to change, there is a significant alteration in its vision, mission, or process. Various external changes </w:t>
      </w:r>
      <w:r w:rsidRPr="00511330">
        <w:rPr>
          <w:rFonts w:asciiTheme="majorBidi" w:hAnsiTheme="majorBidi" w:cstheme="majorBidi"/>
          <w:sz w:val="24"/>
          <w:szCs w:val="24"/>
          <w:lang w:val="en-US"/>
        </w:rPr>
        <w:lastRenderedPageBreak/>
        <w:t xml:space="preserve">stem from outside an organization, and a desire to maintain a competitive advantage necessitates constant internal changes in an organization (Kotter 2008; Beer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Nohria 2000; Wanberg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Banas, 2000).</w:t>
      </w:r>
    </w:p>
    <w:p w14:paraId="644161EF" w14:textId="7F8F1CDF" w:rsidR="008D3598" w:rsidRPr="00511330" w:rsidRDefault="008D3598" w:rsidP="0063087D">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Availability of resources considered one of the advantages and a natural enabler of the country’s energy sector. As most of the resources and support towards the same vision of change towards renewable are there. (Rahdari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Rostamy, 2015; Rootes, 2014; Taleb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Al-Saleh, 2015) indicated some of the environmental sustainability commonly mentioned in the literature are energy resources utilization, freshwater use, treatment of wastewater, acidification potential, global warming potential, aerosol depth, potential for ozone depletion, and potential for ionization radiation among others. It is notable that the last important pillar is social sustainability, which requires all people to attain basic necessities and universal human rights, and access sufficient resources to ensure the health and security of their communities and families (</w:t>
      </w:r>
      <w:r w:rsidR="0063087D" w:rsidRPr="00511330">
        <w:rPr>
          <w:rFonts w:asciiTheme="majorBidi" w:hAnsiTheme="majorBidi" w:cstheme="majorBidi"/>
          <w:sz w:val="24"/>
          <w:szCs w:val="24"/>
          <w:lang w:val="en-US"/>
        </w:rPr>
        <w:t>Raslavičius</w:t>
      </w:r>
      <w:r w:rsidRPr="00511330">
        <w:rPr>
          <w:rFonts w:asciiTheme="majorBidi" w:hAnsiTheme="majorBidi" w:cstheme="majorBidi"/>
          <w:sz w:val="24"/>
          <w:szCs w:val="24"/>
          <w:lang w:val="en-US"/>
        </w:rPr>
        <w:t xml:space="preserve"> et al., 2014).</w:t>
      </w:r>
    </w:p>
    <w:p w14:paraId="644161F0" w14:textId="29B41CDD"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Assigning </w:t>
      </w:r>
      <w:r w:rsidR="00353329"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 xml:space="preserve">clear and transparent budget is another enabler to refine the resources and allocate </w:t>
      </w:r>
      <w:r w:rsidR="00353329" w:rsidRPr="00511330">
        <w:rPr>
          <w:rFonts w:asciiTheme="majorBidi" w:hAnsiTheme="majorBidi" w:cstheme="majorBidi"/>
          <w:sz w:val="24"/>
          <w:szCs w:val="24"/>
          <w:lang w:val="en-US"/>
        </w:rPr>
        <w:t>necessary</w:t>
      </w:r>
      <w:r w:rsidRPr="00511330">
        <w:rPr>
          <w:rFonts w:asciiTheme="majorBidi" w:hAnsiTheme="majorBidi" w:cstheme="majorBidi"/>
          <w:sz w:val="24"/>
          <w:szCs w:val="24"/>
          <w:lang w:val="en-US"/>
        </w:rPr>
        <w:t xml:space="preserve"> investment direction in renewable energy. In general, project work is characterized with temporariness, fluidity, multi-disciplinary nature, uncertainty, unique outcome, and at least initially, a specific budgeted time and/or cost (Project Management Institute, 2000; Zhao et al., 2015). An efficient project is one in which all types of resources (i.e. materials, equipment, human, financial, time, etc.) are used to maximize returns and achieve expected project outcomes within the planned schedule and budgetary constraints (Frinsdorf et al., 2014).</w:t>
      </w:r>
    </w:p>
    <w:p w14:paraId="644161F1" w14:textId="3F0C005E"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More specifically, it is an enabler that makes the process of change more transparent and more controlled, allowing leaders to understand their milestones and project objectives with regard to resources available, a clearer overview of the resources and budget at hand, being controlled by just a few coordinators. General estimates, figures, and reports on progress can be put together more quickly from a central source than from a decentralized one (Caroline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Schuster, 2003).</w:t>
      </w:r>
    </w:p>
    <w:p w14:paraId="644161F2" w14:textId="54CD3864"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Leadership support enabler mostly depends on the leader's attitude, charisma, and trait. However, attitude also plays a vital role in deciding the team performance as an enabler to work in synergy. This is important because the UAE society is characterized by high collectivism, low individualism, and high uncertainty avoidance (see Behery, 2009; Metwally, 2014).  Kotter (1990a, 1990b), who is considered a guru of change, says that management produces orderly results, which helps ensure the efficient working of something, whereas leadership creates useful change; neither is necessarily better or a replacement for the other. Both are needed if organizations and nations are to prosper. According to an American Management Association survey, leadership is followed closely by corporate values and communication (American Management Association, 1994). It is now expected that better networked managers will be able to reap the benefits of greater stakeholder support for their strategic and operational decisions (Andrews</w:t>
      </w:r>
      <w:r w:rsidR="0029778E" w:rsidRPr="00511330">
        <w:rPr>
          <w:rFonts w:asciiTheme="majorBidi" w:hAnsiTheme="majorBidi" w:cstheme="majorBidi"/>
          <w:sz w:val="24"/>
          <w:szCs w:val="24"/>
          <w:lang w:val="en-US"/>
        </w:rPr>
        <w:t xml:space="preserve">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Beynon, 2017).</w:t>
      </w:r>
    </w:p>
    <w:p w14:paraId="644161F3" w14:textId="63FEE718"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Leaders and manager</w:t>
      </w:r>
      <w:r w:rsidR="00353329"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who are managing their team through change invariably meet with many challenges and hurdles. The direct communication between leaders and employees is playfield game where instructions, charisma, and communication interaction and feedbacks take place. In order to consider </w:t>
      </w:r>
      <w:r w:rsidRPr="00511330">
        <w:rPr>
          <w:rFonts w:asciiTheme="majorBidi" w:hAnsiTheme="majorBidi" w:cstheme="majorBidi"/>
          <w:sz w:val="24"/>
          <w:szCs w:val="24"/>
          <w:lang w:val="en-US"/>
        </w:rPr>
        <w:lastRenderedPageBreak/>
        <w:t xml:space="preserve">employees’ needs, this will require communication with employees while enabling them to participate in the change itself (AlAsadi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Askari, 2014). After some time, functional units may become very eager to meet and talk not to make the project work, but to “settle things once and for all” (Taher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Krotov, 2016). Leaders with specialized skills for change must also conquer using communication as </w:t>
      </w:r>
      <w:r w:rsidR="00353329" w:rsidRPr="00511330">
        <w:rPr>
          <w:rFonts w:asciiTheme="majorBidi" w:hAnsiTheme="majorBidi" w:cstheme="majorBidi"/>
          <w:sz w:val="24"/>
          <w:szCs w:val="24"/>
          <w:lang w:val="en-US"/>
        </w:rPr>
        <w:t xml:space="preserve">a </w:t>
      </w:r>
      <w:r w:rsidRPr="00511330">
        <w:rPr>
          <w:rFonts w:asciiTheme="majorBidi" w:hAnsiTheme="majorBidi" w:cstheme="majorBidi"/>
          <w:sz w:val="24"/>
          <w:szCs w:val="24"/>
          <w:lang w:val="en-US"/>
        </w:rPr>
        <w:t>tool to deliver desired change and with clear objective messages delivered to employees out of welfare to all organization</w:t>
      </w:r>
    </w:p>
    <w:p w14:paraId="644161F4" w14:textId="44F477A2"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Designated training has a long history of making employees think better and have a glimpse of reaction during certain processes. It is well known that training makes people better and teach them new tools. Change agents and HR specialists can provide special training and support to those individuals who have a harder time coping with change (Oreg et al., 2011). If organization enables training, then it expects its employee to react to any mishaps or carry out work faster and more accurate. In contrast, Gomez and Turoff (2007) claim that missing or insufficient training with communications systems can impede communication in response efforts, because responders do not learn how to use a system efficiently. In light of the business case for green construction and of government support for green construction and skills, it is significant that the second point about applying energy efficiency and sustainability approaches was identified as a priority training need (Fine </w:t>
      </w:r>
      <w:r w:rsidR="00715A2C" w:rsidRPr="00511330">
        <w:rPr>
          <w:rFonts w:asciiTheme="majorBidi" w:hAnsiTheme="majorBidi" w:cstheme="majorBidi"/>
          <w:sz w:val="24"/>
          <w:szCs w:val="24"/>
          <w:lang w:val="en-US"/>
        </w:rPr>
        <w:t>and</w:t>
      </w:r>
      <w:r w:rsidR="00353329" w:rsidRPr="00511330">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t>Winfree, 2014).</w:t>
      </w:r>
    </w:p>
    <w:p w14:paraId="644161F5" w14:textId="79D411B0"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An alternative enabler that had an added value was the government initiatives by opening doors to p</w:t>
      </w:r>
      <w:r w:rsidR="00E04444" w:rsidRPr="00511330">
        <w:rPr>
          <w:rFonts w:asciiTheme="majorBidi" w:hAnsiTheme="majorBidi" w:cstheme="majorBidi"/>
          <w:sz w:val="24"/>
          <w:szCs w:val="24"/>
          <w:lang w:val="en-US"/>
        </w:rPr>
        <w:t>ro</w:t>
      </w:r>
      <w:r w:rsidRPr="00511330">
        <w:rPr>
          <w:rFonts w:asciiTheme="majorBidi" w:hAnsiTheme="majorBidi" w:cstheme="majorBidi"/>
          <w:sz w:val="24"/>
          <w:szCs w:val="24"/>
          <w:lang w:val="en-US"/>
        </w:rPr>
        <w:t xml:space="preserve">spective private sector investment, which led to reduced risks initiatives of renewable energy. The UAE government had envisioned the future partnership and been very selective of the elite in the market. The smooth </w:t>
      </w:r>
      <w:r w:rsidRPr="00511330">
        <w:rPr>
          <w:rFonts w:asciiTheme="majorBidi" w:hAnsiTheme="majorBidi" w:cstheme="majorBidi"/>
          <w:sz w:val="24"/>
          <w:szCs w:val="24"/>
          <w:lang w:val="en-US"/>
        </w:rPr>
        <w:lastRenderedPageBreak/>
        <w:t>cooperation of the EU and the GCC key energy players is deemed significant for the challenging objective to engage GCC countries in a more sustainable development path (Doukas et al., 2012; Flamos et al., 2010) Such an enabler would have a bias experience with private sector. However, while the financial burden will still be quite large, Emirati officials have allowed for financial risk allocation with the development of a PPI where Kepco is in charge of designing, building and operating the nuclear power plant (Justin, 2010).</w:t>
      </w:r>
      <w:bookmarkStart w:id="273" w:name="_Toc32085745"/>
      <w:bookmarkStart w:id="274" w:name="_Toc32085930"/>
      <w:bookmarkStart w:id="275" w:name="_Toc32086117"/>
      <w:bookmarkStart w:id="276" w:name="_Toc32090254"/>
      <w:bookmarkStart w:id="277" w:name="_Toc32090584"/>
      <w:bookmarkStart w:id="278" w:name="_Toc32091500"/>
      <w:bookmarkStart w:id="279" w:name="_Toc32085746"/>
      <w:bookmarkStart w:id="280" w:name="_Toc32085931"/>
      <w:bookmarkStart w:id="281" w:name="_Toc32086118"/>
      <w:bookmarkStart w:id="282" w:name="_Toc32090255"/>
      <w:bookmarkStart w:id="283" w:name="_Toc32090585"/>
      <w:bookmarkStart w:id="284" w:name="_Toc32091501"/>
      <w:bookmarkStart w:id="285" w:name="_Toc32085747"/>
      <w:bookmarkStart w:id="286" w:name="_Toc32085932"/>
      <w:bookmarkStart w:id="287" w:name="_Toc32086119"/>
      <w:bookmarkStart w:id="288" w:name="_Toc32090256"/>
      <w:bookmarkStart w:id="289" w:name="_Toc32090586"/>
      <w:bookmarkStart w:id="290" w:name="_Toc32091502"/>
      <w:bookmarkStart w:id="291" w:name="_Toc32085753"/>
      <w:bookmarkStart w:id="292" w:name="_Toc32085938"/>
      <w:bookmarkStart w:id="293" w:name="_Toc32086125"/>
      <w:bookmarkStart w:id="294" w:name="_Toc32090262"/>
      <w:bookmarkStart w:id="295" w:name="_Toc32090592"/>
      <w:bookmarkStart w:id="296" w:name="_Toc32091508"/>
      <w:bookmarkStart w:id="297" w:name="_Toc32085754"/>
      <w:bookmarkStart w:id="298" w:name="_Toc32085939"/>
      <w:bookmarkStart w:id="299" w:name="_Toc32086126"/>
      <w:bookmarkStart w:id="300" w:name="_Toc32090263"/>
      <w:bookmarkStart w:id="301" w:name="_Toc32090593"/>
      <w:bookmarkStart w:id="302" w:name="_Toc32091509"/>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644161F6" w14:textId="6CE8137F" w:rsidR="008D3598" w:rsidRPr="00511330" w:rsidRDefault="008D3598" w:rsidP="00721566">
      <w:pPr>
        <w:pStyle w:val="Heading3"/>
        <w:numPr>
          <w:ilvl w:val="2"/>
          <w:numId w:val="14"/>
        </w:numPr>
        <w:spacing w:after="240"/>
        <w:ind w:right="-450"/>
        <w:rPr>
          <w:lang w:val="en-US"/>
        </w:rPr>
      </w:pPr>
      <w:bookmarkStart w:id="303" w:name="_Toc43311620"/>
      <w:r w:rsidRPr="00511330">
        <w:rPr>
          <w:lang w:val="en-US"/>
        </w:rPr>
        <w:t>Flexibility and Feedback (F&amp;F)</w:t>
      </w:r>
      <w:bookmarkEnd w:id="303"/>
    </w:p>
    <w:p w14:paraId="644161F7" w14:textId="73B374A3"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No system can be perfect; </w:t>
      </w:r>
      <w:r w:rsidR="00077112" w:rsidRPr="00511330">
        <w:rPr>
          <w:rFonts w:asciiTheme="majorBidi" w:hAnsiTheme="majorBidi" w:cstheme="majorBidi"/>
          <w:sz w:val="24"/>
          <w:szCs w:val="24"/>
          <w:lang w:val="en-US"/>
        </w:rPr>
        <w:t>neither a process nor</w:t>
      </w:r>
      <w:r w:rsidRPr="00511330">
        <w:rPr>
          <w:rFonts w:asciiTheme="majorBidi" w:hAnsiTheme="majorBidi" w:cstheme="majorBidi"/>
          <w:sz w:val="24"/>
          <w:szCs w:val="24"/>
          <w:lang w:val="en-US"/>
        </w:rPr>
        <w:t xml:space="preserve"> change can be successful without any flexibility. Consequently, flexibility is naturally borne from the feedback of stakeholders that pinpoint areas of improvement and enhancement. Both flexibility and feedback are a continuous process of refinement of road to success. Flexible organization policies and procedures build optimism for fast and smooth adaptation to change (</w:t>
      </w:r>
      <w:r w:rsidR="00A005A0" w:rsidRPr="00511330">
        <w:rPr>
          <w:rFonts w:asciiTheme="majorBidi" w:hAnsiTheme="majorBidi" w:cstheme="majorBidi"/>
          <w:sz w:val="24"/>
          <w:szCs w:val="24"/>
        </w:rPr>
        <w:t>Chaudhry,</w:t>
      </w:r>
      <w:r w:rsidRPr="00511330">
        <w:rPr>
          <w:rFonts w:asciiTheme="majorBidi" w:hAnsiTheme="majorBidi" w:cstheme="majorBidi"/>
          <w:sz w:val="24"/>
          <w:szCs w:val="24"/>
          <w:lang w:val="en-US"/>
        </w:rPr>
        <w:t xml:space="preserve"> 2018). Meanwhile, feedback could be gained through diagnostic, survey, meetings, and interviews. They are carried out through diagnostics and developmental instruments (Cummings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Worley, 2012).</w:t>
      </w:r>
    </w:p>
    <w:p w14:paraId="644161F8" w14:textId="5A47E6F8"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element of readiness and preparedness is important enabler that paves the road towards walking the change desired in the organization. GCC countries preparedness started back in 2011 towards systematic transitions to renewables by setting targeted years to achieve milestones.  GCC countries aim to prepare their capability at the R&amp;D level to also position themselves in terms of RET (Renewable Energy Transfers) production instead of remaining just energy consumers (Tlili, 2015). Three overlapping phases are suggested: “readiness”, </w:t>
      </w:r>
      <w:r w:rsidRPr="00511330">
        <w:rPr>
          <w:rFonts w:asciiTheme="majorBidi" w:hAnsiTheme="majorBidi" w:cstheme="majorBidi"/>
          <w:sz w:val="24"/>
          <w:szCs w:val="24"/>
          <w:lang w:val="en-US"/>
        </w:rPr>
        <w:lastRenderedPageBreak/>
        <w:t xml:space="preserve">where organizational members are prepared for the change; “adoption” which is the period where the change is still on trial; and “institutionalization”, which involves efforts to internalize the changes (Armenakis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Harris, 2002). This underscores the significance of readiness, openness and commitment to change respectively (Bouckenooghe, 2010). It’s well-known that the UAE’s energy organizations are highly flexible that are able to adapt to any status whenever change is required. Much is made of the best way to manage change (Kanter, 1989; Kotter, 1996), including a large body of work which contends that there is no point in undertaking change unless the organization is actually ready and able to adopt the change (Armenakis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Harris, 2002).</w:t>
      </w:r>
    </w:p>
    <w:p w14:paraId="644161F9" w14:textId="7A572C42"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Added to the element of readiness, is the flexibility which has an impact on status predecessors in favor of change. A study found that employees who saw their organizations as being flexible were more likely to view their organization as being responsive to change (Jones, Jimmieson,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Griffiths, 2005).  Hartnell et al. (2011) posited that a clan culture is internally oriented and supported by a flexible organizational structure that values human affiliation and attitudes toward the organization.  The unique characteristics of RET are that they use, by definition, </w:t>
      </w:r>
      <w:r w:rsidR="0055424E"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energies, can be implemented relatively quickly, come in modular units, support distributed generation, offer more work opportunities, and have a much lower environmental impact than stock energy options, including achieving the lowest CO2 emissions (Tlili, 2015). </w:t>
      </w:r>
    </w:p>
    <w:p w14:paraId="644161FA" w14:textId="32C7B218"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Meanwhile, stakeholders</w:t>
      </w:r>
      <w:r w:rsidR="00E04444"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trust can be gained with the scenario “all to one and one to all”, which is known to kindle the employee's spirit to follow at his own ventures based on trust only. Trust can only be gained when all stakeholders are immersed </w:t>
      </w:r>
      <w:r w:rsidRPr="00511330">
        <w:rPr>
          <w:rFonts w:asciiTheme="majorBidi" w:hAnsiTheme="majorBidi" w:cstheme="majorBidi"/>
          <w:sz w:val="24"/>
          <w:szCs w:val="24"/>
          <w:lang w:val="en-US"/>
        </w:rPr>
        <w:lastRenderedPageBreak/>
        <w:t xml:space="preserve">in one pool of objectives and visions.  Oscar (2018) found two elements that may create implementation risks: (1) lack of insight on part of the initiators into stakeholders’ aims, and therefore what information they need to develop trust in the initiators and the project; and (2) low stakeholder participation. Most of the policies casted for renewables energy in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were formed by liaising with leaders in industry and envisioned by government. However, taking another leap towards future requires a charismatic leader to steer the willingness and participation towards the same vision. Charismatic people will point in a direction and people will follow him based on trust on their leader intentions. According to </w:t>
      </w:r>
      <w:r w:rsidRPr="00511330">
        <w:rPr>
          <w:rFonts w:asciiTheme="majorBidi" w:hAnsiTheme="majorBidi" w:cstheme="majorBidi"/>
          <w:color w:val="000000" w:themeColor="text1"/>
          <w:sz w:val="24"/>
          <w:szCs w:val="24"/>
          <w:lang w:val="en-US"/>
        </w:rPr>
        <w:t>St-Amour (2001)</w:t>
      </w:r>
      <w:r w:rsidRPr="00511330">
        <w:rPr>
          <w:rFonts w:asciiTheme="majorBidi" w:hAnsiTheme="majorBidi" w:cstheme="majorBidi"/>
          <w:sz w:val="24"/>
          <w:szCs w:val="24"/>
          <w:lang w:val="en-US"/>
        </w:rPr>
        <w:t xml:space="preserve">, using collaboration and trust means that morale will be high, and that people will be committed, thus triggering their development. Leaders need to communicate the vision to employees and will have to lead by example in order to make the vision a reality. Differences between what leaders say and what leaders do, leads to distrust (Simonson, 2005). </w:t>
      </w:r>
    </w:p>
    <w:p w14:paraId="644161FB" w14:textId="3208075B" w:rsidR="008D3598" w:rsidRPr="00511330" w:rsidRDefault="00892A00"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w:t>
      </w:r>
      <w:r w:rsidR="008D3598" w:rsidRPr="00511330">
        <w:rPr>
          <w:rFonts w:asciiTheme="majorBidi" w:hAnsiTheme="majorBidi" w:cstheme="majorBidi"/>
          <w:sz w:val="24"/>
          <w:szCs w:val="24"/>
          <w:lang w:val="en-US"/>
        </w:rPr>
        <w:t xml:space="preserve">UAE government has been well known for meeting its targets with high accuracy and outcome-driven by objective. Consequently, people have developed a high trust </w:t>
      </w:r>
      <w:r w:rsidR="00E04444" w:rsidRPr="00511330">
        <w:rPr>
          <w:rFonts w:asciiTheme="majorBidi" w:hAnsiTheme="majorBidi" w:cstheme="majorBidi"/>
          <w:sz w:val="24"/>
          <w:szCs w:val="24"/>
          <w:lang w:val="en-US"/>
        </w:rPr>
        <w:t>in</w:t>
      </w:r>
      <w:r w:rsidR="008D3598" w:rsidRPr="00511330">
        <w:rPr>
          <w:rFonts w:asciiTheme="majorBidi" w:hAnsiTheme="majorBidi" w:cstheme="majorBidi"/>
          <w:sz w:val="24"/>
          <w:szCs w:val="24"/>
          <w:lang w:val="en-US"/>
        </w:rPr>
        <w:t xml:space="preserve"> majority governmental initiatives. By involving employees and taking their feedback, action research can enable a slow but sure change in the subjective norms over time and make it easier for them to adapt (Choudhry, 2018).</w:t>
      </w:r>
    </w:p>
    <w:p w14:paraId="644161FC"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Change is not excluded from the formula and accuracy and precision of outcome. It has been an enabler on all the recent year's steps taken towards renewable energy. Conglomerate companies were racing to serve the energy sectors in the UAE driven by the profitable figures presented by the energy organizations. This is important because research shows that consensus can lead to better accuracy, </w:t>
      </w:r>
      <w:r w:rsidRPr="00511330">
        <w:rPr>
          <w:rFonts w:asciiTheme="majorBidi" w:hAnsiTheme="majorBidi" w:cstheme="majorBidi"/>
          <w:sz w:val="24"/>
          <w:szCs w:val="24"/>
          <w:lang w:val="en-US"/>
        </w:rPr>
        <w:lastRenderedPageBreak/>
        <w:t xml:space="preserve">(Roch, 2007).  Strengths of surveys include their accuracy, generalizability, and convenience (Babbie, 1998). On that note, accuracy in measurement is enhanced by quantification, replicability, and control over observer effects (Hyo, 2005). </w:t>
      </w:r>
      <w:bookmarkStart w:id="304" w:name="_Toc32085756"/>
      <w:bookmarkStart w:id="305" w:name="_Toc32085941"/>
      <w:bookmarkStart w:id="306" w:name="_Toc32086128"/>
      <w:bookmarkStart w:id="307" w:name="_Toc32090265"/>
      <w:bookmarkStart w:id="308" w:name="_Toc32090595"/>
      <w:bookmarkStart w:id="309" w:name="_Toc32091511"/>
      <w:bookmarkStart w:id="310" w:name="_Toc32085757"/>
      <w:bookmarkStart w:id="311" w:name="_Toc32085942"/>
      <w:bookmarkStart w:id="312" w:name="_Toc32086129"/>
      <w:bookmarkStart w:id="313" w:name="_Toc32090266"/>
      <w:bookmarkStart w:id="314" w:name="_Toc32090596"/>
      <w:bookmarkStart w:id="315" w:name="_Toc32091512"/>
      <w:bookmarkStart w:id="316" w:name="_Toc32085760"/>
      <w:bookmarkStart w:id="317" w:name="_Toc32085945"/>
      <w:bookmarkStart w:id="318" w:name="_Toc32086132"/>
      <w:bookmarkStart w:id="319" w:name="_Toc32090269"/>
      <w:bookmarkStart w:id="320" w:name="_Toc32090599"/>
      <w:bookmarkStart w:id="321" w:name="_Toc32091515"/>
      <w:bookmarkStart w:id="322" w:name="_Toc32085761"/>
      <w:bookmarkStart w:id="323" w:name="_Toc32085946"/>
      <w:bookmarkStart w:id="324" w:name="_Toc32086133"/>
      <w:bookmarkStart w:id="325" w:name="_Toc32090270"/>
      <w:bookmarkStart w:id="326" w:name="_Toc32090600"/>
      <w:bookmarkStart w:id="327" w:name="_Toc32091516"/>
      <w:bookmarkStart w:id="328" w:name="_Toc32085762"/>
      <w:bookmarkStart w:id="329" w:name="_Toc32085947"/>
      <w:bookmarkStart w:id="330" w:name="_Toc32086134"/>
      <w:bookmarkStart w:id="331" w:name="_Toc32090271"/>
      <w:bookmarkStart w:id="332" w:name="_Toc32090601"/>
      <w:bookmarkStart w:id="333" w:name="_Toc32091517"/>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644161FD" w14:textId="77777777" w:rsidR="008D3598" w:rsidRPr="00511330" w:rsidRDefault="008D3598" w:rsidP="00721566">
      <w:pPr>
        <w:pStyle w:val="Heading2"/>
        <w:numPr>
          <w:ilvl w:val="1"/>
          <w:numId w:val="14"/>
        </w:numPr>
        <w:ind w:right="-450"/>
        <w:rPr>
          <w:lang w:val="en-US"/>
        </w:rPr>
      </w:pPr>
      <w:bookmarkStart w:id="334" w:name="_Toc43311621"/>
      <w:r w:rsidRPr="00511330">
        <w:rPr>
          <w:lang w:val="en-US"/>
        </w:rPr>
        <w:t>Barriers to Change Management</w:t>
      </w:r>
      <w:bookmarkEnd w:id="334"/>
    </w:p>
    <w:p w14:paraId="25437441" w14:textId="77777777" w:rsidR="00F24F81" w:rsidRPr="00511330" w:rsidRDefault="00F24F81" w:rsidP="00F24F81">
      <w:pPr>
        <w:rPr>
          <w:lang w:val="en-US"/>
        </w:rPr>
      </w:pPr>
    </w:p>
    <w:p w14:paraId="644161FE" w14:textId="4970CF94"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According to Senge (2006), “People don’t resist change. They resist being changed.” An employee’s resistance to change is attributed to various causes, including habit and inertia. A good example would be that employees tend to leave the company or stick with their job during any crisis based on larger economic issues. Unfortunately, the employees were never considered an issue when applying changes in the GCC region, and CM did not consider them a factor of success. The implementation of change shall consider major barriers such as change complexity; methodology; and social, communication, and leadership skills. Hence, ignoring deficiencies in leader’s skills and communication would lead to a barrier that hinders the change process. Company politics and power struggles, stakeholder management, hidden agendas, cultural barriers, motivation issues, lack of communication, conflict resolution, resistance to change, ambiguous roles and responsibilities, poor project leadership, and insufficient sponsorship (Turner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Muller, 2005; Toor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Ogunlana, 2009; Levasseur, 2001).</w:t>
      </w:r>
    </w:p>
    <w:p w14:paraId="644161FF" w14:textId="133B397B"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Change cannot be completely managed (Edmons 2011), but several factors can lower the barriers to change, such as communication, employee involvement, and making sure the presence of needed organizational capabilities and structures (Carter 2008, Rosenberg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Mosca, 2011). Co-leadership can also become </w:t>
      </w:r>
      <w:r w:rsidRPr="00511330">
        <w:rPr>
          <w:rFonts w:asciiTheme="majorBidi" w:hAnsiTheme="majorBidi" w:cstheme="majorBidi"/>
          <w:sz w:val="24"/>
          <w:szCs w:val="24"/>
          <w:lang w:val="en-US"/>
        </w:rPr>
        <w:lastRenderedPageBreak/>
        <w:t>sustainable by regularly re-evaluating the roles and effectiveness of the leaders (Newton, 2015). Furthermore, the space between the leader and the workforce is very important to the exercise of power. Without that distance, power does not operate (Lloyd, 2000).</w:t>
      </w:r>
      <w:r w:rsidRPr="00511330">
        <w:rPr>
          <w:rFonts w:asciiTheme="majorBidi" w:hAnsiTheme="majorBidi" w:cstheme="majorBidi"/>
          <w:i/>
          <w:iCs/>
          <w:sz w:val="24"/>
          <w:szCs w:val="24"/>
          <w:lang w:val="en-US"/>
        </w:rPr>
        <w:t xml:space="preserve"> </w:t>
      </w:r>
      <w:r w:rsidRPr="00511330">
        <w:rPr>
          <w:rFonts w:asciiTheme="majorBidi" w:hAnsiTheme="majorBidi" w:cstheme="majorBidi"/>
          <w:sz w:val="24"/>
          <w:szCs w:val="24"/>
          <w:lang w:val="en-US"/>
        </w:rPr>
        <w:t xml:space="preserve">One of the common barriers to CM is clear objectives, in the absence of which, the resistance curve starts to increase. Thus, management needs to reconsider their approaches to the organization, direction, and motivation of all employees (Daft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Marcic, 2004).</w:t>
      </w:r>
    </w:p>
    <w:p w14:paraId="64416200" w14:textId="6CA4615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Clarifying the overall change strategy helps to achieve the desired results and methods by which all employees can be encouraged to accept the organization’s values and guiding principles (Anderson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Anderson, 2001, p. 25). There has been an increased awareness of the roles of those who resist change, not necessarily from a position of pure negativism, but rather from a position of improved understanding and involvement (Lewis, 2011), for the purpose of enhancing change outcomes (Bartunek et al., 2011; Burke, 2013). The basic fear originates from the deviation of the standards and hence causes failure by not allowing or empowering employees in the organization to change. This awareness includes evaluating the current systems, processes and capabilities to facilitate change (Farrell et al., 2005). Meanwhile, Miller and John (2006) asserted that employees who are empowered with effective organizational skills, attitudes, and opportunities tend to embrace change more readily.</w:t>
      </w:r>
    </w:p>
    <w:p w14:paraId="64416201" w14:textId="6D9F6A29"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Having in</w:t>
      </w:r>
      <w:r w:rsidR="000B0A1A"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depth exploration of barriers to change is an essential part of making change successful. Barriers to adaptation are defined as obstacles that can be overcome with concerted effort (Moser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Ekstrom, 2010) and limited to adaptation as the points at which adaptation actions fail to protect things that </w:t>
      </w:r>
      <w:r w:rsidRPr="00511330">
        <w:rPr>
          <w:rFonts w:asciiTheme="majorBidi" w:hAnsiTheme="majorBidi" w:cstheme="majorBidi"/>
          <w:sz w:val="24"/>
          <w:szCs w:val="24"/>
          <w:lang w:val="en-US"/>
        </w:rPr>
        <w:lastRenderedPageBreak/>
        <w:t xml:space="preserve">stakeholders’ value (Adger et al., 2009a). Mayfield, (2014) specified that change leaders tend to concentrate on these technicalities working their computer tools, rather than leaning towards people. As a result, for “old schoolboys” applying last era change philosophies might not be feasible and viable as the cycle of development in the market </w:t>
      </w:r>
      <w:r w:rsidR="000B0A1A" w:rsidRPr="00511330">
        <w:rPr>
          <w:rFonts w:asciiTheme="majorBidi" w:hAnsiTheme="majorBidi" w:cstheme="majorBidi"/>
          <w:sz w:val="24"/>
          <w:szCs w:val="24"/>
          <w:lang w:val="en-US"/>
        </w:rPr>
        <w:t>is</w:t>
      </w:r>
      <w:r w:rsidRPr="00511330">
        <w:rPr>
          <w:rFonts w:asciiTheme="majorBidi" w:hAnsiTheme="majorBidi" w:cstheme="majorBidi"/>
          <w:sz w:val="24"/>
          <w:szCs w:val="24"/>
          <w:lang w:val="en-US"/>
        </w:rPr>
        <w:t xml:space="preserve"> accelerating in a short span of time. Bugubayeva et al. (2017) specify leaders rule as moving to the new behavior (changing) is a step in which new ideas and practices are learnt.</w:t>
      </w:r>
    </w:p>
    <w:p w14:paraId="64416202" w14:textId="4D227D18"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In the UAE’s energy sector, change is a new way of coping with global business developments and alongside most developed countries seeking to be in the leading position worldwide.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is similar to many countries that are trying to transition the energy market, which is why there is a need to develop both technical and commercial skills especially at the managerial and high technical skills levels in order help the transition process (Al Naqbi et al., 2019). The movement of change is now so fast that it can be challenging for policymakers to keep up. Identifying what process to use in such rapid developments in different sectors is a major challenge not only for the UAE, but also for other parts of the region (Griffin et al., 2016).  Neither private nor public organizations can compete in today’s marketplace by standing still or going backward. If they do, they simply will not survive (Al Harahsheh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Mohammad, 2014).</w:t>
      </w:r>
    </w:p>
    <w:p w14:paraId="64416203" w14:textId="3F25D929"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Change in the UAE energy sector was always perceived in goodwill and ended with a lot in sorrow, yet some last till today. Despite the changes that have taken place in different sectors across the UAE (Wagie, 2006), very limited attempts have been made to understand change management and its motivations. The future direction of CM practices in the Arab world is uncertain, including that of the UAE </w:t>
      </w:r>
      <w:r w:rsidRPr="00511330">
        <w:rPr>
          <w:rFonts w:asciiTheme="majorBidi" w:hAnsiTheme="majorBidi" w:cstheme="majorBidi"/>
          <w:sz w:val="24"/>
          <w:szCs w:val="24"/>
          <w:lang w:val="en-US"/>
        </w:rPr>
        <w:lastRenderedPageBreak/>
        <w:t xml:space="preserve">(Baddah, 2016).  Energy sector in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 perceived most of the changes on the management level and re-processing their existing way of work, forgetting that there are human factors, skills, workforce engagement and communication issues that have to be considered and planned alongside in journey of change success A study by Hudescu and Ilies (2011) shows that CM remains difficult to maintain and implement for several reasons, such as basic principles surrounding the change process, knowledge of organizational systems and information from different areas, management, marketing, most currently, strategic management and rapid change applying requires proper resources to avoid having leaders confusions. Instead, it denotes a type of management domination that through the implementation of systematic management interventions allows individuals to adapt to the required situation and its outcomes, which, in tu</w:t>
      </w:r>
      <w:r w:rsidR="000B0A1A" w:rsidRPr="00511330">
        <w:rPr>
          <w:rFonts w:asciiTheme="majorBidi" w:hAnsiTheme="majorBidi" w:cstheme="majorBidi"/>
          <w:sz w:val="24"/>
          <w:szCs w:val="24"/>
          <w:lang w:val="en-US"/>
        </w:rPr>
        <w:t>r</w:t>
      </w:r>
      <w:r w:rsidRPr="00511330">
        <w:rPr>
          <w:rFonts w:asciiTheme="majorBidi" w:hAnsiTheme="majorBidi" w:cstheme="majorBidi"/>
          <w:sz w:val="24"/>
          <w:szCs w:val="24"/>
          <w:lang w:val="en-US"/>
        </w:rPr>
        <w:t xml:space="preserve">n, are aligned with an organization’s strategy (Rees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French, 2013). </w:t>
      </w:r>
    </w:p>
    <w:p w14:paraId="64416204" w14:textId="2A08D2C3"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unseen effects of barriers were long ignored </w:t>
      </w:r>
      <w:r w:rsidR="000B0A1A" w:rsidRPr="00511330">
        <w:rPr>
          <w:rFonts w:asciiTheme="majorBidi" w:hAnsiTheme="majorBidi" w:cstheme="majorBidi"/>
          <w:sz w:val="24"/>
          <w:szCs w:val="24"/>
          <w:lang w:val="en-US"/>
        </w:rPr>
        <w:t>by</w:t>
      </w:r>
      <w:r w:rsidRPr="00511330">
        <w:rPr>
          <w:rFonts w:asciiTheme="majorBidi" w:hAnsiTheme="majorBidi" w:cstheme="majorBidi"/>
          <w:sz w:val="24"/>
          <w:szCs w:val="24"/>
          <w:lang w:val="en-US"/>
        </w:rPr>
        <w:t xml:space="preserve"> most of the organizations, public, private and industrial firms in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Compelling evidence from a study by Hudescu and Ilies (2011) shows  the literature about change regularly forms a barrier to a broader appreciation of the basic principles surrounding the change process There are a number of change models that provide approaches for challenging, discomforting or ‘unfreezing’ old habits, before moving on to a positive change. Unless this is done carefully, people revert to the old ways – because it is easier (Mayfield, 2014). The sad fact remained that organizations and leaders considered change as one-way road to achieve targets at any cost or consequences. CM is not a ready-made recipe that anyone can adopt and make all concerns disappear Baddah (2016). (Kabasakal et al., 2012; Karacay et al., 2018) </w:t>
      </w:r>
      <w:r w:rsidRPr="00511330">
        <w:rPr>
          <w:rFonts w:asciiTheme="majorBidi" w:hAnsiTheme="majorBidi" w:cstheme="majorBidi"/>
          <w:sz w:val="24"/>
          <w:szCs w:val="24"/>
          <w:lang w:val="en-US"/>
        </w:rPr>
        <w:lastRenderedPageBreak/>
        <w:t xml:space="preserve">change management exploration of culture and leadership in the MENA region is in itself an area where additional knowledge and perspective are needed. </w:t>
      </w:r>
    </w:p>
    <w:p w14:paraId="64416205" w14:textId="699A6F40"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As a result, considering change merely for the sake of it won’t be the case and new paradigm should be established starting with most essential question, what causes change to fail, and what are the barriers currently anticipated. When management communicates a change, it generally frames it to emphasize the intended benefits and ignore the social costs (Näsänen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Vanharanta, 2017). Most studies of organizational change failure draw on what could be called the planned view</w:t>
      </w:r>
      <w:r w:rsidR="0049001F" w:rsidRPr="00511330">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t xml:space="preserve"> (e.g. Jones et al., 2018; Kotter, 2008) or the evolutionary view (e.g. Burnes and Jackson, 2011; Muluneh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Gedifew, 2018), making it a matter of taking the right decisions and actions or adapting to contextual factors. Wiggins (2008) mentions flawed maps of change, complex problems, superficial solutions, misunderstanding resistance, and misuse of knowledge about change management process as the main challenges in the change management process. </w:t>
      </w:r>
    </w:p>
    <w:p w14:paraId="64416206"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 huge research of change failures by lot of reputed institutes and researchers summarizes that more than 70% of changes are prone to failure and have never been investigated properly that why these endeavors resulted in failure (Pasmore, 2011). </w:t>
      </w:r>
    </w:p>
    <w:p w14:paraId="64416207" w14:textId="77777777" w:rsidR="008D3598" w:rsidRPr="00511330" w:rsidRDefault="008D3598" w:rsidP="00721566">
      <w:pPr>
        <w:keepNext/>
        <w:keepLines/>
        <w:spacing w:before="200" w:after="0" w:line="360" w:lineRule="auto"/>
        <w:ind w:right="-450"/>
        <w:outlineLvl w:val="2"/>
        <w:rPr>
          <w:rFonts w:asciiTheme="majorBidi" w:eastAsiaTheme="majorEastAsia" w:hAnsiTheme="majorBidi" w:cstheme="majorBidi"/>
          <w:b/>
          <w:bCs/>
          <w:vanish/>
          <w:sz w:val="24"/>
          <w:lang w:val="en-US"/>
        </w:rPr>
      </w:pPr>
      <w:bookmarkStart w:id="335" w:name="_Toc32085764"/>
      <w:bookmarkStart w:id="336" w:name="_Toc32085949"/>
      <w:bookmarkStart w:id="337" w:name="_Toc32086136"/>
      <w:bookmarkStart w:id="338" w:name="_Toc32090273"/>
      <w:bookmarkStart w:id="339" w:name="_Toc32090603"/>
      <w:bookmarkStart w:id="340" w:name="_Toc32091519"/>
      <w:bookmarkStart w:id="341" w:name="_Toc32085765"/>
      <w:bookmarkStart w:id="342" w:name="_Toc32085950"/>
      <w:bookmarkStart w:id="343" w:name="_Toc32086137"/>
      <w:bookmarkStart w:id="344" w:name="_Toc32090274"/>
      <w:bookmarkStart w:id="345" w:name="_Toc32090604"/>
      <w:bookmarkStart w:id="346" w:name="_Toc32091520"/>
      <w:bookmarkStart w:id="347" w:name="_Toc32085766"/>
      <w:bookmarkStart w:id="348" w:name="_Toc32085951"/>
      <w:bookmarkStart w:id="349" w:name="_Toc32086138"/>
      <w:bookmarkStart w:id="350" w:name="_Toc32090275"/>
      <w:bookmarkStart w:id="351" w:name="_Toc32090605"/>
      <w:bookmarkStart w:id="352" w:name="_Toc32091521"/>
      <w:bookmarkStart w:id="353" w:name="_Toc32085767"/>
      <w:bookmarkStart w:id="354" w:name="_Toc32085952"/>
      <w:bookmarkStart w:id="355" w:name="_Toc32086139"/>
      <w:bookmarkStart w:id="356" w:name="_Toc32090276"/>
      <w:bookmarkStart w:id="357" w:name="_Toc32090606"/>
      <w:bookmarkStart w:id="358" w:name="_Toc32091522"/>
      <w:bookmarkStart w:id="359" w:name="_Toc32085768"/>
      <w:bookmarkStart w:id="360" w:name="_Toc32085953"/>
      <w:bookmarkStart w:id="361" w:name="_Toc32086140"/>
      <w:bookmarkStart w:id="362" w:name="_Toc32090277"/>
      <w:bookmarkStart w:id="363" w:name="_Toc32090607"/>
      <w:bookmarkStart w:id="364" w:name="_Toc32091523"/>
      <w:bookmarkStart w:id="365" w:name="_Toc32085771"/>
      <w:bookmarkStart w:id="366" w:name="_Toc32085956"/>
      <w:bookmarkStart w:id="367" w:name="_Toc32086143"/>
      <w:bookmarkStart w:id="368" w:name="_Toc32090280"/>
      <w:bookmarkStart w:id="369" w:name="_Toc32090610"/>
      <w:bookmarkStart w:id="370" w:name="_Toc32091526"/>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64416208" w14:textId="0B0F730C" w:rsidR="008D3598" w:rsidRPr="00511330" w:rsidRDefault="008D3598" w:rsidP="00721566">
      <w:pPr>
        <w:pStyle w:val="Heading3"/>
        <w:numPr>
          <w:ilvl w:val="2"/>
          <w:numId w:val="14"/>
        </w:numPr>
        <w:spacing w:after="240"/>
        <w:ind w:left="540" w:right="-450" w:hanging="540"/>
        <w:rPr>
          <w:lang w:val="en-US"/>
        </w:rPr>
      </w:pPr>
      <w:r w:rsidRPr="00511330">
        <w:rPr>
          <w:lang w:val="en-US"/>
        </w:rPr>
        <w:t xml:space="preserve"> </w:t>
      </w:r>
      <w:bookmarkStart w:id="371" w:name="_Toc43311622"/>
      <w:r w:rsidRPr="00511330">
        <w:rPr>
          <w:lang w:val="en-US"/>
        </w:rPr>
        <w:t>Fear and Negative Perception (FNP)</w:t>
      </w:r>
      <w:bookmarkEnd w:id="371"/>
    </w:p>
    <w:p w14:paraId="64416209" w14:textId="24A8AA61"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Perception is a salient feature of several theoretical frameworks </w:t>
      </w:r>
      <w:r w:rsidR="000B0A1A" w:rsidRPr="00511330">
        <w:rPr>
          <w:rFonts w:asciiTheme="majorBidi" w:hAnsiTheme="majorBidi" w:cstheme="majorBidi"/>
          <w:sz w:val="24"/>
          <w:szCs w:val="24"/>
          <w:lang w:val="en-US"/>
        </w:rPr>
        <w:t xml:space="preserve">that </w:t>
      </w:r>
      <w:r w:rsidRPr="00511330">
        <w:rPr>
          <w:rFonts w:asciiTheme="majorBidi" w:hAnsiTheme="majorBidi" w:cstheme="majorBidi"/>
          <w:sz w:val="24"/>
          <w:szCs w:val="24"/>
          <w:lang w:val="en-US"/>
        </w:rPr>
        <w:t>appears when CM takes places as the word considered a brick in the wall of change or obstruction of change, as most researches prescribe it.</w:t>
      </w:r>
    </w:p>
    <w:p w14:paraId="6441620A" w14:textId="49A52DCB"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One possible reason for this can be the perception of negative impact of change (Johannsdottir et al. 2015; Raza et al., 2018). As argued, environmental risk perceptions are likely to be strongly influenced by variables such as economic, demographic, political ideology and professional status Simonet et al. (201</w:t>
      </w:r>
      <w:r w:rsidR="0049001F" w:rsidRPr="00511330">
        <w:rPr>
          <w:rFonts w:asciiTheme="majorBidi" w:hAnsiTheme="majorBidi" w:cstheme="majorBidi"/>
          <w:sz w:val="24"/>
          <w:szCs w:val="24"/>
          <w:lang w:val="en-US"/>
        </w:rPr>
        <w:t>5</w:t>
      </w:r>
      <w:r w:rsidRPr="00511330">
        <w:rPr>
          <w:rFonts w:asciiTheme="majorBidi" w:hAnsiTheme="majorBidi" w:cstheme="majorBidi"/>
          <w:sz w:val="24"/>
          <w:szCs w:val="24"/>
          <w:lang w:val="en-US"/>
        </w:rPr>
        <w:t>).   This underpins the need to design inclusive decision-making processes that are adapted to the stakeholder’s requirements and perceptions to better achieve the energy policy goals (Díaz et al., 2017).</w:t>
      </w:r>
    </w:p>
    <w:p w14:paraId="6441620B" w14:textId="759D1843"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Gumpert (2014) defines perception as the key in an attempt to convey thoughts through individual signs and symbols as the perception is an object or information to be perceived as (object, person, situation or relationship). Perception is cited to be one of the major reasons or causes employees </w:t>
      </w:r>
      <w:r w:rsidR="000B0A1A" w:rsidRPr="00511330">
        <w:rPr>
          <w:rFonts w:asciiTheme="majorBidi" w:hAnsiTheme="majorBidi" w:cstheme="majorBidi"/>
          <w:sz w:val="24"/>
          <w:szCs w:val="24"/>
          <w:lang w:val="en-US"/>
        </w:rPr>
        <w:t xml:space="preserve">to </w:t>
      </w:r>
      <w:r w:rsidRPr="00511330">
        <w:rPr>
          <w:rFonts w:asciiTheme="majorBidi" w:hAnsiTheme="majorBidi" w:cstheme="majorBidi"/>
          <w:sz w:val="24"/>
          <w:szCs w:val="24"/>
          <w:lang w:val="en-US"/>
        </w:rPr>
        <w:t>resist change, due to some previous experience or situation that caused a contradicting and undesirable result caused by change. The perception of an organizational culture makes them comfortable and willing to adjust accompanying changes with the uncertainty (Chaudhry, 2018). Employees’ attitude to change; their perception of autonomy; and whether employees operate in a proactive or reactive (Xerri et al., 2015). Perception of how the change will impact people creates irrational ideas, resulting in negative emotions which give rise to resistance to change (Expósito et al., 2015).</w:t>
      </w:r>
    </w:p>
    <w:p w14:paraId="6441620C" w14:textId="081A220C"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term fear comes as dynamic cause of perception which is regarded as a feeding root of perception because one of the more significant consequences of this perception is that it may inhibit the ability of change practitioners to influence leadership’s decision making and leadership alignment, arguably the most significant contributors to change initiative failures (Brown, 2014). Perception </w:t>
      </w:r>
      <w:r w:rsidRPr="00511330">
        <w:rPr>
          <w:rFonts w:asciiTheme="majorBidi" w:hAnsiTheme="majorBidi" w:cstheme="majorBidi"/>
          <w:sz w:val="24"/>
          <w:szCs w:val="24"/>
          <w:lang w:val="en-US"/>
        </w:rPr>
        <w:lastRenderedPageBreak/>
        <w:t xml:space="preserve">about organizational environment requires constant development of management science in order to deal with change processes (Simoes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Esposito, 2014). </w:t>
      </w:r>
    </w:p>
    <w:p w14:paraId="6441620D" w14:textId="2A049023"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Perception has a multitude angles and reasons and it can comprise of several factors that leads to resistance and barriers to change given that the consequences of these perceptions may constitute a significant contributing factor to the consistently high failure rates of change projects (Change Management Institute, 2010; Eser</w:t>
      </w:r>
      <w:r w:rsidR="00863658" w:rsidRPr="00511330">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t>et al., 2007; Qassim, 2010). The first factor that causes fear is communication, which is considered as backbone of any change project. Additionally, the factor of perception is related to an employee’s experience which is considered to be vital in their prejudgment of upcoming change. Duffy et al. (2002) observed that negative experiences in the workplace better explained employees’ job attitudes and behavior than positive experiences. Alternatively, the factor of manpower capability plays an insightful rule in disintegrating teams and contradicting synergy. Occasionally, the skills of managers and employees are simply not up to the task of implementing a successful organizational change (Van</w:t>
      </w:r>
      <w:r w:rsidR="0049001F" w:rsidRPr="00511330">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t xml:space="preserve">Dam et al., 2008; Kotter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Schlesinger, 2008; Mabin et al., 2001; Proctor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Doukakis, 2003).</w:t>
      </w:r>
    </w:p>
    <w:p w14:paraId="6441620E"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Furthermore, most of change processes proven to have been accompanied by high investment costs, but the results were not always as promised, although the cost and investment involved in such transformation cannot be ignored as it takes a significance amount of budgeting (Joseph, 2015). However, change initiatives that are consistent with the organizational identity will be easier and bear less opportunity costs than that the ones that conflict with the organization’s identity (Jacobs et al., 2013). Also, change requires a high flexibility and simplicity in </w:t>
      </w:r>
      <w:r w:rsidRPr="00511330">
        <w:rPr>
          <w:rFonts w:asciiTheme="majorBidi" w:hAnsiTheme="majorBidi" w:cstheme="majorBidi"/>
          <w:sz w:val="24"/>
          <w:szCs w:val="24"/>
          <w:lang w:val="en-US"/>
        </w:rPr>
        <w:lastRenderedPageBreak/>
        <w:t xml:space="preserve">process that needs to eb considered by leaders because complex change process would lead to aversion towards applying change (Bolognese, 2002). Since ‘perceptual responses are influenced by the individual’s expectation not their behavior’ (Robert, 2012). </w:t>
      </w:r>
    </w:p>
    <w:p w14:paraId="6441620F" w14:textId="77777777" w:rsidR="008D3598" w:rsidRPr="00511330" w:rsidRDefault="008D3598" w:rsidP="00721566">
      <w:pPr>
        <w:keepNext/>
        <w:keepLines/>
        <w:spacing w:before="200" w:after="0" w:line="360" w:lineRule="auto"/>
        <w:ind w:right="-450"/>
        <w:outlineLvl w:val="2"/>
        <w:rPr>
          <w:rFonts w:asciiTheme="majorBidi" w:eastAsiaTheme="majorEastAsia" w:hAnsiTheme="majorBidi" w:cstheme="majorBidi"/>
          <w:b/>
          <w:bCs/>
          <w:vanish/>
          <w:sz w:val="24"/>
          <w:lang w:val="en-US"/>
        </w:rPr>
      </w:pPr>
      <w:bookmarkStart w:id="372" w:name="_Toc32085773"/>
      <w:bookmarkStart w:id="373" w:name="_Toc32085958"/>
      <w:bookmarkStart w:id="374" w:name="_Toc32086145"/>
      <w:bookmarkStart w:id="375" w:name="_Toc32090282"/>
      <w:bookmarkStart w:id="376" w:name="_Toc32090612"/>
      <w:bookmarkStart w:id="377" w:name="_Toc32091528"/>
      <w:bookmarkStart w:id="378" w:name="_Toc32085774"/>
      <w:bookmarkStart w:id="379" w:name="_Toc32085959"/>
      <w:bookmarkStart w:id="380" w:name="_Toc32086146"/>
      <w:bookmarkStart w:id="381" w:name="_Toc32090283"/>
      <w:bookmarkStart w:id="382" w:name="_Toc32090613"/>
      <w:bookmarkStart w:id="383" w:name="_Toc32091529"/>
      <w:bookmarkStart w:id="384" w:name="_Toc32085775"/>
      <w:bookmarkStart w:id="385" w:name="_Toc32085960"/>
      <w:bookmarkStart w:id="386" w:name="_Toc32086147"/>
      <w:bookmarkStart w:id="387" w:name="_Toc32090284"/>
      <w:bookmarkStart w:id="388" w:name="_Toc32090614"/>
      <w:bookmarkStart w:id="389" w:name="_Toc32091530"/>
      <w:bookmarkStart w:id="390" w:name="_Toc32085776"/>
      <w:bookmarkStart w:id="391" w:name="_Toc32085961"/>
      <w:bookmarkStart w:id="392" w:name="_Toc32086148"/>
      <w:bookmarkStart w:id="393" w:name="_Toc32090285"/>
      <w:bookmarkStart w:id="394" w:name="_Toc32090615"/>
      <w:bookmarkStart w:id="395" w:name="_Toc3209153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64416210" w14:textId="77777777" w:rsidR="008D3598" w:rsidRPr="00511330" w:rsidRDefault="008D3598" w:rsidP="00721566">
      <w:pPr>
        <w:keepNext/>
        <w:keepLines/>
        <w:spacing w:before="200" w:after="0" w:line="360" w:lineRule="auto"/>
        <w:ind w:right="-450"/>
        <w:outlineLvl w:val="2"/>
        <w:rPr>
          <w:rFonts w:asciiTheme="majorBidi" w:eastAsiaTheme="majorEastAsia" w:hAnsiTheme="majorBidi" w:cstheme="majorBidi"/>
          <w:b/>
          <w:bCs/>
          <w:vanish/>
          <w:sz w:val="24"/>
          <w:lang w:val="en-US"/>
        </w:rPr>
      </w:pPr>
    </w:p>
    <w:p w14:paraId="64416211" w14:textId="2EDAE047" w:rsidR="008D3598" w:rsidRPr="00511330" w:rsidRDefault="008D3598" w:rsidP="00721566">
      <w:pPr>
        <w:pStyle w:val="Heading3"/>
        <w:numPr>
          <w:ilvl w:val="2"/>
          <w:numId w:val="14"/>
        </w:numPr>
        <w:spacing w:after="240"/>
        <w:ind w:right="-450"/>
        <w:rPr>
          <w:lang w:val="en-US"/>
        </w:rPr>
      </w:pPr>
      <w:bookmarkStart w:id="396" w:name="_Toc43311623"/>
      <w:r w:rsidRPr="00511330">
        <w:rPr>
          <w:lang w:val="en-US"/>
        </w:rPr>
        <w:t>Feeble Communication (FC)</w:t>
      </w:r>
      <w:bookmarkEnd w:id="396"/>
    </w:p>
    <w:p w14:paraId="64416212" w14:textId="5974642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Communication plays an active role in modern organizations to transmit messages moving the operation forward. Feeble communication creates barrier</w:t>
      </w:r>
      <w:r w:rsidR="000B0A1A"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in lots of aspects starting from the basic understanding to rejecting the contents causing imaginary wall barriers (Simoes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Esposito, 2014). Elving (2005) meanwhile posited that communication ‘aims for the creation of mutual understanding and trusting relationships.’ In order to engage employees into change process, they must be communicated and motivated via well-addressed transparent messages with active participation and information provision so as to promote readiness for change, which is a supportive link to the success of change implementation (Wanberg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Banas, 2000). To create a shared meaning of the change vision, it ‘must project people into the future so that they can readily see it in action and imagine themselves as part of it’ (Levin, 2000).</w:t>
      </w:r>
    </w:p>
    <w:p w14:paraId="64416213" w14:textId="32643D78"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Rumors also act as barriers for change because they are genres of informal communication, such as gossip, which tends to be about people and serves social and political agendas (Kurland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Pelled, 2000; Noon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Delbridge, 1993; Rosnow, 2001). Change process surrounded by rumors has been always vague since the objectives are kept to certain elite group who</w:t>
      </w:r>
      <w:r w:rsidR="000B0A1A"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in possession of real information. In contrast, remaining employees in organizations are only treated as </w:t>
      </w:r>
      <w:r w:rsidRPr="00511330">
        <w:rPr>
          <w:rFonts w:asciiTheme="majorBidi" w:hAnsiTheme="majorBidi" w:cstheme="majorBidi"/>
          <w:sz w:val="24"/>
          <w:szCs w:val="24"/>
          <w:lang w:val="en-US"/>
        </w:rPr>
        <w:lastRenderedPageBreak/>
        <w:t xml:space="preserve">performers and deliverers of the change purposes. Rumors are common in most organizations (Bordia et al., 2006; Michelson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Mouly, 2002). Therefore, it was always seen that leaders and managers with no communication skills are more prone to spreading rumors, thus causing barriers not only during change, but in all aspects of daily job.</w:t>
      </w:r>
    </w:p>
    <w:p w14:paraId="64416214" w14:textId="46BE0CD6"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Another form of futile communication capability is not defining and assigning accountabilities but restraining orders and work plans. Normann (2002) specifies services management perspective accountabilities, including the subjective assessment by users of service effectiveness, in addition to objective quantitative outcome factors. Furthermore, communication deficiency could be caused by ineffective leadership style or capability to transmit proper messages through the team during change as both leadership style and capability plays a key role in majority aspects if not refined or trained in addressing the organizational change (Abbas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Asghar, 2010). It is also notable that a leader’s lack of competency might result in adhocracy while implementing change (Pagon et. al, 2008). </w:t>
      </w:r>
    </w:p>
    <w:p w14:paraId="64416215" w14:textId="63C14C7A"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Communication strategy between employees and management during change process nonetheless acts as a paved road to destination. Any mishaps in communication strength and clearances would lead to unknown roads that lead the journey to unknown places (Ford et al., 2008; Lines, 2004; Dijk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Dick, 2009). A strong and clear communication and participation is required in circumstances where resistance to organizational change develops because that leads to lack of motivation during the formulation and implementation stage of strategies (Bovey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Andy, 2001b; Folger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Skarlicki, 1999). Mangers have to be trained and inculcate the basic skills of communication in order to narrow the gap between </w:t>
      </w:r>
      <w:r w:rsidRPr="00511330">
        <w:rPr>
          <w:rFonts w:asciiTheme="majorBidi" w:hAnsiTheme="majorBidi" w:cstheme="majorBidi"/>
          <w:sz w:val="24"/>
          <w:szCs w:val="24"/>
          <w:lang w:val="en-US"/>
        </w:rPr>
        <w:lastRenderedPageBreak/>
        <w:t>them and employees through clear/objective communication as it would pave the way for obstacles of misunderstanding and misconceptions.</w:t>
      </w:r>
      <w:bookmarkStart w:id="397" w:name="_Toc32085783"/>
      <w:bookmarkStart w:id="398" w:name="_Toc32085968"/>
      <w:bookmarkStart w:id="399" w:name="_Toc32086155"/>
      <w:bookmarkStart w:id="400" w:name="_Toc32090292"/>
      <w:bookmarkStart w:id="401" w:name="_Toc32090622"/>
      <w:bookmarkStart w:id="402" w:name="_Toc32091538"/>
      <w:bookmarkStart w:id="403" w:name="_Toc32085784"/>
      <w:bookmarkStart w:id="404" w:name="_Toc32085969"/>
      <w:bookmarkStart w:id="405" w:name="_Toc32086156"/>
      <w:bookmarkStart w:id="406" w:name="_Toc32090293"/>
      <w:bookmarkStart w:id="407" w:name="_Toc32090623"/>
      <w:bookmarkStart w:id="408" w:name="_Toc32091539"/>
      <w:bookmarkStart w:id="409" w:name="_Toc32085785"/>
      <w:bookmarkStart w:id="410" w:name="_Toc32085970"/>
      <w:bookmarkStart w:id="411" w:name="_Toc32086157"/>
      <w:bookmarkStart w:id="412" w:name="_Toc32090294"/>
      <w:bookmarkStart w:id="413" w:name="_Toc32090624"/>
      <w:bookmarkStart w:id="414" w:name="_Toc32091540"/>
      <w:bookmarkStart w:id="415" w:name="_Toc32085786"/>
      <w:bookmarkStart w:id="416" w:name="_Toc32085971"/>
      <w:bookmarkStart w:id="417" w:name="_Toc32086158"/>
      <w:bookmarkStart w:id="418" w:name="_Toc32090295"/>
      <w:bookmarkStart w:id="419" w:name="_Toc32090625"/>
      <w:bookmarkStart w:id="420" w:name="_Toc32091541"/>
      <w:bookmarkStart w:id="421" w:name="_Toc32085787"/>
      <w:bookmarkStart w:id="422" w:name="_Toc32085972"/>
      <w:bookmarkStart w:id="423" w:name="_Toc32086159"/>
      <w:bookmarkStart w:id="424" w:name="_Toc32090296"/>
      <w:bookmarkStart w:id="425" w:name="_Toc32090626"/>
      <w:bookmarkStart w:id="426" w:name="_Toc32091542"/>
      <w:bookmarkStart w:id="427" w:name="_Toc32085788"/>
      <w:bookmarkStart w:id="428" w:name="_Toc32085973"/>
      <w:bookmarkStart w:id="429" w:name="_Toc32086160"/>
      <w:bookmarkStart w:id="430" w:name="_Toc32090297"/>
      <w:bookmarkStart w:id="431" w:name="_Toc32090627"/>
      <w:bookmarkStart w:id="432" w:name="_Toc32091543"/>
      <w:bookmarkStart w:id="433" w:name="_Toc32085789"/>
      <w:bookmarkStart w:id="434" w:name="_Toc32085974"/>
      <w:bookmarkStart w:id="435" w:name="_Toc32086161"/>
      <w:bookmarkStart w:id="436" w:name="_Toc32090298"/>
      <w:bookmarkStart w:id="437" w:name="_Toc32090628"/>
      <w:bookmarkStart w:id="438" w:name="_Toc32091544"/>
      <w:bookmarkStart w:id="439" w:name="_Toc32085790"/>
      <w:bookmarkStart w:id="440" w:name="_Toc32085975"/>
      <w:bookmarkStart w:id="441" w:name="_Toc32086162"/>
      <w:bookmarkStart w:id="442" w:name="_Toc32090299"/>
      <w:bookmarkStart w:id="443" w:name="_Toc32090629"/>
      <w:bookmarkStart w:id="444" w:name="_Toc32091545"/>
      <w:bookmarkStart w:id="445" w:name="_Toc32085791"/>
      <w:bookmarkStart w:id="446" w:name="_Toc32085976"/>
      <w:bookmarkStart w:id="447" w:name="_Toc32086163"/>
      <w:bookmarkStart w:id="448" w:name="_Toc32090300"/>
      <w:bookmarkStart w:id="449" w:name="_Toc32090630"/>
      <w:bookmarkStart w:id="450" w:name="_Toc32091546"/>
      <w:bookmarkStart w:id="451" w:name="_Toc32085792"/>
      <w:bookmarkStart w:id="452" w:name="_Toc32085977"/>
      <w:bookmarkStart w:id="453" w:name="_Toc32086164"/>
      <w:bookmarkStart w:id="454" w:name="_Toc32090301"/>
      <w:bookmarkStart w:id="455" w:name="_Toc32090631"/>
      <w:bookmarkStart w:id="456" w:name="_Toc32091547"/>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14:paraId="64416216" w14:textId="67144695" w:rsidR="008D3598" w:rsidRPr="00511330" w:rsidRDefault="008D3598" w:rsidP="00721566">
      <w:pPr>
        <w:pStyle w:val="Heading3"/>
        <w:numPr>
          <w:ilvl w:val="2"/>
          <w:numId w:val="14"/>
        </w:numPr>
        <w:spacing w:after="240"/>
        <w:ind w:right="-450"/>
        <w:rPr>
          <w:lang w:val="en-US"/>
        </w:rPr>
      </w:pPr>
      <w:bookmarkStart w:id="457" w:name="_Toc43311624"/>
      <w:r w:rsidRPr="00511330">
        <w:rPr>
          <w:lang w:val="en-US"/>
        </w:rPr>
        <w:t>Conflict of Working Force Commitment (CWFC)</w:t>
      </w:r>
      <w:bookmarkEnd w:id="457"/>
    </w:p>
    <w:p w14:paraId="64416217" w14:textId="2F8A46A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Conflict is another major barrier that plays a deforming rule in achieving successful change since it primarily results from contradiction; team disputes and omits from objective achievement constrains. A result of this dissonance, feelings of disharmony, uneasiness, and conflict may arise (Karacay et al., 2019).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have a working population representing more than 40 nationalities. Not unsurprisingly, this mix of cultures produces cross-cultural miscommunications, tensions and even conflicts and inefficiencies (De Waal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Frijns, 2016). (Foley, 2007) describes change as ‘settlement’ in the conclusion of conﬂict wherein all direct parties to the conﬂict harmonize that an agreement has been reached. For any change applied within an organization, the research of flexibility span shall be maintained and studied (Egan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Fjermestad, 2005). Organization with stringent process and objectives would fail always to achieve change in the desired direction if the teams involved in change process would start twisting issues so as to overcome hurdles because managers are unsure how to put flexible policies into practice and believe that they will have difficulties supervising flexible workers and managing their performance (Van Dyne et al., 2007). Provisional dialogs on organizational change often entail the notion that organizations are mechanisms that can be changed and will change once the environmental change occurs (Van de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Poole 1995; Brunsson, 1995).</w:t>
      </w:r>
    </w:p>
    <w:p w14:paraId="64416218"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Also, the subject of extremism could grab change and since communication is not bound, it can be expected that people are expecting the extreme because extremism also embraces the possibility of people sometimes protecting and promoting their uncertainty by reducing black and white world through assertive, radical actions that may be deemed antisocial, disruptive, and aggressive (Hogg et al., 2013). However, the subject of extremism comes from two roots related to past experiences and cultural environmental suspicions and accordingly during change process a gray area is created by some people either as habit or it comes always in an attempt to have warm area where they feel safe (Hogg et al., 2013). </w:t>
      </w:r>
    </w:p>
    <w:p w14:paraId="64416219" w14:textId="65AC5843"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Lastly, the organizational morality, maturity and minority issues will also play the role in change implementation as the issue of organization maturity in new</w:t>
      </w:r>
      <w:r w:rsidR="000B0A1A" w:rsidRPr="00511330">
        <w:rPr>
          <w:rFonts w:asciiTheme="majorBidi" w:hAnsiTheme="majorBidi" w:cstheme="majorBidi"/>
          <w:sz w:val="24"/>
          <w:szCs w:val="24"/>
          <w:lang w:val="en-US"/>
        </w:rPr>
        <w:t>ly</w:t>
      </w:r>
      <w:r w:rsidRPr="00511330">
        <w:rPr>
          <w:rFonts w:asciiTheme="majorBidi" w:hAnsiTheme="majorBidi" w:cstheme="majorBidi"/>
          <w:sz w:val="24"/>
          <w:szCs w:val="24"/>
          <w:lang w:val="en-US"/>
        </w:rPr>
        <w:t xml:space="preserve"> formed organization</w:t>
      </w:r>
      <w:r w:rsidR="000B0A1A"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would be inevitable because it depends on time factor and experience of employees within an organization. Undoubt</w:t>
      </w:r>
      <w:r w:rsidR="000B0A1A" w:rsidRPr="00511330">
        <w:rPr>
          <w:rFonts w:asciiTheme="majorBidi" w:hAnsiTheme="majorBidi" w:cstheme="majorBidi"/>
          <w:sz w:val="24"/>
          <w:szCs w:val="24"/>
          <w:lang w:val="en-US"/>
        </w:rPr>
        <w:t>ed</w:t>
      </w:r>
      <w:r w:rsidRPr="00511330">
        <w:rPr>
          <w:rFonts w:asciiTheme="majorBidi" w:hAnsiTheme="majorBidi" w:cstheme="majorBidi"/>
          <w:sz w:val="24"/>
          <w:szCs w:val="24"/>
          <w:lang w:val="en-US"/>
        </w:rPr>
        <w:t>ly, that morality barrier is an important issue. Policy is not only relating to additional usage of renewable energy, but also influencing various factors such as national energy strategy and stability, employment, and the interests of regime actors (Chang et al., 2017). Appropriate organizational culture, use of innovative technologies, and awareness/involvement of top management, employees, and society to consider and translate external pressures into strategic and operational performance as well as economic stability while considering the impact of these practices on social equity, ethical values and welfare, and the environment (Dubey et al., 2017). Achieving sustainable business excellence in organizations may require a balance between the existing structure and culture. This balance, in turn, will help achieve maturity Kassem (2016).</w:t>
      </w:r>
    </w:p>
    <w:p w14:paraId="6441621A"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A higher “maturity level” denotes a higher degree of systemization and standardization of project management processes attained by an organization, one that applies appropriate project management methodologies (Miklosik, 2015). Meanwhile, immoral employees might turn against change, thus causing multiple hurdles to reach the main objectives of change, but change leaders can overcome the morality issue by strengthening and indulging employees with future decisions (Brown, 2014). </w:t>
      </w:r>
      <w:bookmarkStart w:id="458" w:name="_Toc32085794"/>
      <w:bookmarkStart w:id="459" w:name="_Toc32085979"/>
      <w:bookmarkStart w:id="460" w:name="_Toc32086166"/>
      <w:bookmarkStart w:id="461" w:name="_Toc32090303"/>
      <w:bookmarkStart w:id="462" w:name="_Toc32090633"/>
      <w:bookmarkStart w:id="463" w:name="_Toc32091549"/>
      <w:bookmarkStart w:id="464" w:name="_Toc32085795"/>
      <w:bookmarkStart w:id="465" w:name="_Toc32085980"/>
      <w:bookmarkStart w:id="466" w:name="_Toc32086167"/>
      <w:bookmarkStart w:id="467" w:name="_Toc32090304"/>
      <w:bookmarkStart w:id="468" w:name="_Toc32090634"/>
      <w:bookmarkStart w:id="469" w:name="_Toc32091550"/>
      <w:bookmarkStart w:id="470" w:name="_Toc32085796"/>
      <w:bookmarkStart w:id="471" w:name="_Toc32085981"/>
      <w:bookmarkStart w:id="472" w:name="_Toc32086168"/>
      <w:bookmarkStart w:id="473" w:name="_Toc32090305"/>
      <w:bookmarkStart w:id="474" w:name="_Toc32090635"/>
      <w:bookmarkStart w:id="475" w:name="_Toc32091551"/>
      <w:bookmarkStart w:id="476" w:name="_Toc32085797"/>
      <w:bookmarkStart w:id="477" w:name="_Toc32085982"/>
      <w:bookmarkStart w:id="478" w:name="_Toc32086169"/>
      <w:bookmarkStart w:id="479" w:name="_Toc32090306"/>
      <w:bookmarkStart w:id="480" w:name="_Toc32090636"/>
      <w:bookmarkStart w:id="481" w:name="_Toc32091552"/>
      <w:bookmarkStart w:id="482" w:name="_Toc32085798"/>
      <w:bookmarkStart w:id="483" w:name="_Toc32085983"/>
      <w:bookmarkStart w:id="484" w:name="_Toc32086170"/>
      <w:bookmarkStart w:id="485" w:name="_Toc32090307"/>
      <w:bookmarkStart w:id="486" w:name="_Toc32090637"/>
      <w:bookmarkStart w:id="487" w:name="_Toc32091553"/>
      <w:bookmarkStart w:id="488" w:name="_Toc32085799"/>
      <w:bookmarkStart w:id="489" w:name="_Toc32085984"/>
      <w:bookmarkStart w:id="490" w:name="_Toc32086171"/>
      <w:bookmarkStart w:id="491" w:name="_Toc32090308"/>
      <w:bookmarkStart w:id="492" w:name="_Toc32090638"/>
      <w:bookmarkStart w:id="493" w:name="_Toc32091554"/>
      <w:bookmarkStart w:id="494" w:name="_Toc32085800"/>
      <w:bookmarkStart w:id="495" w:name="_Toc32085985"/>
      <w:bookmarkStart w:id="496" w:name="_Toc32086172"/>
      <w:bookmarkStart w:id="497" w:name="_Toc32090309"/>
      <w:bookmarkStart w:id="498" w:name="_Toc32090639"/>
      <w:bookmarkStart w:id="499" w:name="_Toc32091555"/>
      <w:bookmarkStart w:id="500" w:name="_Toc32085801"/>
      <w:bookmarkStart w:id="501" w:name="_Toc32085986"/>
      <w:bookmarkStart w:id="502" w:name="_Toc32086173"/>
      <w:bookmarkStart w:id="503" w:name="_Toc32090310"/>
      <w:bookmarkStart w:id="504" w:name="_Toc32090640"/>
      <w:bookmarkStart w:id="505" w:name="_Toc32091556"/>
      <w:bookmarkStart w:id="506" w:name="_Toc32085802"/>
      <w:bookmarkStart w:id="507" w:name="_Toc32085987"/>
      <w:bookmarkStart w:id="508" w:name="_Toc32086174"/>
      <w:bookmarkStart w:id="509" w:name="_Toc32090311"/>
      <w:bookmarkStart w:id="510" w:name="_Toc32090641"/>
      <w:bookmarkStart w:id="511" w:name="_Toc32091557"/>
      <w:bookmarkStart w:id="512" w:name="_Toc32085803"/>
      <w:bookmarkStart w:id="513" w:name="_Toc32085988"/>
      <w:bookmarkStart w:id="514" w:name="_Toc32086175"/>
      <w:bookmarkStart w:id="515" w:name="_Toc32090312"/>
      <w:bookmarkStart w:id="516" w:name="_Toc32090642"/>
      <w:bookmarkStart w:id="517" w:name="_Toc32091558"/>
      <w:bookmarkStart w:id="518" w:name="_Toc32085804"/>
      <w:bookmarkStart w:id="519" w:name="_Toc32085989"/>
      <w:bookmarkStart w:id="520" w:name="_Toc32086176"/>
      <w:bookmarkStart w:id="521" w:name="_Toc32090313"/>
      <w:bookmarkStart w:id="522" w:name="_Toc32090643"/>
      <w:bookmarkStart w:id="523" w:name="_Toc32091559"/>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6441621B" w14:textId="367E37F8" w:rsidR="008D3598" w:rsidRPr="00511330" w:rsidRDefault="008D3598" w:rsidP="00721566">
      <w:pPr>
        <w:pStyle w:val="Heading3"/>
        <w:numPr>
          <w:ilvl w:val="2"/>
          <w:numId w:val="14"/>
        </w:numPr>
        <w:spacing w:after="240"/>
        <w:ind w:right="-450"/>
        <w:rPr>
          <w:lang w:val="en-US"/>
        </w:rPr>
      </w:pPr>
      <w:bookmarkStart w:id="524" w:name="_Toc43311625"/>
      <w:r w:rsidRPr="00511330">
        <w:rPr>
          <w:lang w:val="en-US"/>
        </w:rPr>
        <w:t>Uncertain Objectives (UO)</w:t>
      </w:r>
      <w:bookmarkEnd w:id="524"/>
    </w:p>
    <w:p w14:paraId="6441621C" w14:textId="23430948"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Change initiatives are always applied for objective reason driven by a rapid market change and the objectives of change can vary depending on the organization</w:t>
      </w:r>
      <w:r w:rsidR="000B0A1A"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desires and global developments. Today, change identity is the core construct for the development</w:t>
      </w:r>
      <w:r w:rsidR="000B0A1A" w:rsidRPr="00511330">
        <w:rPr>
          <w:rFonts w:asciiTheme="majorBidi" w:hAnsiTheme="majorBidi" w:cstheme="majorBidi"/>
          <w:sz w:val="24"/>
          <w:szCs w:val="24"/>
          <w:lang w:val="en-US"/>
        </w:rPr>
        <w:t xml:space="preserve"> of</w:t>
      </w:r>
      <w:r w:rsidRPr="00511330">
        <w:rPr>
          <w:rFonts w:asciiTheme="majorBidi" w:hAnsiTheme="majorBidi" w:cstheme="majorBidi"/>
          <w:sz w:val="24"/>
          <w:szCs w:val="24"/>
          <w:lang w:val="en-US"/>
        </w:rPr>
        <w:t xml:space="preserve"> organization’s corporate brand and leads to its corporate reputation (Abratt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Mingione, 2017).</w:t>
      </w:r>
    </w:p>
    <w:p w14:paraId="6441621D" w14:textId="77B0BD45"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 However, change objectives becomes barriers if not set on rational reasons and made systematically towards desirable targets as the variance can be caused by organizational structure and ambiguity in its nature, that then leads to uncertainty (Hogg et al., 2013). Ford et al. (2002) argue that resistance should instead be understood as an important source of employee feedback. Also, resistance can be an important resource in improving the quality and clarity of the objectives and strategies at the heart of a change proposal. If used properly, it can enhance the prospects for successful implementation (Ford et al., 2008). Resistance curve starts to rise and aggravate without clear change objectives and management needs to reconsider their approaches to the organization, direction and motivation to change </w:t>
      </w:r>
      <w:r w:rsidRPr="00511330">
        <w:rPr>
          <w:rFonts w:asciiTheme="majorBidi" w:hAnsiTheme="majorBidi" w:cstheme="majorBidi"/>
          <w:sz w:val="24"/>
          <w:szCs w:val="24"/>
          <w:lang w:val="en-US"/>
        </w:rPr>
        <w:lastRenderedPageBreak/>
        <w:t xml:space="preserve">for the purpose of involving all employees (Daft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Marcic, 2004). High rates of change initiatives failure are indicated owing to unclear objectives (Hans, et al., 2009). A good leader with communication skills has a thriving knowledge on crafting messages that demonstrates a company understanding their employee’s needs and transmits the management objective without any alteration to employees (Schermerhorn et al., 2011).</w:t>
      </w:r>
    </w:p>
    <w:p w14:paraId="5B6913FB" w14:textId="63477789" w:rsidR="007C0945" w:rsidRPr="00511330" w:rsidRDefault="008D3598" w:rsidP="007C0945">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Lack of change objectives is caused by multiple factors, such as self-benefited management and unrealistic targets. In order to successfully implement any change project (such as lean implementation), the business strategy needs to be aligned with the personal goals and objectives (AlManei et al., 2018). Evidence-based decision making and its objectivity greatly assist in the process of change and conflict management and preventing a crisis (Luburić, R, 2019). Empirical studies show the effect of certain individual level factors on employee readiness to change. Identification with the organization aligns employees to organizational change objectives (Dick, Drzensky,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Egold, 2012). According to Beer and Nohria (2000), many organizations fail in their change initiatives because some senior personnel tend to rush these initiatives in their organizations, losing focus and becoming overwhelmed by the literature advising on why organizations should change, what organizations should strive to accomplish and how organizations should implement change. Thus, it can be argued that implementing change in both private and public organizations is no easy task to accomplish because strategic change in organizations operates with a black box being the object situated between the changing strategy and the organizational outcome. </w:t>
      </w:r>
      <w:r w:rsidRPr="00511330">
        <w:rPr>
          <w:rFonts w:asciiTheme="majorBidi" w:hAnsiTheme="majorBidi" w:cstheme="majorBidi"/>
          <w:sz w:val="24"/>
          <w:szCs w:val="24"/>
          <w:lang w:val="en-US"/>
        </w:rPr>
        <w:lastRenderedPageBreak/>
        <w:t xml:space="preserve">However, this gap can be bridged by organizational mechanisms, e.g. structure, processes, people and boundaries (Whittington et al., 1999). </w:t>
      </w:r>
      <w:bookmarkStart w:id="525" w:name="_Toc32085806"/>
      <w:bookmarkStart w:id="526" w:name="_Toc32085991"/>
      <w:bookmarkStart w:id="527" w:name="_Toc32086178"/>
      <w:bookmarkStart w:id="528" w:name="_Toc32090315"/>
      <w:bookmarkStart w:id="529" w:name="_Toc32090645"/>
      <w:bookmarkStart w:id="530" w:name="_Toc32091561"/>
      <w:bookmarkStart w:id="531" w:name="_Toc32085807"/>
      <w:bookmarkStart w:id="532" w:name="_Toc32085992"/>
      <w:bookmarkStart w:id="533" w:name="_Toc32086179"/>
      <w:bookmarkStart w:id="534" w:name="_Toc32090316"/>
      <w:bookmarkStart w:id="535" w:name="_Toc32090646"/>
      <w:bookmarkStart w:id="536" w:name="_Toc32091562"/>
      <w:bookmarkStart w:id="537" w:name="_Toc32085810"/>
      <w:bookmarkStart w:id="538" w:name="_Toc32085995"/>
      <w:bookmarkStart w:id="539" w:name="_Toc32086182"/>
      <w:bookmarkStart w:id="540" w:name="_Toc32090319"/>
      <w:bookmarkStart w:id="541" w:name="_Toc32090649"/>
      <w:bookmarkStart w:id="542" w:name="_Toc32091565"/>
      <w:bookmarkStart w:id="543" w:name="_Toc32085813"/>
      <w:bookmarkStart w:id="544" w:name="_Toc32085998"/>
      <w:bookmarkStart w:id="545" w:name="_Toc32086185"/>
      <w:bookmarkStart w:id="546" w:name="_Toc32090322"/>
      <w:bookmarkStart w:id="547" w:name="_Toc32090652"/>
      <w:bookmarkStart w:id="548" w:name="_Toc32091568"/>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14:paraId="6441621F" w14:textId="77777777" w:rsidR="008D3598" w:rsidRPr="00511330" w:rsidRDefault="008D3598" w:rsidP="00721566">
      <w:pPr>
        <w:pStyle w:val="Heading2"/>
        <w:numPr>
          <w:ilvl w:val="1"/>
          <w:numId w:val="14"/>
        </w:numPr>
        <w:spacing w:after="240"/>
        <w:ind w:right="-450"/>
        <w:rPr>
          <w:lang w:val="en-US"/>
        </w:rPr>
      </w:pPr>
      <w:bookmarkStart w:id="549" w:name="_Toc43311626"/>
      <w:r w:rsidRPr="00511330">
        <w:rPr>
          <w:lang w:val="en-US"/>
        </w:rPr>
        <w:t>Summary</w:t>
      </w:r>
      <w:bookmarkEnd w:id="549"/>
      <w:r w:rsidRPr="00511330">
        <w:rPr>
          <w:lang w:val="en-US"/>
        </w:rPr>
        <w:t xml:space="preserve"> </w:t>
      </w:r>
    </w:p>
    <w:p w14:paraId="64416220" w14:textId="45EF06C4"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notion of CM has become increasingly important in the UAE in recent years. It is also an integral part of successful implementation for continuous improvement for energy organizations management. With the high rate of failure implementation of CM in the past with the involvement of governments and private organization</w:t>
      </w:r>
      <w:r w:rsidR="00DA4BDE"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most of the studies have not yet been able to determine the actual reason behind such results, where it was specified as 70% failure (Yaseen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Okour, 2012).</w:t>
      </w:r>
    </w:p>
    <w:p w14:paraId="64416221" w14:textId="36D82BA3"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future of change management in</w:t>
      </w:r>
      <w:r w:rsidR="00892A00" w:rsidRPr="00511330">
        <w:rPr>
          <w:rFonts w:asciiTheme="majorBidi" w:hAnsiTheme="majorBidi" w:cstheme="majorBidi"/>
          <w:sz w:val="24"/>
          <w:szCs w:val="24"/>
          <w:lang w:val="en-US"/>
        </w:rPr>
        <w:t xml:space="preserve"> the</w:t>
      </w:r>
      <w:r w:rsidRPr="00511330">
        <w:rPr>
          <w:rFonts w:asciiTheme="majorBidi" w:hAnsiTheme="majorBidi" w:cstheme="majorBidi"/>
          <w:sz w:val="24"/>
          <w:szCs w:val="24"/>
          <w:lang w:val="en-US"/>
        </w:rPr>
        <w:t xml:space="preserve"> UAE is very difficult to predict. This is because although lots of changes have occurred in the energy sector over the past few years, the main methodologies used by organizations to carry out the desired changes were not stated by them. Therefore, there are no clear conceptions of what influences CM within the UAE’s energy industry. As a result, change has become a usual cycle every couple of years, due to changing market trend and fluctuating oil prices. Added to that, the stability of the social system countries around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 has accelerated the cycle process as the years go by.</w:t>
      </w:r>
    </w:p>
    <w:p w14:paraId="64416222" w14:textId="1E0EDF63"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UAE has recently regulated the changes taking place in the energy sector to release the power generation. Moreover, the controversy of CM is being increasingly discussed among elite management in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governmental at the Energy industry, due to recent economic turnovers and changes in oil prices, and the risks surrounding the area of GCC over the past few years. Consequently, any </w:t>
      </w:r>
      <w:r w:rsidRPr="00511330">
        <w:rPr>
          <w:rFonts w:asciiTheme="majorBidi" w:hAnsiTheme="majorBidi" w:cstheme="majorBidi"/>
          <w:sz w:val="24"/>
          <w:szCs w:val="24"/>
          <w:lang w:val="en-US"/>
        </w:rPr>
        <w:lastRenderedPageBreak/>
        <w:t>change that would signify a contradiction in any organization top to bottom management would certainly lead to time consumption and concurrently, money expenditure which each leadership in the organization would avoid or constrain it to certain red cordoned line amounts, acting under ever-growing pressure to proactively take responsibility for their destructive behavior (Anderson, 2005).</w:t>
      </w:r>
    </w:p>
    <w:p w14:paraId="64416223" w14:textId="7DE361F2"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In business settings, managing positive and negative impacts on employees reflects their responsible behavior towards societies (United Nation</w:t>
      </w:r>
      <w:r w:rsidR="00DA4BDE"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2015). Past evidence compiled from various studies (Hudescu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Lies, 2011), shows that shifts in CM hinges on the nature of each organization, which is why it is difficult to implement and maintain in every occasion.  The overwhelming number of approaches to CM leaves organizational leaders confused and often too short of time/resources to be able to assess the existing state of affairs (Hudescu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Lies, 2011).</w:t>
      </w:r>
    </w:p>
    <w:p w14:paraId="64416224" w14:textId="77777777" w:rsidR="008D3598" w:rsidRPr="00511330" w:rsidRDefault="008D3598" w:rsidP="00721566">
      <w:pPr>
        <w:spacing w:line="480" w:lineRule="auto"/>
        <w:ind w:right="-450"/>
        <w:jc w:val="both"/>
        <w:rPr>
          <w:rFonts w:asciiTheme="majorBidi" w:hAnsiTheme="majorBidi" w:cstheme="majorBidi"/>
          <w:sz w:val="24"/>
          <w:szCs w:val="24"/>
          <w:lang w:val="en-US"/>
        </w:rPr>
      </w:pPr>
    </w:p>
    <w:p w14:paraId="64416225" w14:textId="77777777" w:rsidR="008D3598" w:rsidRPr="00511330" w:rsidRDefault="008D3598" w:rsidP="00721566">
      <w:pPr>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br w:type="page"/>
      </w:r>
    </w:p>
    <w:p w14:paraId="64416226" w14:textId="77777777" w:rsidR="008D3598" w:rsidRPr="00511330" w:rsidRDefault="008D3598" w:rsidP="00721566">
      <w:pPr>
        <w:pStyle w:val="Heading1"/>
        <w:ind w:right="-450"/>
        <w:rPr>
          <w:lang w:val="en-US"/>
        </w:rPr>
      </w:pPr>
      <w:bookmarkStart w:id="550" w:name="_Toc43311627"/>
      <w:r w:rsidRPr="00511330">
        <w:rPr>
          <w:lang w:val="en-US"/>
        </w:rPr>
        <w:lastRenderedPageBreak/>
        <w:t>CHAPTER 3: METHODOLOGY OF RESEARCH</w:t>
      </w:r>
      <w:bookmarkEnd w:id="550"/>
    </w:p>
    <w:p w14:paraId="64416227" w14:textId="77777777" w:rsidR="008D3598" w:rsidRPr="00511330" w:rsidRDefault="008D3598" w:rsidP="00721566">
      <w:pPr>
        <w:spacing w:line="480" w:lineRule="auto"/>
        <w:ind w:right="-450"/>
        <w:jc w:val="both"/>
        <w:rPr>
          <w:rFonts w:asciiTheme="majorBidi" w:hAnsiTheme="majorBidi" w:cstheme="majorBidi"/>
          <w:b/>
          <w:bCs/>
          <w:sz w:val="24"/>
          <w:szCs w:val="24"/>
          <w:lang w:val="en-US"/>
        </w:rPr>
      </w:pPr>
      <w:r w:rsidRPr="00511330">
        <w:rPr>
          <w:rFonts w:asciiTheme="majorBidi" w:hAnsiTheme="majorBidi" w:cstheme="majorBidi"/>
          <w:b/>
          <w:bCs/>
          <w:sz w:val="24"/>
          <w:szCs w:val="24"/>
          <w:lang w:val="en-US"/>
        </w:rPr>
        <w:t>Structure of Chapter Three</w:t>
      </w:r>
    </w:p>
    <w:p w14:paraId="64416228"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eastAsia="Calibri" w:hAnsiTheme="majorBidi" w:cstheme="majorBidi"/>
          <w:noProof/>
          <w:sz w:val="24"/>
          <w:szCs w:val="24"/>
          <w:bdr w:val="single" w:sz="18" w:space="0" w:color="auto"/>
          <w:lang w:val="en-US"/>
        </w:rPr>
        <w:drawing>
          <wp:inline distT="0" distB="0" distL="0" distR="0" wp14:anchorId="64416D3E" wp14:editId="6EFD7AEE">
            <wp:extent cx="4660135" cy="2500829"/>
            <wp:effectExtent l="0" t="0" r="2667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4416229"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This chapter discusses the methodologies of research used for data collections. The data collected from the respondents were analyzed using frequency analysis and ranking in order to determine the most preferred indicators based on ranks. Descriptive statistics including means, standard deviation and frequencies were also performed to elucidate the participating variables. </w:t>
      </w:r>
    </w:p>
    <w:p w14:paraId="6441622A" w14:textId="77777777" w:rsidR="008D3598" w:rsidRPr="00511330" w:rsidRDefault="008D3598" w:rsidP="00721566">
      <w:pPr>
        <w:pStyle w:val="ListParagraph"/>
        <w:keepNext/>
        <w:keepLines/>
        <w:spacing w:before="200" w:after="0" w:line="360" w:lineRule="auto"/>
        <w:ind w:left="360" w:right="-450"/>
        <w:contextualSpacing w:val="0"/>
        <w:outlineLvl w:val="1"/>
        <w:rPr>
          <w:rFonts w:asciiTheme="majorBidi" w:eastAsiaTheme="majorEastAsia" w:hAnsiTheme="majorBidi" w:cstheme="majorBidi"/>
          <w:b/>
          <w:bCs/>
          <w:vanish/>
          <w:sz w:val="28"/>
          <w:szCs w:val="26"/>
          <w:lang w:val="en-US"/>
        </w:rPr>
      </w:pPr>
      <w:bookmarkStart w:id="551" w:name="_Toc32085816"/>
      <w:bookmarkStart w:id="552" w:name="_Toc32086001"/>
      <w:bookmarkStart w:id="553" w:name="_Toc32086188"/>
      <w:bookmarkStart w:id="554" w:name="_Toc32090325"/>
      <w:bookmarkStart w:id="555" w:name="_Toc32090655"/>
      <w:bookmarkStart w:id="556" w:name="_Toc32091571"/>
      <w:bookmarkStart w:id="557" w:name="_Toc32085818"/>
      <w:bookmarkStart w:id="558" w:name="_Toc32086003"/>
      <w:bookmarkStart w:id="559" w:name="_Toc32086190"/>
      <w:bookmarkStart w:id="560" w:name="_Toc32090327"/>
      <w:bookmarkStart w:id="561" w:name="_Toc32090657"/>
      <w:bookmarkStart w:id="562" w:name="_Toc32091573"/>
      <w:bookmarkEnd w:id="551"/>
      <w:bookmarkEnd w:id="552"/>
      <w:bookmarkEnd w:id="553"/>
      <w:bookmarkEnd w:id="554"/>
      <w:bookmarkEnd w:id="555"/>
      <w:bookmarkEnd w:id="556"/>
      <w:bookmarkEnd w:id="557"/>
      <w:bookmarkEnd w:id="558"/>
      <w:bookmarkEnd w:id="559"/>
      <w:bookmarkEnd w:id="560"/>
      <w:bookmarkEnd w:id="561"/>
      <w:bookmarkEnd w:id="562"/>
    </w:p>
    <w:p w14:paraId="6441622B" w14:textId="1D0B913B" w:rsidR="008D3598" w:rsidRPr="00511330" w:rsidRDefault="008D3598" w:rsidP="00EC3822">
      <w:pPr>
        <w:pStyle w:val="Heading2"/>
        <w:ind w:left="720" w:right="-450" w:hanging="720"/>
        <w:rPr>
          <w:lang w:val="en-US"/>
        </w:rPr>
      </w:pPr>
      <w:bookmarkStart w:id="563" w:name="_Toc43311628"/>
      <w:r w:rsidRPr="00511330">
        <w:rPr>
          <w:lang w:val="en-US"/>
        </w:rPr>
        <w:t xml:space="preserve">3.1. </w:t>
      </w:r>
      <w:r w:rsidR="00EC3822" w:rsidRPr="00511330">
        <w:rPr>
          <w:lang w:val="en-US"/>
        </w:rPr>
        <w:tab/>
      </w:r>
      <w:r w:rsidRPr="00511330">
        <w:rPr>
          <w:lang w:val="en-US"/>
        </w:rPr>
        <w:t>Research Design and Approach</w:t>
      </w:r>
      <w:bookmarkEnd w:id="563"/>
      <w:r w:rsidRPr="00511330">
        <w:rPr>
          <w:lang w:val="en-US"/>
        </w:rPr>
        <w:t xml:space="preserve"> </w:t>
      </w:r>
    </w:p>
    <w:p w14:paraId="73891F7E" w14:textId="77777777" w:rsidR="00F24F81" w:rsidRPr="00511330" w:rsidRDefault="00F24F81" w:rsidP="00F24F81">
      <w:pPr>
        <w:rPr>
          <w:lang w:val="en-US"/>
        </w:rPr>
      </w:pPr>
    </w:p>
    <w:p w14:paraId="6441622C" w14:textId="77777777" w:rsidR="008D3598" w:rsidRPr="00511330" w:rsidRDefault="008D3598" w:rsidP="00721566">
      <w:pPr>
        <w:spacing w:after="0"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research design would elaborate the methodology of implementing the steps of our research in phases. Each phase had a set of critical initiatives that needed to be made systematically in various phases. </w:t>
      </w:r>
    </w:p>
    <w:p w14:paraId="6441622D" w14:textId="43869D5A" w:rsidR="008D3598" w:rsidRPr="00511330" w:rsidRDefault="008D3598" w:rsidP="00721566">
      <w:pPr>
        <w:spacing w:after="0"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research starts with phase 1, where we identify stakeholders of renewable energy to be interviewed. The selection was made from the personnel directly related with change in the renewable energy sector. Soliciting was made based </w:t>
      </w:r>
      <w:r w:rsidRPr="00511330">
        <w:rPr>
          <w:rFonts w:asciiTheme="majorBidi" w:hAnsiTheme="majorBidi" w:cstheme="majorBidi"/>
          <w:sz w:val="24"/>
          <w:szCs w:val="24"/>
          <w:lang w:val="en-US"/>
        </w:rPr>
        <w:lastRenderedPageBreak/>
        <w:t>upon main organizations and customers with substantial impact within the renewable energy. At the same time, sets of were selected to ensure fair feedback was given on all aspects of CM specific to renewable energy. Furthermore, initial instruments used for survey were decided to support our research, which was based on multiple</w:t>
      </w:r>
      <w:r w:rsidR="00DA4BDE"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choice in our research. Lastly, the answers were collected and tested to verify and validate the information received that our survey instruments were strong enough to establish strong research case. </w:t>
      </w:r>
    </w:p>
    <w:p w14:paraId="6441622E" w14:textId="1E4F5067" w:rsidR="008D3598" w:rsidRPr="00511330" w:rsidRDefault="008D3598" w:rsidP="00721566">
      <w:pPr>
        <w:spacing w:after="0"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At phase 2, we collect all data submitted using our survey and interviews pooling and segregating answers for further analysis. The designated tools used are to further break</w:t>
      </w:r>
      <w:r w:rsidR="00DA4BDE" w:rsidRPr="00511330">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t>up the causes and divide the answers into proper channeling of causes and reasons.</w:t>
      </w:r>
    </w:p>
    <w:p w14:paraId="6441622F" w14:textId="2C97D13D" w:rsidR="008D3598" w:rsidRPr="00511330" w:rsidRDefault="008D3598" w:rsidP="00721566">
      <w:pPr>
        <w:spacing w:after="0"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In phase 3, a specialized instrument software is used to disintegrate the reason or causes into factors that can be correlated quantitative numbers. Followed by another set of verifications using Confirmatory Factor Analysis (CFA). The next stage of testing data collected reliability, discriminant and data validity is critical and determined the strength of data collected and the research’s on-going validation with CFA second model. Finally, the arm loading factor value was identified by numerical means to identify and pinpoint at factors which had the greatest impact on CM, as shown in Figure 3.1.</w:t>
      </w:r>
    </w:p>
    <w:p w14:paraId="5742E288" w14:textId="443A01C4" w:rsidR="0058668E" w:rsidRPr="00511330" w:rsidRDefault="0058668E" w:rsidP="00721566">
      <w:pPr>
        <w:spacing w:after="0" w:line="480" w:lineRule="auto"/>
        <w:ind w:right="-450"/>
        <w:jc w:val="both"/>
        <w:rPr>
          <w:rFonts w:asciiTheme="majorBidi" w:hAnsiTheme="majorBidi" w:cstheme="majorBidi"/>
          <w:sz w:val="24"/>
          <w:szCs w:val="24"/>
          <w:lang w:val="en-US"/>
        </w:rPr>
      </w:pPr>
    </w:p>
    <w:p w14:paraId="00628F14" w14:textId="11EF949F" w:rsidR="0058668E" w:rsidRPr="00511330" w:rsidRDefault="0058668E" w:rsidP="00721566">
      <w:pPr>
        <w:spacing w:after="0" w:line="480" w:lineRule="auto"/>
        <w:ind w:right="-450"/>
        <w:jc w:val="both"/>
        <w:rPr>
          <w:rFonts w:asciiTheme="majorBidi" w:hAnsiTheme="majorBidi" w:cstheme="majorBidi"/>
          <w:sz w:val="24"/>
          <w:szCs w:val="24"/>
          <w:lang w:val="en-US"/>
        </w:rPr>
      </w:pPr>
    </w:p>
    <w:p w14:paraId="2F2547CB" w14:textId="66B25833" w:rsidR="0058668E" w:rsidRPr="00511330" w:rsidRDefault="0058668E" w:rsidP="00721566">
      <w:pPr>
        <w:spacing w:after="0" w:line="480" w:lineRule="auto"/>
        <w:ind w:right="-450"/>
        <w:jc w:val="both"/>
        <w:rPr>
          <w:rFonts w:asciiTheme="majorBidi" w:hAnsiTheme="majorBidi" w:cstheme="majorBidi"/>
          <w:sz w:val="24"/>
          <w:szCs w:val="24"/>
          <w:lang w:val="en-US"/>
        </w:rPr>
      </w:pPr>
    </w:p>
    <w:p w14:paraId="62EE8713" w14:textId="60960BA0" w:rsidR="0058668E" w:rsidRPr="00511330" w:rsidRDefault="0058668E" w:rsidP="00721566">
      <w:pPr>
        <w:spacing w:after="0" w:line="480" w:lineRule="auto"/>
        <w:ind w:right="-450"/>
        <w:jc w:val="both"/>
        <w:rPr>
          <w:rFonts w:asciiTheme="majorBidi" w:hAnsiTheme="majorBidi" w:cstheme="majorBidi"/>
          <w:sz w:val="24"/>
          <w:szCs w:val="24"/>
          <w:lang w:val="en-US"/>
        </w:rPr>
      </w:pPr>
    </w:p>
    <w:p w14:paraId="7748EE62" w14:textId="420A3362" w:rsidR="0058668E" w:rsidRPr="00511330" w:rsidRDefault="0058668E" w:rsidP="00721566">
      <w:pPr>
        <w:spacing w:after="0" w:line="480" w:lineRule="auto"/>
        <w:ind w:right="-450"/>
        <w:jc w:val="both"/>
        <w:rPr>
          <w:rFonts w:asciiTheme="majorBidi" w:hAnsiTheme="majorBidi" w:cstheme="majorBidi"/>
          <w:sz w:val="24"/>
          <w:szCs w:val="24"/>
          <w:lang w:val="en-US"/>
        </w:rPr>
      </w:pPr>
    </w:p>
    <w:p w14:paraId="1C62202E" w14:textId="69118695" w:rsidR="0058668E" w:rsidRPr="00511330" w:rsidRDefault="003332B6" w:rsidP="00721566">
      <w:pPr>
        <w:spacing w:after="0" w:line="480" w:lineRule="auto"/>
        <w:ind w:right="-450"/>
        <w:jc w:val="both"/>
        <w:rPr>
          <w:rFonts w:asciiTheme="majorBidi" w:hAnsiTheme="majorBidi" w:cstheme="majorBidi"/>
          <w:lang w:val="en-US"/>
        </w:rPr>
      </w:pPr>
      <w:r w:rsidRPr="00511330">
        <w:rPr>
          <w:noProof/>
          <w:lang w:val="en-US"/>
        </w:rPr>
        <w:lastRenderedPageBreak/>
        <mc:AlternateContent>
          <mc:Choice Requires="wps">
            <w:drawing>
              <wp:anchor distT="0" distB="0" distL="114300" distR="114300" simplePos="0" relativeHeight="251676672" behindDoc="1" locked="0" layoutInCell="1" allowOverlap="1" wp14:anchorId="58FD1330" wp14:editId="3CCDC26D">
                <wp:simplePos x="0" y="0"/>
                <wp:positionH relativeFrom="column">
                  <wp:posOffset>-149225</wp:posOffset>
                </wp:positionH>
                <wp:positionV relativeFrom="paragraph">
                  <wp:posOffset>4982845</wp:posOffset>
                </wp:positionV>
                <wp:extent cx="5525135" cy="635"/>
                <wp:effectExtent l="0" t="0" r="0" b="8255"/>
                <wp:wrapTight wrapText="bothSides">
                  <wp:wrapPolygon edited="0">
                    <wp:start x="0" y="0"/>
                    <wp:lineTo x="0" y="20698"/>
                    <wp:lineTo x="21523" y="20698"/>
                    <wp:lineTo x="21523"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5525135" cy="635"/>
                        </a:xfrm>
                        <a:prstGeom prst="rect">
                          <a:avLst/>
                        </a:prstGeom>
                        <a:solidFill>
                          <a:prstClr val="white"/>
                        </a:solidFill>
                        <a:ln>
                          <a:noFill/>
                        </a:ln>
                      </wps:spPr>
                      <wps:txbx>
                        <w:txbxContent>
                          <w:p w14:paraId="5616FC0E" w14:textId="32FE459E" w:rsidR="008E0079" w:rsidRPr="00E27ED7" w:rsidRDefault="008E0079" w:rsidP="003332B6">
                            <w:pPr>
                              <w:pStyle w:val="Caption"/>
                              <w:rPr>
                                <w:rFonts w:ascii="Times New Roman" w:hAnsi="Times New Roman" w:cs="Times New Roman"/>
                                <w:b w:val="0"/>
                                <w:bCs w:val="0"/>
                                <w:noProof/>
                                <w:color w:val="000000" w:themeColor="text1"/>
                                <w:sz w:val="20"/>
                                <w:szCs w:val="20"/>
                              </w:rPr>
                            </w:pPr>
                            <w:bookmarkStart w:id="564" w:name="_Toc43311153"/>
                            <w:r w:rsidRPr="00E27ED7">
                              <w:rPr>
                                <w:rFonts w:ascii="Times New Roman" w:hAnsi="Times New Roman" w:cs="Times New Roman"/>
                                <w:b w:val="0"/>
                                <w:bCs w:val="0"/>
                                <w:color w:val="000000" w:themeColor="text1"/>
                                <w:sz w:val="20"/>
                                <w:szCs w:val="20"/>
                              </w:rPr>
                              <w:t xml:space="preserve">Figure 3. </w:t>
                            </w:r>
                            <w:r w:rsidRPr="00E27ED7">
                              <w:rPr>
                                <w:rFonts w:ascii="Times New Roman" w:hAnsi="Times New Roman" w:cs="Times New Roman"/>
                                <w:b w:val="0"/>
                                <w:bCs w:val="0"/>
                                <w:color w:val="000000" w:themeColor="text1"/>
                                <w:sz w:val="20"/>
                                <w:szCs w:val="20"/>
                              </w:rPr>
                              <w:fldChar w:fldCharType="begin"/>
                            </w:r>
                            <w:r w:rsidRPr="00E27ED7">
                              <w:rPr>
                                <w:rFonts w:ascii="Times New Roman" w:hAnsi="Times New Roman" w:cs="Times New Roman"/>
                                <w:b w:val="0"/>
                                <w:bCs w:val="0"/>
                                <w:color w:val="000000" w:themeColor="text1"/>
                                <w:sz w:val="20"/>
                                <w:szCs w:val="20"/>
                              </w:rPr>
                              <w:instrText xml:space="preserve"> SEQ Figure_3. \* ARABIC </w:instrText>
                            </w:r>
                            <w:r w:rsidRPr="00E27ED7">
                              <w:rPr>
                                <w:rFonts w:ascii="Times New Roman" w:hAnsi="Times New Roman" w:cs="Times New Roman"/>
                                <w:b w:val="0"/>
                                <w:bCs w:val="0"/>
                                <w:color w:val="000000" w:themeColor="text1"/>
                                <w:sz w:val="20"/>
                                <w:szCs w:val="20"/>
                              </w:rPr>
                              <w:fldChar w:fldCharType="separate"/>
                            </w:r>
                            <w:r w:rsidRPr="00E27ED7">
                              <w:rPr>
                                <w:rFonts w:ascii="Times New Roman" w:hAnsi="Times New Roman" w:cs="Times New Roman"/>
                                <w:b w:val="0"/>
                                <w:bCs w:val="0"/>
                                <w:noProof/>
                                <w:color w:val="000000" w:themeColor="text1"/>
                                <w:sz w:val="20"/>
                                <w:szCs w:val="20"/>
                              </w:rPr>
                              <w:t>1</w:t>
                            </w:r>
                            <w:r w:rsidRPr="00E27ED7">
                              <w:rPr>
                                <w:rFonts w:ascii="Times New Roman" w:hAnsi="Times New Roman" w:cs="Times New Roman"/>
                                <w:b w:val="0"/>
                                <w:bCs w:val="0"/>
                                <w:color w:val="000000" w:themeColor="text1"/>
                                <w:sz w:val="20"/>
                                <w:szCs w:val="20"/>
                              </w:rPr>
                              <w:fldChar w:fldCharType="end"/>
                            </w:r>
                            <w:r w:rsidRPr="00E27ED7">
                              <w:rPr>
                                <w:rFonts w:ascii="Times New Roman" w:hAnsi="Times New Roman" w:cs="Times New Roman"/>
                                <w:b w:val="0"/>
                                <w:bCs w:val="0"/>
                                <w:color w:val="000000" w:themeColor="text1"/>
                                <w:sz w:val="20"/>
                                <w:szCs w:val="20"/>
                              </w:rPr>
                              <w:t>: Research Design and Methodology.</w:t>
                            </w:r>
                            <w:bookmarkEnd w:id="5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type w14:anchorId="58FD1330" id="_x0000_t202" coordsize="21600,21600" o:spt="202" path="m,l,21600r21600,l21600,xe">
                <v:stroke joinstyle="miter"/>
                <v:path gradientshapeok="t" o:connecttype="rect"/>
              </v:shapetype>
              <v:shape id="Text Box 2" o:spid="_x0000_s1026" type="#_x0000_t202" style="position:absolute;left:0;text-align:left;margin-left:-11.75pt;margin-top:392.35pt;width:435.05pt;height:.0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" stroked="f">
                <v:textbox style="mso-fit-shape-to-text:t" inset="0,0,0,0">
                  <w:txbxContent>
                    <w:p w14:paraId="5616FC0E" w14:textId="32FE459E" w:rsidR="008E0079" w:rsidRPr="00E27ED7" w:rsidRDefault="008E0079" w:rsidP="003332B6">
                      <w:pPr>
                        <w:pStyle w:val="Caption"/>
                        <w:rPr>
                          <w:rFonts w:ascii="Times New Roman" w:hAnsi="Times New Roman" w:cs="Times New Roman"/>
                          <w:b w:val="0"/>
                          <w:bCs w:val="0"/>
                          <w:noProof/>
                          <w:color w:val="000000" w:themeColor="text1"/>
                          <w:sz w:val="20"/>
                          <w:szCs w:val="20"/>
                        </w:rPr>
                      </w:pPr>
                      <w:bookmarkStart w:id="564" w:name="_Toc43311153"/>
                      <w:r w:rsidRPr="00E27ED7">
                        <w:rPr>
                          <w:rFonts w:ascii="Times New Roman" w:hAnsi="Times New Roman" w:cs="Times New Roman"/>
                          <w:b w:val="0"/>
                          <w:bCs w:val="0"/>
                          <w:color w:val="000000" w:themeColor="text1"/>
                          <w:sz w:val="20"/>
                          <w:szCs w:val="20"/>
                        </w:rPr>
                        <w:t xml:space="preserve">Figure 3. </w:t>
                      </w:r>
                      <w:r w:rsidRPr="00E27ED7">
                        <w:rPr>
                          <w:rFonts w:ascii="Times New Roman" w:hAnsi="Times New Roman" w:cs="Times New Roman"/>
                          <w:b w:val="0"/>
                          <w:bCs w:val="0"/>
                          <w:color w:val="000000" w:themeColor="text1"/>
                          <w:sz w:val="20"/>
                          <w:szCs w:val="20"/>
                        </w:rPr>
                        <w:fldChar w:fldCharType="begin"/>
                      </w:r>
                      <w:r w:rsidRPr="00E27ED7">
                        <w:rPr>
                          <w:rFonts w:ascii="Times New Roman" w:hAnsi="Times New Roman" w:cs="Times New Roman"/>
                          <w:b w:val="0"/>
                          <w:bCs w:val="0"/>
                          <w:color w:val="000000" w:themeColor="text1"/>
                          <w:sz w:val="20"/>
                          <w:szCs w:val="20"/>
                        </w:rPr>
                        <w:instrText xml:space="preserve"> SEQ Figure_3. \* ARABIC </w:instrText>
                      </w:r>
                      <w:r w:rsidRPr="00E27ED7">
                        <w:rPr>
                          <w:rFonts w:ascii="Times New Roman" w:hAnsi="Times New Roman" w:cs="Times New Roman"/>
                          <w:b w:val="0"/>
                          <w:bCs w:val="0"/>
                          <w:color w:val="000000" w:themeColor="text1"/>
                          <w:sz w:val="20"/>
                          <w:szCs w:val="20"/>
                        </w:rPr>
                        <w:fldChar w:fldCharType="separate"/>
                      </w:r>
                      <w:r w:rsidRPr="00E27ED7">
                        <w:rPr>
                          <w:rFonts w:ascii="Times New Roman" w:hAnsi="Times New Roman" w:cs="Times New Roman"/>
                          <w:b w:val="0"/>
                          <w:bCs w:val="0"/>
                          <w:noProof/>
                          <w:color w:val="000000" w:themeColor="text1"/>
                          <w:sz w:val="20"/>
                          <w:szCs w:val="20"/>
                        </w:rPr>
                        <w:t>1</w:t>
                      </w:r>
                      <w:r w:rsidRPr="00E27ED7">
                        <w:rPr>
                          <w:rFonts w:ascii="Times New Roman" w:hAnsi="Times New Roman" w:cs="Times New Roman"/>
                          <w:b w:val="0"/>
                          <w:bCs w:val="0"/>
                          <w:color w:val="000000" w:themeColor="text1"/>
                          <w:sz w:val="20"/>
                          <w:szCs w:val="20"/>
                        </w:rPr>
                        <w:fldChar w:fldCharType="end"/>
                      </w:r>
                      <w:r w:rsidRPr="00E27ED7">
                        <w:rPr>
                          <w:rFonts w:ascii="Times New Roman" w:hAnsi="Times New Roman" w:cs="Times New Roman"/>
                          <w:b w:val="0"/>
                          <w:bCs w:val="0"/>
                          <w:color w:val="000000" w:themeColor="text1"/>
                          <w:sz w:val="20"/>
                          <w:szCs w:val="20"/>
                        </w:rPr>
                        <w:t>: Research Design and Methodology.</w:t>
                      </w:r>
                      <w:bookmarkEnd w:id="564"/>
                    </w:p>
                  </w:txbxContent>
                </v:textbox>
                <w10:wrap type="tight"/>
              </v:shape>
            </w:pict>
          </mc:Fallback>
        </mc:AlternateContent>
      </w:r>
    </w:p>
    <w:p w14:paraId="64416230" w14:textId="26DE2D50" w:rsidR="008D3598" w:rsidRPr="00511330" w:rsidRDefault="008D3598" w:rsidP="00721566">
      <w:pPr>
        <w:spacing w:after="0" w:line="480" w:lineRule="auto"/>
        <w:ind w:right="-450"/>
        <w:jc w:val="center"/>
        <w:rPr>
          <w:lang w:val="en-US"/>
        </w:rPr>
      </w:pPr>
    </w:p>
    <w:p w14:paraId="64416231" w14:textId="1ACDED33" w:rsidR="008D3598" w:rsidRPr="00511330" w:rsidRDefault="008D3598" w:rsidP="00EC3822">
      <w:pPr>
        <w:pStyle w:val="Heading2"/>
        <w:ind w:left="720" w:right="-450" w:hanging="720"/>
        <w:rPr>
          <w:lang w:val="en-US"/>
        </w:rPr>
      </w:pPr>
      <w:bookmarkStart w:id="565" w:name="_Toc43311629"/>
      <w:r w:rsidRPr="00511330">
        <w:rPr>
          <w:noProof/>
          <w:lang w:val="en-US"/>
        </w:rPr>
        <w:drawing>
          <wp:anchor distT="0" distB="0" distL="114300" distR="114300" simplePos="0" relativeHeight="251651072" behindDoc="1" locked="0" layoutInCell="1" allowOverlap="1" wp14:anchorId="64416D40" wp14:editId="44A6DAC1">
            <wp:simplePos x="0" y="0"/>
            <wp:positionH relativeFrom="column">
              <wp:posOffset>-292100</wp:posOffset>
            </wp:positionH>
            <wp:positionV relativeFrom="paragraph">
              <wp:posOffset>-248920</wp:posOffset>
            </wp:positionV>
            <wp:extent cx="5525135" cy="4477385"/>
            <wp:effectExtent l="0" t="0" r="0" b="0"/>
            <wp:wrapTight wrapText="bothSides">
              <wp:wrapPolygon edited="0">
                <wp:start x="521" y="0"/>
                <wp:lineTo x="0" y="460"/>
                <wp:lineTo x="0" y="1470"/>
                <wp:lineTo x="4245" y="1470"/>
                <wp:lineTo x="0" y="2941"/>
                <wp:lineTo x="0" y="8823"/>
                <wp:lineTo x="4394" y="8823"/>
                <wp:lineTo x="0" y="9190"/>
                <wp:lineTo x="0" y="13234"/>
                <wp:lineTo x="745" y="13234"/>
                <wp:lineTo x="0" y="14704"/>
                <wp:lineTo x="0" y="20678"/>
                <wp:lineTo x="819" y="21413"/>
                <wp:lineTo x="968" y="21505"/>
                <wp:lineTo x="20480" y="21505"/>
                <wp:lineTo x="20704" y="21413"/>
                <wp:lineTo x="21449" y="20770"/>
                <wp:lineTo x="21523" y="19483"/>
                <wp:lineTo x="21523" y="643"/>
                <wp:lineTo x="21002" y="0"/>
                <wp:lineTo x="521"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25135" cy="4477385"/>
                    </a:xfrm>
                    <a:prstGeom prst="rect">
                      <a:avLst/>
                    </a:prstGeom>
                    <a:noFill/>
                  </pic:spPr>
                </pic:pic>
              </a:graphicData>
            </a:graphic>
          </wp:anchor>
        </w:drawing>
      </w:r>
      <w:r w:rsidRPr="00511330">
        <w:rPr>
          <w:noProof/>
          <w:lang w:val="en-US"/>
        </w:rPr>
        <w:t xml:space="preserve">3.2. </w:t>
      </w:r>
      <w:r w:rsidR="00EC3822" w:rsidRPr="00511330">
        <w:rPr>
          <w:noProof/>
          <w:lang w:val="en-US"/>
        </w:rPr>
        <w:tab/>
      </w:r>
      <w:r w:rsidRPr="00511330">
        <w:rPr>
          <w:lang w:val="en-US"/>
        </w:rPr>
        <w:t>Phase 1. (Qualitative) Interviews</w:t>
      </w:r>
      <w:bookmarkEnd w:id="565"/>
    </w:p>
    <w:p w14:paraId="64416232" w14:textId="32E1BB2F" w:rsidR="008D3598" w:rsidRPr="00511330" w:rsidRDefault="008D3598" w:rsidP="00721566">
      <w:pPr>
        <w:spacing w:line="480" w:lineRule="auto"/>
        <w:ind w:right="-450"/>
        <w:jc w:val="both"/>
        <w:rPr>
          <w:rFonts w:asciiTheme="majorBidi" w:hAnsiTheme="majorBidi" w:cstheme="majorBidi"/>
          <w:sz w:val="24"/>
          <w:szCs w:val="24"/>
          <w:lang w:val="en-US"/>
        </w:rPr>
      </w:pPr>
      <w:bookmarkStart w:id="566" w:name="_Hlk30152191"/>
      <w:r w:rsidRPr="00511330">
        <w:rPr>
          <w:rFonts w:asciiTheme="majorBidi" w:hAnsiTheme="majorBidi" w:cstheme="majorBidi"/>
          <w:sz w:val="24"/>
          <w:szCs w:val="24"/>
          <w:lang w:val="en-US"/>
        </w:rPr>
        <w:t>To explore the factors of enablers, motivators</w:t>
      </w:r>
      <w:r w:rsidR="00B54E57"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and barriers for CM in the energy sector this study has adopted the first phase of interviews method to collect qualitative data from several reputed energy organizations in the UAE. The collected data shall reveal the status of change practices in the UAE’s energy organizations. Open-ended questions were used to extract the desired information about the motives, enablers, and barriers collected during the changing process. In addition, employees, managers, and leaders expressed their views regarding how </w:t>
      </w:r>
      <w:r w:rsidRPr="00511330">
        <w:rPr>
          <w:rFonts w:asciiTheme="majorBidi" w:hAnsiTheme="majorBidi" w:cstheme="majorBidi"/>
          <w:sz w:val="24"/>
          <w:szCs w:val="24"/>
          <w:lang w:val="en-US"/>
        </w:rPr>
        <w:lastRenderedPageBreak/>
        <w:t xml:space="preserve">it started and defined its motives and what happened, where the change process started and proceeded. Lastly, they were asked questions with regard to the success of the change applied and whether it could be applied in a better method and what they thought was missing. Momentarily, they were expressing their views about the changes applied for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energies.</w:t>
      </w:r>
    </w:p>
    <w:bookmarkEnd w:id="566"/>
    <w:p w14:paraId="64416233" w14:textId="2ED34151"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Other sources for data collection such as observations, websites, speeches, and news agencies were also used. Additionally, the hand-out of </w:t>
      </w:r>
      <w:r w:rsidR="00892A00"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vision 2021 was scrutinized to extract important information related to the UAE’s visions of new energy resources from a governmental perspective. The data were collected based on </w:t>
      </w:r>
      <w:r w:rsidR="00B54E57" w:rsidRPr="00511330">
        <w:rPr>
          <w:rFonts w:asciiTheme="majorBidi" w:hAnsiTheme="majorBidi" w:cstheme="majorBidi"/>
          <w:sz w:val="24"/>
          <w:szCs w:val="24"/>
          <w:lang w:val="en-US"/>
        </w:rPr>
        <w:t>Figure</w:t>
      </w:r>
      <w:r w:rsidRPr="00511330">
        <w:rPr>
          <w:rFonts w:asciiTheme="majorBidi" w:hAnsiTheme="majorBidi" w:cstheme="majorBidi"/>
          <w:sz w:val="24"/>
          <w:szCs w:val="24"/>
          <w:lang w:val="en-US"/>
        </w:rPr>
        <w:t xml:space="preserve"> 3.2 to reflect the stakeholders’ point of view for CM motivators, barriers and enablers in the energy sector.</w:t>
      </w:r>
    </w:p>
    <w:p w14:paraId="3A769037" w14:textId="41B8DA23" w:rsidR="00E27ED7" w:rsidRPr="00511330" w:rsidRDefault="00E27ED7" w:rsidP="00E27ED7">
      <w:pPr>
        <w:keepNext/>
        <w:spacing w:line="240" w:lineRule="auto"/>
        <w:ind w:right="-450"/>
        <w:jc w:val="both"/>
      </w:pPr>
      <w:r w:rsidRPr="00511330">
        <w:rPr>
          <w:noProof/>
          <w:lang w:val="en-US"/>
        </w:rPr>
        <w:drawing>
          <wp:inline distT="0" distB="0" distL="0" distR="0" wp14:anchorId="6B953BF1" wp14:editId="663F485C">
            <wp:extent cx="4688840" cy="3558281"/>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688840" cy="3558281"/>
                    </a:xfrm>
                    <a:prstGeom prst="rect">
                      <a:avLst/>
                    </a:prstGeom>
                  </pic:spPr>
                </pic:pic>
              </a:graphicData>
            </a:graphic>
          </wp:inline>
        </w:drawing>
      </w:r>
    </w:p>
    <w:p w14:paraId="64416236" w14:textId="117A5171" w:rsidR="008D3598" w:rsidRPr="00511330" w:rsidRDefault="00E27ED7" w:rsidP="00E27ED7">
      <w:pPr>
        <w:pStyle w:val="Caption"/>
        <w:jc w:val="both"/>
        <w:rPr>
          <w:rFonts w:ascii="Times New Roman" w:hAnsi="Times New Roman" w:cs="Times New Roman"/>
          <w:b w:val="0"/>
          <w:bCs w:val="0"/>
          <w:color w:val="000000" w:themeColor="text1"/>
          <w:sz w:val="20"/>
          <w:szCs w:val="20"/>
          <w:lang w:val="en-US"/>
        </w:rPr>
      </w:pPr>
      <w:bookmarkStart w:id="567" w:name="_Toc43311154"/>
      <w:r w:rsidRPr="00511330">
        <w:rPr>
          <w:rFonts w:ascii="Times New Roman" w:hAnsi="Times New Roman" w:cs="Times New Roman"/>
          <w:b w:val="0"/>
          <w:bCs w:val="0"/>
          <w:color w:val="000000" w:themeColor="text1"/>
          <w:sz w:val="20"/>
          <w:szCs w:val="20"/>
        </w:rPr>
        <w:t xml:space="preserve">Figure 3. </w:t>
      </w:r>
      <w:r w:rsidRPr="00511330">
        <w:rPr>
          <w:rFonts w:ascii="Times New Roman" w:hAnsi="Times New Roman" w:cs="Times New Roman"/>
          <w:b w:val="0"/>
          <w:bCs w:val="0"/>
          <w:color w:val="000000" w:themeColor="text1"/>
          <w:sz w:val="20"/>
          <w:szCs w:val="20"/>
        </w:rPr>
        <w:fldChar w:fldCharType="begin"/>
      </w:r>
      <w:r w:rsidRPr="00511330">
        <w:rPr>
          <w:rFonts w:ascii="Times New Roman" w:hAnsi="Times New Roman" w:cs="Times New Roman"/>
          <w:b w:val="0"/>
          <w:bCs w:val="0"/>
          <w:color w:val="000000" w:themeColor="text1"/>
          <w:sz w:val="20"/>
          <w:szCs w:val="20"/>
        </w:rPr>
        <w:instrText xml:space="preserve"> SEQ Figure_3. \* ARABIC </w:instrText>
      </w:r>
      <w:r w:rsidRPr="00511330">
        <w:rPr>
          <w:rFonts w:ascii="Times New Roman" w:hAnsi="Times New Roman" w:cs="Times New Roman"/>
          <w:b w:val="0"/>
          <w:bCs w:val="0"/>
          <w:color w:val="000000" w:themeColor="text1"/>
          <w:sz w:val="20"/>
          <w:szCs w:val="20"/>
        </w:rPr>
        <w:fldChar w:fldCharType="separate"/>
      </w:r>
      <w:r w:rsidRPr="00511330">
        <w:rPr>
          <w:rFonts w:ascii="Times New Roman" w:hAnsi="Times New Roman" w:cs="Times New Roman"/>
          <w:b w:val="0"/>
          <w:bCs w:val="0"/>
          <w:noProof/>
          <w:color w:val="000000" w:themeColor="text1"/>
          <w:sz w:val="20"/>
          <w:szCs w:val="20"/>
        </w:rPr>
        <w:t>2</w:t>
      </w:r>
      <w:r w:rsidRPr="00511330">
        <w:rPr>
          <w:rFonts w:ascii="Times New Roman" w:hAnsi="Times New Roman" w:cs="Times New Roman"/>
          <w:b w:val="0"/>
          <w:bCs w:val="0"/>
          <w:color w:val="000000" w:themeColor="text1"/>
          <w:sz w:val="20"/>
          <w:szCs w:val="20"/>
        </w:rPr>
        <w:fldChar w:fldCharType="end"/>
      </w:r>
      <w:r w:rsidRPr="00511330">
        <w:rPr>
          <w:rFonts w:ascii="Times New Roman" w:hAnsi="Times New Roman" w:cs="Times New Roman"/>
          <w:b w:val="0"/>
          <w:bCs w:val="0"/>
          <w:color w:val="000000" w:themeColor="text1"/>
          <w:sz w:val="20"/>
          <w:szCs w:val="20"/>
        </w:rPr>
        <w:t>: CM Motivators, Barriers, &amp; Enablers from Stakeholders’ Point of View</w:t>
      </w:r>
      <w:bookmarkEnd w:id="567"/>
    </w:p>
    <w:p w14:paraId="64416237" w14:textId="77777777" w:rsidR="008D3598" w:rsidRPr="00511330" w:rsidRDefault="008D3598" w:rsidP="00721566">
      <w:pPr>
        <w:spacing w:line="480" w:lineRule="auto"/>
        <w:ind w:right="-450"/>
        <w:jc w:val="both"/>
        <w:rPr>
          <w:rFonts w:asciiTheme="majorBidi" w:hAnsiTheme="majorBidi" w:cstheme="majorBidi"/>
          <w:b/>
          <w:bCs/>
          <w:sz w:val="24"/>
          <w:szCs w:val="24"/>
          <w:lang w:val="en-US"/>
        </w:rPr>
      </w:pPr>
      <w:r w:rsidRPr="00511330">
        <w:rPr>
          <w:rFonts w:asciiTheme="majorBidi" w:hAnsiTheme="majorBidi" w:cstheme="majorBidi"/>
          <w:sz w:val="24"/>
          <w:szCs w:val="24"/>
          <w:lang w:val="en-US"/>
        </w:rPr>
        <w:lastRenderedPageBreak/>
        <w:t>A total of 75 interviews were conducted, with persons having key positions among different stakeholder groups, as shown in Figure 3.2.  Mostly, the focus was on employees and CM leaders and some vice presidents of different organizations such as Dubai Electricity and Water Authority (DEWA), Abu Dhabi Electricity and Water Authority (ADWEA), Sharjah Electricity and Water Authority (SEWA), and Fujairah Electricity and Water Authority (FEWA). Each interview lasted for 45 to 60 minutes and targeted three vice presidents and seven senior managers. Then, 39 employees were interviewed, since they are the main elements of connection medium between organizations and customers. The employees interviewed were selected from three main job criteria, including 12 middle-level employees, 18 customer service employees, and nine field engineers at power plants and the new solar energy project of Dubai solar park ‘Shams 1’. Details of these interviews are shown in Table 3.1</w:t>
      </w:r>
    </w:p>
    <w:p w14:paraId="64416238" w14:textId="71EB8DCD" w:rsidR="008D3598" w:rsidRPr="00511330" w:rsidRDefault="008D3598" w:rsidP="009657C6">
      <w:pPr>
        <w:pStyle w:val="Caption"/>
        <w:keepNext/>
        <w:spacing w:after="0"/>
        <w:ind w:right="-450"/>
        <w:rPr>
          <w:rFonts w:asciiTheme="majorBidi" w:hAnsiTheme="majorBidi" w:cstheme="majorBidi"/>
          <w:color w:val="auto"/>
          <w:sz w:val="20"/>
          <w:szCs w:val="20"/>
          <w:lang w:val="en-US"/>
        </w:rPr>
      </w:pPr>
      <w:bookmarkStart w:id="568" w:name="_Toc43310882"/>
      <w:r w:rsidRPr="00511330">
        <w:rPr>
          <w:rFonts w:asciiTheme="majorBidi" w:hAnsiTheme="majorBidi" w:cstheme="majorBidi"/>
          <w:b w:val="0"/>
          <w:bCs w:val="0"/>
          <w:color w:val="auto"/>
          <w:sz w:val="20"/>
          <w:szCs w:val="20"/>
          <w:lang w:val="en-US"/>
        </w:rPr>
        <w:t xml:space="preserve">Table 3.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Table_3.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1</w:t>
      </w:r>
      <w:r w:rsidRPr="00511330">
        <w:rPr>
          <w:rFonts w:asciiTheme="majorBidi" w:hAnsiTheme="majorBidi" w:cstheme="majorBidi"/>
          <w:b w:val="0"/>
          <w:bCs w:val="0"/>
          <w:color w:val="auto"/>
          <w:sz w:val="20"/>
          <w:szCs w:val="20"/>
          <w:lang w:val="en-US"/>
        </w:rPr>
        <w:fldChar w:fldCharType="end"/>
      </w:r>
      <w:r w:rsidRPr="00511330">
        <w:rPr>
          <w:rFonts w:asciiTheme="majorBidi" w:hAnsiTheme="majorBidi" w:cstheme="majorBidi"/>
          <w:b w:val="0"/>
          <w:bCs w:val="0"/>
          <w:color w:val="auto"/>
          <w:sz w:val="20"/>
          <w:szCs w:val="20"/>
          <w:lang w:val="en-US"/>
        </w:rPr>
        <w:t>.</w:t>
      </w:r>
      <w:r w:rsidRPr="00511330">
        <w:rPr>
          <w:rFonts w:asciiTheme="majorBidi" w:hAnsiTheme="majorBidi" w:cstheme="majorBidi"/>
          <w:color w:val="auto"/>
          <w:sz w:val="20"/>
          <w:szCs w:val="20"/>
          <w:lang w:val="en-US"/>
        </w:rPr>
        <w:t xml:space="preserve"> </w:t>
      </w:r>
      <w:r w:rsidRPr="00511330">
        <w:rPr>
          <w:rFonts w:asciiTheme="majorBidi" w:hAnsiTheme="majorBidi" w:cstheme="majorBidi"/>
          <w:b w:val="0"/>
          <w:bCs w:val="0"/>
          <w:i/>
          <w:iCs/>
          <w:color w:val="auto"/>
          <w:sz w:val="20"/>
          <w:szCs w:val="20"/>
          <w:lang w:val="en-US"/>
        </w:rPr>
        <w:t>Interviews’ Breakdown</w:t>
      </w:r>
      <w:bookmarkEnd w:id="568"/>
    </w:p>
    <w:tbl>
      <w:tblPr>
        <w:tblStyle w:val="TableGrid"/>
        <w:tblW w:w="7830" w:type="dxa"/>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2610"/>
        <w:gridCol w:w="2970"/>
        <w:gridCol w:w="1890"/>
      </w:tblGrid>
      <w:tr w:rsidR="008D3598" w:rsidRPr="00511330" w14:paraId="6441623D" w14:textId="77777777" w:rsidTr="009657C6">
        <w:trPr>
          <w:trHeight w:val="233"/>
        </w:trPr>
        <w:tc>
          <w:tcPr>
            <w:tcW w:w="3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16239" w14:textId="77777777" w:rsidR="008D3598" w:rsidRPr="00511330" w:rsidRDefault="008D3598" w:rsidP="00254ACF">
            <w:pPr>
              <w:ind w:right="-46"/>
              <w:jc w:val="center"/>
              <w:rPr>
                <w:rFonts w:asciiTheme="majorBidi" w:hAnsiTheme="majorBidi" w:cstheme="majorBidi"/>
                <w:sz w:val="20"/>
                <w:szCs w:val="20"/>
                <w:lang w:val="en-US"/>
              </w:rPr>
            </w:pPr>
            <w:r w:rsidRPr="00511330">
              <w:rPr>
                <w:rFonts w:asciiTheme="majorBidi" w:hAnsiTheme="majorBidi" w:cstheme="majorBidi"/>
                <w:sz w:val="20"/>
                <w:szCs w:val="20"/>
                <w:lang w:val="en-US"/>
              </w:rPr>
              <w:t>#</w:t>
            </w:r>
          </w:p>
        </w:tc>
        <w:tc>
          <w:tcPr>
            <w:tcW w:w="2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1623A" w14:textId="77777777" w:rsidR="008D3598" w:rsidRPr="00511330" w:rsidRDefault="008D3598" w:rsidP="00254ACF">
            <w:pPr>
              <w:ind w:right="-108"/>
              <w:jc w:val="center"/>
              <w:rPr>
                <w:rFonts w:asciiTheme="majorBidi" w:hAnsiTheme="majorBidi" w:cstheme="majorBidi"/>
                <w:sz w:val="20"/>
                <w:szCs w:val="20"/>
                <w:lang w:val="en-US"/>
              </w:rPr>
            </w:pPr>
            <w:r w:rsidRPr="00511330">
              <w:rPr>
                <w:rFonts w:asciiTheme="majorBidi" w:hAnsiTheme="majorBidi" w:cstheme="majorBidi"/>
                <w:sz w:val="20"/>
                <w:szCs w:val="20"/>
                <w:lang w:val="en-US"/>
              </w:rPr>
              <w:t>Stakeholder Categories</w:t>
            </w:r>
          </w:p>
        </w:tc>
        <w:tc>
          <w:tcPr>
            <w:tcW w:w="2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1623B" w14:textId="77777777" w:rsidR="008D3598" w:rsidRPr="00511330" w:rsidRDefault="008D3598" w:rsidP="00254ACF">
            <w:pPr>
              <w:ind w:right="162"/>
              <w:jc w:val="center"/>
              <w:rPr>
                <w:rFonts w:asciiTheme="majorBidi" w:hAnsiTheme="majorBidi" w:cstheme="majorBidi"/>
                <w:sz w:val="20"/>
                <w:szCs w:val="20"/>
                <w:lang w:val="en-US"/>
              </w:rPr>
            </w:pPr>
            <w:r w:rsidRPr="00511330">
              <w:rPr>
                <w:rFonts w:asciiTheme="majorBidi" w:hAnsiTheme="majorBidi" w:cstheme="majorBidi"/>
                <w:sz w:val="20"/>
                <w:szCs w:val="20"/>
                <w:lang w:val="en-US"/>
              </w:rPr>
              <w:t>Details</w:t>
            </w:r>
          </w:p>
        </w:tc>
        <w:tc>
          <w:tcPr>
            <w:tcW w:w="18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1623C" w14:textId="77777777" w:rsidR="008D3598" w:rsidRPr="00511330" w:rsidRDefault="008D3598" w:rsidP="00254ACF">
            <w:pPr>
              <w:ind w:right="-450"/>
              <w:jc w:val="center"/>
              <w:rPr>
                <w:rFonts w:asciiTheme="majorBidi" w:hAnsiTheme="majorBidi" w:cstheme="majorBidi"/>
                <w:sz w:val="20"/>
                <w:szCs w:val="20"/>
                <w:lang w:val="en-US"/>
              </w:rPr>
            </w:pPr>
            <w:r w:rsidRPr="00511330">
              <w:rPr>
                <w:rFonts w:asciiTheme="majorBidi" w:hAnsiTheme="majorBidi" w:cstheme="majorBidi"/>
                <w:sz w:val="20"/>
                <w:szCs w:val="20"/>
                <w:lang w:val="en-US"/>
              </w:rPr>
              <w:t>Total No.</w:t>
            </w:r>
          </w:p>
        </w:tc>
      </w:tr>
      <w:tr w:rsidR="008D3598" w:rsidRPr="00511330" w14:paraId="64416242" w14:textId="77777777" w:rsidTr="009657C6">
        <w:trPr>
          <w:trHeight w:val="305"/>
        </w:trPr>
        <w:tc>
          <w:tcPr>
            <w:tcW w:w="360" w:type="dxa"/>
            <w:vMerge w:val="restart"/>
            <w:tcBorders>
              <w:top w:val="single" w:sz="4" w:space="0" w:color="auto"/>
              <w:left w:val="single" w:sz="4" w:space="0" w:color="auto"/>
              <w:bottom w:val="single" w:sz="4" w:space="0" w:color="auto"/>
              <w:right w:val="single" w:sz="4" w:space="0" w:color="auto"/>
            </w:tcBorders>
            <w:vAlign w:val="center"/>
          </w:tcPr>
          <w:p w14:paraId="6441623E" w14:textId="77777777" w:rsidR="008D3598" w:rsidRPr="00511330" w:rsidRDefault="008D3598" w:rsidP="00254ACF">
            <w:pPr>
              <w:ind w:right="-46"/>
              <w:jc w:val="center"/>
              <w:rPr>
                <w:rFonts w:asciiTheme="majorBidi" w:hAnsiTheme="majorBidi" w:cstheme="majorBidi"/>
                <w:sz w:val="20"/>
                <w:szCs w:val="20"/>
                <w:lang w:val="en-US"/>
              </w:rPr>
            </w:pPr>
            <w:r w:rsidRPr="00511330">
              <w:rPr>
                <w:rFonts w:asciiTheme="majorBidi" w:hAnsiTheme="majorBidi" w:cstheme="majorBidi"/>
                <w:sz w:val="20"/>
                <w:szCs w:val="20"/>
                <w:lang w:val="en-US"/>
              </w:rPr>
              <w:t>1</w:t>
            </w:r>
          </w:p>
        </w:tc>
        <w:tc>
          <w:tcPr>
            <w:tcW w:w="2610" w:type="dxa"/>
            <w:vMerge w:val="restart"/>
            <w:tcBorders>
              <w:top w:val="single" w:sz="4" w:space="0" w:color="auto"/>
              <w:left w:val="single" w:sz="4" w:space="0" w:color="auto"/>
              <w:bottom w:val="single" w:sz="4" w:space="0" w:color="auto"/>
              <w:right w:val="single" w:sz="4" w:space="0" w:color="auto"/>
            </w:tcBorders>
            <w:vAlign w:val="center"/>
          </w:tcPr>
          <w:p w14:paraId="6441623F" w14:textId="77777777" w:rsidR="008D3598" w:rsidRPr="00511330" w:rsidRDefault="008D3598" w:rsidP="00254ACF">
            <w:pPr>
              <w:ind w:right="-108"/>
              <w:rPr>
                <w:rFonts w:asciiTheme="majorBidi" w:hAnsiTheme="majorBidi" w:cstheme="majorBidi"/>
                <w:sz w:val="20"/>
                <w:szCs w:val="20"/>
                <w:lang w:val="en-US"/>
              </w:rPr>
            </w:pPr>
            <w:r w:rsidRPr="00511330">
              <w:rPr>
                <w:rFonts w:asciiTheme="majorBidi" w:hAnsiTheme="majorBidi" w:cstheme="majorBidi"/>
                <w:sz w:val="20"/>
                <w:szCs w:val="20"/>
                <w:lang w:val="en-US"/>
              </w:rPr>
              <w:t>Top Management</w:t>
            </w:r>
          </w:p>
        </w:tc>
        <w:tc>
          <w:tcPr>
            <w:tcW w:w="2970" w:type="dxa"/>
            <w:tcBorders>
              <w:top w:val="single" w:sz="4" w:space="0" w:color="auto"/>
              <w:left w:val="single" w:sz="4" w:space="0" w:color="auto"/>
              <w:bottom w:val="single" w:sz="4" w:space="0" w:color="auto"/>
              <w:right w:val="single" w:sz="4" w:space="0" w:color="auto"/>
            </w:tcBorders>
            <w:vAlign w:val="center"/>
          </w:tcPr>
          <w:p w14:paraId="64416240" w14:textId="77777777" w:rsidR="008D3598" w:rsidRPr="00511330" w:rsidRDefault="008D3598" w:rsidP="00254ACF">
            <w:pPr>
              <w:ind w:right="162"/>
              <w:rPr>
                <w:rFonts w:asciiTheme="majorBidi" w:hAnsiTheme="majorBidi" w:cstheme="majorBidi"/>
                <w:sz w:val="20"/>
                <w:szCs w:val="20"/>
                <w:lang w:val="en-US"/>
              </w:rPr>
            </w:pPr>
            <w:r w:rsidRPr="00511330">
              <w:rPr>
                <w:rFonts w:asciiTheme="majorBidi" w:hAnsiTheme="majorBidi" w:cstheme="majorBidi"/>
                <w:sz w:val="20"/>
                <w:szCs w:val="20"/>
                <w:lang w:val="en-US"/>
              </w:rPr>
              <w:t>Vice presidents</w:t>
            </w:r>
          </w:p>
        </w:tc>
        <w:tc>
          <w:tcPr>
            <w:tcW w:w="1890" w:type="dxa"/>
            <w:tcBorders>
              <w:top w:val="single" w:sz="4" w:space="0" w:color="auto"/>
              <w:left w:val="single" w:sz="4" w:space="0" w:color="auto"/>
              <w:bottom w:val="single" w:sz="4" w:space="0" w:color="auto"/>
              <w:right w:val="single" w:sz="4" w:space="0" w:color="auto"/>
            </w:tcBorders>
            <w:vAlign w:val="center"/>
          </w:tcPr>
          <w:p w14:paraId="64416241" w14:textId="77777777" w:rsidR="008D3598" w:rsidRPr="00511330" w:rsidRDefault="008D3598" w:rsidP="00721566">
            <w:pPr>
              <w:ind w:right="-450"/>
              <w:jc w:val="center"/>
              <w:rPr>
                <w:rFonts w:asciiTheme="majorBidi" w:hAnsiTheme="majorBidi" w:cstheme="majorBidi"/>
                <w:sz w:val="20"/>
                <w:szCs w:val="20"/>
                <w:lang w:val="en-US"/>
              </w:rPr>
            </w:pPr>
            <w:r w:rsidRPr="00511330">
              <w:rPr>
                <w:rFonts w:asciiTheme="majorBidi" w:hAnsiTheme="majorBidi" w:cstheme="majorBidi"/>
                <w:sz w:val="20"/>
                <w:szCs w:val="20"/>
                <w:lang w:val="en-US"/>
              </w:rPr>
              <w:t>3</w:t>
            </w:r>
          </w:p>
        </w:tc>
      </w:tr>
      <w:tr w:rsidR="008D3598" w:rsidRPr="00511330" w14:paraId="64416247" w14:textId="77777777" w:rsidTr="009657C6">
        <w:trPr>
          <w:trHeight w:val="170"/>
        </w:trPr>
        <w:tc>
          <w:tcPr>
            <w:tcW w:w="360" w:type="dxa"/>
            <w:vMerge/>
            <w:tcBorders>
              <w:top w:val="single" w:sz="4" w:space="0" w:color="auto"/>
              <w:left w:val="single" w:sz="4" w:space="0" w:color="auto"/>
              <w:bottom w:val="single" w:sz="4" w:space="0" w:color="auto"/>
              <w:right w:val="single" w:sz="4" w:space="0" w:color="auto"/>
            </w:tcBorders>
            <w:vAlign w:val="center"/>
          </w:tcPr>
          <w:p w14:paraId="64416243" w14:textId="77777777" w:rsidR="008D3598" w:rsidRPr="00511330" w:rsidRDefault="008D3598" w:rsidP="00254ACF">
            <w:pPr>
              <w:ind w:right="-46"/>
              <w:jc w:val="center"/>
              <w:rPr>
                <w:rFonts w:asciiTheme="majorBidi" w:hAnsiTheme="majorBidi" w:cstheme="majorBidi"/>
                <w:sz w:val="20"/>
                <w:szCs w:val="20"/>
                <w:lang w:val="en-US"/>
              </w:rPr>
            </w:pPr>
          </w:p>
        </w:tc>
        <w:tc>
          <w:tcPr>
            <w:tcW w:w="2610" w:type="dxa"/>
            <w:vMerge/>
            <w:tcBorders>
              <w:top w:val="single" w:sz="4" w:space="0" w:color="auto"/>
              <w:left w:val="single" w:sz="4" w:space="0" w:color="auto"/>
              <w:bottom w:val="single" w:sz="4" w:space="0" w:color="auto"/>
              <w:right w:val="single" w:sz="4" w:space="0" w:color="auto"/>
            </w:tcBorders>
          </w:tcPr>
          <w:p w14:paraId="64416244" w14:textId="77777777" w:rsidR="008D3598" w:rsidRPr="00511330" w:rsidRDefault="008D3598" w:rsidP="00254ACF">
            <w:pPr>
              <w:ind w:right="-108"/>
              <w:jc w:val="center"/>
              <w:rPr>
                <w:rFonts w:asciiTheme="majorBidi" w:hAnsiTheme="majorBidi" w:cstheme="majorBidi"/>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center"/>
          </w:tcPr>
          <w:p w14:paraId="64416245" w14:textId="77777777" w:rsidR="008D3598" w:rsidRPr="00511330" w:rsidRDefault="008D3598" w:rsidP="00254ACF">
            <w:pPr>
              <w:ind w:right="162"/>
              <w:rPr>
                <w:rFonts w:asciiTheme="majorBidi" w:hAnsiTheme="majorBidi" w:cstheme="majorBidi"/>
                <w:sz w:val="20"/>
                <w:szCs w:val="20"/>
                <w:lang w:val="en-US"/>
              </w:rPr>
            </w:pPr>
            <w:r w:rsidRPr="00511330">
              <w:rPr>
                <w:rFonts w:asciiTheme="majorBidi" w:hAnsiTheme="majorBidi" w:cstheme="majorBidi"/>
                <w:sz w:val="20"/>
                <w:szCs w:val="20"/>
                <w:lang w:val="en-US"/>
              </w:rPr>
              <w:t>Senior manager</w:t>
            </w:r>
          </w:p>
        </w:tc>
        <w:tc>
          <w:tcPr>
            <w:tcW w:w="1890" w:type="dxa"/>
            <w:tcBorders>
              <w:top w:val="single" w:sz="4" w:space="0" w:color="auto"/>
              <w:left w:val="single" w:sz="4" w:space="0" w:color="auto"/>
              <w:bottom w:val="single" w:sz="4" w:space="0" w:color="auto"/>
              <w:right w:val="single" w:sz="4" w:space="0" w:color="auto"/>
            </w:tcBorders>
            <w:vAlign w:val="center"/>
          </w:tcPr>
          <w:p w14:paraId="64416246" w14:textId="77777777" w:rsidR="008D3598" w:rsidRPr="00511330" w:rsidRDefault="008D3598" w:rsidP="00721566">
            <w:pPr>
              <w:ind w:right="-450"/>
              <w:jc w:val="center"/>
              <w:rPr>
                <w:rFonts w:asciiTheme="majorBidi" w:hAnsiTheme="majorBidi" w:cstheme="majorBidi"/>
                <w:sz w:val="20"/>
                <w:szCs w:val="20"/>
                <w:lang w:val="en-US"/>
              </w:rPr>
            </w:pPr>
            <w:r w:rsidRPr="00511330">
              <w:rPr>
                <w:rFonts w:asciiTheme="majorBidi" w:hAnsiTheme="majorBidi" w:cstheme="majorBidi"/>
                <w:sz w:val="20"/>
                <w:szCs w:val="20"/>
                <w:lang w:val="en-US"/>
              </w:rPr>
              <w:t>7</w:t>
            </w:r>
          </w:p>
        </w:tc>
      </w:tr>
      <w:tr w:rsidR="008D3598" w:rsidRPr="00511330" w14:paraId="6441624C" w14:textId="77777777" w:rsidTr="009657C6">
        <w:tc>
          <w:tcPr>
            <w:tcW w:w="360" w:type="dxa"/>
            <w:vMerge w:val="restart"/>
            <w:tcBorders>
              <w:top w:val="single" w:sz="4" w:space="0" w:color="auto"/>
              <w:left w:val="single" w:sz="4" w:space="0" w:color="auto"/>
              <w:bottom w:val="single" w:sz="4" w:space="0" w:color="auto"/>
              <w:right w:val="single" w:sz="4" w:space="0" w:color="auto"/>
            </w:tcBorders>
            <w:vAlign w:val="center"/>
          </w:tcPr>
          <w:p w14:paraId="64416248" w14:textId="77777777" w:rsidR="008D3598" w:rsidRPr="00511330" w:rsidRDefault="008D3598" w:rsidP="00254ACF">
            <w:pPr>
              <w:ind w:right="-46"/>
              <w:jc w:val="center"/>
              <w:rPr>
                <w:rFonts w:asciiTheme="majorBidi" w:hAnsiTheme="majorBidi" w:cstheme="majorBidi"/>
                <w:sz w:val="20"/>
                <w:szCs w:val="20"/>
                <w:lang w:val="en-US"/>
              </w:rPr>
            </w:pPr>
            <w:r w:rsidRPr="00511330">
              <w:rPr>
                <w:rFonts w:asciiTheme="majorBidi" w:hAnsiTheme="majorBidi" w:cstheme="majorBidi"/>
                <w:sz w:val="20"/>
                <w:szCs w:val="20"/>
                <w:lang w:val="en-US"/>
              </w:rPr>
              <w:t>2</w:t>
            </w:r>
          </w:p>
        </w:tc>
        <w:tc>
          <w:tcPr>
            <w:tcW w:w="2610" w:type="dxa"/>
            <w:vMerge w:val="restart"/>
            <w:tcBorders>
              <w:top w:val="single" w:sz="4" w:space="0" w:color="auto"/>
              <w:left w:val="single" w:sz="4" w:space="0" w:color="auto"/>
              <w:bottom w:val="single" w:sz="4" w:space="0" w:color="auto"/>
              <w:right w:val="single" w:sz="4" w:space="0" w:color="auto"/>
            </w:tcBorders>
            <w:vAlign w:val="center"/>
          </w:tcPr>
          <w:p w14:paraId="64416249" w14:textId="77777777" w:rsidR="008D3598" w:rsidRPr="00511330" w:rsidRDefault="008D3598" w:rsidP="00254ACF">
            <w:pPr>
              <w:ind w:right="-108"/>
              <w:rPr>
                <w:rFonts w:asciiTheme="majorBidi" w:hAnsiTheme="majorBidi" w:cstheme="majorBidi"/>
                <w:sz w:val="20"/>
                <w:szCs w:val="20"/>
                <w:lang w:val="en-US"/>
              </w:rPr>
            </w:pPr>
            <w:r w:rsidRPr="00511330">
              <w:rPr>
                <w:rFonts w:asciiTheme="majorBidi" w:hAnsiTheme="majorBidi" w:cstheme="majorBidi"/>
                <w:sz w:val="20"/>
                <w:szCs w:val="20"/>
                <w:lang w:val="en-US"/>
              </w:rPr>
              <w:t>Employees</w:t>
            </w:r>
          </w:p>
        </w:tc>
        <w:tc>
          <w:tcPr>
            <w:tcW w:w="2970" w:type="dxa"/>
            <w:tcBorders>
              <w:top w:val="single" w:sz="4" w:space="0" w:color="auto"/>
              <w:left w:val="single" w:sz="4" w:space="0" w:color="auto"/>
              <w:bottom w:val="single" w:sz="4" w:space="0" w:color="auto"/>
              <w:right w:val="single" w:sz="4" w:space="0" w:color="auto"/>
            </w:tcBorders>
            <w:vAlign w:val="center"/>
          </w:tcPr>
          <w:p w14:paraId="6441624A" w14:textId="77777777" w:rsidR="008D3598" w:rsidRPr="00511330" w:rsidRDefault="008D3598" w:rsidP="00254ACF">
            <w:pPr>
              <w:ind w:right="162"/>
              <w:rPr>
                <w:rFonts w:asciiTheme="majorBidi" w:hAnsiTheme="majorBidi" w:cstheme="majorBidi"/>
                <w:sz w:val="20"/>
                <w:szCs w:val="20"/>
                <w:lang w:val="en-US"/>
              </w:rPr>
            </w:pPr>
            <w:r w:rsidRPr="00511330">
              <w:rPr>
                <w:rFonts w:asciiTheme="majorBidi" w:hAnsiTheme="majorBidi" w:cstheme="majorBidi"/>
                <w:sz w:val="20"/>
                <w:szCs w:val="20"/>
                <w:lang w:val="en-US"/>
              </w:rPr>
              <w:t>Middle Management</w:t>
            </w:r>
          </w:p>
        </w:tc>
        <w:tc>
          <w:tcPr>
            <w:tcW w:w="1890" w:type="dxa"/>
            <w:tcBorders>
              <w:top w:val="single" w:sz="4" w:space="0" w:color="auto"/>
              <w:left w:val="single" w:sz="4" w:space="0" w:color="auto"/>
              <w:bottom w:val="single" w:sz="4" w:space="0" w:color="auto"/>
              <w:right w:val="single" w:sz="4" w:space="0" w:color="auto"/>
            </w:tcBorders>
            <w:vAlign w:val="center"/>
          </w:tcPr>
          <w:p w14:paraId="6441624B" w14:textId="77777777" w:rsidR="008D3598" w:rsidRPr="00511330" w:rsidRDefault="008D3598" w:rsidP="00721566">
            <w:pPr>
              <w:ind w:right="-450"/>
              <w:jc w:val="center"/>
              <w:rPr>
                <w:rFonts w:asciiTheme="majorBidi" w:hAnsiTheme="majorBidi" w:cstheme="majorBidi"/>
                <w:sz w:val="20"/>
                <w:szCs w:val="20"/>
                <w:lang w:val="en-US"/>
              </w:rPr>
            </w:pPr>
            <w:r w:rsidRPr="00511330">
              <w:rPr>
                <w:rFonts w:asciiTheme="majorBidi" w:hAnsiTheme="majorBidi" w:cstheme="majorBidi"/>
                <w:sz w:val="20"/>
                <w:szCs w:val="20"/>
                <w:lang w:val="en-US"/>
              </w:rPr>
              <w:t>12</w:t>
            </w:r>
          </w:p>
        </w:tc>
      </w:tr>
      <w:tr w:rsidR="008D3598" w:rsidRPr="00511330" w14:paraId="64416251" w14:textId="77777777" w:rsidTr="009657C6">
        <w:tc>
          <w:tcPr>
            <w:tcW w:w="360" w:type="dxa"/>
            <w:vMerge/>
            <w:tcBorders>
              <w:top w:val="single" w:sz="4" w:space="0" w:color="auto"/>
              <w:left w:val="single" w:sz="4" w:space="0" w:color="auto"/>
              <w:bottom w:val="single" w:sz="4" w:space="0" w:color="auto"/>
              <w:right w:val="single" w:sz="4" w:space="0" w:color="auto"/>
            </w:tcBorders>
            <w:vAlign w:val="center"/>
          </w:tcPr>
          <w:p w14:paraId="6441624D" w14:textId="77777777" w:rsidR="008D3598" w:rsidRPr="00511330" w:rsidRDefault="008D3598" w:rsidP="00254ACF">
            <w:pPr>
              <w:ind w:right="-46"/>
              <w:jc w:val="center"/>
              <w:rPr>
                <w:rFonts w:asciiTheme="majorBidi" w:hAnsiTheme="majorBidi" w:cstheme="majorBidi"/>
                <w:sz w:val="20"/>
                <w:szCs w:val="20"/>
                <w:lang w:val="en-US"/>
              </w:rPr>
            </w:pPr>
          </w:p>
        </w:tc>
        <w:tc>
          <w:tcPr>
            <w:tcW w:w="2610" w:type="dxa"/>
            <w:vMerge/>
            <w:tcBorders>
              <w:top w:val="single" w:sz="4" w:space="0" w:color="auto"/>
              <w:left w:val="single" w:sz="4" w:space="0" w:color="auto"/>
              <w:bottom w:val="single" w:sz="4" w:space="0" w:color="auto"/>
              <w:right w:val="single" w:sz="4" w:space="0" w:color="auto"/>
            </w:tcBorders>
          </w:tcPr>
          <w:p w14:paraId="6441624E" w14:textId="77777777" w:rsidR="008D3598" w:rsidRPr="00511330" w:rsidRDefault="008D3598" w:rsidP="00254ACF">
            <w:pPr>
              <w:ind w:right="-108"/>
              <w:jc w:val="center"/>
              <w:rPr>
                <w:rFonts w:asciiTheme="majorBidi" w:hAnsiTheme="majorBidi" w:cstheme="majorBidi"/>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center"/>
          </w:tcPr>
          <w:p w14:paraId="6441624F" w14:textId="77777777" w:rsidR="008D3598" w:rsidRPr="00511330" w:rsidRDefault="008D3598" w:rsidP="00254ACF">
            <w:pPr>
              <w:ind w:right="162"/>
              <w:rPr>
                <w:rFonts w:asciiTheme="majorBidi" w:hAnsiTheme="majorBidi" w:cstheme="majorBidi"/>
                <w:sz w:val="20"/>
                <w:szCs w:val="20"/>
                <w:lang w:val="en-US"/>
              </w:rPr>
            </w:pPr>
            <w:r w:rsidRPr="00511330">
              <w:rPr>
                <w:rFonts w:asciiTheme="majorBidi" w:hAnsiTheme="majorBidi" w:cstheme="majorBidi"/>
                <w:sz w:val="20"/>
                <w:szCs w:val="20"/>
                <w:lang w:val="en-US"/>
              </w:rPr>
              <w:t>Front-line</w:t>
            </w:r>
          </w:p>
        </w:tc>
        <w:tc>
          <w:tcPr>
            <w:tcW w:w="1890" w:type="dxa"/>
            <w:tcBorders>
              <w:top w:val="single" w:sz="4" w:space="0" w:color="auto"/>
              <w:left w:val="single" w:sz="4" w:space="0" w:color="auto"/>
              <w:bottom w:val="single" w:sz="4" w:space="0" w:color="auto"/>
              <w:right w:val="single" w:sz="4" w:space="0" w:color="auto"/>
            </w:tcBorders>
            <w:vAlign w:val="center"/>
          </w:tcPr>
          <w:p w14:paraId="64416250" w14:textId="77777777" w:rsidR="008D3598" w:rsidRPr="00511330" w:rsidRDefault="008D3598" w:rsidP="00721566">
            <w:pPr>
              <w:ind w:right="-450"/>
              <w:jc w:val="center"/>
              <w:rPr>
                <w:rFonts w:asciiTheme="majorBidi" w:hAnsiTheme="majorBidi" w:cstheme="majorBidi"/>
                <w:sz w:val="20"/>
                <w:szCs w:val="20"/>
                <w:lang w:val="en-US"/>
              </w:rPr>
            </w:pPr>
            <w:r w:rsidRPr="00511330">
              <w:rPr>
                <w:rFonts w:asciiTheme="majorBidi" w:hAnsiTheme="majorBidi" w:cstheme="majorBidi"/>
                <w:sz w:val="20"/>
                <w:szCs w:val="20"/>
                <w:lang w:val="en-US"/>
              </w:rPr>
              <w:t>18</w:t>
            </w:r>
          </w:p>
        </w:tc>
      </w:tr>
      <w:tr w:rsidR="008D3598" w:rsidRPr="00511330" w14:paraId="64416256" w14:textId="77777777" w:rsidTr="009657C6">
        <w:trPr>
          <w:trHeight w:val="116"/>
        </w:trPr>
        <w:tc>
          <w:tcPr>
            <w:tcW w:w="360" w:type="dxa"/>
            <w:vMerge/>
            <w:tcBorders>
              <w:top w:val="single" w:sz="4" w:space="0" w:color="auto"/>
              <w:left w:val="single" w:sz="4" w:space="0" w:color="auto"/>
              <w:bottom w:val="single" w:sz="4" w:space="0" w:color="auto"/>
              <w:right w:val="single" w:sz="4" w:space="0" w:color="auto"/>
            </w:tcBorders>
            <w:vAlign w:val="center"/>
          </w:tcPr>
          <w:p w14:paraId="64416252" w14:textId="77777777" w:rsidR="008D3598" w:rsidRPr="00511330" w:rsidRDefault="008D3598" w:rsidP="00254ACF">
            <w:pPr>
              <w:ind w:right="-46"/>
              <w:jc w:val="center"/>
              <w:rPr>
                <w:rFonts w:asciiTheme="majorBidi" w:hAnsiTheme="majorBidi" w:cstheme="majorBidi"/>
                <w:sz w:val="20"/>
                <w:szCs w:val="20"/>
                <w:lang w:val="en-US"/>
              </w:rPr>
            </w:pPr>
          </w:p>
        </w:tc>
        <w:tc>
          <w:tcPr>
            <w:tcW w:w="2610" w:type="dxa"/>
            <w:vMerge/>
            <w:tcBorders>
              <w:top w:val="single" w:sz="4" w:space="0" w:color="auto"/>
              <w:left w:val="single" w:sz="4" w:space="0" w:color="auto"/>
              <w:bottom w:val="single" w:sz="4" w:space="0" w:color="auto"/>
              <w:right w:val="single" w:sz="4" w:space="0" w:color="auto"/>
            </w:tcBorders>
          </w:tcPr>
          <w:p w14:paraId="64416253" w14:textId="77777777" w:rsidR="008D3598" w:rsidRPr="00511330" w:rsidRDefault="008D3598" w:rsidP="00254ACF">
            <w:pPr>
              <w:ind w:right="-108"/>
              <w:jc w:val="center"/>
              <w:rPr>
                <w:rFonts w:asciiTheme="majorBidi" w:hAnsiTheme="majorBidi" w:cstheme="majorBidi"/>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center"/>
          </w:tcPr>
          <w:p w14:paraId="64416254" w14:textId="77777777" w:rsidR="008D3598" w:rsidRPr="00511330" w:rsidRDefault="008D3598" w:rsidP="00254ACF">
            <w:pPr>
              <w:ind w:right="162"/>
              <w:rPr>
                <w:rFonts w:asciiTheme="majorBidi" w:hAnsiTheme="majorBidi" w:cstheme="majorBidi"/>
                <w:sz w:val="20"/>
                <w:szCs w:val="20"/>
                <w:lang w:val="en-US"/>
              </w:rPr>
            </w:pPr>
            <w:r w:rsidRPr="00511330">
              <w:rPr>
                <w:rFonts w:asciiTheme="majorBidi" w:hAnsiTheme="majorBidi" w:cstheme="majorBidi"/>
                <w:sz w:val="20"/>
                <w:szCs w:val="20"/>
                <w:lang w:val="en-US"/>
              </w:rPr>
              <w:t>Engineers</w:t>
            </w:r>
          </w:p>
        </w:tc>
        <w:tc>
          <w:tcPr>
            <w:tcW w:w="1890" w:type="dxa"/>
            <w:tcBorders>
              <w:top w:val="single" w:sz="4" w:space="0" w:color="auto"/>
              <w:left w:val="single" w:sz="4" w:space="0" w:color="auto"/>
              <w:bottom w:val="single" w:sz="4" w:space="0" w:color="auto"/>
              <w:right w:val="single" w:sz="4" w:space="0" w:color="auto"/>
            </w:tcBorders>
            <w:vAlign w:val="center"/>
          </w:tcPr>
          <w:p w14:paraId="64416255" w14:textId="77777777" w:rsidR="008D3598" w:rsidRPr="00511330" w:rsidRDefault="008D3598" w:rsidP="00721566">
            <w:pPr>
              <w:ind w:right="-450"/>
              <w:jc w:val="center"/>
              <w:rPr>
                <w:rFonts w:asciiTheme="majorBidi" w:hAnsiTheme="majorBidi" w:cstheme="majorBidi"/>
                <w:sz w:val="20"/>
                <w:szCs w:val="20"/>
                <w:lang w:val="en-US"/>
              </w:rPr>
            </w:pPr>
            <w:r w:rsidRPr="00511330">
              <w:rPr>
                <w:rFonts w:asciiTheme="majorBidi" w:hAnsiTheme="majorBidi" w:cstheme="majorBidi"/>
                <w:sz w:val="20"/>
                <w:szCs w:val="20"/>
                <w:lang w:val="en-US"/>
              </w:rPr>
              <w:t>9</w:t>
            </w:r>
          </w:p>
        </w:tc>
      </w:tr>
      <w:tr w:rsidR="008D3598" w:rsidRPr="00511330" w14:paraId="6441625B" w14:textId="77777777" w:rsidTr="009657C6">
        <w:tc>
          <w:tcPr>
            <w:tcW w:w="360" w:type="dxa"/>
            <w:vMerge w:val="restart"/>
            <w:tcBorders>
              <w:top w:val="single" w:sz="4" w:space="0" w:color="auto"/>
              <w:left w:val="single" w:sz="4" w:space="0" w:color="auto"/>
              <w:bottom w:val="single" w:sz="4" w:space="0" w:color="auto"/>
              <w:right w:val="single" w:sz="4" w:space="0" w:color="auto"/>
            </w:tcBorders>
            <w:vAlign w:val="center"/>
          </w:tcPr>
          <w:p w14:paraId="64416257" w14:textId="77777777" w:rsidR="008D3598" w:rsidRPr="00511330" w:rsidRDefault="008D3598" w:rsidP="00254ACF">
            <w:pPr>
              <w:ind w:right="-46"/>
              <w:jc w:val="center"/>
              <w:rPr>
                <w:rFonts w:asciiTheme="majorBidi" w:hAnsiTheme="majorBidi" w:cstheme="majorBidi"/>
                <w:sz w:val="20"/>
                <w:szCs w:val="20"/>
                <w:lang w:val="en-US"/>
              </w:rPr>
            </w:pPr>
            <w:r w:rsidRPr="00511330">
              <w:rPr>
                <w:rFonts w:asciiTheme="majorBidi" w:hAnsiTheme="majorBidi" w:cstheme="majorBidi"/>
                <w:sz w:val="20"/>
                <w:szCs w:val="20"/>
                <w:lang w:val="en-US"/>
              </w:rPr>
              <w:t>3</w:t>
            </w:r>
          </w:p>
        </w:tc>
        <w:tc>
          <w:tcPr>
            <w:tcW w:w="2610" w:type="dxa"/>
            <w:vMerge w:val="restart"/>
            <w:tcBorders>
              <w:top w:val="single" w:sz="4" w:space="0" w:color="auto"/>
              <w:left w:val="single" w:sz="4" w:space="0" w:color="auto"/>
              <w:bottom w:val="single" w:sz="4" w:space="0" w:color="auto"/>
              <w:right w:val="single" w:sz="4" w:space="0" w:color="auto"/>
            </w:tcBorders>
            <w:vAlign w:val="center"/>
          </w:tcPr>
          <w:p w14:paraId="64416258" w14:textId="77777777" w:rsidR="008D3598" w:rsidRPr="00511330" w:rsidRDefault="008D3598" w:rsidP="00254ACF">
            <w:pPr>
              <w:ind w:right="-108"/>
              <w:jc w:val="both"/>
              <w:rPr>
                <w:rFonts w:asciiTheme="majorBidi" w:hAnsiTheme="majorBidi" w:cstheme="majorBidi"/>
                <w:sz w:val="20"/>
                <w:szCs w:val="20"/>
                <w:lang w:val="en-US"/>
              </w:rPr>
            </w:pPr>
            <w:r w:rsidRPr="00511330">
              <w:rPr>
                <w:rFonts w:asciiTheme="majorBidi" w:hAnsiTheme="majorBidi" w:cstheme="majorBidi"/>
                <w:sz w:val="20"/>
                <w:szCs w:val="20"/>
                <w:lang w:val="en-US"/>
              </w:rPr>
              <w:t>Customers</w:t>
            </w:r>
          </w:p>
        </w:tc>
        <w:tc>
          <w:tcPr>
            <w:tcW w:w="2970" w:type="dxa"/>
            <w:tcBorders>
              <w:top w:val="single" w:sz="4" w:space="0" w:color="auto"/>
              <w:left w:val="single" w:sz="4" w:space="0" w:color="auto"/>
              <w:bottom w:val="single" w:sz="4" w:space="0" w:color="auto"/>
              <w:right w:val="single" w:sz="4" w:space="0" w:color="auto"/>
            </w:tcBorders>
          </w:tcPr>
          <w:p w14:paraId="64416259" w14:textId="77777777" w:rsidR="008D3598" w:rsidRPr="00511330" w:rsidRDefault="008D3598" w:rsidP="00254ACF">
            <w:pPr>
              <w:ind w:right="162"/>
              <w:rPr>
                <w:rFonts w:asciiTheme="majorBidi" w:hAnsiTheme="majorBidi" w:cstheme="majorBidi"/>
                <w:sz w:val="20"/>
                <w:szCs w:val="20"/>
                <w:lang w:val="en-US"/>
              </w:rPr>
            </w:pPr>
            <w:r w:rsidRPr="00511330">
              <w:rPr>
                <w:rFonts w:asciiTheme="majorBidi" w:hAnsiTheme="majorBidi" w:cstheme="majorBidi"/>
                <w:sz w:val="20"/>
                <w:szCs w:val="20"/>
                <w:lang w:val="en-US"/>
              </w:rPr>
              <w:t xml:space="preserve">Residential </w:t>
            </w:r>
          </w:p>
        </w:tc>
        <w:tc>
          <w:tcPr>
            <w:tcW w:w="1890" w:type="dxa"/>
            <w:tcBorders>
              <w:top w:val="single" w:sz="4" w:space="0" w:color="auto"/>
              <w:left w:val="single" w:sz="4" w:space="0" w:color="auto"/>
              <w:bottom w:val="single" w:sz="4" w:space="0" w:color="auto"/>
              <w:right w:val="single" w:sz="4" w:space="0" w:color="auto"/>
            </w:tcBorders>
            <w:vAlign w:val="center"/>
          </w:tcPr>
          <w:p w14:paraId="6441625A" w14:textId="77777777" w:rsidR="008D3598" w:rsidRPr="00511330" w:rsidRDefault="008D3598" w:rsidP="00721566">
            <w:pPr>
              <w:ind w:right="-450"/>
              <w:jc w:val="center"/>
              <w:rPr>
                <w:rFonts w:asciiTheme="majorBidi" w:hAnsiTheme="majorBidi" w:cstheme="majorBidi"/>
                <w:sz w:val="20"/>
                <w:szCs w:val="20"/>
                <w:lang w:val="en-US"/>
              </w:rPr>
            </w:pPr>
            <w:r w:rsidRPr="00511330">
              <w:rPr>
                <w:rFonts w:asciiTheme="majorBidi" w:hAnsiTheme="majorBidi" w:cstheme="majorBidi"/>
                <w:sz w:val="20"/>
                <w:szCs w:val="20"/>
                <w:lang w:val="en-US"/>
              </w:rPr>
              <w:t>15</w:t>
            </w:r>
          </w:p>
        </w:tc>
      </w:tr>
      <w:tr w:rsidR="008D3598" w:rsidRPr="00511330" w14:paraId="64416260" w14:textId="77777777" w:rsidTr="009657C6">
        <w:tc>
          <w:tcPr>
            <w:tcW w:w="360" w:type="dxa"/>
            <w:vMerge/>
            <w:tcBorders>
              <w:top w:val="single" w:sz="4" w:space="0" w:color="auto"/>
              <w:left w:val="single" w:sz="4" w:space="0" w:color="auto"/>
              <w:bottom w:val="single" w:sz="4" w:space="0" w:color="auto"/>
              <w:right w:val="single" w:sz="4" w:space="0" w:color="auto"/>
            </w:tcBorders>
          </w:tcPr>
          <w:p w14:paraId="6441625C" w14:textId="77777777" w:rsidR="008D3598" w:rsidRPr="00511330" w:rsidRDefault="008D3598" w:rsidP="00721566">
            <w:pPr>
              <w:ind w:right="-450"/>
              <w:jc w:val="both"/>
              <w:rPr>
                <w:rFonts w:asciiTheme="majorBidi" w:hAnsiTheme="majorBidi" w:cstheme="majorBidi"/>
                <w:b/>
                <w:bCs/>
                <w:sz w:val="20"/>
                <w:szCs w:val="20"/>
                <w:lang w:val="en-US"/>
              </w:rPr>
            </w:pPr>
          </w:p>
        </w:tc>
        <w:tc>
          <w:tcPr>
            <w:tcW w:w="2610" w:type="dxa"/>
            <w:vMerge/>
            <w:tcBorders>
              <w:top w:val="single" w:sz="4" w:space="0" w:color="auto"/>
              <w:left w:val="single" w:sz="4" w:space="0" w:color="auto"/>
              <w:bottom w:val="single" w:sz="4" w:space="0" w:color="auto"/>
              <w:right w:val="single" w:sz="4" w:space="0" w:color="auto"/>
            </w:tcBorders>
          </w:tcPr>
          <w:p w14:paraId="6441625D" w14:textId="77777777" w:rsidR="008D3598" w:rsidRPr="00511330" w:rsidRDefault="008D3598" w:rsidP="00721566">
            <w:pPr>
              <w:ind w:right="-450"/>
              <w:jc w:val="both"/>
              <w:rPr>
                <w:rFonts w:asciiTheme="majorBidi" w:hAnsiTheme="majorBidi" w:cstheme="majorBidi"/>
                <w:sz w:val="20"/>
                <w:szCs w:val="20"/>
                <w:lang w:val="en-US"/>
              </w:rPr>
            </w:pPr>
          </w:p>
        </w:tc>
        <w:tc>
          <w:tcPr>
            <w:tcW w:w="2970" w:type="dxa"/>
            <w:tcBorders>
              <w:top w:val="single" w:sz="4" w:space="0" w:color="auto"/>
              <w:left w:val="single" w:sz="4" w:space="0" w:color="auto"/>
              <w:bottom w:val="single" w:sz="4" w:space="0" w:color="auto"/>
              <w:right w:val="single" w:sz="4" w:space="0" w:color="auto"/>
            </w:tcBorders>
          </w:tcPr>
          <w:p w14:paraId="6441625E" w14:textId="77777777" w:rsidR="008D3598" w:rsidRPr="00511330" w:rsidRDefault="008D3598" w:rsidP="00254ACF">
            <w:pPr>
              <w:ind w:right="162"/>
              <w:rPr>
                <w:rFonts w:asciiTheme="majorBidi" w:hAnsiTheme="majorBidi" w:cstheme="majorBidi"/>
                <w:sz w:val="20"/>
                <w:szCs w:val="20"/>
                <w:lang w:val="en-US"/>
              </w:rPr>
            </w:pPr>
            <w:r w:rsidRPr="00511330">
              <w:rPr>
                <w:rFonts w:asciiTheme="majorBidi" w:hAnsiTheme="majorBidi" w:cstheme="majorBidi"/>
                <w:sz w:val="20"/>
                <w:szCs w:val="20"/>
                <w:lang w:val="en-US"/>
              </w:rPr>
              <w:t xml:space="preserve">Commercials </w:t>
            </w:r>
          </w:p>
        </w:tc>
        <w:tc>
          <w:tcPr>
            <w:tcW w:w="1890" w:type="dxa"/>
            <w:tcBorders>
              <w:top w:val="single" w:sz="4" w:space="0" w:color="auto"/>
              <w:left w:val="single" w:sz="4" w:space="0" w:color="auto"/>
              <w:bottom w:val="single" w:sz="4" w:space="0" w:color="auto"/>
              <w:right w:val="single" w:sz="4" w:space="0" w:color="auto"/>
            </w:tcBorders>
            <w:vAlign w:val="center"/>
          </w:tcPr>
          <w:p w14:paraId="6441625F" w14:textId="77777777" w:rsidR="008D3598" w:rsidRPr="00511330" w:rsidRDefault="008D3598" w:rsidP="00721566">
            <w:pPr>
              <w:ind w:right="-450"/>
              <w:jc w:val="center"/>
              <w:rPr>
                <w:rFonts w:asciiTheme="majorBidi" w:hAnsiTheme="majorBidi" w:cstheme="majorBidi"/>
                <w:sz w:val="20"/>
                <w:szCs w:val="20"/>
                <w:lang w:val="en-US"/>
              </w:rPr>
            </w:pPr>
            <w:r w:rsidRPr="00511330">
              <w:rPr>
                <w:rFonts w:asciiTheme="majorBidi" w:hAnsiTheme="majorBidi" w:cstheme="majorBidi"/>
                <w:sz w:val="20"/>
                <w:szCs w:val="20"/>
                <w:lang w:val="en-US"/>
              </w:rPr>
              <w:t>8</w:t>
            </w:r>
          </w:p>
        </w:tc>
      </w:tr>
      <w:tr w:rsidR="008D3598" w:rsidRPr="00511330" w14:paraId="64416265" w14:textId="77777777" w:rsidTr="009657C6">
        <w:tc>
          <w:tcPr>
            <w:tcW w:w="360" w:type="dxa"/>
            <w:vMerge/>
            <w:tcBorders>
              <w:top w:val="single" w:sz="4" w:space="0" w:color="auto"/>
              <w:left w:val="single" w:sz="4" w:space="0" w:color="auto"/>
              <w:bottom w:val="single" w:sz="4" w:space="0" w:color="auto"/>
              <w:right w:val="single" w:sz="4" w:space="0" w:color="auto"/>
            </w:tcBorders>
          </w:tcPr>
          <w:p w14:paraId="64416261" w14:textId="77777777" w:rsidR="008D3598" w:rsidRPr="00511330" w:rsidRDefault="008D3598" w:rsidP="00721566">
            <w:pPr>
              <w:spacing w:line="480" w:lineRule="auto"/>
              <w:ind w:right="-450"/>
              <w:jc w:val="both"/>
              <w:rPr>
                <w:rFonts w:asciiTheme="majorBidi" w:hAnsiTheme="majorBidi" w:cstheme="majorBidi"/>
                <w:b/>
                <w:bCs/>
                <w:sz w:val="20"/>
                <w:szCs w:val="20"/>
                <w:lang w:val="en-US"/>
              </w:rPr>
            </w:pPr>
          </w:p>
        </w:tc>
        <w:tc>
          <w:tcPr>
            <w:tcW w:w="2610" w:type="dxa"/>
            <w:vMerge/>
            <w:tcBorders>
              <w:top w:val="single" w:sz="4" w:space="0" w:color="auto"/>
              <w:left w:val="single" w:sz="4" w:space="0" w:color="auto"/>
              <w:bottom w:val="single" w:sz="4" w:space="0" w:color="auto"/>
              <w:right w:val="single" w:sz="4" w:space="0" w:color="auto"/>
            </w:tcBorders>
          </w:tcPr>
          <w:p w14:paraId="64416262" w14:textId="77777777" w:rsidR="008D3598" w:rsidRPr="00511330" w:rsidRDefault="008D3598" w:rsidP="00721566">
            <w:pPr>
              <w:ind w:right="-450"/>
              <w:jc w:val="both"/>
              <w:rPr>
                <w:rFonts w:asciiTheme="majorBidi" w:hAnsiTheme="majorBidi" w:cstheme="majorBidi"/>
                <w:sz w:val="20"/>
                <w:szCs w:val="20"/>
                <w:lang w:val="en-US"/>
              </w:rPr>
            </w:pPr>
          </w:p>
        </w:tc>
        <w:tc>
          <w:tcPr>
            <w:tcW w:w="2970" w:type="dxa"/>
            <w:tcBorders>
              <w:top w:val="single" w:sz="4" w:space="0" w:color="auto"/>
              <w:left w:val="single" w:sz="4" w:space="0" w:color="auto"/>
              <w:bottom w:val="single" w:sz="4" w:space="0" w:color="auto"/>
              <w:right w:val="single" w:sz="4" w:space="0" w:color="auto"/>
            </w:tcBorders>
          </w:tcPr>
          <w:p w14:paraId="64416263" w14:textId="77777777" w:rsidR="008D3598" w:rsidRPr="00511330" w:rsidRDefault="008D3598" w:rsidP="00254ACF">
            <w:pPr>
              <w:ind w:right="162"/>
              <w:rPr>
                <w:rFonts w:asciiTheme="majorBidi" w:hAnsiTheme="majorBidi" w:cstheme="majorBidi"/>
                <w:sz w:val="20"/>
                <w:szCs w:val="20"/>
                <w:lang w:val="en-US"/>
              </w:rPr>
            </w:pPr>
            <w:r w:rsidRPr="00511330">
              <w:rPr>
                <w:rFonts w:asciiTheme="majorBidi" w:hAnsiTheme="majorBidi" w:cstheme="majorBidi"/>
                <w:sz w:val="20"/>
                <w:szCs w:val="20"/>
                <w:lang w:val="en-US"/>
              </w:rPr>
              <w:t xml:space="preserve">Industrials </w:t>
            </w:r>
          </w:p>
        </w:tc>
        <w:tc>
          <w:tcPr>
            <w:tcW w:w="1890" w:type="dxa"/>
            <w:tcBorders>
              <w:top w:val="single" w:sz="4" w:space="0" w:color="auto"/>
              <w:left w:val="single" w:sz="4" w:space="0" w:color="auto"/>
              <w:bottom w:val="single" w:sz="4" w:space="0" w:color="auto"/>
              <w:right w:val="single" w:sz="4" w:space="0" w:color="auto"/>
            </w:tcBorders>
            <w:vAlign w:val="center"/>
          </w:tcPr>
          <w:p w14:paraId="64416264" w14:textId="77777777" w:rsidR="008D3598" w:rsidRPr="00511330" w:rsidRDefault="008D3598" w:rsidP="00721566">
            <w:pPr>
              <w:ind w:right="-450"/>
              <w:jc w:val="center"/>
              <w:rPr>
                <w:rFonts w:asciiTheme="majorBidi" w:hAnsiTheme="majorBidi" w:cstheme="majorBidi"/>
                <w:sz w:val="20"/>
                <w:szCs w:val="20"/>
                <w:lang w:val="en-US"/>
              </w:rPr>
            </w:pPr>
            <w:r w:rsidRPr="00511330">
              <w:rPr>
                <w:rFonts w:asciiTheme="majorBidi" w:hAnsiTheme="majorBidi" w:cstheme="majorBidi"/>
                <w:sz w:val="20"/>
                <w:szCs w:val="20"/>
                <w:lang w:val="en-US"/>
              </w:rPr>
              <w:t>3</w:t>
            </w:r>
          </w:p>
        </w:tc>
      </w:tr>
      <w:tr w:rsidR="008D3598" w:rsidRPr="00511330" w14:paraId="64416268" w14:textId="77777777" w:rsidTr="009657C6">
        <w:trPr>
          <w:trHeight w:val="251"/>
        </w:trPr>
        <w:tc>
          <w:tcPr>
            <w:tcW w:w="5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416266" w14:textId="77777777" w:rsidR="008D3598" w:rsidRPr="00511330" w:rsidRDefault="008D3598" w:rsidP="00721566">
            <w:pPr>
              <w:ind w:right="-450"/>
              <w:jc w:val="center"/>
              <w:rPr>
                <w:rFonts w:asciiTheme="majorBidi" w:hAnsiTheme="majorBidi" w:cstheme="majorBidi"/>
                <w:sz w:val="20"/>
                <w:szCs w:val="20"/>
                <w:lang w:val="en-US"/>
              </w:rPr>
            </w:pPr>
            <w:r w:rsidRPr="00511330">
              <w:rPr>
                <w:rFonts w:asciiTheme="majorBidi" w:hAnsiTheme="majorBidi" w:cstheme="majorBidi"/>
                <w:sz w:val="20"/>
                <w:szCs w:val="20"/>
                <w:lang w:val="en-US"/>
              </w:rPr>
              <w:t>Total No. of Interviews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4416267" w14:textId="77777777" w:rsidR="008D3598" w:rsidRPr="00511330" w:rsidRDefault="008D3598" w:rsidP="00721566">
            <w:pPr>
              <w:ind w:right="-450"/>
              <w:jc w:val="center"/>
              <w:rPr>
                <w:rFonts w:asciiTheme="majorBidi" w:hAnsiTheme="majorBidi" w:cstheme="majorBidi"/>
                <w:sz w:val="20"/>
                <w:szCs w:val="20"/>
                <w:lang w:val="en-US"/>
              </w:rPr>
            </w:pPr>
            <w:r w:rsidRPr="00511330">
              <w:rPr>
                <w:rFonts w:asciiTheme="majorBidi" w:hAnsiTheme="majorBidi" w:cstheme="majorBidi"/>
                <w:sz w:val="20"/>
                <w:szCs w:val="20"/>
                <w:lang w:val="en-US"/>
              </w:rPr>
              <w:t>75</w:t>
            </w:r>
          </w:p>
        </w:tc>
      </w:tr>
    </w:tbl>
    <w:p w14:paraId="6441626A" w14:textId="4527B7FB" w:rsidR="008D3598" w:rsidRPr="00511330" w:rsidRDefault="008D3598" w:rsidP="009657C6">
      <w:pPr>
        <w:spacing w:before="240"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Meanwhile, the government’s perspective of change was determined through six sources including the following: articles, newspapers, government annual strategy reports, and official websites, speeches, and magazines related to power producers. (</w:t>
      </w:r>
      <w:r w:rsidR="00AD754C" w:rsidRPr="00511330">
        <w:rPr>
          <w:rFonts w:asciiTheme="majorBidi" w:hAnsiTheme="majorBidi" w:cstheme="majorBidi"/>
          <w:sz w:val="24"/>
          <w:szCs w:val="24"/>
        </w:rPr>
        <w:t>McQueen, D. (2014)</w:t>
      </w:r>
      <w:r w:rsidRPr="00511330">
        <w:rPr>
          <w:rFonts w:asciiTheme="majorBidi" w:hAnsiTheme="majorBidi" w:cstheme="majorBidi"/>
          <w:sz w:val="24"/>
          <w:szCs w:val="24"/>
          <w:lang w:val="en-US"/>
        </w:rPr>
        <w:t xml:space="preserve">, MoEW, 2015, EWS-WWF 2018). </w:t>
      </w:r>
    </w:p>
    <w:p w14:paraId="6441626B" w14:textId="2C56268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In contrast, the data from the customers were collected from three major consumer categories: commercial, industrial, and residential. Three major consumers of electricity, such as a cement plant, sugar plant, and printing press, were interviewed. In addition, interviews included 15 residential customers, locals, and expatriate assorted owners of flats and villas. Lastly, eight interviews with commercial base customers covering both local companies and international organizations based in the UAE. Finally, the interviews included four major power producers, such as DEWA, ADWEA, FEWA and SEWA. The interviews were planned for a combination of administration and on-site engineering level employee</w:t>
      </w:r>
      <w:r w:rsidR="00DA4BDE"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The administration interviews were carried out in the headquarters of each organization. Meanwhile, the engineering level interviews took longer due to security restrictions entering power plants and solar plants. Each engineer was interviewed at site office and during working hours.</w:t>
      </w:r>
    </w:p>
    <w:p w14:paraId="6441626C" w14:textId="0010D852"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Each interview comprised of three parts. First, background information of each interviewee was collected in order to identify the stakeholder group and organizational level, which, in turn, commands the level of knowledge and experience possessed. Second, each variable was discussed in detail as well as how they interacted with different stakeholders’ perception</w:t>
      </w:r>
      <w:r w:rsidR="00DA4BDE"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Lastly, reflective and interpretative questions were raised, for example, “in your opinion what are the main enablers of CM?” and “what factors affects the organizational transformation to renewable energy” or “do you think change towards renewables requires government support financially and why”. “If we assume that enablers have been all activated and fully applied, would it stop people from resistance?” An effort was made not to interrupt information in order to allow them to talk freely and </w:t>
      </w:r>
      <w:r w:rsidRPr="00511330">
        <w:rPr>
          <w:rFonts w:asciiTheme="majorBidi" w:hAnsiTheme="majorBidi" w:cstheme="majorBidi"/>
          <w:sz w:val="24"/>
          <w:szCs w:val="24"/>
          <w:lang w:val="en-US"/>
        </w:rPr>
        <w:lastRenderedPageBreak/>
        <w:t xml:space="preserve">spontaneously to express their perspectives. All answers varied on the knowledge level received from the stakeholders. For example, vice presidents in the four governmental power producers were found to be subjective in the information given about </w:t>
      </w:r>
      <w:r w:rsidR="00461833"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projects and hurdles of the current process of renewable energy transformation. On the other hand, lower level hierarchy exhibited most of general information that tends to be more objective. </w:t>
      </w:r>
    </w:p>
    <w:p w14:paraId="6441626D" w14:textId="21477C03"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employee-based interviews were targeted to specific categories that suit this research based on the sections in touch with CM implementation for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The employees selected for interviews were premised on the hierarchical position; the interview started from top management followed by middle management and finally the engineers, who were said to have the know</w:t>
      </w:r>
      <w:r w:rsidR="00DA4BDE"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how about renewable energy. Furthermore, employees from different administration levels of front-line desks and customer relations were also interviewed. All selected personals were experienced and had a role in previous as well as current CM within their organizations.  Given the exploratory nature of the study, we exceeded the minimum criteria of 40 complete surveys in order to determine the sample size for the exploratory study (Al-Amor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Hussain, 2017). The content validity in exploratory research is derived during concept elicitation and is the measurement property that assesses whether or not outcomes are comprehensive and adequately reflect the phenomenon for the population of interest (Brod et al., 2014).  After data collection, commonality analysis is used as it provides with the common input from all participants in a canonical way (Frederick, 1999).</w:t>
      </w:r>
    </w:p>
    <w:p w14:paraId="709CD5D6" w14:textId="77777777" w:rsidR="00254ACF" w:rsidRPr="00511330" w:rsidRDefault="00254ACF" w:rsidP="00721566">
      <w:pPr>
        <w:spacing w:line="480" w:lineRule="auto"/>
        <w:ind w:right="-450"/>
        <w:jc w:val="both"/>
        <w:rPr>
          <w:rFonts w:asciiTheme="majorBidi" w:hAnsiTheme="majorBidi" w:cstheme="majorBidi"/>
          <w:sz w:val="24"/>
          <w:szCs w:val="24"/>
          <w:lang w:val="en-US"/>
        </w:rPr>
      </w:pPr>
    </w:p>
    <w:p w14:paraId="6441626E" w14:textId="77777777" w:rsidR="008D3598" w:rsidRPr="00511330" w:rsidRDefault="008D3598" w:rsidP="00721566">
      <w:pPr>
        <w:keepNext/>
        <w:keepLines/>
        <w:spacing w:before="200" w:after="0" w:line="360" w:lineRule="auto"/>
        <w:ind w:right="-450"/>
        <w:outlineLvl w:val="1"/>
        <w:rPr>
          <w:rFonts w:asciiTheme="majorBidi" w:eastAsiaTheme="majorEastAsia" w:hAnsiTheme="majorBidi" w:cstheme="majorBidi"/>
          <w:b/>
          <w:bCs/>
          <w:vanish/>
          <w:sz w:val="28"/>
          <w:szCs w:val="26"/>
          <w:lang w:val="en-US"/>
        </w:rPr>
      </w:pPr>
      <w:bookmarkStart w:id="569" w:name="_Toc32085821"/>
      <w:bookmarkStart w:id="570" w:name="_Toc32086006"/>
      <w:bookmarkStart w:id="571" w:name="_Toc32086193"/>
      <w:bookmarkStart w:id="572" w:name="_Toc32090330"/>
      <w:bookmarkStart w:id="573" w:name="_Toc32090660"/>
      <w:bookmarkStart w:id="574" w:name="_Toc32091576"/>
      <w:bookmarkStart w:id="575" w:name="_Toc32085822"/>
      <w:bookmarkStart w:id="576" w:name="_Toc32086007"/>
      <w:bookmarkStart w:id="577" w:name="_Toc32086194"/>
      <w:bookmarkStart w:id="578" w:name="_Toc32090331"/>
      <w:bookmarkStart w:id="579" w:name="_Toc32090661"/>
      <w:bookmarkStart w:id="580" w:name="_Toc32091577"/>
      <w:bookmarkStart w:id="581" w:name="_Toc32085823"/>
      <w:bookmarkStart w:id="582" w:name="_Toc32086008"/>
      <w:bookmarkStart w:id="583" w:name="_Toc32086195"/>
      <w:bookmarkStart w:id="584" w:name="_Toc32090332"/>
      <w:bookmarkStart w:id="585" w:name="_Toc32090662"/>
      <w:bookmarkStart w:id="586" w:name="_Toc32091578"/>
      <w:bookmarkStart w:id="587" w:name="_Toc32085824"/>
      <w:bookmarkStart w:id="588" w:name="_Toc32086009"/>
      <w:bookmarkStart w:id="589" w:name="_Toc32086196"/>
      <w:bookmarkStart w:id="590" w:name="_Toc32090333"/>
      <w:bookmarkStart w:id="591" w:name="_Toc32090663"/>
      <w:bookmarkStart w:id="592" w:name="_Toc32091579"/>
      <w:bookmarkStart w:id="593" w:name="_Toc32085825"/>
      <w:bookmarkStart w:id="594" w:name="_Toc32086010"/>
      <w:bookmarkStart w:id="595" w:name="_Toc32086197"/>
      <w:bookmarkStart w:id="596" w:name="_Toc32090334"/>
      <w:bookmarkStart w:id="597" w:name="_Toc32090664"/>
      <w:bookmarkStart w:id="598" w:name="_Toc32091580"/>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14:paraId="6441626F" w14:textId="35E4BD6C" w:rsidR="008D3598" w:rsidRPr="00511330" w:rsidRDefault="008D3598" w:rsidP="00EC3822">
      <w:pPr>
        <w:pStyle w:val="Heading2"/>
        <w:ind w:left="720" w:right="-450" w:hanging="720"/>
        <w:rPr>
          <w:lang w:val="en-US"/>
        </w:rPr>
      </w:pPr>
      <w:bookmarkStart w:id="599" w:name="_Toc43311630"/>
      <w:r w:rsidRPr="00511330">
        <w:rPr>
          <w:lang w:val="en-US"/>
        </w:rPr>
        <w:t>3.3.</w:t>
      </w:r>
      <w:r w:rsidR="00EC3822" w:rsidRPr="00511330">
        <w:rPr>
          <w:lang w:val="en-US"/>
        </w:rPr>
        <w:tab/>
      </w:r>
      <w:r w:rsidRPr="00511330">
        <w:rPr>
          <w:lang w:val="en-US"/>
        </w:rPr>
        <w:t xml:space="preserve"> Phase.2 (Quantitative) Survey</w:t>
      </w:r>
      <w:bookmarkEnd w:id="599"/>
    </w:p>
    <w:p w14:paraId="64416270" w14:textId="4F001B0F"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In t</w:t>
      </w:r>
      <w:r w:rsidRPr="00511330" w:rsidDel="00FC5183">
        <w:rPr>
          <w:rFonts w:asciiTheme="majorBidi" w:hAnsiTheme="majorBidi" w:cstheme="majorBidi"/>
          <w:sz w:val="24"/>
          <w:szCs w:val="24"/>
          <w:lang w:val="en-US"/>
        </w:rPr>
        <w:t xml:space="preserve">he </w:t>
      </w:r>
      <w:r w:rsidRPr="00511330">
        <w:rPr>
          <w:rFonts w:asciiTheme="majorBidi" w:hAnsiTheme="majorBidi" w:cstheme="majorBidi"/>
          <w:sz w:val="24"/>
          <w:szCs w:val="24"/>
          <w:lang w:val="en-US"/>
        </w:rPr>
        <w:t>second</w:t>
      </w:r>
      <w:r w:rsidRPr="00511330" w:rsidDel="00FC5183">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t xml:space="preserve">phase quantitative methodology was adapted to generate a pool of elements </w:t>
      </w:r>
      <w:r w:rsidRPr="00511330" w:rsidDel="00FC5183">
        <w:rPr>
          <w:rFonts w:asciiTheme="majorBidi" w:hAnsiTheme="majorBidi" w:cstheme="majorBidi"/>
          <w:sz w:val="24"/>
          <w:szCs w:val="24"/>
          <w:lang w:val="en-US"/>
        </w:rPr>
        <w:t>creat</w:t>
      </w:r>
      <w:r w:rsidRPr="00511330">
        <w:rPr>
          <w:rFonts w:asciiTheme="majorBidi" w:hAnsiTheme="majorBidi" w:cstheme="majorBidi"/>
          <w:sz w:val="24"/>
          <w:szCs w:val="24"/>
          <w:lang w:val="en-US"/>
        </w:rPr>
        <w:t>ing</w:t>
      </w:r>
      <w:r w:rsidRPr="00511330" w:rsidDel="00FC5183">
        <w:rPr>
          <w:rFonts w:asciiTheme="majorBidi" w:hAnsiTheme="majorBidi" w:cstheme="majorBidi"/>
          <w:sz w:val="24"/>
          <w:szCs w:val="24"/>
          <w:lang w:val="en-US"/>
        </w:rPr>
        <w:t xml:space="preserve"> a scale allow</w:t>
      </w:r>
      <w:r w:rsidRPr="00511330">
        <w:rPr>
          <w:rFonts w:asciiTheme="majorBidi" w:hAnsiTheme="majorBidi" w:cstheme="majorBidi"/>
          <w:sz w:val="24"/>
          <w:szCs w:val="24"/>
          <w:lang w:val="en-US"/>
        </w:rPr>
        <w:t xml:space="preserve">ing </w:t>
      </w:r>
      <w:r w:rsidRPr="00511330" w:rsidDel="00FC5183">
        <w:rPr>
          <w:rFonts w:asciiTheme="majorBidi" w:hAnsiTheme="majorBidi" w:cstheme="majorBidi"/>
          <w:sz w:val="24"/>
          <w:szCs w:val="24"/>
          <w:lang w:val="en-US"/>
        </w:rPr>
        <w:t>us to determin</w:t>
      </w:r>
      <w:r w:rsidRPr="00511330">
        <w:rPr>
          <w:rFonts w:asciiTheme="majorBidi" w:hAnsiTheme="majorBidi" w:cstheme="majorBidi"/>
          <w:sz w:val="24"/>
          <w:szCs w:val="24"/>
          <w:lang w:val="en-US"/>
        </w:rPr>
        <w:t>e</w:t>
      </w:r>
      <w:r w:rsidRPr="00511330" w:rsidDel="00FC5183">
        <w:rPr>
          <w:rFonts w:asciiTheme="majorBidi" w:hAnsiTheme="majorBidi" w:cstheme="majorBidi"/>
          <w:sz w:val="24"/>
          <w:szCs w:val="24"/>
          <w:lang w:val="en-US"/>
        </w:rPr>
        <w:t xml:space="preserve"> and then measure</w:t>
      </w:r>
      <w:r w:rsidRPr="00511330">
        <w:rPr>
          <w:rFonts w:asciiTheme="majorBidi" w:hAnsiTheme="majorBidi" w:cstheme="majorBidi"/>
          <w:sz w:val="24"/>
          <w:szCs w:val="24"/>
          <w:lang w:val="en-US"/>
        </w:rPr>
        <w:t xml:space="preserve"> the</w:t>
      </w:r>
      <w:r w:rsidRPr="00511330" w:rsidDel="00FC5183">
        <w:rPr>
          <w:rFonts w:asciiTheme="majorBidi" w:hAnsiTheme="majorBidi" w:cstheme="majorBidi"/>
          <w:sz w:val="24"/>
          <w:szCs w:val="24"/>
          <w:lang w:val="en-US"/>
        </w:rPr>
        <w:t xml:space="preserve"> major barriers to </w:t>
      </w:r>
      <w:r w:rsidRPr="00511330">
        <w:rPr>
          <w:rFonts w:asciiTheme="majorBidi" w:hAnsiTheme="majorBidi" w:cstheme="majorBidi"/>
          <w:sz w:val="24"/>
          <w:szCs w:val="24"/>
          <w:lang w:val="en-US"/>
        </w:rPr>
        <w:t>CM. Seventy-four questions were developed with 5 points Likert Scale, which was reviewed before being sent to two major stakeholders in the renewable energy sector. These stakeholders’ groups include management and employees from energy companies, and consumers. Only four</w:t>
      </w:r>
      <w:r w:rsidRPr="00511330" w:rsidDel="00FC5183">
        <w:rPr>
          <w:rFonts w:asciiTheme="majorBidi" w:hAnsiTheme="majorBidi" w:cstheme="majorBidi"/>
          <w:sz w:val="24"/>
          <w:szCs w:val="24"/>
          <w:lang w:val="en-US"/>
        </w:rPr>
        <w:t xml:space="preserve"> available renewable energy initiators and providers such as DEWA (Dubai Electricity and Water Authority), ADWEA (Abu Dhabi Electricity and Water Authority), SEWA (Sharjah Electricity and Water Authority) and FEWA (Federal Electricity and Water Authority)</w:t>
      </w:r>
      <w:r w:rsidRPr="00511330">
        <w:rPr>
          <w:rFonts w:asciiTheme="majorBidi" w:hAnsiTheme="majorBidi" w:cstheme="majorBidi"/>
          <w:sz w:val="24"/>
          <w:szCs w:val="24"/>
          <w:lang w:val="en-US"/>
        </w:rPr>
        <w:t xml:space="preserve"> were approached for the data collection. E</w:t>
      </w:r>
      <w:r w:rsidRPr="00511330" w:rsidDel="00FC5183">
        <w:rPr>
          <w:rFonts w:asciiTheme="majorBidi" w:hAnsiTheme="majorBidi" w:cstheme="majorBidi"/>
          <w:sz w:val="24"/>
          <w:szCs w:val="24"/>
          <w:lang w:val="en-US"/>
        </w:rPr>
        <w:t>mplo</w:t>
      </w:r>
      <w:r w:rsidRPr="00511330">
        <w:rPr>
          <w:rFonts w:asciiTheme="majorBidi" w:hAnsiTheme="majorBidi" w:cstheme="majorBidi"/>
          <w:sz w:val="24"/>
          <w:szCs w:val="24"/>
          <w:lang w:val="en-US"/>
        </w:rPr>
        <w:t>yees were divided into four</w:t>
      </w:r>
      <w:r w:rsidRPr="00511330" w:rsidDel="00FC5183">
        <w:rPr>
          <w:rFonts w:asciiTheme="majorBidi" w:hAnsiTheme="majorBidi" w:cstheme="majorBidi"/>
          <w:sz w:val="24"/>
          <w:szCs w:val="24"/>
          <w:lang w:val="en-US"/>
        </w:rPr>
        <w:t xml:space="preserve"> major categories such as top management, middle management</w:t>
      </w:r>
      <w:r w:rsidRPr="00511330">
        <w:rPr>
          <w:rFonts w:asciiTheme="majorBidi" w:hAnsiTheme="majorBidi" w:cstheme="majorBidi"/>
          <w:sz w:val="24"/>
          <w:szCs w:val="24"/>
          <w:lang w:val="en-US"/>
        </w:rPr>
        <w:t>, first</w:t>
      </w:r>
      <w:r w:rsidR="00DA4BDE"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line</w:t>
      </w:r>
      <w:r w:rsidRPr="00511330" w:rsidDel="00FC5183">
        <w:rPr>
          <w:rFonts w:asciiTheme="majorBidi" w:hAnsiTheme="majorBidi" w:cstheme="majorBidi"/>
          <w:sz w:val="24"/>
          <w:szCs w:val="24"/>
          <w:lang w:val="en-US"/>
        </w:rPr>
        <w:t xml:space="preserve"> management</w:t>
      </w:r>
      <w:r w:rsidRPr="00511330">
        <w:rPr>
          <w:rFonts w:asciiTheme="majorBidi" w:hAnsiTheme="majorBidi" w:cstheme="majorBidi"/>
          <w:sz w:val="24"/>
          <w:szCs w:val="24"/>
          <w:lang w:val="en-US"/>
        </w:rPr>
        <w:t xml:space="preserve"> and field employees</w:t>
      </w:r>
      <w:r w:rsidRPr="00511330" w:rsidDel="00FC5183">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w:t>
      </w:r>
      <w:r w:rsidRPr="00511330" w:rsidDel="00FC5183">
        <w:rPr>
          <w:rFonts w:asciiTheme="majorBidi" w:hAnsiTheme="majorBidi" w:cstheme="majorBidi"/>
          <w:sz w:val="24"/>
          <w:szCs w:val="24"/>
          <w:lang w:val="en-US"/>
        </w:rPr>
        <w:t>On consumer levels, they were categorized</w:t>
      </w:r>
      <w:r w:rsidRPr="00511330">
        <w:rPr>
          <w:rFonts w:asciiTheme="majorBidi" w:hAnsiTheme="majorBidi" w:cstheme="majorBidi"/>
          <w:sz w:val="24"/>
          <w:szCs w:val="24"/>
          <w:lang w:val="en-US"/>
        </w:rPr>
        <w:t xml:space="preserve"> into three</w:t>
      </w:r>
      <w:r w:rsidRPr="00511330" w:rsidDel="00FC5183">
        <w:rPr>
          <w:rFonts w:asciiTheme="majorBidi" w:hAnsiTheme="majorBidi" w:cstheme="majorBidi"/>
          <w:sz w:val="24"/>
          <w:szCs w:val="24"/>
          <w:lang w:val="en-US"/>
        </w:rPr>
        <w:t xml:space="preserve"> categories</w:t>
      </w:r>
      <w:r w:rsidRPr="00511330">
        <w:rPr>
          <w:rFonts w:asciiTheme="majorBidi" w:hAnsiTheme="majorBidi" w:cstheme="majorBidi"/>
          <w:sz w:val="24"/>
          <w:szCs w:val="24"/>
          <w:lang w:val="en-US"/>
        </w:rPr>
        <w:t>:</w:t>
      </w:r>
      <w:r w:rsidRPr="00511330" w:rsidDel="00FC5183">
        <w:rPr>
          <w:rFonts w:asciiTheme="majorBidi" w:hAnsiTheme="majorBidi" w:cstheme="majorBidi"/>
          <w:sz w:val="24"/>
          <w:szCs w:val="24"/>
          <w:lang w:val="en-US"/>
        </w:rPr>
        <w:t xml:space="preserve"> residential, industrial and commercial entities that </w:t>
      </w:r>
      <w:r w:rsidRPr="00511330">
        <w:rPr>
          <w:rFonts w:asciiTheme="majorBidi" w:hAnsiTheme="majorBidi" w:cstheme="majorBidi"/>
          <w:sz w:val="24"/>
          <w:szCs w:val="24"/>
          <w:lang w:val="en-US"/>
        </w:rPr>
        <w:t>have adopted</w:t>
      </w:r>
      <w:r w:rsidRPr="00511330" w:rsidDel="00FC5183">
        <w:rPr>
          <w:rFonts w:asciiTheme="majorBidi" w:hAnsiTheme="majorBidi" w:cstheme="majorBidi"/>
          <w:sz w:val="24"/>
          <w:szCs w:val="24"/>
          <w:lang w:val="en-US"/>
        </w:rPr>
        <w:t xml:space="preserve"> renew</w:t>
      </w:r>
      <w:r w:rsidRPr="00511330">
        <w:rPr>
          <w:rFonts w:asciiTheme="majorBidi" w:hAnsiTheme="majorBidi" w:cstheme="majorBidi"/>
          <w:sz w:val="24"/>
          <w:szCs w:val="24"/>
          <w:lang w:val="en-US"/>
        </w:rPr>
        <w:t>able energy.  A total of</w:t>
      </w:r>
      <w:r w:rsidRPr="00511330" w:rsidDel="00FC5183">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t>500 respondents among all stakeholders were equally selected and reached out with the questionnaire through survey monkey and finally 354</w:t>
      </w:r>
      <w:r w:rsidRPr="00511330" w:rsidDel="00FC5183">
        <w:rPr>
          <w:rFonts w:asciiTheme="majorBidi" w:hAnsiTheme="majorBidi" w:cstheme="majorBidi"/>
          <w:sz w:val="24"/>
          <w:szCs w:val="24"/>
          <w:lang w:val="en-US"/>
        </w:rPr>
        <w:t xml:space="preserve"> </w:t>
      </w:r>
      <w:r w:rsidRPr="00511330">
        <w:rPr>
          <w:rFonts w:asciiTheme="majorBidi" w:hAnsiTheme="majorBidi" w:cstheme="majorBidi"/>
          <w:sz w:val="24"/>
          <w:szCs w:val="24"/>
          <w:lang w:val="en-US"/>
        </w:rPr>
        <w:t xml:space="preserve">complete </w:t>
      </w:r>
      <w:r w:rsidRPr="00511330" w:rsidDel="00FC5183">
        <w:rPr>
          <w:rFonts w:asciiTheme="majorBidi" w:hAnsiTheme="majorBidi" w:cstheme="majorBidi"/>
          <w:sz w:val="24"/>
          <w:szCs w:val="24"/>
          <w:lang w:val="en-US"/>
        </w:rPr>
        <w:t xml:space="preserve">responses </w:t>
      </w:r>
      <w:r w:rsidRPr="00511330">
        <w:rPr>
          <w:rFonts w:asciiTheme="majorBidi" w:hAnsiTheme="majorBidi" w:cstheme="majorBidi"/>
          <w:sz w:val="24"/>
          <w:szCs w:val="24"/>
          <w:lang w:val="en-US"/>
        </w:rPr>
        <w:t>were returned successfully</w:t>
      </w:r>
      <w:r w:rsidRPr="00511330" w:rsidDel="00FC5183">
        <w:rPr>
          <w:rFonts w:asciiTheme="majorBidi" w:hAnsiTheme="majorBidi" w:cstheme="majorBidi"/>
          <w:sz w:val="24"/>
          <w:szCs w:val="24"/>
          <w:lang w:val="en-US"/>
        </w:rPr>
        <w:t xml:space="preserve">. </w:t>
      </w:r>
    </w:p>
    <w:p w14:paraId="64416271" w14:textId="14905177" w:rsidR="008D3598" w:rsidRPr="00511330" w:rsidRDefault="008D3598" w:rsidP="009657C6">
      <w:pPr>
        <w:pStyle w:val="Caption"/>
        <w:keepNext/>
        <w:spacing w:after="0"/>
        <w:ind w:right="-450"/>
        <w:rPr>
          <w:rFonts w:asciiTheme="majorBidi" w:hAnsiTheme="majorBidi" w:cstheme="majorBidi"/>
          <w:color w:val="auto"/>
          <w:sz w:val="20"/>
          <w:szCs w:val="20"/>
          <w:lang w:val="en-US"/>
        </w:rPr>
      </w:pPr>
      <w:bookmarkStart w:id="600" w:name="_Toc43310883"/>
      <w:r w:rsidRPr="00511330">
        <w:rPr>
          <w:rFonts w:asciiTheme="majorBidi" w:hAnsiTheme="majorBidi" w:cstheme="majorBidi"/>
          <w:b w:val="0"/>
          <w:bCs w:val="0"/>
          <w:color w:val="auto"/>
          <w:sz w:val="20"/>
          <w:szCs w:val="20"/>
          <w:lang w:val="en-US"/>
        </w:rPr>
        <w:t xml:space="preserve">Table 3.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Table_3.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2</w:t>
      </w:r>
      <w:r w:rsidRPr="00511330">
        <w:rPr>
          <w:rFonts w:asciiTheme="majorBidi" w:hAnsiTheme="majorBidi" w:cstheme="majorBidi"/>
          <w:b w:val="0"/>
          <w:bCs w:val="0"/>
          <w:color w:val="auto"/>
          <w:sz w:val="20"/>
          <w:szCs w:val="20"/>
          <w:lang w:val="en-US"/>
        </w:rPr>
        <w:fldChar w:fldCharType="end"/>
      </w:r>
      <w:r w:rsidR="009657C6" w:rsidRPr="00511330">
        <w:rPr>
          <w:rFonts w:asciiTheme="majorBidi" w:hAnsiTheme="majorBidi" w:cstheme="majorBidi"/>
          <w:b w:val="0"/>
          <w:bCs w:val="0"/>
          <w:color w:val="auto"/>
          <w:sz w:val="20"/>
          <w:szCs w:val="20"/>
          <w:lang w:val="en-US"/>
        </w:rPr>
        <w:t>:</w:t>
      </w:r>
      <w:r w:rsidRPr="00511330">
        <w:rPr>
          <w:rFonts w:asciiTheme="majorBidi" w:hAnsiTheme="majorBidi" w:cstheme="majorBidi"/>
          <w:color w:val="auto"/>
          <w:sz w:val="20"/>
          <w:szCs w:val="20"/>
          <w:lang w:val="en-US"/>
        </w:rPr>
        <w:t xml:space="preserve"> </w:t>
      </w:r>
      <w:r w:rsidRPr="00511330">
        <w:rPr>
          <w:rFonts w:asciiTheme="majorBidi" w:hAnsiTheme="majorBidi" w:cstheme="majorBidi"/>
          <w:b w:val="0"/>
          <w:bCs w:val="0"/>
          <w:i/>
          <w:iCs/>
          <w:color w:val="auto"/>
          <w:sz w:val="20"/>
          <w:szCs w:val="20"/>
          <w:lang w:val="en-US"/>
        </w:rPr>
        <w:t>Demography of the study Sample</w:t>
      </w:r>
      <w:bookmarkEnd w:id="600"/>
    </w:p>
    <w:tbl>
      <w:tblPr>
        <w:tblStyle w:val="TableGrid"/>
        <w:tblW w:w="7915" w:type="dxa"/>
        <w:tblLook w:val="04A0" w:firstRow="1" w:lastRow="0" w:firstColumn="1" w:lastColumn="0" w:noHBand="0" w:noVBand="1"/>
      </w:tblPr>
      <w:tblGrid>
        <w:gridCol w:w="2527"/>
        <w:gridCol w:w="2418"/>
        <w:gridCol w:w="1260"/>
        <w:gridCol w:w="1710"/>
      </w:tblGrid>
      <w:tr w:rsidR="008D3598" w:rsidRPr="00511330" w14:paraId="64416276" w14:textId="77777777" w:rsidTr="005C319B">
        <w:trPr>
          <w:trHeight w:val="350"/>
        </w:trPr>
        <w:tc>
          <w:tcPr>
            <w:tcW w:w="2527" w:type="dxa"/>
            <w:shd w:val="clear" w:color="auto" w:fill="F2F2F2" w:themeFill="background1" w:themeFillShade="F2"/>
          </w:tcPr>
          <w:p w14:paraId="64416272" w14:textId="77777777" w:rsidR="008D3598" w:rsidRPr="00511330" w:rsidRDefault="008D3598" w:rsidP="00ED6132">
            <w:pPr>
              <w:tabs>
                <w:tab w:val="left" w:pos="1687"/>
              </w:tabs>
              <w:ind w:right="177"/>
              <w:rPr>
                <w:rFonts w:asciiTheme="majorBidi" w:hAnsiTheme="majorBidi" w:cstheme="majorBidi"/>
                <w:sz w:val="20"/>
                <w:szCs w:val="20"/>
                <w:lang w:val="en-US"/>
              </w:rPr>
            </w:pPr>
            <w:r w:rsidRPr="00511330">
              <w:rPr>
                <w:rFonts w:asciiTheme="majorBidi" w:hAnsiTheme="majorBidi" w:cstheme="majorBidi"/>
                <w:sz w:val="20"/>
                <w:szCs w:val="20"/>
                <w:lang w:val="en-US"/>
              </w:rPr>
              <w:t>Attribute/stakeholders</w:t>
            </w:r>
          </w:p>
        </w:tc>
        <w:tc>
          <w:tcPr>
            <w:tcW w:w="2418" w:type="dxa"/>
            <w:shd w:val="clear" w:color="auto" w:fill="F2F2F2" w:themeFill="background1" w:themeFillShade="F2"/>
          </w:tcPr>
          <w:p w14:paraId="64416273" w14:textId="77777777" w:rsidR="008D3598" w:rsidRPr="00511330" w:rsidRDefault="008D3598" w:rsidP="00ED6132">
            <w:pPr>
              <w:rPr>
                <w:rFonts w:asciiTheme="majorBidi" w:hAnsiTheme="majorBidi" w:cstheme="majorBidi"/>
                <w:sz w:val="20"/>
                <w:szCs w:val="20"/>
                <w:lang w:val="en-US"/>
              </w:rPr>
            </w:pPr>
            <w:r w:rsidRPr="00511330">
              <w:rPr>
                <w:rFonts w:asciiTheme="majorBidi" w:hAnsiTheme="majorBidi" w:cstheme="majorBidi"/>
                <w:sz w:val="20"/>
                <w:szCs w:val="20"/>
                <w:lang w:val="en-US"/>
              </w:rPr>
              <w:t>Category</w:t>
            </w:r>
          </w:p>
        </w:tc>
        <w:tc>
          <w:tcPr>
            <w:tcW w:w="1260" w:type="dxa"/>
            <w:shd w:val="clear" w:color="auto" w:fill="F2F2F2" w:themeFill="background1" w:themeFillShade="F2"/>
          </w:tcPr>
          <w:p w14:paraId="64416274" w14:textId="77777777" w:rsidR="008D3598" w:rsidRPr="00511330" w:rsidRDefault="008D3598" w:rsidP="00ED6132">
            <w:pPr>
              <w:ind w:right="-190"/>
              <w:rPr>
                <w:rFonts w:asciiTheme="majorBidi" w:hAnsiTheme="majorBidi" w:cstheme="majorBidi"/>
                <w:sz w:val="20"/>
                <w:szCs w:val="20"/>
                <w:lang w:val="en-US"/>
              </w:rPr>
            </w:pPr>
            <w:r w:rsidRPr="00511330">
              <w:rPr>
                <w:rFonts w:asciiTheme="majorBidi" w:hAnsiTheme="majorBidi" w:cstheme="majorBidi"/>
                <w:sz w:val="20"/>
                <w:szCs w:val="20"/>
                <w:lang w:val="en-US"/>
              </w:rPr>
              <w:t>Responses</w:t>
            </w:r>
          </w:p>
        </w:tc>
        <w:tc>
          <w:tcPr>
            <w:tcW w:w="1710" w:type="dxa"/>
            <w:shd w:val="clear" w:color="auto" w:fill="F2F2F2" w:themeFill="background1" w:themeFillShade="F2"/>
          </w:tcPr>
          <w:p w14:paraId="64416275" w14:textId="77777777" w:rsidR="008D3598" w:rsidRPr="00511330" w:rsidRDefault="008D3598" w:rsidP="00ED6132">
            <w:pPr>
              <w:ind w:right="-199"/>
              <w:rPr>
                <w:rFonts w:asciiTheme="majorBidi" w:hAnsiTheme="majorBidi" w:cstheme="majorBidi"/>
                <w:sz w:val="20"/>
                <w:szCs w:val="20"/>
                <w:lang w:val="en-US"/>
              </w:rPr>
            </w:pPr>
            <w:r w:rsidRPr="00511330">
              <w:rPr>
                <w:rFonts w:asciiTheme="majorBidi" w:hAnsiTheme="majorBidi" w:cstheme="majorBidi"/>
                <w:sz w:val="20"/>
                <w:szCs w:val="20"/>
                <w:lang w:val="en-US"/>
              </w:rPr>
              <w:t>Percentage %</w:t>
            </w:r>
          </w:p>
        </w:tc>
      </w:tr>
      <w:tr w:rsidR="008D3598" w:rsidRPr="00511330" w14:paraId="6441627C" w14:textId="77777777" w:rsidTr="005C319B">
        <w:tc>
          <w:tcPr>
            <w:tcW w:w="2527" w:type="dxa"/>
            <w:vMerge w:val="restart"/>
            <w:shd w:val="clear" w:color="auto" w:fill="auto"/>
            <w:vAlign w:val="center"/>
          </w:tcPr>
          <w:p w14:paraId="64416277"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r w:rsidRPr="00511330">
              <w:rPr>
                <w:rFonts w:asciiTheme="majorBidi" w:hAnsiTheme="majorBidi" w:cstheme="majorBidi"/>
                <w:sz w:val="20"/>
                <w:szCs w:val="20"/>
                <w:lang w:val="en-US"/>
              </w:rPr>
              <w:t>Organization</w:t>
            </w:r>
          </w:p>
          <w:p w14:paraId="64416278"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79" w14:textId="77777777" w:rsidR="008D3598" w:rsidRPr="00511330" w:rsidRDefault="008D3598" w:rsidP="00ED6132">
            <w:pPr>
              <w:rPr>
                <w:rFonts w:asciiTheme="majorBidi" w:hAnsiTheme="majorBidi" w:cstheme="majorBidi"/>
                <w:sz w:val="20"/>
                <w:szCs w:val="20"/>
                <w:lang w:val="en-US"/>
              </w:rPr>
            </w:pPr>
            <w:r w:rsidRPr="00511330">
              <w:rPr>
                <w:rFonts w:asciiTheme="majorBidi" w:hAnsiTheme="majorBidi" w:cstheme="majorBidi"/>
                <w:sz w:val="20"/>
                <w:szCs w:val="20"/>
                <w:lang w:val="en-US"/>
              </w:rPr>
              <w:t>ADWEA</w:t>
            </w:r>
          </w:p>
        </w:tc>
        <w:tc>
          <w:tcPr>
            <w:tcW w:w="1260" w:type="dxa"/>
            <w:shd w:val="clear" w:color="auto" w:fill="auto"/>
          </w:tcPr>
          <w:p w14:paraId="6441627A" w14:textId="77777777" w:rsidR="008D3598" w:rsidRPr="00511330" w:rsidRDefault="008D3598" w:rsidP="00ED6132">
            <w:pPr>
              <w:ind w:right="-190"/>
              <w:jc w:val="center"/>
              <w:rPr>
                <w:rFonts w:asciiTheme="majorBidi" w:hAnsiTheme="majorBidi" w:cstheme="majorBidi"/>
                <w:sz w:val="20"/>
                <w:szCs w:val="20"/>
                <w:lang w:val="en-US"/>
              </w:rPr>
            </w:pPr>
            <w:r w:rsidRPr="00511330">
              <w:rPr>
                <w:rFonts w:asciiTheme="majorBidi" w:hAnsiTheme="majorBidi" w:cstheme="majorBidi"/>
                <w:sz w:val="20"/>
                <w:szCs w:val="20"/>
                <w:lang w:val="en-US"/>
              </w:rPr>
              <w:t>111</w:t>
            </w:r>
          </w:p>
        </w:tc>
        <w:tc>
          <w:tcPr>
            <w:tcW w:w="1710" w:type="dxa"/>
            <w:shd w:val="clear" w:color="auto" w:fill="auto"/>
          </w:tcPr>
          <w:p w14:paraId="6441627B" w14:textId="77777777" w:rsidR="008D3598" w:rsidRPr="00511330" w:rsidRDefault="008D3598" w:rsidP="00ED6132">
            <w:pPr>
              <w:ind w:right="-199"/>
              <w:jc w:val="center"/>
              <w:rPr>
                <w:rFonts w:asciiTheme="majorBidi" w:hAnsiTheme="majorBidi" w:cstheme="majorBidi"/>
                <w:sz w:val="20"/>
                <w:szCs w:val="20"/>
                <w:lang w:val="en-US"/>
              </w:rPr>
            </w:pPr>
            <w:r w:rsidRPr="00511330">
              <w:rPr>
                <w:rFonts w:asciiTheme="majorBidi" w:hAnsiTheme="majorBidi" w:cstheme="majorBidi"/>
                <w:sz w:val="20"/>
                <w:szCs w:val="20"/>
                <w:lang w:val="en-US"/>
              </w:rPr>
              <w:t>31%</w:t>
            </w:r>
          </w:p>
        </w:tc>
      </w:tr>
      <w:tr w:rsidR="008D3598" w:rsidRPr="00511330" w14:paraId="64416281" w14:textId="77777777" w:rsidTr="005C319B">
        <w:tc>
          <w:tcPr>
            <w:tcW w:w="2527" w:type="dxa"/>
            <w:vMerge/>
            <w:shd w:val="clear" w:color="auto" w:fill="auto"/>
            <w:vAlign w:val="center"/>
          </w:tcPr>
          <w:p w14:paraId="6441627D"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7E" w14:textId="77777777" w:rsidR="008D3598" w:rsidRPr="00511330" w:rsidRDefault="008D3598" w:rsidP="00ED6132">
            <w:pPr>
              <w:rPr>
                <w:rFonts w:asciiTheme="majorBidi" w:hAnsiTheme="majorBidi" w:cstheme="majorBidi"/>
                <w:sz w:val="20"/>
                <w:szCs w:val="20"/>
                <w:lang w:val="en-US"/>
              </w:rPr>
            </w:pPr>
            <w:r w:rsidRPr="00511330">
              <w:rPr>
                <w:rFonts w:asciiTheme="majorBidi" w:hAnsiTheme="majorBidi" w:cstheme="majorBidi"/>
                <w:sz w:val="20"/>
                <w:szCs w:val="20"/>
                <w:lang w:val="en-US"/>
              </w:rPr>
              <w:t>DEWA</w:t>
            </w:r>
          </w:p>
        </w:tc>
        <w:tc>
          <w:tcPr>
            <w:tcW w:w="1260" w:type="dxa"/>
            <w:shd w:val="clear" w:color="auto" w:fill="auto"/>
          </w:tcPr>
          <w:p w14:paraId="6441627F" w14:textId="77777777" w:rsidR="008D3598" w:rsidRPr="00511330" w:rsidRDefault="008D3598" w:rsidP="00ED6132">
            <w:pPr>
              <w:ind w:right="-190"/>
              <w:jc w:val="center"/>
              <w:rPr>
                <w:rFonts w:asciiTheme="majorBidi" w:hAnsiTheme="majorBidi" w:cstheme="majorBidi"/>
                <w:sz w:val="20"/>
                <w:szCs w:val="20"/>
                <w:lang w:val="en-US"/>
              </w:rPr>
            </w:pPr>
            <w:r w:rsidRPr="00511330">
              <w:rPr>
                <w:rFonts w:asciiTheme="majorBidi" w:hAnsiTheme="majorBidi" w:cstheme="majorBidi"/>
                <w:sz w:val="20"/>
                <w:szCs w:val="20"/>
                <w:lang w:val="en-US"/>
              </w:rPr>
              <w:t>113</w:t>
            </w:r>
          </w:p>
        </w:tc>
        <w:tc>
          <w:tcPr>
            <w:tcW w:w="1710" w:type="dxa"/>
            <w:shd w:val="clear" w:color="auto" w:fill="auto"/>
          </w:tcPr>
          <w:p w14:paraId="64416280" w14:textId="77777777" w:rsidR="008D3598" w:rsidRPr="00511330" w:rsidRDefault="008D3598" w:rsidP="00ED6132">
            <w:pPr>
              <w:ind w:right="-199"/>
              <w:jc w:val="center"/>
              <w:rPr>
                <w:rFonts w:asciiTheme="majorBidi" w:hAnsiTheme="majorBidi" w:cstheme="majorBidi"/>
                <w:sz w:val="20"/>
                <w:szCs w:val="20"/>
                <w:lang w:val="en-US"/>
              </w:rPr>
            </w:pPr>
            <w:r w:rsidRPr="00511330">
              <w:rPr>
                <w:rFonts w:asciiTheme="majorBidi" w:hAnsiTheme="majorBidi" w:cstheme="majorBidi"/>
                <w:sz w:val="20"/>
                <w:szCs w:val="20"/>
                <w:lang w:val="en-US"/>
              </w:rPr>
              <w:t>31.9%</w:t>
            </w:r>
          </w:p>
        </w:tc>
      </w:tr>
      <w:tr w:rsidR="008D3598" w:rsidRPr="00511330" w14:paraId="64416286" w14:textId="77777777" w:rsidTr="005C319B">
        <w:tc>
          <w:tcPr>
            <w:tcW w:w="2527" w:type="dxa"/>
            <w:vMerge/>
            <w:shd w:val="clear" w:color="auto" w:fill="auto"/>
            <w:vAlign w:val="center"/>
          </w:tcPr>
          <w:p w14:paraId="64416282"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83" w14:textId="77777777" w:rsidR="008D3598" w:rsidRPr="00511330" w:rsidRDefault="008D3598" w:rsidP="00ED6132">
            <w:pPr>
              <w:rPr>
                <w:rFonts w:asciiTheme="majorBidi" w:hAnsiTheme="majorBidi" w:cstheme="majorBidi"/>
                <w:sz w:val="20"/>
                <w:szCs w:val="20"/>
                <w:lang w:val="en-US"/>
              </w:rPr>
            </w:pPr>
            <w:r w:rsidRPr="00511330">
              <w:rPr>
                <w:rFonts w:asciiTheme="majorBidi" w:hAnsiTheme="majorBidi" w:cstheme="majorBidi"/>
                <w:sz w:val="20"/>
                <w:szCs w:val="20"/>
                <w:lang w:val="en-US"/>
              </w:rPr>
              <w:t>SEWA</w:t>
            </w:r>
          </w:p>
        </w:tc>
        <w:tc>
          <w:tcPr>
            <w:tcW w:w="1260" w:type="dxa"/>
            <w:shd w:val="clear" w:color="auto" w:fill="auto"/>
          </w:tcPr>
          <w:p w14:paraId="64416284" w14:textId="77777777" w:rsidR="008D3598" w:rsidRPr="00511330" w:rsidRDefault="008D3598" w:rsidP="00ED6132">
            <w:pPr>
              <w:ind w:right="-190"/>
              <w:jc w:val="center"/>
              <w:rPr>
                <w:rFonts w:asciiTheme="majorBidi" w:hAnsiTheme="majorBidi" w:cstheme="majorBidi"/>
                <w:sz w:val="20"/>
                <w:szCs w:val="20"/>
                <w:lang w:val="en-US"/>
              </w:rPr>
            </w:pPr>
            <w:r w:rsidRPr="00511330">
              <w:rPr>
                <w:rFonts w:asciiTheme="majorBidi" w:hAnsiTheme="majorBidi" w:cstheme="majorBidi"/>
                <w:sz w:val="20"/>
                <w:szCs w:val="20"/>
                <w:lang w:val="en-US"/>
              </w:rPr>
              <w:t>97</w:t>
            </w:r>
          </w:p>
        </w:tc>
        <w:tc>
          <w:tcPr>
            <w:tcW w:w="1710" w:type="dxa"/>
            <w:shd w:val="clear" w:color="auto" w:fill="auto"/>
          </w:tcPr>
          <w:p w14:paraId="64416285" w14:textId="77777777" w:rsidR="008D3598" w:rsidRPr="00511330" w:rsidRDefault="008D3598" w:rsidP="00ED6132">
            <w:pPr>
              <w:ind w:right="-199"/>
              <w:jc w:val="center"/>
              <w:rPr>
                <w:rFonts w:asciiTheme="majorBidi" w:hAnsiTheme="majorBidi" w:cstheme="majorBidi"/>
                <w:sz w:val="20"/>
                <w:szCs w:val="20"/>
                <w:lang w:val="en-US"/>
              </w:rPr>
            </w:pPr>
            <w:r w:rsidRPr="00511330">
              <w:rPr>
                <w:rFonts w:asciiTheme="majorBidi" w:hAnsiTheme="majorBidi" w:cstheme="majorBidi"/>
                <w:sz w:val="20"/>
                <w:szCs w:val="20"/>
                <w:lang w:val="en-US"/>
              </w:rPr>
              <w:t>27.4%</w:t>
            </w:r>
          </w:p>
        </w:tc>
      </w:tr>
      <w:tr w:rsidR="008D3598" w:rsidRPr="00511330" w14:paraId="6441628B" w14:textId="77777777" w:rsidTr="005C319B">
        <w:tc>
          <w:tcPr>
            <w:tcW w:w="2527" w:type="dxa"/>
            <w:vMerge/>
            <w:shd w:val="clear" w:color="auto" w:fill="auto"/>
            <w:vAlign w:val="center"/>
          </w:tcPr>
          <w:p w14:paraId="64416287"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88" w14:textId="77777777" w:rsidR="008D3598" w:rsidRPr="00511330" w:rsidRDefault="008D3598" w:rsidP="00ED6132">
            <w:pPr>
              <w:rPr>
                <w:rFonts w:asciiTheme="majorBidi" w:hAnsiTheme="majorBidi" w:cstheme="majorBidi"/>
                <w:sz w:val="20"/>
                <w:szCs w:val="20"/>
                <w:lang w:val="en-US"/>
              </w:rPr>
            </w:pPr>
            <w:r w:rsidRPr="00511330">
              <w:rPr>
                <w:rFonts w:asciiTheme="majorBidi" w:hAnsiTheme="majorBidi" w:cstheme="majorBidi"/>
                <w:sz w:val="20"/>
                <w:szCs w:val="20"/>
                <w:lang w:val="en-US"/>
              </w:rPr>
              <w:t>FEWA</w:t>
            </w:r>
          </w:p>
        </w:tc>
        <w:tc>
          <w:tcPr>
            <w:tcW w:w="1260" w:type="dxa"/>
            <w:shd w:val="clear" w:color="auto" w:fill="auto"/>
          </w:tcPr>
          <w:p w14:paraId="64416289" w14:textId="77777777" w:rsidR="008D3598" w:rsidRPr="00511330" w:rsidRDefault="008D3598" w:rsidP="00ED6132">
            <w:pPr>
              <w:ind w:right="-190"/>
              <w:jc w:val="center"/>
              <w:rPr>
                <w:rFonts w:asciiTheme="majorBidi" w:hAnsiTheme="majorBidi" w:cstheme="majorBidi"/>
                <w:sz w:val="20"/>
                <w:szCs w:val="20"/>
                <w:lang w:val="en-US"/>
              </w:rPr>
            </w:pPr>
            <w:r w:rsidRPr="00511330">
              <w:rPr>
                <w:rFonts w:asciiTheme="majorBidi" w:hAnsiTheme="majorBidi" w:cstheme="majorBidi"/>
                <w:sz w:val="20"/>
                <w:szCs w:val="20"/>
                <w:lang w:val="en-US"/>
              </w:rPr>
              <w:t>46</w:t>
            </w:r>
          </w:p>
        </w:tc>
        <w:tc>
          <w:tcPr>
            <w:tcW w:w="1710" w:type="dxa"/>
            <w:shd w:val="clear" w:color="auto" w:fill="auto"/>
          </w:tcPr>
          <w:p w14:paraId="6441628A" w14:textId="77777777" w:rsidR="008D3598" w:rsidRPr="00511330" w:rsidRDefault="008D3598" w:rsidP="00ED6132">
            <w:pPr>
              <w:ind w:right="-199"/>
              <w:jc w:val="center"/>
              <w:rPr>
                <w:rFonts w:asciiTheme="majorBidi" w:hAnsiTheme="majorBidi" w:cstheme="majorBidi"/>
                <w:sz w:val="20"/>
                <w:szCs w:val="20"/>
                <w:lang w:val="en-US"/>
              </w:rPr>
            </w:pPr>
            <w:r w:rsidRPr="00511330">
              <w:rPr>
                <w:rFonts w:asciiTheme="majorBidi" w:hAnsiTheme="majorBidi" w:cstheme="majorBidi"/>
                <w:sz w:val="20"/>
                <w:szCs w:val="20"/>
                <w:lang w:val="en-US"/>
              </w:rPr>
              <w:t>12.9%</w:t>
            </w:r>
          </w:p>
        </w:tc>
      </w:tr>
      <w:tr w:rsidR="008D3598" w:rsidRPr="00511330" w14:paraId="64416290" w14:textId="77777777" w:rsidTr="005C319B">
        <w:tc>
          <w:tcPr>
            <w:tcW w:w="2527" w:type="dxa"/>
            <w:vMerge/>
            <w:shd w:val="clear" w:color="auto" w:fill="auto"/>
            <w:vAlign w:val="center"/>
          </w:tcPr>
          <w:p w14:paraId="6441628C"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8D" w14:textId="77777777" w:rsidR="008D3598" w:rsidRPr="00511330" w:rsidRDefault="008D3598" w:rsidP="00ED6132">
            <w:pPr>
              <w:rPr>
                <w:rFonts w:asciiTheme="majorBidi" w:hAnsiTheme="majorBidi" w:cstheme="majorBidi"/>
                <w:sz w:val="20"/>
                <w:szCs w:val="20"/>
                <w:lang w:val="en-US"/>
              </w:rPr>
            </w:pPr>
            <w:r w:rsidRPr="00511330">
              <w:rPr>
                <w:rFonts w:asciiTheme="majorBidi" w:hAnsiTheme="majorBidi" w:cstheme="majorBidi"/>
                <w:sz w:val="20"/>
                <w:szCs w:val="20"/>
                <w:lang w:val="en-US"/>
              </w:rPr>
              <w:t xml:space="preserve">Skipped </w:t>
            </w:r>
          </w:p>
        </w:tc>
        <w:tc>
          <w:tcPr>
            <w:tcW w:w="1260" w:type="dxa"/>
            <w:shd w:val="clear" w:color="auto" w:fill="auto"/>
          </w:tcPr>
          <w:p w14:paraId="6441628E" w14:textId="77777777" w:rsidR="008D3598" w:rsidRPr="00511330" w:rsidRDefault="008D3598" w:rsidP="00ED6132">
            <w:pPr>
              <w:ind w:right="-190"/>
              <w:jc w:val="center"/>
              <w:rPr>
                <w:rFonts w:asciiTheme="majorBidi" w:hAnsiTheme="majorBidi" w:cstheme="majorBidi"/>
                <w:sz w:val="20"/>
                <w:szCs w:val="20"/>
                <w:lang w:val="en-US"/>
              </w:rPr>
            </w:pPr>
            <w:r w:rsidRPr="00511330">
              <w:rPr>
                <w:rFonts w:asciiTheme="majorBidi" w:hAnsiTheme="majorBidi" w:cstheme="majorBidi"/>
                <w:sz w:val="20"/>
                <w:szCs w:val="20"/>
                <w:lang w:val="en-US"/>
              </w:rPr>
              <w:t>13</w:t>
            </w:r>
          </w:p>
        </w:tc>
        <w:tc>
          <w:tcPr>
            <w:tcW w:w="1710" w:type="dxa"/>
            <w:shd w:val="clear" w:color="auto" w:fill="auto"/>
          </w:tcPr>
          <w:p w14:paraId="6441628F" w14:textId="77777777" w:rsidR="008D3598" w:rsidRPr="00511330" w:rsidRDefault="008D3598" w:rsidP="00ED6132">
            <w:pPr>
              <w:ind w:right="-199"/>
              <w:jc w:val="center"/>
              <w:rPr>
                <w:rFonts w:asciiTheme="majorBidi" w:hAnsiTheme="majorBidi" w:cstheme="majorBidi"/>
                <w:sz w:val="20"/>
                <w:szCs w:val="20"/>
                <w:lang w:val="en-US"/>
              </w:rPr>
            </w:pPr>
            <w:r w:rsidRPr="00511330">
              <w:rPr>
                <w:rFonts w:asciiTheme="majorBidi" w:hAnsiTheme="majorBidi" w:cstheme="majorBidi"/>
                <w:sz w:val="20"/>
                <w:szCs w:val="20"/>
                <w:lang w:val="en-US"/>
              </w:rPr>
              <w:t>3.6%</w:t>
            </w:r>
          </w:p>
        </w:tc>
      </w:tr>
      <w:tr w:rsidR="008D3598" w:rsidRPr="00511330" w14:paraId="64416296" w14:textId="77777777" w:rsidTr="005C319B">
        <w:tc>
          <w:tcPr>
            <w:tcW w:w="2527" w:type="dxa"/>
            <w:vMerge w:val="restart"/>
            <w:shd w:val="clear" w:color="auto" w:fill="auto"/>
            <w:vAlign w:val="center"/>
          </w:tcPr>
          <w:p w14:paraId="64416291"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r w:rsidRPr="00511330">
              <w:rPr>
                <w:rFonts w:asciiTheme="majorBidi" w:hAnsiTheme="majorBidi" w:cstheme="majorBidi"/>
                <w:sz w:val="20"/>
                <w:szCs w:val="20"/>
                <w:lang w:val="en-US"/>
              </w:rPr>
              <w:t>Customer</w:t>
            </w:r>
          </w:p>
          <w:p w14:paraId="64416292"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93" w14:textId="77777777" w:rsidR="008D3598" w:rsidRPr="00511330" w:rsidRDefault="008D3598" w:rsidP="00ED6132">
            <w:pPr>
              <w:rPr>
                <w:rFonts w:asciiTheme="majorBidi" w:hAnsiTheme="majorBidi" w:cstheme="majorBidi"/>
                <w:sz w:val="20"/>
                <w:szCs w:val="20"/>
                <w:lang w:val="en-US"/>
              </w:rPr>
            </w:pPr>
            <w:r w:rsidRPr="00511330">
              <w:rPr>
                <w:rFonts w:asciiTheme="majorBidi" w:hAnsiTheme="majorBidi" w:cstheme="majorBidi"/>
                <w:sz w:val="20"/>
                <w:szCs w:val="20"/>
                <w:lang w:val="en-US"/>
              </w:rPr>
              <w:t>Contractors</w:t>
            </w:r>
          </w:p>
        </w:tc>
        <w:tc>
          <w:tcPr>
            <w:tcW w:w="1260" w:type="dxa"/>
            <w:shd w:val="clear" w:color="auto" w:fill="auto"/>
          </w:tcPr>
          <w:p w14:paraId="64416294" w14:textId="77777777" w:rsidR="008D3598" w:rsidRPr="00511330" w:rsidRDefault="008D3598" w:rsidP="00ED6132">
            <w:pPr>
              <w:ind w:right="-190"/>
              <w:jc w:val="center"/>
              <w:rPr>
                <w:rFonts w:asciiTheme="majorBidi" w:hAnsiTheme="majorBidi" w:cstheme="majorBidi"/>
                <w:sz w:val="20"/>
                <w:szCs w:val="20"/>
                <w:lang w:val="en-US"/>
              </w:rPr>
            </w:pPr>
            <w:r w:rsidRPr="00511330">
              <w:rPr>
                <w:rFonts w:asciiTheme="majorBidi" w:hAnsiTheme="majorBidi" w:cstheme="majorBidi"/>
                <w:sz w:val="20"/>
                <w:szCs w:val="20"/>
                <w:lang w:val="en-US"/>
              </w:rPr>
              <w:t>35</w:t>
            </w:r>
          </w:p>
        </w:tc>
        <w:tc>
          <w:tcPr>
            <w:tcW w:w="1710" w:type="dxa"/>
            <w:shd w:val="clear" w:color="auto" w:fill="auto"/>
          </w:tcPr>
          <w:p w14:paraId="64416295" w14:textId="77777777" w:rsidR="008D3598" w:rsidRPr="00511330" w:rsidRDefault="008D3598" w:rsidP="00ED6132">
            <w:pPr>
              <w:ind w:right="-199"/>
              <w:jc w:val="center"/>
              <w:rPr>
                <w:rFonts w:asciiTheme="majorBidi" w:hAnsiTheme="majorBidi" w:cstheme="majorBidi"/>
                <w:sz w:val="20"/>
                <w:szCs w:val="20"/>
                <w:lang w:val="en-US"/>
              </w:rPr>
            </w:pPr>
            <w:r w:rsidRPr="00511330">
              <w:rPr>
                <w:rFonts w:asciiTheme="majorBidi" w:hAnsiTheme="majorBidi" w:cstheme="majorBidi"/>
                <w:sz w:val="20"/>
                <w:szCs w:val="20"/>
                <w:lang w:val="en-US"/>
              </w:rPr>
              <w:t>12.96%</w:t>
            </w:r>
          </w:p>
        </w:tc>
      </w:tr>
      <w:tr w:rsidR="008D3598" w:rsidRPr="00511330" w14:paraId="6441629B" w14:textId="77777777" w:rsidTr="005C319B">
        <w:tc>
          <w:tcPr>
            <w:tcW w:w="2527" w:type="dxa"/>
            <w:vMerge/>
            <w:shd w:val="clear" w:color="auto" w:fill="auto"/>
            <w:vAlign w:val="center"/>
          </w:tcPr>
          <w:p w14:paraId="64416297"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98" w14:textId="77777777" w:rsidR="008D3598" w:rsidRPr="00511330" w:rsidRDefault="008D3598" w:rsidP="00ED6132">
            <w:pPr>
              <w:rPr>
                <w:rFonts w:asciiTheme="majorBidi" w:hAnsiTheme="majorBidi" w:cstheme="majorBidi"/>
                <w:sz w:val="20"/>
                <w:szCs w:val="20"/>
                <w:lang w:val="en-US"/>
              </w:rPr>
            </w:pPr>
            <w:r w:rsidRPr="00511330">
              <w:rPr>
                <w:rFonts w:asciiTheme="majorBidi" w:hAnsiTheme="majorBidi" w:cstheme="majorBidi"/>
                <w:sz w:val="20"/>
                <w:szCs w:val="20"/>
                <w:lang w:val="en-US"/>
              </w:rPr>
              <w:t>Industrials</w:t>
            </w:r>
          </w:p>
        </w:tc>
        <w:tc>
          <w:tcPr>
            <w:tcW w:w="1260" w:type="dxa"/>
            <w:shd w:val="clear" w:color="auto" w:fill="auto"/>
          </w:tcPr>
          <w:p w14:paraId="64416299" w14:textId="77777777" w:rsidR="008D3598" w:rsidRPr="00511330" w:rsidRDefault="008D3598" w:rsidP="00ED6132">
            <w:pPr>
              <w:ind w:right="-190"/>
              <w:jc w:val="center"/>
              <w:rPr>
                <w:rFonts w:asciiTheme="majorBidi" w:hAnsiTheme="majorBidi" w:cstheme="majorBidi"/>
                <w:sz w:val="20"/>
                <w:szCs w:val="20"/>
                <w:lang w:val="en-US"/>
              </w:rPr>
            </w:pPr>
            <w:r w:rsidRPr="00511330">
              <w:rPr>
                <w:rFonts w:asciiTheme="majorBidi" w:hAnsiTheme="majorBidi" w:cstheme="majorBidi"/>
                <w:sz w:val="20"/>
                <w:szCs w:val="20"/>
                <w:lang w:val="en-US"/>
              </w:rPr>
              <w:t>49</w:t>
            </w:r>
          </w:p>
        </w:tc>
        <w:tc>
          <w:tcPr>
            <w:tcW w:w="1710" w:type="dxa"/>
            <w:shd w:val="clear" w:color="auto" w:fill="auto"/>
          </w:tcPr>
          <w:p w14:paraId="6441629A" w14:textId="77777777" w:rsidR="008D3598" w:rsidRPr="00511330" w:rsidRDefault="008D3598" w:rsidP="00ED6132">
            <w:pPr>
              <w:ind w:right="-199"/>
              <w:jc w:val="center"/>
              <w:rPr>
                <w:rFonts w:asciiTheme="majorBidi" w:hAnsiTheme="majorBidi" w:cstheme="majorBidi"/>
                <w:sz w:val="20"/>
                <w:szCs w:val="20"/>
                <w:lang w:val="en-US"/>
              </w:rPr>
            </w:pPr>
            <w:r w:rsidRPr="00511330">
              <w:rPr>
                <w:rFonts w:asciiTheme="majorBidi" w:hAnsiTheme="majorBidi" w:cstheme="majorBidi"/>
                <w:sz w:val="20"/>
                <w:szCs w:val="20"/>
                <w:lang w:val="en-US"/>
              </w:rPr>
              <w:t>18.15%</w:t>
            </w:r>
          </w:p>
        </w:tc>
      </w:tr>
      <w:tr w:rsidR="008D3598" w:rsidRPr="00511330" w14:paraId="644162A0" w14:textId="77777777" w:rsidTr="005C319B">
        <w:tc>
          <w:tcPr>
            <w:tcW w:w="2527" w:type="dxa"/>
            <w:vMerge/>
            <w:shd w:val="clear" w:color="auto" w:fill="auto"/>
            <w:vAlign w:val="center"/>
          </w:tcPr>
          <w:p w14:paraId="6441629C"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9D" w14:textId="77777777" w:rsidR="008D3598" w:rsidRPr="00511330" w:rsidRDefault="008D3598" w:rsidP="00ED6132">
            <w:pPr>
              <w:rPr>
                <w:rFonts w:asciiTheme="majorBidi" w:hAnsiTheme="majorBidi" w:cstheme="majorBidi"/>
                <w:sz w:val="20"/>
                <w:szCs w:val="20"/>
                <w:lang w:val="en-US"/>
              </w:rPr>
            </w:pPr>
            <w:r w:rsidRPr="00511330">
              <w:rPr>
                <w:rFonts w:asciiTheme="majorBidi" w:hAnsiTheme="majorBidi" w:cstheme="majorBidi"/>
                <w:sz w:val="20"/>
                <w:szCs w:val="20"/>
                <w:lang w:val="en-US"/>
              </w:rPr>
              <w:t>Residential</w:t>
            </w:r>
          </w:p>
        </w:tc>
        <w:tc>
          <w:tcPr>
            <w:tcW w:w="1260" w:type="dxa"/>
            <w:shd w:val="clear" w:color="auto" w:fill="auto"/>
          </w:tcPr>
          <w:p w14:paraId="6441629E" w14:textId="77777777" w:rsidR="008D3598" w:rsidRPr="00511330" w:rsidRDefault="008D3598" w:rsidP="00ED6132">
            <w:pPr>
              <w:ind w:right="-190"/>
              <w:jc w:val="center"/>
              <w:rPr>
                <w:rFonts w:asciiTheme="majorBidi" w:hAnsiTheme="majorBidi" w:cstheme="majorBidi"/>
                <w:sz w:val="20"/>
                <w:szCs w:val="20"/>
                <w:lang w:val="en-US"/>
              </w:rPr>
            </w:pPr>
            <w:r w:rsidRPr="00511330">
              <w:rPr>
                <w:rFonts w:asciiTheme="majorBidi" w:hAnsiTheme="majorBidi" w:cstheme="majorBidi"/>
                <w:sz w:val="20"/>
                <w:szCs w:val="20"/>
                <w:lang w:val="en-US"/>
              </w:rPr>
              <w:t>139</w:t>
            </w:r>
          </w:p>
        </w:tc>
        <w:tc>
          <w:tcPr>
            <w:tcW w:w="1710" w:type="dxa"/>
            <w:shd w:val="clear" w:color="auto" w:fill="auto"/>
          </w:tcPr>
          <w:p w14:paraId="6441629F" w14:textId="77777777" w:rsidR="008D3598" w:rsidRPr="00511330" w:rsidRDefault="008D3598" w:rsidP="00ED6132">
            <w:pPr>
              <w:ind w:right="-199"/>
              <w:jc w:val="center"/>
              <w:rPr>
                <w:rFonts w:asciiTheme="majorBidi" w:hAnsiTheme="majorBidi" w:cstheme="majorBidi"/>
                <w:sz w:val="20"/>
                <w:szCs w:val="20"/>
                <w:lang w:val="en-US"/>
              </w:rPr>
            </w:pPr>
            <w:r w:rsidRPr="00511330">
              <w:rPr>
                <w:rFonts w:asciiTheme="majorBidi" w:hAnsiTheme="majorBidi" w:cstheme="majorBidi"/>
                <w:sz w:val="20"/>
                <w:szCs w:val="20"/>
                <w:lang w:val="en-US"/>
              </w:rPr>
              <w:t>51.48%</w:t>
            </w:r>
          </w:p>
        </w:tc>
      </w:tr>
      <w:tr w:rsidR="008D3598" w:rsidRPr="00511330" w14:paraId="644162A5" w14:textId="77777777" w:rsidTr="005C319B">
        <w:tc>
          <w:tcPr>
            <w:tcW w:w="2527" w:type="dxa"/>
            <w:vMerge/>
            <w:shd w:val="clear" w:color="auto" w:fill="auto"/>
            <w:vAlign w:val="center"/>
          </w:tcPr>
          <w:p w14:paraId="644162A1"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A2"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Commercial</w:t>
            </w:r>
          </w:p>
        </w:tc>
        <w:tc>
          <w:tcPr>
            <w:tcW w:w="1260" w:type="dxa"/>
            <w:shd w:val="clear" w:color="auto" w:fill="auto"/>
          </w:tcPr>
          <w:p w14:paraId="644162A3" w14:textId="77777777" w:rsidR="008D3598" w:rsidRPr="00511330" w:rsidRDefault="008D3598" w:rsidP="005C319B">
            <w:pPr>
              <w:ind w:right="-190"/>
              <w:jc w:val="center"/>
              <w:rPr>
                <w:rFonts w:asciiTheme="majorBidi" w:hAnsiTheme="majorBidi" w:cstheme="majorBidi"/>
                <w:sz w:val="20"/>
                <w:szCs w:val="20"/>
                <w:lang w:val="en-US"/>
              </w:rPr>
            </w:pPr>
            <w:r w:rsidRPr="00511330">
              <w:rPr>
                <w:rFonts w:asciiTheme="majorBidi" w:hAnsiTheme="majorBidi" w:cstheme="majorBidi"/>
                <w:sz w:val="20"/>
                <w:szCs w:val="20"/>
                <w:lang w:val="en-US"/>
              </w:rPr>
              <w:t>47</w:t>
            </w:r>
          </w:p>
        </w:tc>
        <w:tc>
          <w:tcPr>
            <w:tcW w:w="1710" w:type="dxa"/>
            <w:shd w:val="clear" w:color="auto" w:fill="auto"/>
          </w:tcPr>
          <w:p w14:paraId="644162A4" w14:textId="77777777" w:rsidR="008D3598" w:rsidRPr="00511330" w:rsidRDefault="008D3598" w:rsidP="005C319B">
            <w:pPr>
              <w:ind w:right="-199"/>
              <w:jc w:val="center"/>
              <w:rPr>
                <w:rFonts w:asciiTheme="majorBidi" w:hAnsiTheme="majorBidi" w:cstheme="majorBidi"/>
                <w:sz w:val="20"/>
                <w:szCs w:val="20"/>
                <w:lang w:val="en-US"/>
              </w:rPr>
            </w:pPr>
            <w:r w:rsidRPr="00511330">
              <w:rPr>
                <w:rFonts w:asciiTheme="majorBidi" w:hAnsiTheme="majorBidi" w:cstheme="majorBidi"/>
                <w:sz w:val="20"/>
                <w:szCs w:val="20"/>
                <w:lang w:val="en-US"/>
              </w:rPr>
              <w:t>17.41%</w:t>
            </w:r>
          </w:p>
        </w:tc>
      </w:tr>
      <w:tr w:rsidR="008D3598" w:rsidRPr="00511330" w14:paraId="644162AA" w14:textId="77777777" w:rsidTr="005C319B">
        <w:tc>
          <w:tcPr>
            <w:tcW w:w="2527" w:type="dxa"/>
            <w:vMerge/>
            <w:shd w:val="clear" w:color="auto" w:fill="auto"/>
            <w:vAlign w:val="center"/>
          </w:tcPr>
          <w:p w14:paraId="644162A6"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A7"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 xml:space="preserve">Skipped </w:t>
            </w:r>
          </w:p>
        </w:tc>
        <w:tc>
          <w:tcPr>
            <w:tcW w:w="1260" w:type="dxa"/>
            <w:shd w:val="clear" w:color="auto" w:fill="auto"/>
          </w:tcPr>
          <w:p w14:paraId="644162A8" w14:textId="77777777" w:rsidR="008D3598" w:rsidRPr="00511330" w:rsidRDefault="008D3598" w:rsidP="005C319B">
            <w:pPr>
              <w:ind w:right="-190"/>
              <w:jc w:val="center"/>
              <w:rPr>
                <w:rFonts w:asciiTheme="majorBidi" w:hAnsiTheme="majorBidi" w:cstheme="majorBidi"/>
                <w:sz w:val="20"/>
                <w:szCs w:val="20"/>
                <w:lang w:val="en-US"/>
              </w:rPr>
            </w:pPr>
            <w:r w:rsidRPr="00511330">
              <w:rPr>
                <w:rFonts w:asciiTheme="majorBidi" w:hAnsiTheme="majorBidi" w:cstheme="majorBidi"/>
                <w:sz w:val="20"/>
                <w:szCs w:val="20"/>
                <w:lang w:val="en-US"/>
              </w:rPr>
              <w:t>84</w:t>
            </w:r>
          </w:p>
        </w:tc>
        <w:tc>
          <w:tcPr>
            <w:tcW w:w="1710" w:type="dxa"/>
            <w:shd w:val="clear" w:color="auto" w:fill="auto"/>
          </w:tcPr>
          <w:p w14:paraId="644162A9" w14:textId="77777777" w:rsidR="008D3598" w:rsidRPr="00511330" w:rsidRDefault="008D3598" w:rsidP="005C319B">
            <w:pPr>
              <w:ind w:right="-199"/>
              <w:jc w:val="center"/>
              <w:rPr>
                <w:rFonts w:asciiTheme="majorBidi" w:hAnsiTheme="majorBidi" w:cstheme="majorBidi"/>
                <w:sz w:val="20"/>
                <w:szCs w:val="20"/>
                <w:lang w:val="en-US"/>
              </w:rPr>
            </w:pPr>
            <w:r w:rsidRPr="00511330">
              <w:rPr>
                <w:rFonts w:asciiTheme="majorBidi" w:hAnsiTheme="majorBidi" w:cstheme="majorBidi"/>
                <w:sz w:val="20"/>
                <w:szCs w:val="20"/>
                <w:lang w:val="en-US"/>
              </w:rPr>
              <w:t>17.9%</w:t>
            </w:r>
          </w:p>
        </w:tc>
      </w:tr>
      <w:tr w:rsidR="008D3598" w:rsidRPr="00511330" w14:paraId="644162AF" w14:textId="77777777" w:rsidTr="005C319B">
        <w:tc>
          <w:tcPr>
            <w:tcW w:w="2527" w:type="dxa"/>
            <w:vMerge w:val="restart"/>
            <w:shd w:val="clear" w:color="auto" w:fill="auto"/>
            <w:vAlign w:val="center"/>
          </w:tcPr>
          <w:p w14:paraId="644162AB"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r w:rsidRPr="00511330">
              <w:rPr>
                <w:rFonts w:asciiTheme="majorBidi" w:hAnsiTheme="majorBidi" w:cstheme="majorBidi"/>
                <w:sz w:val="20"/>
                <w:szCs w:val="20"/>
                <w:lang w:val="en-US"/>
              </w:rPr>
              <w:t>Employee</w:t>
            </w:r>
          </w:p>
        </w:tc>
        <w:tc>
          <w:tcPr>
            <w:tcW w:w="2418" w:type="dxa"/>
            <w:shd w:val="clear" w:color="auto" w:fill="auto"/>
          </w:tcPr>
          <w:p w14:paraId="644162AC"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Higher level</w:t>
            </w:r>
          </w:p>
        </w:tc>
        <w:tc>
          <w:tcPr>
            <w:tcW w:w="1260" w:type="dxa"/>
            <w:shd w:val="clear" w:color="auto" w:fill="auto"/>
          </w:tcPr>
          <w:p w14:paraId="644162AD"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34</w:t>
            </w:r>
          </w:p>
        </w:tc>
        <w:tc>
          <w:tcPr>
            <w:tcW w:w="1710" w:type="dxa"/>
            <w:shd w:val="clear" w:color="auto" w:fill="auto"/>
          </w:tcPr>
          <w:p w14:paraId="644162AE"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20.61%</w:t>
            </w:r>
          </w:p>
        </w:tc>
      </w:tr>
      <w:tr w:rsidR="008D3598" w:rsidRPr="00511330" w14:paraId="644162B4" w14:textId="77777777" w:rsidTr="005C319B">
        <w:tc>
          <w:tcPr>
            <w:tcW w:w="2527" w:type="dxa"/>
            <w:vMerge/>
            <w:shd w:val="clear" w:color="auto" w:fill="auto"/>
            <w:vAlign w:val="center"/>
          </w:tcPr>
          <w:p w14:paraId="644162B0"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B1"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Middle level</w:t>
            </w:r>
          </w:p>
        </w:tc>
        <w:tc>
          <w:tcPr>
            <w:tcW w:w="1260" w:type="dxa"/>
            <w:shd w:val="clear" w:color="auto" w:fill="auto"/>
          </w:tcPr>
          <w:p w14:paraId="644162B2"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77</w:t>
            </w:r>
          </w:p>
        </w:tc>
        <w:tc>
          <w:tcPr>
            <w:tcW w:w="1710" w:type="dxa"/>
            <w:shd w:val="clear" w:color="auto" w:fill="auto"/>
          </w:tcPr>
          <w:p w14:paraId="644162B3"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46.67%</w:t>
            </w:r>
          </w:p>
        </w:tc>
      </w:tr>
      <w:tr w:rsidR="008D3598" w:rsidRPr="00511330" w14:paraId="644162B9" w14:textId="77777777" w:rsidTr="005C319B">
        <w:tc>
          <w:tcPr>
            <w:tcW w:w="2527" w:type="dxa"/>
            <w:vMerge/>
            <w:shd w:val="clear" w:color="auto" w:fill="auto"/>
            <w:vAlign w:val="center"/>
          </w:tcPr>
          <w:p w14:paraId="644162B5"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B6"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Junior level</w:t>
            </w:r>
          </w:p>
        </w:tc>
        <w:tc>
          <w:tcPr>
            <w:tcW w:w="1260" w:type="dxa"/>
            <w:shd w:val="clear" w:color="auto" w:fill="auto"/>
          </w:tcPr>
          <w:p w14:paraId="644162B7"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26</w:t>
            </w:r>
          </w:p>
        </w:tc>
        <w:tc>
          <w:tcPr>
            <w:tcW w:w="1710" w:type="dxa"/>
            <w:shd w:val="clear" w:color="auto" w:fill="auto"/>
          </w:tcPr>
          <w:p w14:paraId="644162B8"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15.76%</w:t>
            </w:r>
          </w:p>
        </w:tc>
      </w:tr>
      <w:tr w:rsidR="008D3598" w:rsidRPr="00511330" w14:paraId="644162BE" w14:textId="77777777" w:rsidTr="005C319B">
        <w:tc>
          <w:tcPr>
            <w:tcW w:w="2527" w:type="dxa"/>
            <w:vMerge/>
            <w:shd w:val="clear" w:color="auto" w:fill="auto"/>
            <w:vAlign w:val="center"/>
          </w:tcPr>
          <w:p w14:paraId="644162BA"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BB"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Field Employee</w:t>
            </w:r>
          </w:p>
        </w:tc>
        <w:tc>
          <w:tcPr>
            <w:tcW w:w="1260" w:type="dxa"/>
            <w:shd w:val="clear" w:color="auto" w:fill="auto"/>
          </w:tcPr>
          <w:p w14:paraId="644162BC"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28</w:t>
            </w:r>
          </w:p>
        </w:tc>
        <w:tc>
          <w:tcPr>
            <w:tcW w:w="1710" w:type="dxa"/>
            <w:shd w:val="clear" w:color="auto" w:fill="auto"/>
          </w:tcPr>
          <w:p w14:paraId="644162BD"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16.97%</w:t>
            </w:r>
          </w:p>
        </w:tc>
      </w:tr>
      <w:tr w:rsidR="008D3598" w:rsidRPr="00511330" w14:paraId="644162C3" w14:textId="77777777" w:rsidTr="005C319B">
        <w:tc>
          <w:tcPr>
            <w:tcW w:w="2527" w:type="dxa"/>
            <w:vMerge/>
            <w:shd w:val="clear" w:color="auto" w:fill="auto"/>
            <w:vAlign w:val="center"/>
          </w:tcPr>
          <w:p w14:paraId="644162BF"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C0"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 xml:space="preserve">Skipped </w:t>
            </w:r>
          </w:p>
        </w:tc>
        <w:tc>
          <w:tcPr>
            <w:tcW w:w="1260" w:type="dxa"/>
            <w:shd w:val="clear" w:color="auto" w:fill="auto"/>
          </w:tcPr>
          <w:p w14:paraId="644162C1"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189</w:t>
            </w:r>
          </w:p>
        </w:tc>
        <w:tc>
          <w:tcPr>
            <w:tcW w:w="1710" w:type="dxa"/>
            <w:shd w:val="clear" w:color="auto" w:fill="auto"/>
          </w:tcPr>
          <w:p w14:paraId="644162C2"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20.6%</w:t>
            </w:r>
          </w:p>
        </w:tc>
      </w:tr>
      <w:tr w:rsidR="008D3598" w:rsidRPr="00511330" w14:paraId="644162C8" w14:textId="77777777" w:rsidTr="005C319B">
        <w:tc>
          <w:tcPr>
            <w:tcW w:w="2527" w:type="dxa"/>
            <w:vMerge w:val="restart"/>
            <w:shd w:val="clear" w:color="auto" w:fill="auto"/>
            <w:vAlign w:val="center"/>
          </w:tcPr>
          <w:p w14:paraId="644162C4"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r w:rsidRPr="00511330">
              <w:rPr>
                <w:rFonts w:asciiTheme="majorBidi" w:hAnsiTheme="majorBidi" w:cstheme="majorBidi"/>
                <w:sz w:val="20"/>
                <w:szCs w:val="20"/>
                <w:lang w:val="en-US"/>
              </w:rPr>
              <w:t>Nationality</w:t>
            </w:r>
          </w:p>
        </w:tc>
        <w:tc>
          <w:tcPr>
            <w:tcW w:w="2418" w:type="dxa"/>
            <w:shd w:val="clear" w:color="auto" w:fill="auto"/>
          </w:tcPr>
          <w:p w14:paraId="644162C5"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UAE National</w:t>
            </w:r>
          </w:p>
        </w:tc>
        <w:tc>
          <w:tcPr>
            <w:tcW w:w="1260" w:type="dxa"/>
            <w:shd w:val="clear" w:color="auto" w:fill="auto"/>
          </w:tcPr>
          <w:p w14:paraId="644162C6"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222</w:t>
            </w:r>
          </w:p>
        </w:tc>
        <w:tc>
          <w:tcPr>
            <w:tcW w:w="1710" w:type="dxa"/>
            <w:shd w:val="clear" w:color="auto" w:fill="auto"/>
          </w:tcPr>
          <w:p w14:paraId="644162C7"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62.71%</w:t>
            </w:r>
          </w:p>
        </w:tc>
      </w:tr>
      <w:tr w:rsidR="008D3598" w:rsidRPr="00511330" w14:paraId="644162CD" w14:textId="77777777" w:rsidTr="005C319B">
        <w:tc>
          <w:tcPr>
            <w:tcW w:w="2527" w:type="dxa"/>
            <w:vMerge/>
            <w:shd w:val="clear" w:color="auto" w:fill="auto"/>
            <w:vAlign w:val="center"/>
          </w:tcPr>
          <w:p w14:paraId="644162C9"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CA"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Other Nationalities</w:t>
            </w:r>
          </w:p>
        </w:tc>
        <w:tc>
          <w:tcPr>
            <w:tcW w:w="1260" w:type="dxa"/>
            <w:shd w:val="clear" w:color="auto" w:fill="auto"/>
          </w:tcPr>
          <w:p w14:paraId="644162CB"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132</w:t>
            </w:r>
          </w:p>
        </w:tc>
        <w:tc>
          <w:tcPr>
            <w:tcW w:w="1710" w:type="dxa"/>
            <w:shd w:val="clear" w:color="auto" w:fill="auto"/>
          </w:tcPr>
          <w:p w14:paraId="644162CC"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37.29%</w:t>
            </w:r>
          </w:p>
        </w:tc>
      </w:tr>
      <w:tr w:rsidR="008D3598" w:rsidRPr="00511330" w14:paraId="644162D2" w14:textId="77777777" w:rsidTr="005C319B">
        <w:tc>
          <w:tcPr>
            <w:tcW w:w="2527" w:type="dxa"/>
            <w:vMerge w:val="restart"/>
            <w:shd w:val="clear" w:color="auto" w:fill="auto"/>
            <w:vAlign w:val="center"/>
          </w:tcPr>
          <w:p w14:paraId="644162CE"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r w:rsidRPr="00511330">
              <w:rPr>
                <w:rFonts w:asciiTheme="majorBidi" w:hAnsiTheme="majorBidi" w:cstheme="majorBidi"/>
                <w:sz w:val="20"/>
                <w:szCs w:val="20"/>
                <w:lang w:val="en-US"/>
              </w:rPr>
              <w:t>Age</w:t>
            </w:r>
          </w:p>
        </w:tc>
        <w:tc>
          <w:tcPr>
            <w:tcW w:w="2418" w:type="dxa"/>
            <w:shd w:val="clear" w:color="auto" w:fill="auto"/>
          </w:tcPr>
          <w:p w14:paraId="644162CF"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20-25 Years</w:t>
            </w:r>
          </w:p>
        </w:tc>
        <w:tc>
          <w:tcPr>
            <w:tcW w:w="1260" w:type="dxa"/>
            <w:shd w:val="clear" w:color="auto" w:fill="auto"/>
          </w:tcPr>
          <w:p w14:paraId="644162D0"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56</w:t>
            </w:r>
          </w:p>
        </w:tc>
        <w:tc>
          <w:tcPr>
            <w:tcW w:w="1710" w:type="dxa"/>
            <w:shd w:val="clear" w:color="auto" w:fill="auto"/>
          </w:tcPr>
          <w:p w14:paraId="644162D1"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15.82%</w:t>
            </w:r>
          </w:p>
        </w:tc>
      </w:tr>
      <w:tr w:rsidR="008D3598" w:rsidRPr="00511330" w14:paraId="644162D7" w14:textId="77777777" w:rsidTr="005C319B">
        <w:tc>
          <w:tcPr>
            <w:tcW w:w="2527" w:type="dxa"/>
            <w:vMerge/>
            <w:shd w:val="clear" w:color="auto" w:fill="auto"/>
            <w:vAlign w:val="center"/>
          </w:tcPr>
          <w:p w14:paraId="644162D3"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D4"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30-40 Years</w:t>
            </w:r>
          </w:p>
        </w:tc>
        <w:tc>
          <w:tcPr>
            <w:tcW w:w="1260" w:type="dxa"/>
            <w:shd w:val="clear" w:color="auto" w:fill="auto"/>
          </w:tcPr>
          <w:p w14:paraId="644162D5"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118</w:t>
            </w:r>
          </w:p>
        </w:tc>
        <w:tc>
          <w:tcPr>
            <w:tcW w:w="1710" w:type="dxa"/>
            <w:shd w:val="clear" w:color="auto" w:fill="auto"/>
          </w:tcPr>
          <w:p w14:paraId="644162D6"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33.33%</w:t>
            </w:r>
          </w:p>
        </w:tc>
      </w:tr>
      <w:tr w:rsidR="008D3598" w:rsidRPr="00511330" w14:paraId="644162DC" w14:textId="77777777" w:rsidTr="005C319B">
        <w:tc>
          <w:tcPr>
            <w:tcW w:w="2527" w:type="dxa"/>
            <w:vMerge/>
            <w:shd w:val="clear" w:color="auto" w:fill="auto"/>
            <w:vAlign w:val="center"/>
          </w:tcPr>
          <w:p w14:paraId="644162D8"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D9"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40-50 Years</w:t>
            </w:r>
          </w:p>
        </w:tc>
        <w:tc>
          <w:tcPr>
            <w:tcW w:w="1260" w:type="dxa"/>
            <w:shd w:val="clear" w:color="auto" w:fill="auto"/>
          </w:tcPr>
          <w:p w14:paraId="644162DA"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135</w:t>
            </w:r>
          </w:p>
        </w:tc>
        <w:tc>
          <w:tcPr>
            <w:tcW w:w="1710" w:type="dxa"/>
            <w:shd w:val="clear" w:color="auto" w:fill="auto"/>
          </w:tcPr>
          <w:p w14:paraId="644162DB"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38.14%</w:t>
            </w:r>
          </w:p>
        </w:tc>
      </w:tr>
      <w:tr w:rsidR="008D3598" w:rsidRPr="00511330" w14:paraId="644162E1" w14:textId="77777777" w:rsidTr="005C319B">
        <w:tc>
          <w:tcPr>
            <w:tcW w:w="2527" w:type="dxa"/>
            <w:vMerge/>
            <w:shd w:val="clear" w:color="auto" w:fill="auto"/>
            <w:vAlign w:val="center"/>
          </w:tcPr>
          <w:p w14:paraId="644162DD"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DE"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50-60 Years</w:t>
            </w:r>
          </w:p>
        </w:tc>
        <w:tc>
          <w:tcPr>
            <w:tcW w:w="1260" w:type="dxa"/>
            <w:shd w:val="clear" w:color="auto" w:fill="auto"/>
          </w:tcPr>
          <w:p w14:paraId="644162DF"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45</w:t>
            </w:r>
          </w:p>
        </w:tc>
        <w:tc>
          <w:tcPr>
            <w:tcW w:w="1710" w:type="dxa"/>
            <w:shd w:val="clear" w:color="auto" w:fill="auto"/>
          </w:tcPr>
          <w:p w14:paraId="644162E0"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12.71%</w:t>
            </w:r>
          </w:p>
        </w:tc>
      </w:tr>
      <w:tr w:rsidR="008D3598" w:rsidRPr="00511330" w14:paraId="644162E6" w14:textId="77777777" w:rsidTr="005C319B">
        <w:tc>
          <w:tcPr>
            <w:tcW w:w="2527" w:type="dxa"/>
            <w:vMerge w:val="restart"/>
            <w:shd w:val="clear" w:color="auto" w:fill="auto"/>
            <w:vAlign w:val="center"/>
          </w:tcPr>
          <w:p w14:paraId="644162E2"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r w:rsidRPr="00511330">
              <w:rPr>
                <w:rFonts w:asciiTheme="majorBidi" w:hAnsiTheme="majorBidi" w:cstheme="majorBidi"/>
                <w:sz w:val="20"/>
                <w:szCs w:val="20"/>
                <w:lang w:val="en-US"/>
              </w:rPr>
              <w:t>Gender</w:t>
            </w:r>
          </w:p>
        </w:tc>
        <w:tc>
          <w:tcPr>
            <w:tcW w:w="2418" w:type="dxa"/>
            <w:shd w:val="clear" w:color="auto" w:fill="auto"/>
          </w:tcPr>
          <w:p w14:paraId="644162E3"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Male</w:t>
            </w:r>
          </w:p>
        </w:tc>
        <w:tc>
          <w:tcPr>
            <w:tcW w:w="1260" w:type="dxa"/>
            <w:shd w:val="clear" w:color="auto" w:fill="auto"/>
          </w:tcPr>
          <w:p w14:paraId="644162E4"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226</w:t>
            </w:r>
          </w:p>
        </w:tc>
        <w:tc>
          <w:tcPr>
            <w:tcW w:w="1710" w:type="dxa"/>
            <w:shd w:val="clear" w:color="auto" w:fill="auto"/>
          </w:tcPr>
          <w:p w14:paraId="644162E5"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63.84%</w:t>
            </w:r>
          </w:p>
        </w:tc>
      </w:tr>
      <w:tr w:rsidR="008D3598" w:rsidRPr="00511330" w14:paraId="644162EB" w14:textId="77777777" w:rsidTr="005C319B">
        <w:tc>
          <w:tcPr>
            <w:tcW w:w="2527" w:type="dxa"/>
            <w:vMerge/>
            <w:shd w:val="clear" w:color="auto" w:fill="auto"/>
            <w:vAlign w:val="center"/>
          </w:tcPr>
          <w:p w14:paraId="644162E7"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E8"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Female</w:t>
            </w:r>
          </w:p>
        </w:tc>
        <w:tc>
          <w:tcPr>
            <w:tcW w:w="1260" w:type="dxa"/>
            <w:shd w:val="clear" w:color="auto" w:fill="auto"/>
          </w:tcPr>
          <w:p w14:paraId="644162E9"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128</w:t>
            </w:r>
          </w:p>
        </w:tc>
        <w:tc>
          <w:tcPr>
            <w:tcW w:w="1710" w:type="dxa"/>
            <w:shd w:val="clear" w:color="auto" w:fill="auto"/>
          </w:tcPr>
          <w:p w14:paraId="644162EA"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36.16</w:t>
            </w:r>
          </w:p>
        </w:tc>
      </w:tr>
      <w:tr w:rsidR="008D3598" w:rsidRPr="00511330" w14:paraId="644162F0" w14:textId="77777777" w:rsidTr="005C319B">
        <w:tc>
          <w:tcPr>
            <w:tcW w:w="2527" w:type="dxa"/>
            <w:vMerge w:val="restart"/>
            <w:shd w:val="clear" w:color="auto" w:fill="auto"/>
            <w:vAlign w:val="center"/>
          </w:tcPr>
          <w:p w14:paraId="644162EC"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r w:rsidRPr="00511330">
              <w:rPr>
                <w:rFonts w:asciiTheme="majorBidi" w:hAnsiTheme="majorBidi" w:cstheme="majorBidi"/>
                <w:sz w:val="20"/>
                <w:szCs w:val="20"/>
                <w:lang w:val="en-US"/>
              </w:rPr>
              <w:t>Level of Education</w:t>
            </w:r>
          </w:p>
        </w:tc>
        <w:tc>
          <w:tcPr>
            <w:tcW w:w="2418" w:type="dxa"/>
            <w:shd w:val="clear" w:color="auto" w:fill="auto"/>
          </w:tcPr>
          <w:p w14:paraId="644162ED"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Higher school / equivalent</w:t>
            </w:r>
          </w:p>
        </w:tc>
        <w:tc>
          <w:tcPr>
            <w:tcW w:w="1260" w:type="dxa"/>
            <w:shd w:val="clear" w:color="auto" w:fill="auto"/>
          </w:tcPr>
          <w:p w14:paraId="644162EE"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39</w:t>
            </w:r>
          </w:p>
        </w:tc>
        <w:tc>
          <w:tcPr>
            <w:tcW w:w="1710" w:type="dxa"/>
            <w:shd w:val="clear" w:color="auto" w:fill="auto"/>
          </w:tcPr>
          <w:p w14:paraId="644162EF"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11.02%</w:t>
            </w:r>
          </w:p>
        </w:tc>
      </w:tr>
      <w:tr w:rsidR="008D3598" w:rsidRPr="00511330" w14:paraId="644162F5" w14:textId="77777777" w:rsidTr="005C319B">
        <w:tc>
          <w:tcPr>
            <w:tcW w:w="2527" w:type="dxa"/>
            <w:vMerge/>
            <w:shd w:val="clear" w:color="auto" w:fill="auto"/>
            <w:vAlign w:val="center"/>
          </w:tcPr>
          <w:p w14:paraId="644162F1"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F2"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Diploma</w:t>
            </w:r>
          </w:p>
        </w:tc>
        <w:tc>
          <w:tcPr>
            <w:tcW w:w="1260" w:type="dxa"/>
            <w:shd w:val="clear" w:color="auto" w:fill="auto"/>
          </w:tcPr>
          <w:p w14:paraId="644162F3"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13</w:t>
            </w:r>
          </w:p>
        </w:tc>
        <w:tc>
          <w:tcPr>
            <w:tcW w:w="1710" w:type="dxa"/>
            <w:shd w:val="clear" w:color="auto" w:fill="auto"/>
          </w:tcPr>
          <w:p w14:paraId="644162F4"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3.67%</w:t>
            </w:r>
          </w:p>
        </w:tc>
      </w:tr>
      <w:tr w:rsidR="008D3598" w:rsidRPr="00511330" w14:paraId="644162FA" w14:textId="77777777" w:rsidTr="005C319B">
        <w:tc>
          <w:tcPr>
            <w:tcW w:w="2527" w:type="dxa"/>
            <w:vMerge/>
            <w:shd w:val="clear" w:color="auto" w:fill="auto"/>
            <w:vAlign w:val="center"/>
          </w:tcPr>
          <w:p w14:paraId="644162F6"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F7"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Higher Diploma</w:t>
            </w:r>
          </w:p>
        </w:tc>
        <w:tc>
          <w:tcPr>
            <w:tcW w:w="1260" w:type="dxa"/>
            <w:shd w:val="clear" w:color="auto" w:fill="auto"/>
          </w:tcPr>
          <w:p w14:paraId="644162F8"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48</w:t>
            </w:r>
          </w:p>
        </w:tc>
        <w:tc>
          <w:tcPr>
            <w:tcW w:w="1710" w:type="dxa"/>
            <w:shd w:val="clear" w:color="auto" w:fill="auto"/>
          </w:tcPr>
          <w:p w14:paraId="644162F9"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13.56%</w:t>
            </w:r>
          </w:p>
        </w:tc>
      </w:tr>
      <w:tr w:rsidR="008D3598" w:rsidRPr="00511330" w14:paraId="644162FF" w14:textId="77777777" w:rsidTr="005C319B">
        <w:tc>
          <w:tcPr>
            <w:tcW w:w="2527" w:type="dxa"/>
            <w:vMerge/>
            <w:shd w:val="clear" w:color="auto" w:fill="auto"/>
            <w:vAlign w:val="center"/>
          </w:tcPr>
          <w:p w14:paraId="644162FB"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2FC"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Bachelor’s Degree</w:t>
            </w:r>
          </w:p>
        </w:tc>
        <w:tc>
          <w:tcPr>
            <w:tcW w:w="1260" w:type="dxa"/>
            <w:shd w:val="clear" w:color="auto" w:fill="auto"/>
          </w:tcPr>
          <w:p w14:paraId="644162FD"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171</w:t>
            </w:r>
          </w:p>
        </w:tc>
        <w:tc>
          <w:tcPr>
            <w:tcW w:w="1710" w:type="dxa"/>
            <w:shd w:val="clear" w:color="auto" w:fill="auto"/>
          </w:tcPr>
          <w:p w14:paraId="644162FE"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48.31%</w:t>
            </w:r>
          </w:p>
        </w:tc>
      </w:tr>
      <w:tr w:rsidR="008D3598" w:rsidRPr="00511330" w14:paraId="64416304" w14:textId="77777777" w:rsidTr="005C319B">
        <w:tc>
          <w:tcPr>
            <w:tcW w:w="2527" w:type="dxa"/>
            <w:vMerge/>
            <w:shd w:val="clear" w:color="auto" w:fill="auto"/>
            <w:vAlign w:val="center"/>
          </w:tcPr>
          <w:p w14:paraId="64416300"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301" w14:textId="08E47159"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Master</w:t>
            </w:r>
            <w:r w:rsidR="009657C6" w:rsidRPr="00511330">
              <w:rPr>
                <w:rFonts w:asciiTheme="majorBidi" w:hAnsiTheme="majorBidi" w:cstheme="majorBidi"/>
                <w:sz w:val="20"/>
                <w:szCs w:val="20"/>
                <w:lang w:val="en-US"/>
              </w:rPr>
              <w:t>’</w:t>
            </w:r>
            <w:r w:rsidR="009657C6" w:rsidRPr="00511330">
              <w:rPr>
                <w:rFonts w:asciiTheme="majorBidi" w:hAnsiTheme="majorBidi" w:cstheme="majorBidi"/>
                <w:lang w:val="en-US"/>
              </w:rPr>
              <w:t>s</w:t>
            </w:r>
            <w:r w:rsidRPr="00511330">
              <w:rPr>
                <w:rFonts w:asciiTheme="majorBidi" w:hAnsiTheme="majorBidi" w:cstheme="majorBidi"/>
                <w:sz w:val="20"/>
                <w:szCs w:val="20"/>
                <w:lang w:val="en-US"/>
              </w:rPr>
              <w:t xml:space="preserve"> Degree</w:t>
            </w:r>
          </w:p>
        </w:tc>
        <w:tc>
          <w:tcPr>
            <w:tcW w:w="1260" w:type="dxa"/>
            <w:shd w:val="clear" w:color="auto" w:fill="auto"/>
          </w:tcPr>
          <w:p w14:paraId="64416302"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73</w:t>
            </w:r>
          </w:p>
        </w:tc>
        <w:tc>
          <w:tcPr>
            <w:tcW w:w="1710" w:type="dxa"/>
            <w:shd w:val="clear" w:color="auto" w:fill="auto"/>
          </w:tcPr>
          <w:p w14:paraId="64416303"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20.62%</w:t>
            </w:r>
          </w:p>
        </w:tc>
      </w:tr>
      <w:tr w:rsidR="008D3598" w:rsidRPr="00511330" w14:paraId="64416309" w14:textId="77777777" w:rsidTr="005C319B">
        <w:tc>
          <w:tcPr>
            <w:tcW w:w="2527" w:type="dxa"/>
            <w:vMerge/>
            <w:shd w:val="clear" w:color="auto" w:fill="auto"/>
            <w:vAlign w:val="center"/>
          </w:tcPr>
          <w:p w14:paraId="64416305"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p>
        </w:tc>
        <w:tc>
          <w:tcPr>
            <w:tcW w:w="2418" w:type="dxa"/>
            <w:shd w:val="clear" w:color="auto" w:fill="auto"/>
          </w:tcPr>
          <w:p w14:paraId="64416306"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PhD Degree</w:t>
            </w:r>
          </w:p>
        </w:tc>
        <w:tc>
          <w:tcPr>
            <w:tcW w:w="1260" w:type="dxa"/>
            <w:shd w:val="clear" w:color="auto" w:fill="auto"/>
          </w:tcPr>
          <w:p w14:paraId="64416307"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10</w:t>
            </w:r>
          </w:p>
        </w:tc>
        <w:tc>
          <w:tcPr>
            <w:tcW w:w="1710" w:type="dxa"/>
            <w:shd w:val="clear" w:color="auto" w:fill="auto"/>
          </w:tcPr>
          <w:p w14:paraId="64416308"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2.82%</w:t>
            </w:r>
          </w:p>
        </w:tc>
      </w:tr>
      <w:tr w:rsidR="008D3598" w:rsidRPr="00511330" w14:paraId="6441630F" w14:textId="77777777" w:rsidTr="005C319B">
        <w:trPr>
          <w:trHeight w:val="279"/>
        </w:trPr>
        <w:tc>
          <w:tcPr>
            <w:tcW w:w="2527" w:type="dxa"/>
            <w:vMerge w:val="restart"/>
            <w:tcBorders>
              <w:bottom w:val="single" w:sz="4" w:space="0" w:color="auto"/>
            </w:tcBorders>
            <w:vAlign w:val="center"/>
          </w:tcPr>
          <w:p w14:paraId="6441630A"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r w:rsidRPr="00511330">
              <w:rPr>
                <w:rFonts w:asciiTheme="majorBidi" w:hAnsiTheme="majorBidi" w:cstheme="majorBidi"/>
                <w:sz w:val="20"/>
                <w:szCs w:val="20"/>
                <w:lang w:val="en-US"/>
              </w:rPr>
              <w:t>Years of Experience</w:t>
            </w:r>
          </w:p>
          <w:p w14:paraId="6441630B" w14:textId="77777777" w:rsidR="008D3598" w:rsidRPr="00511330" w:rsidRDefault="008D3598" w:rsidP="00ED6132">
            <w:pPr>
              <w:tabs>
                <w:tab w:val="left" w:pos="1687"/>
              </w:tabs>
              <w:ind w:right="177"/>
              <w:jc w:val="center"/>
              <w:rPr>
                <w:rFonts w:asciiTheme="majorBidi" w:hAnsiTheme="majorBidi" w:cstheme="majorBidi"/>
                <w:sz w:val="20"/>
                <w:szCs w:val="20"/>
                <w:lang w:val="en-US"/>
              </w:rPr>
            </w:pPr>
            <w:r w:rsidRPr="00511330">
              <w:rPr>
                <w:rFonts w:asciiTheme="majorBidi" w:hAnsiTheme="majorBidi" w:cstheme="majorBidi"/>
                <w:sz w:val="20"/>
                <w:szCs w:val="20"/>
                <w:lang w:val="en-US"/>
              </w:rPr>
              <w:t>(For Employee only)</w:t>
            </w:r>
          </w:p>
        </w:tc>
        <w:tc>
          <w:tcPr>
            <w:tcW w:w="2418" w:type="dxa"/>
            <w:tcBorders>
              <w:bottom w:val="single" w:sz="4" w:space="0" w:color="auto"/>
            </w:tcBorders>
          </w:tcPr>
          <w:p w14:paraId="6441630C"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1-5 Years</w:t>
            </w:r>
          </w:p>
        </w:tc>
        <w:tc>
          <w:tcPr>
            <w:tcW w:w="1260" w:type="dxa"/>
            <w:tcBorders>
              <w:bottom w:val="single" w:sz="4" w:space="0" w:color="auto"/>
            </w:tcBorders>
          </w:tcPr>
          <w:p w14:paraId="6441630D"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33</w:t>
            </w:r>
          </w:p>
        </w:tc>
        <w:tc>
          <w:tcPr>
            <w:tcW w:w="1710" w:type="dxa"/>
            <w:tcBorders>
              <w:bottom w:val="single" w:sz="4" w:space="0" w:color="auto"/>
            </w:tcBorders>
          </w:tcPr>
          <w:p w14:paraId="6441630E"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9.32%</w:t>
            </w:r>
          </w:p>
        </w:tc>
      </w:tr>
      <w:tr w:rsidR="008D3598" w:rsidRPr="00511330" w14:paraId="64416314" w14:textId="77777777" w:rsidTr="005C319B">
        <w:tc>
          <w:tcPr>
            <w:tcW w:w="2527" w:type="dxa"/>
            <w:vMerge/>
          </w:tcPr>
          <w:p w14:paraId="64416310" w14:textId="77777777" w:rsidR="008D3598" w:rsidRPr="00511330" w:rsidRDefault="008D3598" w:rsidP="00721566">
            <w:pPr>
              <w:ind w:right="-450"/>
              <w:jc w:val="center"/>
              <w:rPr>
                <w:rFonts w:asciiTheme="majorBidi" w:hAnsiTheme="majorBidi" w:cstheme="majorBidi"/>
                <w:sz w:val="20"/>
                <w:szCs w:val="20"/>
                <w:lang w:val="en-US"/>
              </w:rPr>
            </w:pPr>
          </w:p>
        </w:tc>
        <w:tc>
          <w:tcPr>
            <w:tcW w:w="2418" w:type="dxa"/>
          </w:tcPr>
          <w:p w14:paraId="64416311"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6-10 Years</w:t>
            </w:r>
          </w:p>
        </w:tc>
        <w:tc>
          <w:tcPr>
            <w:tcW w:w="1260" w:type="dxa"/>
          </w:tcPr>
          <w:p w14:paraId="64416312"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35</w:t>
            </w:r>
          </w:p>
        </w:tc>
        <w:tc>
          <w:tcPr>
            <w:tcW w:w="1710" w:type="dxa"/>
          </w:tcPr>
          <w:p w14:paraId="64416313"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9.89%</w:t>
            </w:r>
          </w:p>
        </w:tc>
      </w:tr>
      <w:tr w:rsidR="008D3598" w:rsidRPr="00511330" w14:paraId="64416319" w14:textId="77777777" w:rsidTr="005C319B">
        <w:tc>
          <w:tcPr>
            <w:tcW w:w="2527" w:type="dxa"/>
            <w:vMerge/>
          </w:tcPr>
          <w:p w14:paraId="64416315" w14:textId="77777777" w:rsidR="008D3598" w:rsidRPr="00511330" w:rsidRDefault="008D3598" w:rsidP="00721566">
            <w:pPr>
              <w:ind w:right="-450"/>
              <w:jc w:val="center"/>
              <w:rPr>
                <w:rFonts w:asciiTheme="majorBidi" w:hAnsiTheme="majorBidi" w:cstheme="majorBidi"/>
                <w:sz w:val="20"/>
                <w:szCs w:val="20"/>
                <w:lang w:val="en-US"/>
              </w:rPr>
            </w:pPr>
          </w:p>
        </w:tc>
        <w:tc>
          <w:tcPr>
            <w:tcW w:w="2418" w:type="dxa"/>
          </w:tcPr>
          <w:p w14:paraId="64416316"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11-15 Years</w:t>
            </w:r>
          </w:p>
        </w:tc>
        <w:tc>
          <w:tcPr>
            <w:tcW w:w="1260" w:type="dxa"/>
          </w:tcPr>
          <w:p w14:paraId="64416317"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45</w:t>
            </w:r>
          </w:p>
        </w:tc>
        <w:tc>
          <w:tcPr>
            <w:tcW w:w="1710" w:type="dxa"/>
          </w:tcPr>
          <w:p w14:paraId="64416318"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12.71%</w:t>
            </w:r>
          </w:p>
        </w:tc>
      </w:tr>
      <w:tr w:rsidR="008D3598" w:rsidRPr="00511330" w14:paraId="6441631E" w14:textId="77777777" w:rsidTr="005C319B">
        <w:tc>
          <w:tcPr>
            <w:tcW w:w="2527" w:type="dxa"/>
            <w:vMerge/>
          </w:tcPr>
          <w:p w14:paraId="6441631A" w14:textId="77777777" w:rsidR="008D3598" w:rsidRPr="00511330" w:rsidRDefault="008D3598" w:rsidP="00721566">
            <w:pPr>
              <w:ind w:right="-450"/>
              <w:jc w:val="center"/>
              <w:rPr>
                <w:rFonts w:asciiTheme="majorBidi" w:hAnsiTheme="majorBidi" w:cstheme="majorBidi"/>
                <w:sz w:val="20"/>
                <w:szCs w:val="20"/>
                <w:lang w:val="en-US"/>
              </w:rPr>
            </w:pPr>
          </w:p>
        </w:tc>
        <w:tc>
          <w:tcPr>
            <w:tcW w:w="2418" w:type="dxa"/>
          </w:tcPr>
          <w:p w14:paraId="6441631B" w14:textId="77777777" w:rsidR="008D3598" w:rsidRPr="00511330" w:rsidRDefault="008D3598" w:rsidP="00ED6132">
            <w:pPr>
              <w:ind w:right="-18"/>
              <w:rPr>
                <w:rFonts w:asciiTheme="majorBidi" w:hAnsiTheme="majorBidi" w:cstheme="majorBidi"/>
                <w:sz w:val="20"/>
                <w:szCs w:val="20"/>
                <w:lang w:val="en-US"/>
              </w:rPr>
            </w:pPr>
            <w:r w:rsidRPr="00511330">
              <w:rPr>
                <w:rFonts w:asciiTheme="majorBidi" w:hAnsiTheme="majorBidi" w:cstheme="majorBidi"/>
                <w:sz w:val="20"/>
                <w:szCs w:val="20"/>
                <w:lang w:val="en-US"/>
              </w:rPr>
              <w:t>More than 16 Years</w:t>
            </w:r>
          </w:p>
        </w:tc>
        <w:tc>
          <w:tcPr>
            <w:tcW w:w="1260" w:type="dxa"/>
          </w:tcPr>
          <w:p w14:paraId="6441631C"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53</w:t>
            </w:r>
          </w:p>
        </w:tc>
        <w:tc>
          <w:tcPr>
            <w:tcW w:w="1710" w:type="dxa"/>
          </w:tcPr>
          <w:p w14:paraId="6441631D" w14:textId="77777777" w:rsidR="008D3598" w:rsidRPr="00511330" w:rsidRDefault="008D3598" w:rsidP="00ED6132">
            <w:pPr>
              <w:ind w:right="72"/>
              <w:jc w:val="center"/>
              <w:rPr>
                <w:rFonts w:asciiTheme="majorBidi" w:hAnsiTheme="majorBidi" w:cstheme="majorBidi"/>
                <w:sz w:val="20"/>
                <w:szCs w:val="20"/>
                <w:lang w:val="en-US"/>
              </w:rPr>
            </w:pPr>
            <w:r w:rsidRPr="00511330">
              <w:rPr>
                <w:rFonts w:asciiTheme="majorBidi" w:hAnsiTheme="majorBidi" w:cstheme="majorBidi"/>
                <w:sz w:val="20"/>
                <w:szCs w:val="20"/>
                <w:lang w:val="en-US"/>
              </w:rPr>
              <w:t>14.97%</w:t>
            </w:r>
          </w:p>
        </w:tc>
      </w:tr>
    </w:tbl>
    <w:p w14:paraId="6441631F" w14:textId="77777777" w:rsidR="008D3598" w:rsidRPr="00511330" w:rsidRDefault="008D3598" w:rsidP="00721566">
      <w:pPr>
        <w:ind w:right="-450"/>
        <w:rPr>
          <w:lang w:val="en-US"/>
        </w:rPr>
      </w:pPr>
    </w:p>
    <w:p w14:paraId="64416320" w14:textId="70F46685"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 In this study, 354 surveys were referred to for inputting data from the UAE’s energy sector. This </w:t>
      </w:r>
      <w:r w:rsidR="00BC0A03" w:rsidRPr="00511330">
        <w:rPr>
          <w:rFonts w:asciiTheme="majorBidi" w:hAnsiTheme="majorBidi" w:cstheme="majorBidi"/>
          <w:sz w:val="24"/>
          <w:szCs w:val="24"/>
          <w:lang w:val="en-US"/>
        </w:rPr>
        <w:t>study</w:t>
      </w:r>
      <w:r w:rsidRPr="00511330">
        <w:rPr>
          <w:rFonts w:asciiTheme="majorBidi" w:hAnsiTheme="majorBidi" w:cstheme="majorBidi"/>
          <w:sz w:val="24"/>
          <w:szCs w:val="24"/>
          <w:lang w:val="en-US"/>
        </w:rPr>
        <w:t xml:space="preserve"> presents large empirical study for movies, enablers, and barriers to change in renewable energy sector in an emerging market. Due to paucity of studies involving broad stakeholders’ perspective</w:t>
      </w:r>
      <w:r w:rsidR="00DA4BDE"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for change initiatives of motives, enablers, and barriers in renewable energy, this study acts as a bridge to close the gap for energy sector researchers and practitioner</w:t>
      </w:r>
      <w:r w:rsidR="00DA4BDE"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The results indicated a three-factor model of motives, four-factor model of enablers, as well as four-factor model of barriers to successful CM measures with a total of 74 items. </w:t>
      </w:r>
      <w:bookmarkStart w:id="601" w:name="_Toc32085827"/>
      <w:bookmarkStart w:id="602" w:name="_Toc32086012"/>
      <w:bookmarkStart w:id="603" w:name="_Toc32086199"/>
      <w:bookmarkStart w:id="604" w:name="_Toc32090336"/>
      <w:bookmarkStart w:id="605" w:name="_Toc32090666"/>
      <w:bookmarkStart w:id="606" w:name="_Toc32091582"/>
      <w:bookmarkEnd w:id="601"/>
      <w:bookmarkEnd w:id="602"/>
      <w:bookmarkEnd w:id="603"/>
      <w:bookmarkEnd w:id="604"/>
      <w:bookmarkEnd w:id="605"/>
      <w:bookmarkEnd w:id="606"/>
    </w:p>
    <w:p w14:paraId="64416321" w14:textId="77777777" w:rsidR="008D3598" w:rsidRPr="00511330" w:rsidRDefault="008D3598" w:rsidP="00721566">
      <w:pPr>
        <w:pStyle w:val="ListParagraph"/>
        <w:spacing w:line="480" w:lineRule="auto"/>
        <w:ind w:left="0" w:right="-450"/>
        <w:jc w:val="both"/>
        <w:rPr>
          <w:rFonts w:asciiTheme="majorBidi" w:eastAsiaTheme="majorEastAsia" w:hAnsiTheme="majorBidi" w:cstheme="majorBidi"/>
          <w:b/>
          <w:bCs/>
          <w:vanish/>
          <w:sz w:val="24"/>
          <w:lang w:val="en-US"/>
        </w:rPr>
      </w:pPr>
    </w:p>
    <w:p w14:paraId="64416322" w14:textId="77777777" w:rsidR="008D3598" w:rsidRPr="00511330" w:rsidRDefault="008D3598" w:rsidP="00721566">
      <w:pPr>
        <w:keepNext/>
        <w:keepLines/>
        <w:spacing w:before="200" w:after="0" w:line="480" w:lineRule="auto"/>
        <w:ind w:right="-450"/>
        <w:outlineLvl w:val="2"/>
        <w:rPr>
          <w:rFonts w:asciiTheme="majorBidi" w:eastAsiaTheme="majorEastAsia" w:hAnsiTheme="majorBidi" w:cstheme="majorBidi"/>
          <w:b/>
          <w:bCs/>
          <w:vanish/>
          <w:sz w:val="24"/>
          <w:lang w:val="en-US"/>
        </w:rPr>
      </w:pPr>
      <w:bookmarkStart w:id="607" w:name="_Toc32085828"/>
      <w:bookmarkStart w:id="608" w:name="_Toc32086013"/>
      <w:bookmarkStart w:id="609" w:name="_Toc32086200"/>
      <w:bookmarkStart w:id="610" w:name="_Toc32090337"/>
      <w:bookmarkStart w:id="611" w:name="_Toc32090667"/>
      <w:bookmarkStart w:id="612" w:name="_Toc32091583"/>
      <w:bookmarkStart w:id="613" w:name="_Toc32085829"/>
      <w:bookmarkStart w:id="614" w:name="_Toc32086014"/>
      <w:bookmarkStart w:id="615" w:name="_Toc32086201"/>
      <w:bookmarkStart w:id="616" w:name="_Toc32090338"/>
      <w:bookmarkStart w:id="617" w:name="_Toc32090668"/>
      <w:bookmarkStart w:id="618" w:name="_Toc32091584"/>
      <w:bookmarkStart w:id="619" w:name="_Toc32085830"/>
      <w:bookmarkStart w:id="620" w:name="_Toc32086015"/>
      <w:bookmarkStart w:id="621" w:name="_Toc32086202"/>
      <w:bookmarkStart w:id="622" w:name="_Toc32090339"/>
      <w:bookmarkStart w:id="623" w:name="_Toc32090669"/>
      <w:bookmarkStart w:id="624" w:name="_Toc32091585"/>
      <w:bookmarkStart w:id="625" w:name="_Toc32085832"/>
      <w:bookmarkStart w:id="626" w:name="_Toc32086017"/>
      <w:bookmarkStart w:id="627" w:name="_Toc32086204"/>
      <w:bookmarkStart w:id="628" w:name="_Toc32090341"/>
      <w:bookmarkStart w:id="629" w:name="_Toc32090671"/>
      <w:bookmarkStart w:id="630" w:name="_Toc32091587"/>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64416323" w14:textId="2343984D" w:rsidR="008D3598" w:rsidRPr="00511330" w:rsidRDefault="008D3598" w:rsidP="00EC3822">
      <w:pPr>
        <w:pStyle w:val="Heading2"/>
        <w:spacing w:after="240"/>
        <w:ind w:left="720" w:right="-450" w:hanging="720"/>
        <w:rPr>
          <w:lang w:val="en-US"/>
        </w:rPr>
      </w:pPr>
      <w:bookmarkStart w:id="631" w:name="_Toc43311631"/>
      <w:r w:rsidRPr="00511330">
        <w:rPr>
          <w:lang w:val="en-US"/>
        </w:rPr>
        <w:t xml:space="preserve">3.4. </w:t>
      </w:r>
      <w:r w:rsidR="00EC3822" w:rsidRPr="00511330">
        <w:rPr>
          <w:lang w:val="en-US"/>
        </w:rPr>
        <w:tab/>
      </w:r>
      <w:r w:rsidRPr="00511330">
        <w:rPr>
          <w:lang w:val="en-US"/>
        </w:rPr>
        <w:t>Phase 3 (Tools for Data Analysis)</w:t>
      </w:r>
      <w:bookmarkEnd w:id="631"/>
    </w:p>
    <w:p w14:paraId="64416324" w14:textId="08402680" w:rsidR="008D3598" w:rsidRPr="00511330" w:rsidRDefault="008D3598" w:rsidP="005C319B">
      <w:pPr>
        <w:spacing w:after="0"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third entails an analysis of the responses to determine the integrity and variance. Principle Component Analysis (PCA) is used to explain maximum amount of common variance with the smallest number of elements and factors. Moreover, CFA (Conformity Factor Analysis) is used to assess and further validate </w:t>
      </w:r>
      <w:r w:rsidRPr="00511330">
        <w:rPr>
          <w:rFonts w:asciiTheme="majorBidi" w:hAnsiTheme="majorBidi" w:cstheme="majorBidi"/>
          <w:sz w:val="24"/>
          <w:szCs w:val="24"/>
          <w:lang w:val="en-US"/>
        </w:rPr>
        <w:lastRenderedPageBreak/>
        <w:t xml:space="preserve">the constructs for the change motives, enablers and barriers in renewable energy sector. </w:t>
      </w:r>
    </w:p>
    <w:p w14:paraId="64416325" w14:textId="130D6719" w:rsidR="008D3598" w:rsidRPr="00511330" w:rsidRDefault="008D3598" w:rsidP="00721566">
      <w:pPr>
        <w:pStyle w:val="ListParagraph"/>
        <w:spacing w:after="0"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criterion</w:t>
      </w:r>
      <w:r w:rsidR="00DA4BDE"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related to validity of the measures on the framework was investigated through the utilization of two approaches. First, the convergent and discriminant validity is demonstrated by correlations. Secondly, the correlations among the elements of three motives, four enablers and barriers of successful CM, are analyzed. Thus, the convergent validity of this </w:t>
      </w:r>
      <w:r w:rsidR="00BC0A03" w:rsidRPr="00511330">
        <w:rPr>
          <w:rFonts w:asciiTheme="majorBidi" w:hAnsiTheme="majorBidi" w:cstheme="majorBidi"/>
          <w:sz w:val="24"/>
          <w:szCs w:val="24"/>
          <w:lang w:val="en-US"/>
        </w:rPr>
        <w:t>study</w:t>
      </w:r>
      <w:r w:rsidRPr="00511330">
        <w:rPr>
          <w:rFonts w:asciiTheme="majorBidi" w:hAnsiTheme="majorBidi" w:cstheme="majorBidi"/>
          <w:sz w:val="24"/>
          <w:szCs w:val="24"/>
          <w:lang w:val="en-US"/>
        </w:rPr>
        <w:t xml:space="preserve"> leads to high confidence in the new scale. Moreover, factor analytic techniques, including exploratory factor analysis and first- and second-order confirmatory factor analysis, are also employed. </w:t>
      </w:r>
    </w:p>
    <w:p w14:paraId="64416326" w14:textId="69D8D3F7" w:rsidR="008D3598" w:rsidRPr="00511330" w:rsidRDefault="008D3598" w:rsidP="00721566">
      <w:pPr>
        <w:pStyle w:val="ListParagraph"/>
        <w:spacing w:after="0"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Using 354 responses from energy sector in the UAE, the key aim of this </w:t>
      </w:r>
      <w:r w:rsidR="00BC0A03" w:rsidRPr="00511330">
        <w:rPr>
          <w:rFonts w:asciiTheme="majorBidi" w:hAnsiTheme="majorBidi" w:cstheme="majorBidi"/>
          <w:sz w:val="24"/>
          <w:szCs w:val="24"/>
          <w:lang w:val="en-US"/>
        </w:rPr>
        <w:t>study</w:t>
      </w:r>
      <w:r w:rsidRPr="00511330">
        <w:rPr>
          <w:rFonts w:asciiTheme="majorBidi" w:hAnsiTheme="majorBidi" w:cstheme="majorBidi"/>
          <w:sz w:val="24"/>
          <w:szCs w:val="24"/>
          <w:lang w:val="en-US"/>
        </w:rPr>
        <w:t xml:space="preserve"> is to: (1) establish and investigate constructs of motives, enabler and barriers for implementing CM practices; and (2) investigate and validate the relationship among these dominant factors by introducing a First and Second-</w:t>
      </w:r>
      <w:r w:rsidR="00DA4BDE" w:rsidRPr="00511330">
        <w:rPr>
          <w:rFonts w:asciiTheme="majorBidi" w:hAnsiTheme="majorBidi" w:cstheme="majorBidi"/>
          <w:sz w:val="24"/>
          <w:szCs w:val="24"/>
          <w:lang w:val="en-US"/>
        </w:rPr>
        <w:t>Orde</w:t>
      </w:r>
      <w:r w:rsidRPr="00511330">
        <w:rPr>
          <w:rFonts w:asciiTheme="majorBidi" w:hAnsiTheme="majorBidi" w:cstheme="majorBidi"/>
          <w:sz w:val="24"/>
          <w:szCs w:val="24"/>
          <w:lang w:val="en-US"/>
        </w:rPr>
        <w:t xml:space="preserve">r CFA model through testing the validity and reliability of a measurement scale in order to evaluate the facets inhibiting the implementation of CM practices. An Exploratory Factor Analysis (EFA) is used to uncover the underlying structure of the set of barriers identified. </w:t>
      </w:r>
    </w:p>
    <w:p w14:paraId="64416327" w14:textId="30760A89" w:rsidR="008D3598" w:rsidRPr="00511330" w:rsidRDefault="008D3598" w:rsidP="00721566">
      <w:pPr>
        <w:pStyle w:val="ListParagraph"/>
        <w:spacing w:after="0"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motives EFA model is used to uncover the underlying structure of the set of motives identified. This has led to a framework of change management motives, which, in turn, classifies the measurement items into three dimensions: Affiliate viability, Feasibility and satisfactory. Trust and Evolving with future visions. </w:t>
      </w:r>
      <w:r w:rsidR="009926AE" w:rsidRPr="00511330">
        <w:rPr>
          <w:rFonts w:asciiTheme="majorBidi" w:hAnsiTheme="majorBidi" w:cstheme="majorBidi"/>
          <w:sz w:val="24"/>
          <w:szCs w:val="24"/>
          <w:lang w:val="en-US"/>
        </w:rPr>
        <w:t>Aligning</w:t>
      </w:r>
      <w:r w:rsidRPr="00511330">
        <w:rPr>
          <w:rFonts w:asciiTheme="majorBidi" w:hAnsiTheme="majorBidi" w:cstheme="majorBidi"/>
          <w:sz w:val="24"/>
          <w:szCs w:val="24"/>
          <w:lang w:val="en-US"/>
        </w:rPr>
        <w:t xml:space="preserve"> perpetual change and Sustainability. Meanwhile, enablers EFA model is used to uncover the underlying structure of the set of enablers identified. This has </w:t>
      </w:r>
      <w:r w:rsidRPr="00511330">
        <w:rPr>
          <w:rFonts w:asciiTheme="majorBidi" w:hAnsiTheme="majorBidi" w:cstheme="majorBidi"/>
          <w:sz w:val="24"/>
          <w:szCs w:val="24"/>
          <w:lang w:val="en-US"/>
        </w:rPr>
        <w:lastRenderedPageBreak/>
        <w:t xml:space="preserve">resulted in a framework of change management enablers, which, in turn, classifies the measurement items into four dimensions: engagement of change </w:t>
      </w:r>
      <w:r w:rsidR="00DA4BDE" w:rsidRPr="00511330">
        <w:rPr>
          <w:rFonts w:asciiTheme="majorBidi" w:hAnsiTheme="majorBidi" w:cstheme="majorBidi"/>
          <w:sz w:val="24"/>
          <w:szCs w:val="24"/>
          <w:lang w:val="en-US"/>
        </w:rPr>
        <w:t xml:space="preserve">to </w:t>
      </w:r>
      <w:r w:rsidRPr="00511330">
        <w:rPr>
          <w:rFonts w:asciiTheme="majorBidi" w:hAnsiTheme="majorBidi" w:cstheme="majorBidi"/>
          <w:sz w:val="24"/>
          <w:szCs w:val="24"/>
          <w:lang w:val="en-US"/>
        </w:rPr>
        <w:t>stakeholder, aligning strategy and process, financial and human capabilities, and flexibility and feedback.</w:t>
      </w:r>
    </w:p>
    <w:p w14:paraId="64416328" w14:textId="77777777" w:rsidR="008D3598" w:rsidRPr="00511330" w:rsidRDefault="008D3598" w:rsidP="00721566">
      <w:pPr>
        <w:pStyle w:val="ListParagraph"/>
        <w:spacing w:after="0"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Lastly, barriers EFA model were used with framework of CM barriers, which classifies the measurement items into four dimensions: fear and negative perception, feeble communication, conflict of workforce commitment, and uncertain objectives. Further, CFA is used to test the significance of the first- and second-order models in addition to the relationships among items and scales. </w:t>
      </w:r>
    </w:p>
    <w:p w14:paraId="64416329" w14:textId="77777777" w:rsidR="008D3598" w:rsidRPr="00511330" w:rsidRDefault="008D3598" w:rsidP="00721566">
      <w:pPr>
        <w:pStyle w:val="ListParagraph"/>
        <w:spacing w:after="0"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Statistical Package for Social Sciences Amos (SPSS Amos) was used to analyze the collected data. Inferential analysis was performed using principal component analysis in order to extract the successful change management practice in an energy sector industry. For this purpose, Structural Equation Modelling (SEM) was performed to determine the relationships the successful change managements and their motivators, enablers and barriers. </w:t>
      </w:r>
    </w:p>
    <w:p w14:paraId="6441632A" w14:textId="77777777" w:rsidR="008D3598" w:rsidRPr="00511330" w:rsidRDefault="008D3598" w:rsidP="00721566">
      <w:pPr>
        <w:ind w:right="-450"/>
        <w:rPr>
          <w:rFonts w:asciiTheme="majorBidi" w:hAnsiTheme="majorBidi" w:cstheme="majorBidi"/>
          <w:sz w:val="24"/>
          <w:szCs w:val="24"/>
          <w:lang w:val="en-US"/>
        </w:rPr>
      </w:pPr>
      <w:r w:rsidRPr="00511330">
        <w:rPr>
          <w:rFonts w:asciiTheme="majorBidi" w:hAnsiTheme="majorBidi" w:cstheme="majorBidi"/>
          <w:sz w:val="24"/>
          <w:szCs w:val="24"/>
          <w:lang w:val="en-US"/>
        </w:rPr>
        <w:br w:type="page"/>
      </w:r>
    </w:p>
    <w:p w14:paraId="6441632C" w14:textId="77777777" w:rsidR="008D3598" w:rsidRPr="00511330" w:rsidRDefault="008D3598" w:rsidP="00721566">
      <w:pPr>
        <w:pStyle w:val="Heading1"/>
        <w:ind w:right="-450"/>
        <w:rPr>
          <w:rFonts w:eastAsia="Calibri"/>
          <w:lang w:val="en-US"/>
        </w:rPr>
      </w:pPr>
      <w:bookmarkStart w:id="632" w:name="_Toc43311632"/>
      <w:r w:rsidRPr="00511330">
        <w:rPr>
          <w:rFonts w:eastAsia="Calibri"/>
          <w:lang w:val="en-US"/>
        </w:rPr>
        <w:lastRenderedPageBreak/>
        <w:t>CHAPTER 4: DATA ANALYSIS</w:t>
      </w:r>
      <w:bookmarkEnd w:id="632"/>
    </w:p>
    <w:p w14:paraId="6441632D" w14:textId="77777777" w:rsidR="008D3598" w:rsidRPr="00511330" w:rsidRDefault="008D3598" w:rsidP="00721566">
      <w:pPr>
        <w:spacing w:after="200" w:line="480" w:lineRule="auto"/>
        <w:ind w:right="-450"/>
        <w:rPr>
          <w:rFonts w:asciiTheme="majorBidi" w:eastAsia="Calibri" w:hAnsiTheme="majorBidi" w:cstheme="majorBidi"/>
          <w:sz w:val="24"/>
          <w:szCs w:val="24"/>
          <w:lang w:val="en-US"/>
        </w:rPr>
      </w:pPr>
      <w:r w:rsidRPr="00511330">
        <w:rPr>
          <w:rFonts w:asciiTheme="majorBidi" w:eastAsia="Calibri" w:hAnsiTheme="majorBidi" w:cstheme="majorBidi"/>
          <w:b/>
          <w:bCs/>
          <w:sz w:val="24"/>
          <w:szCs w:val="24"/>
          <w:lang w:val="en-US"/>
        </w:rPr>
        <w:t>Structure of Chapter Four</w:t>
      </w:r>
    </w:p>
    <w:p w14:paraId="6441632E" w14:textId="77777777" w:rsidR="008D3598" w:rsidRPr="00511330" w:rsidRDefault="008D3598" w:rsidP="00721566">
      <w:pPr>
        <w:spacing w:after="20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noProof/>
          <w:sz w:val="24"/>
          <w:szCs w:val="24"/>
          <w:bdr w:val="single" w:sz="18" w:space="0" w:color="auto"/>
          <w:lang w:val="en-US"/>
        </w:rPr>
        <w:drawing>
          <wp:inline distT="0" distB="0" distL="0" distR="0" wp14:anchorId="64416D44" wp14:editId="0D1BA8F9">
            <wp:extent cx="4660135" cy="3316077"/>
            <wp:effectExtent l="0" t="0" r="2667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64416330" w14:textId="51C94A6A" w:rsidR="008D3598" w:rsidRPr="00511330" w:rsidRDefault="008D3598" w:rsidP="00480C69">
      <w:pPr>
        <w:spacing w:after="20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This chapter presents and analyzes the findings from the qualitative and qua</w:t>
      </w:r>
      <w:r w:rsidR="002311A5" w:rsidRPr="00511330">
        <w:rPr>
          <w:rFonts w:asciiTheme="majorBidi" w:eastAsia="Calibri" w:hAnsiTheme="majorBidi" w:cstheme="majorBidi"/>
          <w:sz w:val="24"/>
          <w:szCs w:val="24"/>
          <w:lang w:val="en-US"/>
        </w:rPr>
        <w:t>nt</w:t>
      </w:r>
      <w:r w:rsidRPr="00511330">
        <w:rPr>
          <w:rFonts w:asciiTheme="majorBidi" w:eastAsia="Calibri" w:hAnsiTheme="majorBidi" w:cstheme="majorBidi"/>
          <w:sz w:val="24"/>
          <w:szCs w:val="24"/>
          <w:lang w:val="en-US"/>
        </w:rPr>
        <w:t>itative methods applied in this research with regard to the Motivators, Enablers, and Barriers</w:t>
      </w:r>
      <w:r w:rsidRPr="00511330">
        <w:rPr>
          <w:rFonts w:asciiTheme="majorBidi" w:eastAsia="Calibri" w:hAnsiTheme="majorBidi" w:cstheme="majorBidi"/>
          <w:b/>
          <w:sz w:val="24"/>
          <w:szCs w:val="24"/>
          <w:lang w:val="en-US"/>
        </w:rPr>
        <w:t xml:space="preserve"> </w:t>
      </w:r>
      <w:r w:rsidRPr="00511330">
        <w:rPr>
          <w:rFonts w:asciiTheme="majorBidi" w:eastAsia="Calibri" w:hAnsiTheme="majorBidi" w:cstheme="majorBidi"/>
          <w:sz w:val="24"/>
          <w:szCs w:val="24"/>
          <w:lang w:val="en-US"/>
        </w:rPr>
        <w:t xml:space="preserve">of successful change management implementation in renewable energy sector in </w:t>
      </w:r>
      <w:r w:rsidR="00892A00" w:rsidRPr="00511330">
        <w:rPr>
          <w:rFonts w:asciiTheme="majorBidi" w:eastAsia="Calibri" w:hAnsiTheme="majorBidi" w:cstheme="majorBidi"/>
          <w:sz w:val="24"/>
          <w:szCs w:val="24"/>
          <w:lang w:val="en-US"/>
        </w:rPr>
        <w:t xml:space="preserve">the </w:t>
      </w:r>
      <w:r w:rsidRPr="00511330">
        <w:rPr>
          <w:rFonts w:asciiTheme="majorBidi" w:eastAsia="Calibri" w:hAnsiTheme="majorBidi" w:cstheme="majorBidi"/>
          <w:sz w:val="24"/>
          <w:szCs w:val="24"/>
          <w:lang w:val="en-US"/>
        </w:rPr>
        <w:t>UAE.</w:t>
      </w:r>
      <w:bookmarkStart w:id="633" w:name="_Toc32085835"/>
      <w:bookmarkStart w:id="634" w:name="_Toc32086020"/>
      <w:bookmarkStart w:id="635" w:name="_Toc32086207"/>
      <w:bookmarkStart w:id="636" w:name="_Toc32090344"/>
      <w:bookmarkStart w:id="637" w:name="_Toc32090674"/>
      <w:bookmarkStart w:id="638" w:name="_Toc32091590"/>
      <w:bookmarkStart w:id="639" w:name="_Toc32085836"/>
      <w:bookmarkStart w:id="640" w:name="_Toc32086021"/>
      <w:bookmarkStart w:id="641" w:name="_Toc32086208"/>
      <w:bookmarkStart w:id="642" w:name="_Toc32090345"/>
      <w:bookmarkStart w:id="643" w:name="_Toc32090675"/>
      <w:bookmarkStart w:id="644" w:name="_Toc32091591"/>
      <w:bookmarkStart w:id="645" w:name="_Toc32085838"/>
      <w:bookmarkStart w:id="646" w:name="_Toc32086023"/>
      <w:bookmarkStart w:id="647" w:name="_Toc32086210"/>
      <w:bookmarkStart w:id="648" w:name="_Toc32090347"/>
      <w:bookmarkStart w:id="649" w:name="_Toc32090677"/>
      <w:bookmarkStart w:id="650" w:name="_Toc32091593"/>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14:paraId="64416331" w14:textId="77777777" w:rsidR="008D3598" w:rsidRPr="00511330" w:rsidRDefault="008D3598" w:rsidP="00721566">
      <w:pPr>
        <w:pStyle w:val="ListParagraph"/>
        <w:keepNext/>
        <w:keepLines/>
        <w:spacing w:before="200" w:after="0" w:line="360" w:lineRule="auto"/>
        <w:ind w:left="360" w:right="-450"/>
        <w:contextualSpacing w:val="0"/>
        <w:outlineLvl w:val="1"/>
        <w:rPr>
          <w:rFonts w:asciiTheme="majorBidi" w:eastAsia="Calibri" w:hAnsiTheme="majorBidi" w:cstheme="majorBidi"/>
          <w:b/>
          <w:bCs/>
          <w:vanish/>
          <w:sz w:val="28"/>
          <w:szCs w:val="26"/>
          <w:lang w:val="en-US"/>
        </w:rPr>
      </w:pPr>
    </w:p>
    <w:p w14:paraId="6441634F" w14:textId="77777777" w:rsidR="008D3598" w:rsidRPr="00511330" w:rsidRDefault="008D3598" w:rsidP="00721566">
      <w:pPr>
        <w:pStyle w:val="ListParagraph"/>
        <w:keepNext/>
        <w:keepLines/>
        <w:spacing w:before="200" w:after="0" w:line="360" w:lineRule="auto"/>
        <w:ind w:left="360" w:right="-450"/>
        <w:contextualSpacing w:val="0"/>
        <w:outlineLvl w:val="1"/>
        <w:rPr>
          <w:rFonts w:asciiTheme="majorBidi" w:eastAsia="Calibri" w:hAnsiTheme="majorBidi" w:cstheme="majorBidi"/>
          <w:b/>
          <w:bCs/>
          <w:vanish/>
          <w:sz w:val="28"/>
          <w:szCs w:val="26"/>
          <w:lang w:val="en-US"/>
        </w:rPr>
      </w:pPr>
      <w:bookmarkStart w:id="651" w:name="_Toc32085840"/>
      <w:bookmarkStart w:id="652" w:name="_Toc32086025"/>
      <w:bookmarkStart w:id="653" w:name="_Toc32086212"/>
      <w:bookmarkStart w:id="654" w:name="_Toc32090349"/>
      <w:bookmarkStart w:id="655" w:name="_Toc32090679"/>
      <w:bookmarkStart w:id="656" w:name="_Toc32091595"/>
      <w:bookmarkStart w:id="657" w:name="_Toc32085841"/>
      <w:bookmarkStart w:id="658" w:name="_Toc32086026"/>
      <w:bookmarkStart w:id="659" w:name="_Toc32086213"/>
      <w:bookmarkStart w:id="660" w:name="_Toc32090350"/>
      <w:bookmarkStart w:id="661" w:name="_Toc32090680"/>
      <w:bookmarkStart w:id="662" w:name="_Toc32091596"/>
      <w:bookmarkStart w:id="663" w:name="_Toc32085842"/>
      <w:bookmarkStart w:id="664" w:name="_Toc32086027"/>
      <w:bookmarkStart w:id="665" w:name="_Toc32086214"/>
      <w:bookmarkStart w:id="666" w:name="_Toc32090351"/>
      <w:bookmarkStart w:id="667" w:name="_Toc32090681"/>
      <w:bookmarkStart w:id="668" w:name="_Toc32091597"/>
      <w:bookmarkStart w:id="669" w:name="_Toc32085843"/>
      <w:bookmarkStart w:id="670" w:name="_Toc32086028"/>
      <w:bookmarkStart w:id="671" w:name="_Toc32086215"/>
      <w:bookmarkStart w:id="672" w:name="_Toc32090352"/>
      <w:bookmarkStart w:id="673" w:name="_Toc32090682"/>
      <w:bookmarkStart w:id="674" w:name="_Toc32091598"/>
      <w:bookmarkStart w:id="675" w:name="_Toc32085844"/>
      <w:bookmarkStart w:id="676" w:name="_Toc32086029"/>
      <w:bookmarkStart w:id="677" w:name="_Toc32086216"/>
      <w:bookmarkStart w:id="678" w:name="_Toc32090353"/>
      <w:bookmarkStart w:id="679" w:name="_Toc32090683"/>
      <w:bookmarkStart w:id="680" w:name="_Toc32091599"/>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14:paraId="64416350" w14:textId="3B9D5B0C" w:rsidR="008D3598" w:rsidRPr="00511330" w:rsidRDefault="008D3598" w:rsidP="00306A39">
      <w:pPr>
        <w:pStyle w:val="Heading2"/>
        <w:tabs>
          <w:tab w:val="left" w:pos="450"/>
        </w:tabs>
        <w:spacing w:after="240"/>
        <w:ind w:right="-450"/>
        <w:rPr>
          <w:rFonts w:eastAsia="Calibri"/>
          <w:rtl/>
          <w:lang w:val="en-US" w:bidi="ar-AE"/>
        </w:rPr>
      </w:pPr>
      <w:bookmarkStart w:id="681" w:name="_Toc43311633"/>
      <w:r w:rsidRPr="00511330">
        <w:rPr>
          <w:rFonts w:eastAsia="Calibri"/>
          <w:lang w:val="en-US"/>
        </w:rPr>
        <w:t>4.</w:t>
      </w:r>
      <w:r w:rsidR="0062498A" w:rsidRPr="00511330">
        <w:rPr>
          <w:rFonts w:eastAsia="Calibri"/>
          <w:lang w:val="en-US"/>
        </w:rPr>
        <w:t>1</w:t>
      </w:r>
      <w:r w:rsidRPr="00511330">
        <w:rPr>
          <w:rFonts w:eastAsia="Calibri"/>
          <w:lang w:val="en-US"/>
        </w:rPr>
        <w:t xml:space="preserve">. </w:t>
      </w:r>
      <w:r w:rsidR="00EC3822" w:rsidRPr="00511330">
        <w:rPr>
          <w:rFonts w:eastAsia="Calibri"/>
          <w:lang w:val="en-US"/>
        </w:rPr>
        <w:tab/>
      </w:r>
      <w:r w:rsidRPr="00511330">
        <w:rPr>
          <w:rFonts w:eastAsia="Calibri"/>
          <w:lang w:val="en-US"/>
        </w:rPr>
        <w:t xml:space="preserve">Qualitative Analysis (Thematic </w:t>
      </w:r>
      <w:r w:rsidR="00306A39" w:rsidRPr="00511330">
        <w:rPr>
          <w:rFonts w:eastAsia="Calibri"/>
          <w:lang w:val="en-US"/>
        </w:rPr>
        <w:t>&amp;</w:t>
      </w:r>
      <w:r w:rsidRPr="00511330">
        <w:rPr>
          <w:rFonts w:eastAsia="Calibri"/>
          <w:lang w:val="en-US"/>
        </w:rPr>
        <w:t xml:space="preserve"> Commonality Approach)</w:t>
      </w:r>
      <w:bookmarkEnd w:id="681"/>
    </w:p>
    <w:p w14:paraId="64416351" w14:textId="409DF746" w:rsidR="008D3598" w:rsidRPr="00511330" w:rsidRDefault="008D3598" w:rsidP="00721566">
      <w:pPr>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The general perception of change usefulness or the aims of CM is known to vary among stakeholders, namely employees, top management, as well as customers and governments. Against this backdrop, the current study explores the issue and identifies the motivators, enablers, and barriers of CM in the energy sector by focusing on different stakeholder categories: customers, employees, top </w:t>
      </w:r>
      <w:r w:rsidRPr="00511330">
        <w:rPr>
          <w:rFonts w:asciiTheme="majorBidi" w:eastAsia="Calibri" w:hAnsiTheme="majorBidi" w:cstheme="majorBidi"/>
          <w:sz w:val="24"/>
          <w:szCs w:val="24"/>
          <w:lang w:val="en-US"/>
        </w:rPr>
        <w:lastRenderedPageBreak/>
        <w:t xml:space="preserve">management, and government. In addition, CM- related critical facilitating and barricading factors are explored with a structured method from the perspective of all stakeholders. A total of 75 face-to-face interviews were carried out in four different big energy organizations where information was extracted and coded in commonality analysis. The findings concluded that all stakeholders hold a common perception that community welfare/lifestyle, environmental aspects, and country brand/image are the top motives, in addition to effective/transparent communication, willingness, and flexibility serving as enablers. Additionally, global stability, fear, and change complications are among the main challenges facing CM. With special consideration to each stakeholder, a wide-range commonality analysis demonstrates the perceptions of stakeholders in terms of what drives, inhibits, and facilitates CM initiatives. Therefore, it would be more beneficial for energy companies to balance all anticipations of stakeholders to perform successful and sustainable CM. This study is among the first in the region’s energy sector to adopt a broad stakeholder perspective for motivators, enablers, and barriers of CM towards </w:t>
      </w:r>
      <w:r w:rsidR="00DD2E9F" w:rsidRPr="00511330">
        <w:rPr>
          <w:rFonts w:asciiTheme="majorBidi" w:eastAsia="Calibri" w:hAnsiTheme="majorBidi" w:cstheme="majorBidi"/>
          <w:sz w:val="24"/>
          <w:szCs w:val="24"/>
          <w:lang w:val="en-US"/>
        </w:rPr>
        <w:t>renewable</w:t>
      </w:r>
      <w:r w:rsidRPr="00511330">
        <w:rPr>
          <w:rFonts w:asciiTheme="majorBidi" w:eastAsia="Calibri" w:hAnsiTheme="majorBidi" w:cstheme="majorBidi"/>
          <w:sz w:val="24"/>
          <w:szCs w:val="24"/>
          <w:lang w:val="en-US"/>
        </w:rPr>
        <w:t xml:space="preserve"> energy. </w:t>
      </w:r>
    </w:p>
    <w:p w14:paraId="64416352" w14:textId="61942B85" w:rsidR="008D3598" w:rsidRPr="00511330" w:rsidRDefault="008D3598" w:rsidP="00721566">
      <w:pPr>
        <w:spacing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The employee-based interviews were targeted to specific categories that suit this research premised on the sections that are in touch with CM implementation for </w:t>
      </w:r>
      <w:r w:rsidR="00DD2E9F" w:rsidRPr="00511330">
        <w:rPr>
          <w:rFonts w:asciiTheme="majorBidi" w:eastAsia="Calibri" w:hAnsiTheme="majorBidi" w:cstheme="majorBidi"/>
          <w:sz w:val="24"/>
          <w:szCs w:val="24"/>
          <w:lang w:val="en-US"/>
        </w:rPr>
        <w:t>renewable</w:t>
      </w:r>
      <w:r w:rsidRPr="00511330">
        <w:rPr>
          <w:rFonts w:asciiTheme="majorBidi" w:eastAsia="Calibri" w:hAnsiTheme="majorBidi" w:cstheme="majorBidi"/>
          <w:sz w:val="24"/>
          <w:szCs w:val="24"/>
          <w:lang w:val="en-US"/>
        </w:rPr>
        <w:t xml:space="preserve"> energy. The selection of employees for interviews was based on the hierarchical position; the interview began from top management followed by middle management and then site engineers, who exhibited the knowhow about renewable energy. Furthermore, employees from different administration levels of front-line desks and customer relations were also interviewed. It may be worthwhile to mention that all selected personals were experienced and had a role </w:t>
      </w:r>
      <w:r w:rsidRPr="00511330">
        <w:rPr>
          <w:rFonts w:asciiTheme="majorBidi" w:eastAsia="Calibri" w:hAnsiTheme="majorBidi" w:cstheme="majorBidi"/>
          <w:sz w:val="24"/>
          <w:szCs w:val="24"/>
          <w:lang w:val="en-US"/>
        </w:rPr>
        <w:lastRenderedPageBreak/>
        <w:t xml:space="preserve">in previous and current CM within their respective organizations. Given the exploratory nature of this study, we exceeded the minimum criteria of 40 complete surveys in order to determine the sample size (Al-Amor </w:t>
      </w:r>
      <w:r w:rsidR="00715A2C" w:rsidRPr="00511330">
        <w:rPr>
          <w:rFonts w:asciiTheme="majorBidi" w:eastAsia="Calibri" w:hAnsiTheme="majorBidi" w:cstheme="majorBidi"/>
          <w:sz w:val="24"/>
          <w:szCs w:val="24"/>
          <w:lang w:val="en-US"/>
        </w:rPr>
        <w:t>and</w:t>
      </w:r>
      <w:r w:rsidRPr="00511330">
        <w:rPr>
          <w:rFonts w:asciiTheme="majorBidi" w:eastAsia="Calibri" w:hAnsiTheme="majorBidi" w:cstheme="majorBidi"/>
          <w:sz w:val="24"/>
          <w:szCs w:val="24"/>
          <w:lang w:val="en-US"/>
        </w:rPr>
        <w:t xml:space="preserve"> Hussain, 2017). The content validity in exploratory research is derived during concept elicitation and signifies the measurement property that assesses whether or not outcomes are comprehensive and adequately reflect the phenomenon for the population of interest (Brod et al., 2014).  Upon data collection, commonality analysis is used as it provides a common input from all participants in a canonical way (Frederick, 1999).</w:t>
      </w:r>
      <w:bookmarkStart w:id="682" w:name="_Toc32085846"/>
      <w:bookmarkStart w:id="683" w:name="_Toc32086031"/>
      <w:bookmarkStart w:id="684" w:name="_Toc32086218"/>
      <w:bookmarkStart w:id="685" w:name="_Toc32090355"/>
      <w:bookmarkStart w:id="686" w:name="_Toc32090685"/>
      <w:bookmarkStart w:id="687" w:name="_Toc32091601"/>
      <w:bookmarkStart w:id="688" w:name="_Toc32085847"/>
      <w:bookmarkStart w:id="689" w:name="_Toc32086032"/>
      <w:bookmarkStart w:id="690" w:name="_Toc32086219"/>
      <w:bookmarkStart w:id="691" w:name="_Toc32090356"/>
      <w:bookmarkStart w:id="692" w:name="_Toc32090686"/>
      <w:bookmarkStart w:id="693" w:name="_Toc32091602"/>
      <w:bookmarkStart w:id="694" w:name="_Toc32085848"/>
      <w:bookmarkStart w:id="695" w:name="_Toc32086033"/>
      <w:bookmarkStart w:id="696" w:name="_Toc32086220"/>
      <w:bookmarkStart w:id="697" w:name="_Toc32090357"/>
      <w:bookmarkStart w:id="698" w:name="_Toc32090687"/>
      <w:bookmarkStart w:id="699" w:name="_Toc32091603"/>
      <w:bookmarkStart w:id="700" w:name="_Toc32085849"/>
      <w:bookmarkStart w:id="701" w:name="_Toc32086034"/>
      <w:bookmarkStart w:id="702" w:name="_Toc32086221"/>
      <w:bookmarkStart w:id="703" w:name="_Toc32090358"/>
      <w:bookmarkStart w:id="704" w:name="_Toc32090688"/>
      <w:bookmarkStart w:id="705" w:name="_Toc32091604"/>
      <w:bookmarkStart w:id="706" w:name="_Toc32085850"/>
      <w:bookmarkStart w:id="707" w:name="_Toc32086035"/>
      <w:bookmarkStart w:id="708" w:name="_Toc32086222"/>
      <w:bookmarkStart w:id="709" w:name="_Toc32090359"/>
      <w:bookmarkStart w:id="710" w:name="_Toc32090689"/>
      <w:bookmarkStart w:id="711" w:name="_Toc32091605"/>
      <w:bookmarkStart w:id="712" w:name="_Toc32085851"/>
      <w:bookmarkStart w:id="713" w:name="_Toc32086036"/>
      <w:bookmarkStart w:id="714" w:name="_Toc32086223"/>
      <w:bookmarkStart w:id="715" w:name="_Toc32090360"/>
      <w:bookmarkStart w:id="716" w:name="_Toc32090690"/>
      <w:bookmarkStart w:id="717" w:name="_Toc32091606"/>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64416353" w14:textId="05CB46C2" w:rsidR="008D3598" w:rsidRPr="00511330" w:rsidRDefault="008D3598" w:rsidP="004862F1">
      <w:pPr>
        <w:pStyle w:val="Heading3"/>
        <w:spacing w:after="240"/>
        <w:ind w:left="720" w:right="-450" w:hanging="720"/>
        <w:rPr>
          <w:rFonts w:eastAsia="Calibri"/>
          <w:lang w:val="en-US"/>
        </w:rPr>
      </w:pPr>
      <w:bookmarkStart w:id="718" w:name="_Toc43311634"/>
      <w:r w:rsidRPr="00511330">
        <w:rPr>
          <w:rFonts w:eastAsia="Calibri"/>
          <w:lang w:val="en-US"/>
        </w:rPr>
        <w:t>4.</w:t>
      </w:r>
      <w:r w:rsidR="004862F1" w:rsidRPr="00511330">
        <w:rPr>
          <w:rFonts w:eastAsia="Calibri"/>
          <w:lang w:val="en-US"/>
        </w:rPr>
        <w:t>1.1</w:t>
      </w:r>
      <w:r w:rsidRPr="00511330">
        <w:rPr>
          <w:rFonts w:eastAsia="Calibri"/>
          <w:lang w:val="en-US"/>
        </w:rPr>
        <w:t xml:space="preserve"> </w:t>
      </w:r>
      <w:r w:rsidR="00EC3822" w:rsidRPr="00511330">
        <w:rPr>
          <w:rFonts w:eastAsia="Calibri"/>
          <w:lang w:val="en-US"/>
        </w:rPr>
        <w:tab/>
      </w:r>
      <w:r w:rsidRPr="00511330">
        <w:rPr>
          <w:rFonts w:eastAsia="Calibri"/>
          <w:lang w:val="en-US"/>
        </w:rPr>
        <w:t>CM Motivators from Stakeholders’ Perspective</w:t>
      </w:r>
      <w:bookmarkEnd w:id="718"/>
    </w:p>
    <w:p w14:paraId="64416354" w14:textId="319D8013" w:rsidR="008D3598" w:rsidRPr="00511330" w:rsidRDefault="008D3598" w:rsidP="00721566">
      <w:pPr>
        <w:spacing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A thorough analysis of the responses on the motivators of CM was presented randomly in Table 4.</w:t>
      </w:r>
      <w:r w:rsidR="000E22B2" w:rsidRPr="00511330">
        <w:rPr>
          <w:rFonts w:asciiTheme="majorBidi" w:eastAsia="Calibri" w:hAnsiTheme="majorBidi" w:cstheme="majorBidi"/>
          <w:sz w:val="24"/>
          <w:szCs w:val="24"/>
          <w:lang w:val="en-US"/>
        </w:rPr>
        <w:t>1</w:t>
      </w:r>
      <w:r w:rsidRPr="00511330">
        <w:rPr>
          <w:rFonts w:asciiTheme="majorBidi" w:eastAsia="Calibri" w:hAnsiTheme="majorBidi" w:cstheme="majorBidi"/>
          <w:sz w:val="24"/>
          <w:szCs w:val="24"/>
          <w:lang w:val="en-US"/>
        </w:rPr>
        <w:t xml:space="preserve"> to Table 4.</w:t>
      </w:r>
      <w:r w:rsidR="000E22B2" w:rsidRPr="00511330">
        <w:rPr>
          <w:rFonts w:asciiTheme="majorBidi" w:eastAsia="Calibri" w:hAnsiTheme="majorBidi" w:cstheme="majorBidi"/>
          <w:sz w:val="24"/>
          <w:szCs w:val="24"/>
          <w:lang w:val="en-US"/>
        </w:rPr>
        <w:t>4</w:t>
      </w:r>
      <w:r w:rsidRPr="00511330">
        <w:rPr>
          <w:rFonts w:asciiTheme="majorBidi" w:eastAsia="Calibri" w:hAnsiTheme="majorBidi" w:cstheme="majorBidi"/>
          <w:sz w:val="24"/>
          <w:szCs w:val="24"/>
          <w:lang w:val="en-US"/>
        </w:rPr>
        <w:t>. These motivators were reached after eliminating repetitive responses and grouping the responses that related to the same concept.  The final list of motivators was inclusive of 29 factors identified by customers, 32 by top management, 23 by employees, and 34 by governments.</w:t>
      </w:r>
    </w:p>
    <w:p w14:paraId="64416355" w14:textId="212FD277" w:rsidR="008D3598" w:rsidRPr="00511330" w:rsidRDefault="008D3598" w:rsidP="00BD6379">
      <w:pPr>
        <w:pStyle w:val="Caption"/>
        <w:keepNext/>
        <w:spacing w:after="0"/>
        <w:ind w:right="-450"/>
        <w:rPr>
          <w:rFonts w:asciiTheme="majorBidi" w:hAnsiTheme="majorBidi" w:cstheme="majorBidi"/>
          <w:b w:val="0"/>
          <w:bCs w:val="0"/>
          <w:color w:val="auto"/>
          <w:sz w:val="20"/>
          <w:szCs w:val="20"/>
          <w:lang w:val="en-US"/>
        </w:rPr>
      </w:pPr>
      <w:bookmarkStart w:id="719" w:name="_Toc43310891"/>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1</w:t>
      </w:r>
      <w:r w:rsidRPr="00511330">
        <w:rPr>
          <w:rFonts w:asciiTheme="majorBidi" w:hAnsiTheme="majorBidi" w:cstheme="majorBidi"/>
          <w:b w:val="0"/>
          <w:bCs w:val="0"/>
          <w:color w:val="auto"/>
          <w:sz w:val="20"/>
          <w:szCs w:val="20"/>
          <w:lang w:val="en-US"/>
        </w:rPr>
        <w:fldChar w:fldCharType="end"/>
      </w:r>
      <w:r w:rsidRPr="00511330">
        <w:rPr>
          <w:rFonts w:asciiTheme="majorBidi" w:hAnsiTheme="majorBidi" w:cstheme="majorBidi"/>
          <w:b w:val="0"/>
          <w:bCs w:val="0"/>
          <w:noProof/>
          <w:color w:val="auto"/>
          <w:sz w:val="20"/>
          <w:szCs w:val="20"/>
          <w:lang w:val="en-US"/>
        </w:rPr>
        <w:t xml:space="preserve">. </w:t>
      </w:r>
      <w:r w:rsidRPr="00511330">
        <w:rPr>
          <w:rFonts w:asciiTheme="majorBidi" w:hAnsiTheme="majorBidi" w:cstheme="majorBidi"/>
          <w:b w:val="0"/>
          <w:bCs w:val="0"/>
          <w:i/>
          <w:iCs/>
          <w:noProof/>
          <w:color w:val="auto"/>
          <w:sz w:val="20"/>
          <w:szCs w:val="20"/>
          <w:lang w:val="en-US"/>
        </w:rPr>
        <w:t xml:space="preserve">Motivators Reported by </w:t>
      </w:r>
      <w:r w:rsidRPr="00511330">
        <w:rPr>
          <w:rFonts w:asciiTheme="majorBidi" w:eastAsia="Calibri" w:hAnsiTheme="majorBidi" w:cstheme="majorBidi"/>
          <w:b w:val="0"/>
          <w:bCs w:val="0"/>
          <w:i/>
          <w:iCs/>
          <w:color w:val="auto"/>
          <w:sz w:val="20"/>
          <w:szCs w:val="20"/>
          <w:lang w:val="en-US"/>
        </w:rPr>
        <w:t>Customer Perspective</w:t>
      </w:r>
      <w:bookmarkEnd w:id="719"/>
    </w:p>
    <w:tbl>
      <w:tblPr>
        <w:tblStyle w:val="TableGrid1"/>
        <w:tblW w:w="7673" w:type="dxa"/>
        <w:tblInd w:w="-5" w:type="dxa"/>
        <w:tblLayout w:type="fixed"/>
        <w:tblLook w:val="04A0" w:firstRow="1" w:lastRow="0" w:firstColumn="1" w:lastColumn="0" w:noHBand="0" w:noVBand="1"/>
      </w:tblPr>
      <w:tblGrid>
        <w:gridCol w:w="540"/>
        <w:gridCol w:w="2859"/>
        <w:gridCol w:w="494"/>
        <w:gridCol w:w="3780"/>
      </w:tblGrid>
      <w:tr w:rsidR="008D3598" w:rsidRPr="00511330" w14:paraId="64416357" w14:textId="77777777" w:rsidTr="00BD6379">
        <w:trPr>
          <w:trHeight w:val="296"/>
        </w:trPr>
        <w:tc>
          <w:tcPr>
            <w:tcW w:w="7673" w:type="dxa"/>
            <w:gridSpan w:val="4"/>
            <w:shd w:val="clear" w:color="auto" w:fill="F2F2F2" w:themeFill="background1" w:themeFillShade="F2"/>
            <w:vAlign w:val="center"/>
          </w:tcPr>
          <w:p w14:paraId="64416356" w14:textId="77777777" w:rsidR="008D3598" w:rsidRPr="00511330" w:rsidRDefault="008D3598" w:rsidP="00721566">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CM Motivators from Customer Perspective</w:t>
            </w:r>
          </w:p>
        </w:tc>
      </w:tr>
      <w:tr w:rsidR="008D3598" w:rsidRPr="00511330" w14:paraId="6441635C" w14:textId="77777777" w:rsidTr="00BD6379">
        <w:trPr>
          <w:trHeight w:val="341"/>
        </w:trPr>
        <w:tc>
          <w:tcPr>
            <w:tcW w:w="540" w:type="dxa"/>
            <w:vAlign w:val="center"/>
          </w:tcPr>
          <w:p w14:paraId="64416358"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59"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Easy user adoption</w:t>
            </w:r>
          </w:p>
        </w:tc>
        <w:tc>
          <w:tcPr>
            <w:tcW w:w="494" w:type="dxa"/>
            <w:vAlign w:val="center"/>
          </w:tcPr>
          <w:p w14:paraId="6441635A"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5B"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Innovation drivers</w:t>
            </w:r>
          </w:p>
        </w:tc>
      </w:tr>
      <w:tr w:rsidR="008D3598" w:rsidRPr="00511330" w14:paraId="64416361" w14:textId="77777777" w:rsidTr="00BD6379">
        <w:trPr>
          <w:trHeight w:val="197"/>
        </w:trPr>
        <w:tc>
          <w:tcPr>
            <w:tcW w:w="540" w:type="dxa"/>
            <w:vAlign w:val="center"/>
          </w:tcPr>
          <w:p w14:paraId="6441635D"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5E"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Cost effectiveness</w:t>
            </w:r>
          </w:p>
        </w:tc>
        <w:tc>
          <w:tcPr>
            <w:tcW w:w="494" w:type="dxa"/>
            <w:vAlign w:val="center"/>
          </w:tcPr>
          <w:p w14:paraId="6441635F"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60"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Expectation and demand</w:t>
            </w:r>
          </w:p>
        </w:tc>
      </w:tr>
      <w:tr w:rsidR="008D3598" w:rsidRPr="00511330" w14:paraId="64416366" w14:textId="77777777" w:rsidTr="00BD6379">
        <w:tc>
          <w:tcPr>
            <w:tcW w:w="540" w:type="dxa"/>
            <w:vAlign w:val="center"/>
          </w:tcPr>
          <w:p w14:paraId="64416362"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63"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Variety of alternatives</w:t>
            </w:r>
          </w:p>
        </w:tc>
        <w:tc>
          <w:tcPr>
            <w:tcW w:w="494" w:type="dxa"/>
            <w:vAlign w:val="center"/>
          </w:tcPr>
          <w:p w14:paraId="64416364"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65"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CSR</w:t>
            </w:r>
          </w:p>
        </w:tc>
      </w:tr>
      <w:tr w:rsidR="008D3598" w:rsidRPr="00511330" w14:paraId="6441636B" w14:textId="77777777" w:rsidTr="00BD6379">
        <w:tc>
          <w:tcPr>
            <w:tcW w:w="540" w:type="dxa"/>
            <w:vAlign w:val="center"/>
          </w:tcPr>
          <w:p w14:paraId="64416367"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68"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Availabilities</w:t>
            </w:r>
          </w:p>
        </w:tc>
        <w:tc>
          <w:tcPr>
            <w:tcW w:w="494" w:type="dxa"/>
            <w:vAlign w:val="center"/>
          </w:tcPr>
          <w:p w14:paraId="64416369"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6A"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Health and safety</w:t>
            </w:r>
          </w:p>
        </w:tc>
      </w:tr>
      <w:tr w:rsidR="008D3598" w:rsidRPr="00511330" w14:paraId="64416370" w14:textId="77777777" w:rsidTr="00BD6379">
        <w:tc>
          <w:tcPr>
            <w:tcW w:w="540" w:type="dxa"/>
            <w:vAlign w:val="center"/>
          </w:tcPr>
          <w:p w14:paraId="6441636C"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6D"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Sustainability</w:t>
            </w:r>
          </w:p>
        </w:tc>
        <w:tc>
          <w:tcPr>
            <w:tcW w:w="494" w:type="dxa"/>
            <w:vAlign w:val="center"/>
          </w:tcPr>
          <w:p w14:paraId="6441636E"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6F"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Smart government approach</w:t>
            </w:r>
          </w:p>
        </w:tc>
      </w:tr>
      <w:tr w:rsidR="008D3598" w:rsidRPr="00511330" w14:paraId="64416375" w14:textId="77777777" w:rsidTr="00BD6379">
        <w:tc>
          <w:tcPr>
            <w:tcW w:w="540" w:type="dxa"/>
            <w:vAlign w:val="center"/>
          </w:tcPr>
          <w:p w14:paraId="64416371"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72"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Accountability</w:t>
            </w:r>
          </w:p>
        </w:tc>
        <w:tc>
          <w:tcPr>
            <w:tcW w:w="494" w:type="dxa"/>
            <w:vAlign w:val="center"/>
          </w:tcPr>
          <w:p w14:paraId="64416373"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74"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Fast delivery</w:t>
            </w:r>
          </w:p>
        </w:tc>
      </w:tr>
      <w:tr w:rsidR="008D3598" w:rsidRPr="00511330" w14:paraId="6441637A" w14:textId="77777777" w:rsidTr="00BD6379">
        <w:tc>
          <w:tcPr>
            <w:tcW w:w="540" w:type="dxa"/>
            <w:vAlign w:val="center"/>
          </w:tcPr>
          <w:p w14:paraId="64416376"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77"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Efficient use of resources</w:t>
            </w:r>
          </w:p>
        </w:tc>
        <w:tc>
          <w:tcPr>
            <w:tcW w:w="494" w:type="dxa"/>
            <w:vAlign w:val="center"/>
          </w:tcPr>
          <w:p w14:paraId="64416378"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79"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Eliminate waste</w:t>
            </w:r>
          </w:p>
        </w:tc>
      </w:tr>
      <w:tr w:rsidR="008D3598" w:rsidRPr="00511330" w14:paraId="6441637F" w14:textId="77777777" w:rsidTr="00BD6379">
        <w:tc>
          <w:tcPr>
            <w:tcW w:w="540" w:type="dxa"/>
            <w:vAlign w:val="center"/>
          </w:tcPr>
          <w:p w14:paraId="6441637B"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7C"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Eliminate complexity </w:t>
            </w:r>
          </w:p>
        </w:tc>
        <w:tc>
          <w:tcPr>
            <w:tcW w:w="494" w:type="dxa"/>
            <w:vAlign w:val="center"/>
          </w:tcPr>
          <w:p w14:paraId="6441637D"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7E"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Happiness and lifestyle</w:t>
            </w:r>
          </w:p>
        </w:tc>
      </w:tr>
      <w:tr w:rsidR="008D3598" w:rsidRPr="00511330" w14:paraId="64416384" w14:textId="77777777" w:rsidTr="00BD6379">
        <w:tc>
          <w:tcPr>
            <w:tcW w:w="540" w:type="dxa"/>
            <w:vAlign w:val="center"/>
          </w:tcPr>
          <w:p w14:paraId="64416380"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81"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Accessibility</w:t>
            </w:r>
          </w:p>
        </w:tc>
        <w:tc>
          <w:tcPr>
            <w:tcW w:w="494" w:type="dxa"/>
            <w:vAlign w:val="center"/>
          </w:tcPr>
          <w:p w14:paraId="64416382"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83"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Artificial intelligence (industrial)</w:t>
            </w:r>
          </w:p>
        </w:tc>
      </w:tr>
      <w:tr w:rsidR="008D3598" w:rsidRPr="00511330" w14:paraId="64416389" w14:textId="77777777" w:rsidTr="00BD6379">
        <w:tc>
          <w:tcPr>
            <w:tcW w:w="540" w:type="dxa"/>
            <w:vAlign w:val="center"/>
          </w:tcPr>
          <w:p w14:paraId="64416385"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86"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Ethics</w:t>
            </w:r>
          </w:p>
        </w:tc>
        <w:tc>
          <w:tcPr>
            <w:tcW w:w="494" w:type="dxa"/>
            <w:vAlign w:val="center"/>
          </w:tcPr>
          <w:p w14:paraId="64416387"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88"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Feasible/viable</w:t>
            </w:r>
          </w:p>
        </w:tc>
      </w:tr>
      <w:tr w:rsidR="008D3598" w:rsidRPr="00511330" w14:paraId="6441638E" w14:textId="77777777" w:rsidTr="00BD6379">
        <w:tc>
          <w:tcPr>
            <w:tcW w:w="540" w:type="dxa"/>
            <w:vAlign w:val="center"/>
          </w:tcPr>
          <w:p w14:paraId="6441638A"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8B" w14:textId="0E9E4FAF"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Lifestyle and balance</w:t>
            </w:r>
          </w:p>
        </w:tc>
        <w:tc>
          <w:tcPr>
            <w:tcW w:w="494" w:type="dxa"/>
            <w:vAlign w:val="center"/>
          </w:tcPr>
          <w:p w14:paraId="6441638C"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8D"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Fulfillment of demand</w:t>
            </w:r>
          </w:p>
        </w:tc>
      </w:tr>
      <w:tr w:rsidR="008D3598" w:rsidRPr="00511330" w14:paraId="64416393" w14:textId="77777777" w:rsidTr="00BD6379">
        <w:tc>
          <w:tcPr>
            <w:tcW w:w="540" w:type="dxa"/>
            <w:vAlign w:val="center"/>
          </w:tcPr>
          <w:p w14:paraId="6441638F"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90"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Less pollution</w:t>
            </w:r>
          </w:p>
        </w:tc>
        <w:tc>
          <w:tcPr>
            <w:tcW w:w="494" w:type="dxa"/>
            <w:vAlign w:val="center"/>
          </w:tcPr>
          <w:p w14:paraId="64416391"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92"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Reliable (industrial)</w:t>
            </w:r>
          </w:p>
        </w:tc>
      </w:tr>
      <w:tr w:rsidR="008D3598" w:rsidRPr="00511330" w14:paraId="64416398" w14:textId="77777777" w:rsidTr="00BD6379">
        <w:tc>
          <w:tcPr>
            <w:tcW w:w="540" w:type="dxa"/>
            <w:vAlign w:val="center"/>
          </w:tcPr>
          <w:p w14:paraId="64416394"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95"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Preserve Resources</w:t>
            </w:r>
          </w:p>
        </w:tc>
        <w:tc>
          <w:tcPr>
            <w:tcW w:w="494" w:type="dxa"/>
            <w:vAlign w:val="center"/>
          </w:tcPr>
          <w:p w14:paraId="64416396"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97"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Fairness and equality</w:t>
            </w:r>
          </w:p>
        </w:tc>
      </w:tr>
      <w:tr w:rsidR="008D3598" w:rsidRPr="00511330" w14:paraId="6441639D" w14:textId="77777777" w:rsidTr="00BD6379">
        <w:tc>
          <w:tcPr>
            <w:tcW w:w="540" w:type="dxa"/>
            <w:vAlign w:val="center"/>
          </w:tcPr>
          <w:p w14:paraId="64416399"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2859" w:type="dxa"/>
            <w:vAlign w:val="center"/>
          </w:tcPr>
          <w:p w14:paraId="6441639A"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Self -sufficiency</w:t>
            </w:r>
          </w:p>
        </w:tc>
        <w:tc>
          <w:tcPr>
            <w:tcW w:w="494" w:type="dxa"/>
            <w:vAlign w:val="center"/>
          </w:tcPr>
          <w:p w14:paraId="6441639B"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3780" w:type="dxa"/>
            <w:vAlign w:val="center"/>
          </w:tcPr>
          <w:p w14:paraId="6441639C"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Faith in government vision </w:t>
            </w:r>
          </w:p>
        </w:tc>
      </w:tr>
      <w:tr w:rsidR="008D3598" w:rsidRPr="00511330" w14:paraId="644163A0" w14:textId="77777777" w:rsidTr="00BD6379">
        <w:trPr>
          <w:trHeight w:val="269"/>
        </w:trPr>
        <w:tc>
          <w:tcPr>
            <w:tcW w:w="540" w:type="dxa"/>
            <w:vAlign w:val="center"/>
          </w:tcPr>
          <w:p w14:paraId="6441639E" w14:textId="77777777" w:rsidR="008D3598" w:rsidRPr="00511330" w:rsidRDefault="008D3598" w:rsidP="00721566">
            <w:pPr>
              <w:numPr>
                <w:ilvl w:val="0"/>
                <w:numId w:val="3"/>
              </w:numPr>
              <w:tabs>
                <w:tab w:val="left" w:pos="510"/>
              </w:tabs>
              <w:ind w:right="-450"/>
              <w:rPr>
                <w:rFonts w:asciiTheme="majorBidi" w:eastAsia="Calibri" w:hAnsiTheme="majorBidi" w:cstheme="majorBidi"/>
                <w:sz w:val="20"/>
                <w:szCs w:val="20"/>
                <w:lang w:val="en-US"/>
              </w:rPr>
            </w:pPr>
          </w:p>
        </w:tc>
        <w:tc>
          <w:tcPr>
            <w:tcW w:w="7133" w:type="dxa"/>
            <w:gridSpan w:val="3"/>
            <w:vAlign w:val="center"/>
          </w:tcPr>
          <w:p w14:paraId="6441639F"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Alignment with international practice</w:t>
            </w:r>
          </w:p>
        </w:tc>
      </w:tr>
    </w:tbl>
    <w:p w14:paraId="644163A1" w14:textId="77777777" w:rsidR="008D3598" w:rsidRPr="00511330" w:rsidRDefault="008D3598" w:rsidP="00721566">
      <w:pPr>
        <w:ind w:right="-450"/>
        <w:rPr>
          <w:lang w:val="en-US"/>
        </w:rPr>
      </w:pPr>
    </w:p>
    <w:p w14:paraId="644163A2" w14:textId="1443B930" w:rsidR="008D3598" w:rsidRPr="00511330" w:rsidRDefault="008D3598" w:rsidP="00BD6379">
      <w:pPr>
        <w:pStyle w:val="Caption"/>
        <w:keepNext/>
        <w:spacing w:after="0"/>
        <w:ind w:right="-450"/>
        <w:rPr>
          <w:rFonts w:asciiTheme="majorBidi" w:hAnsiTheme="majorBidi" w:cstheme="majorBidi"/>
          <w:b w:val="0"/>
          <w:bCs w:val="0"/>
          <w:color w:val="auto"/>
          <w:sz w:val="20"/>
          <w:szCs w:val="20"/>
          <w:lang w:val="en-US"/>
        </w:rPr>
      </w:pPr>
      <w:bookmarkStart w:id="720" w:name="_Toc43310892"/>
      <w:r w:rsidRPr="00511330">
        <w:rPr>
          <w:rFonts w:asciiTheme="majorBidi" w:hAnsiTheme="majorBidi" w:cstheme="majorBidi"/>
          <w:b w:val="0"/>
          <w:bCs w:val="0"/>
          <w:color w:val="auto"/>
          <w:sz w:val="20"/>
          <w:szCs w:val="20"/>
          <w:lang w:val="en-US"/>
        </w:rPr>
        <w:lastRenderedPageBreak/>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2</w:t>
      </w:r>
      <w:r w:rsidRPr="00511330">
        <w:rPr>
          <w:rFonts w:asciiTheme="majorBidi" w:hAnsiTheme="majorBidi" w:cstheme="majorBidi"/>
          <w:b w:val="0"/>
          <w:bCs w:val="0"/>
          <w:color w:val="auto"/>
          <w:sz w:val="20"/>
          <w:szCs w:val="20"/>
          <w:lang w:val="en-US"/>
        </w:rPr>
        <w:fldChar w:fldCharType="end"/>
      </w:r>
      <w:r w:rsidR="00BD6379"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 xml:space="preserve">Motivators Reported by Top </w:t>
      </w:r>
      <w:r w:rsidR="000E22B2" w:rsidRPr="00511330">
        <w:rPr>
          <w:rFonts w:asciiTheme="majorBidi" w:hAnsiTheme="majorBidi" w:cstheme="majorBidi"/>
          <w:b w:val="0"/>
          <w:bCs w:val="0"/>
          <w:i/>
          <w:iCs/>
          <w:color w:val="auto"/>
          <w:sz w:val="20"/>
          <w:szCs w:val="20"/>
          <w:lang w:val="en-US"/>
        </w:rPr>
        <w:t xml:space="preserve">Management </w:t>
      </w:r>
      <w:r w:rsidRPr="00511330">
        <w:rPr>
          <w:rFonts w:asciiTheme="majorBidi" w:hAnsiTheme="majorBidi" w:cstheme="majorBidi"/>
          <w:b w:val="0"/>
          <w:bCs w:val="0"/>
          <w:i/>
          <w:iCs/>
          <w:color w:val="auto"/>
          <w:sz w:val="20"/>
          <w:szCs w:val="20"/>
          <w:lang w:val="en-US"/>
        </w:rPr>
        <w:t>Perspective</w:t>
      </w:r>
      <w:bookmarkEnd w:id="720"/>
    </w:p>
    <w:tbl>
      <w:tblPr>
        <w:tblStyle w:val="TableGrid1"/>
        <w:tblW w:w="7673" w:type="dxa"/>
        <w:tblInd w:w="-5" w:type="dxa"/>
        <w:tblLayout w:type="fixed"/>
        <w:tblLook w:val="04A0" w:firstRow="1" w:lastRow="0" w:firstColumn="1" w:lastColumn="0" w:noHBand="0" w:noVBand="1"/>
      </w:tblPr>
      <w:tblGrid>
        <w:gridCol w:w="450"/>
        <w:gridCol w:w="2949"/>
        <w:gridCol w:w="494"/>
        <w:gridCol w:w="3780"/>
      </w:tblGrid>
      <w:tr w:rsidR="008D3598" w:rsidRPr="00511330" w14:paraId="644163A4" w14:textId="77777777" w:rsidTr="00BD6379">
        <w:trPr>
          <w:trHeight w:val="278"/>
        </w:trPr>
        <w:tc>
          <w:tcPr>
            <w:tcW w:w="7673" w:type="dxa"/>
            <w:gridSpan w:val="4"/>
            <w:shd w:val="clear" w:color="auto" w:fill="F2F2F2" w:themeFill="background1" w:themeFillShade="F2"/>
            <w:vAlign w:val="center"/>
          </w:tcPr>
          <w:p w14:paraId="644163A3" w14:textId="77777777" w:rsidR="008D3598" w:rsidRPr="00511330" w:rsidRDefault="008D3598" w:rsidP="00721566">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CM Motivators from Top Management Perspective</w:t>
            </w:r>
          </w:p>
        </w:tc>
      </w:tr>
      <w:tr w:rsidR="008D3598" w:rsidRPr="00511330" w14:paraId="644163A9" w14:textId="77777777" w:rsidTr="00BD6379">
        <w:tc>
          <w:tcPr>
            <w:tcW w:w="450" w:type="dxa"/>
            <w:vAlign w:val="center"/>
          </w:tcPr>
          <w:p w14:paraId="644163A5"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w:t>
            </w:r>
          </w:p>
        </w:tc>
        <w:tc>
          <w:tcPr>
            <w:tcW w:w="2949" w:type="dxa"/>
            <w:vAlign w:val="center"/>
          </w:tcPr>
          <w:p w14:paraId="644163A6"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Project ROI maximization</w:t>
            </w:r>
          </w:p>
        </w:tc>
        <w:tc>
          <w:tcPr>
            <w:tcW w:w="494" w:type="dxa"/>
            <w:vAlign w:val="center"/>
          </w:tcPr>
          <w:p w14:paraId="644163A7"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w:t>
            </w:r>
          </w:p>
        </w:tc>
        <w:tc>
          <w:tcPr>
            <w:tcW w:w="3780" w:type="dxa"/>
            <w:vAlign w:val="center"/>
          </w:tcPr>
          <w:p w14:paraId="644163A8"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Enhance corporate reputation</w:t>
            </w:r>
          </w:p>
        </w:tc>
      </w:tr>
      <w:tr w:rsidR="008D3598" w:rsidRPr="00511330" w14:paraId="644163AE" w14:textId="77777777" w:rsidTr="00BD6379">
        <w:tc>
          <w:tcPr>
            <w:tcW w:w="450" w:type="dxa"/>
            <w:vAlign w:val="center"/>
          </w:tcPr>
          <w:p w14:paraId="644163AA"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w:t>
            </w:r>
          </w:p>
        </w:tc>
        <w:tc>
          <w:tcPr>
            <w:tcW w:w="2949" w:type="dxa"/>
            <w:vAlign w:val="center"/>
          </w:tcPr>
          <w:p w14:paraId="644163AB"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Continuity and survival </w:t>
            </w:r>
          </w:p>
        </w:tc>
        <w:tc>
          <w:tcPr>
            <w:tcW w:w="494" w:type="dxa"/>
            <w:vAlign w:val="center"/>
          </w:tcPr>
          <w:p w14:paraId="644163AC"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4.</w:t>
            </w:r>
          </w:p>
        </w:tc>
        <w:tc>
          <w:tcPr>
            <w:tcW w:w="3780" w:type="dxa"/>
            <w:vAlign w:val="center"/>
          </w:tcPr>
          <w:p w14:paraId="644163AD"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Global requirements</w:t>
            </w:r>
          </w:p>
        </w:tc>
      </w:tr>
      <w:tr w:rsidR="008D3598" w:rsidRPr="00511330" w14:paraId="644163B3" w14:textId="77777777" w:rsidTr="00BD6379">
        <w:tc>
          <w:tcPr>
            <w:tcW w:w="450" w:type="dxa"/>
            <w:vAlign w:val="center"/>
          </w:tcPr>
          <w:p w14:paraId="644163AF"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w:t>
            </w:r>
          </w:p>
        </w:tc>
        <w:tc>
          <w:tcPr>
            <w:tcW w:w="2949" w:type="dxa"/>
            <w:vAlign w:val="center"/>
          </w:tcPr>
          <w:p w14:paraId="644163B0"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Capabilities &amp; competencies (individual/corporate)</w:t>
            </w:r>
          </w:p>
        </w:tc>
        <w:tc>
          <w:tcPr>
            <w:tcW w:w="494" w:type="dxa"/>
            <w:vAlign w:val="center"/>
          </w:tcPr>
          <w:p w14:paraId="644163B1"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w:t>
            </w:r>
          </w:p>
        </w:tc>
        <w:tc>
          <w:tcPr>
            <w:tcW w:w="3780" w:type="dxa"/>
            <w:vAlign w:val="center"/>
          </w:tcPr>
          <w:p w14:paraId="644163B2"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Challenges in the market’s continued evolvement</w:t>
            </w:r>
          </w:p>
        </w:tc>
      </w:tr>
      <w:tr w:rsidR="008D3598" w:rsidRPr="00511330" w14:paraId="644163B8" w14:textId="77777777" w:rsidTr="00BD6379">
        <w:tc>
          <w:tcPr>
            <w:tcW w:w="450" w:type="dxa"/>
            <w:vAlign w:val="center"/>
          </w:tcPr>
          <w:p w14:paraId="644163B4"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7.</w:t>
            </w:r>
          </w:p>
        </w:tc>
        <w:tc>
          <w:tcPr>
            <w:tcW w:w="2949" w:type="dxa"/>
            <w:vAlign w:val="center"/>
          </w:tcPr>
          <w:p w14:paraId="644163B5"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Distinctiveness </w:t>
            </w:r>
          </w:p>
        </w:tc>
        <w:tc>
          <w:tcPr>
            <w:tcW w:w="494" w:type="dxa"/>
            <w:vAlign w:val="center"/>
          </w:tcPr>
          <w:p w14:paraId="644163B6"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8.</w:t>
            </w:r>
          </w:p>
        </w:tc>
        <w:tc>
          <w:tcPr>
            <w:tcW w:w="3780" w:type="dxa"/>
            <w:vAlign w:val="center"/>
          </w:tcPr>
          <w:p w14:paraId="644163B7"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Environmental aspects </w:t>
            </w:r>
          </w:p>
        </w:tc>
      </w:tr>
      <w:tr w:rsidR="008D3598" w:rsidRPr="00511330" w14:paraId="644163BD" w14:textId="77777777" w:rsidTr="00BD6379">
        <w:tc>
          <w:tcPr>
            <w:tcW w:w="450" w:type="dxa"/>
            <w:vAlign w:val="center"/>
          </w:tcPr>
          <w:p w14:paraId="644163B9"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9.</w:t>
            </w:r>
          </w:p>
        </w:tc>
        <w:tc>
          <w:tcPr>
            <w:tcW w:w="2949" w:type="dxa"/>
            <w:vAlign w:val="center"/>
          </w:tcPr>
          <w:p w14:paraId="644163BA"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Better achievement and results</w:t>
            </w:r>
          </w:p>
        </w:tc>
        <w:tc>
          <w:tcPr>
            <w:tcW w:w="494" w:type="dxa"/>
            <w:vAlign w:val="center"/>
          </w:tcPr>
          <w:p w14:paraId="644163BB"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10</w:t>
            </w:r>
          </w:p>
        </w:tc>
        <w:tc>
          <w:tcPr>
            <w:tcW w:w="3780" w:type="dxa"/>
            <w:vAlign w:val="center"/>
          </w:tcPr>
          <w:p w14:paraId="644163BC"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Corporate objectives accomplishment </w:t>
            </w:r>
          </w:p>
        </w:tc>
      </w:tr>
      <w:tr w:rsidR="008D3598" w:rsidRPr="00511330" w14:paraId="644163C2" w14:textId="77777777" w:rsidTr="00BD6379">
        <w:tc>
          <w:tcPr>
            <w:tcW w:w="450" w:type="dxa"/>
            <w:vAlign w:val="center"/>
          </w:tcPr>
          <w:p w14:paraId="644163BE"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11</w:t>
            </w:r>
          </w:p>
        </w:tc>
        <w:tc>
          <w:tcPr>
            <w:tcW w:w="2949" w:type="dxa"/>
            <w:vAlign w:val="center"/>
          </w:tcPr>
          <w:p w14:paraId="644163BF" w14:textId="5601F4D1"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Aligning practice with values (</w:t>
            </w:r>
            <w:r w:rsidR="00BE0323" w:rsidRPr="00511330">
              <w:rPr>
                <w:rFonts w:asciiTheme="majorBidi" w:eastAsia="Calibri" w:hAnsiTheme="majorBidi" w:cstheme="majorBidi"/>
                <w:sz w:val="20"/>
                <w:szCs w:val="20"/>
                <w:lang w:val="en-US"/>
              </w:rPr>
              <w:t xml:space="preserve">renewable </w:t>
            </w:r>
            <w:r w:rsidRPr="00511330">
              <w:rPr>
                <w:rFonts w:asciiTheme="majorBidi" w:eastAsia="Calibri" w:hAnsiTheme="majorBidi" w:cstheme="majorBidi"/>
                <w:sz w:val="20"/>
                <w:szCs w:val="20"/>
                <w:lang w:val="en-US"/>
              </w:rPr>
              <w:t xml:space="preserve"> energy)</w:t>
            </w:r>
          </w:p>
        </w:tc>
        <w:tc>
          <w:tcPr>
            <w:tcW w:w="494" w:type="dxa"/>
            <w:vAlign w:val="center"/>
          </w:tcPr>
          <w:p w14:paraId="644163C0"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12</w:t>
            </w:r>
          </w:p>
        </w:tc>
        <w:tc>
          <w:tcPr>
            <w:tcW w:w="3780" w:type="dxa"/>
            <w:vAlign w:val="center"/>
          </w:tcPr>
          <w:p w14:paraId="644163C1"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Governing performance management system</w:t>
            </w:r>
          </w:p>
        </w:tc>
      </w:tr>
      <w:tr w:rsidR="008D3598" w:rsidRPr="00511330" w14:paraId="644163C7" w14:textId="77777777" w:rsidTr="00BD6379">
        <w:tc>
          <w:tcPr>
            <w:tcW w:w="450" w:type="dxa"/>
            <w:vAlign w:val="center"/>
          </w:tcPr>
          <w:p w14:paraId="644163C3"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13.</w:t>
            </w:r>
          </w:p>
        </w:tc>
        <w:tc>
          <w:tcPr>
            <w:tcW w:w="2949" w:type="dxa"/>
            <w:vAlign w:val="center"/>
          </w:tcPr>
          <w:p w14:paraId="644163C4"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Continuous improvements</w:t>
            </w:r>
          </w:p>
        </w:tc>
        <w:tc>
          <w:tcPr>
            <w:tcW w:w="494" w:type="dxa"/>
            <w:vAlign w:val="center"/>
          </w:tcPr>
          <w:p w14:paraId="644163C5"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14</w:t>
            </w:r>
          </w:p>
        </w:tc>
        <w:tc>
          <w:tcPr>
            <w:tcW w:w="3780" w:type="dxa"/>
            <w:vAlign w:val="center"/>
          </w:tcPr>
          <w:p w14:paraId="644163C6"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Governments excellence reward</w:t>
            </w:r>
          </w:p>
        </w:tc>
      </w:tr>
      <w:tr w:rsidR="008D3598" w:rsidRPr="00511330" w14:paraId="644163CC" w14:textId="77777777" w:rsidTr="00BD6379">
        <w:tc>
          <w:tcPr>
            <w:tcW w:w="450" w:type="dxa"/>
            <w:vAlign w:val="center"/>
          </w:tcPr>
          <w:p w14:paraId="644163C8"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15.</w:t>
            </w:r>
          </w:p>
        </w:tc>
        <w:tc>
          <w:tcPr>
            <w:tcW w:w="2949" w:type="dxa"/>
            <w:vAlign w:val="center"/>
          </w:tcPr>
          <w:p w14:paraId="644163C9"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Reduce waste and cost</w:t>
            </w:r>
          </w:p>
        </w:tc>
        <w:tc>
          <w:tcPr>
            <w:tcW w:w="494" w:type="dxa"/>
            <w:vAlign w:val="center"/>
          </w:tcPr>
          <w:p w14:paraId="644163CA"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16</w:t>
            </w:r>
          </w:p>
        </w:tc>
        <w:tc>
          <w:tcPr>
            <w:tcW w:w="3780" w:type="dxa"/>
            <w:vAlign w:val="center"/>
          </w:tcPr>
          <w:p w14:paraId="644163CB"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Knowledge sharing </w:t>
            </w:r>
          </w:p>
        </w:tc>
      </w:tr>
      <w:tr w:rsidR="008D3598" w:rsidRPr="00511330" w14:paraId="644163D1" w14:textId="77777777" w:rsidTr="00BD6379">
        <w:tc>
          <w:tcPr>
            <w:tcW w:w="450" w:type="dxa"/>
            <w:vAlign w:val="center"/>
          </w:tcPr>
          <w:p w14:paraId="644163CD"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17.</w:t>
            </w:r>
          </w:p>
        </w:tc>
        <w:tc>
          <w:tcPr>
            <w:tcW w:w="2949" w:type="dxa"/>
            <w:vAlign w:val="center"/>
          </w:tcPr>
          <w:p w14:paraId="644163CE"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Trusting government’s visions </w:t>
            </w:r>
          </w:p>
        </w:tc>
        <w:tc>
          <w:tcPr>
            <w:tcW w:w="494" w:type="dxa"/>
            <w:vAlign w:val="center"/>
          </w:tcPr>
          <w:p w14:paraId="644163CF"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18</w:t>
            </w:r>
          </w:p>
        </w:tc>
        <w:tc>
          <w:tcPr>
            <w:tcW w:w="3780" w:type="dxa"/>
            <w:vAlign w:val="center"/>
          </w:tcPr>
          <w:p w14:paraId="644163D0"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Governmental commitments </w:t>
            </w:r>
          </w:p>
        </w:tc>
      </w:tr>
      <w:tr w:rsidR="008D3598" w:rsidRPr="00511330" w14:paraId="644163D6" w14:textId="77777777" w:rsidTr="00BD6379">
        <w:tc>
          <w:tcPr>
            <w:tcW w:w="450" w:type="dxa"/>
            <w:vAlign w:val="center"/>
          </w:tcPr>
          <w:p w14:paraId="644163D2"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19.</w:t>
            </w:r>
          </w:p>
        </w:tc>
        <w:tc>
          <w:tcPr>
            <w:tcW w:w="2949" w:type="dxa"/>
            <w:vAlign w:val="center"/>
          </w:tcPr>
          <w:p w14:paraId="644163D3"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Competition and self-prove</w:t>
            </w:r>
          </w:p>
        </w:tc>
        <w:tc>
          <w:tcPr>
            <w:tcW w:w="494" w:type="dxa"/>
            <w:vAlign w:val="center"/>
          </w:tcPr>
          <w:p w14:paraId="644163D4"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20</w:t>
            </w:r>
          </w:p>
        </w:tc>
        <w:tc>
          <w:tcPr>
            <w:tcW w:w="3780" w:type="dxa"/>
            <w:vAlign w:val="center"/>
          </w:tcPr>
          <w:p w14:paraId="644163D5"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High demand Fulfillment </w:t>
            </w:r>
          </w:p>
        </w:tc>
      </w:tr>
      <w:tr w:rsidR="008D3598" w:rsidRPr="00511330" w14:paraId="644163DB" w14:textId="77777777" w:rsidTr="00BD6379">
        <w:tc>
          <w:tcPr>
            <w:tcW w:w="450" w:type="dxa"/>
            <w:vAlign w:val="center"/>
          </w:tcPr>
          <w:p w14:paraId="644163D7"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21.</w:t>
            </w:r>
          </w:p>
        </w:tc>
        <w:tc>
          <w:tcPr>
            <w:tcW w:w="2949" w:type="dxa"/>
            <w:vAlign w:val="center"/>
          </w:tcPr>
          <w:p w14:paraId="644163D8"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Opportunity for learning</w:t>
            </w:r>
          </w:p>
        </w:tc>
        <w:tc>
          <w:tcPr>
            <w:tcW w:w="494" w:type="dxa"/>
            <w:vAlign w:val="center"/>
          </w:tcPr>
          <w:p w14:paraId="644163D9"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22</w:t>
            </w:r>
          </w:p>
        </w:tc>
        <w:tc>
          <w:tcPr>
            <w:tcW w:w="3780" w:type="dxa"/>
            <w:vAlign w:val="center"/>
          </w:tcPr>
          <w:p w14:paraId="644163DA"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Future competitiveness</w:t>
            </w:r>
          </w:p>
        </w:tc>
      </w:tr>
      <w:tr w:rsidR="008D3598" w:rsidRPr="00511330" w14:paraId="644163E0" w14:textId="77777777" w:rsidTr="00BD6379">
        <w:tc>
          <w:tcPr>
            <w:tcW w:w="450" w:type="dxa"/>
            <w:vAlign w:val="center"/>
          </w:tcPr>
          <w:p w14:paraId="644163DC"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23.</w:t>
            </w:r>
          </w:p>
        </w:tc>
        <w:tc>
          <w:tcPr>
            <w:tcW w:w="2949" w:type="dxa"/>
            <w:vAlign w:val="center"/>
          </w:tcPr>
          <w:p w14:paraId="644163DD"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Innovation</w:t>
            </w:r>
          </w:p>
        </w:tc>
        <w:tc>
          <w:tcPr>
            <w:tcW w:w="494" w:type="dxa"/>
            <w:vAlign w:val="center"/>
          </w:tcPr>
          <w:p w14:paraId="644163DE"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24</w:t>
            </w:r>
          </w:p>
        </w:tc>
        <w:tc>
          <w:tcPr>
            <w:tcW w:w="3780" w:type="dxa"/>
            <w:vAlign w:val="center"/>
          </w:tcPr>
          <w:p w14:paraId="644163DF"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Readiness </w:t>
            </w:r>
          </w:p>
        </w:tc>
      </w:tr>
      <w:tr w:rsidR="008D3598" w:rsidRPr="00511330" w14:paraId="644163E5" w14:textId="77777777" w:rsidTr="00BD6379">
        <w:tc>
          <w:tcPr>
            <w:tcW w:w="450" w:type="dxa"/>
            <w:vAlign w:val="center"/>
          </w:tcPr>
          <w:p w14:paraId="644163E1"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25.</w:t>
            </w:r>
          </w:p>
        </w:tc>
        <w:tc>
          <w:tcPr>
            <w:tcW w:w="2949" w:type="dxa"/>
            <w:vAlign w:val="center"/>
          </w:tcPr>
          <w:p w14:paraId="644163E2"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Worldwide accreditations</w:t>
            </w:r>
          </w:p>
        </w:tc>
        <w:tc>
          <w:tcPr>
            <w:tcW w:w="494" w:type="dxa"/>
            <w:vAlign w:val="center"/>
          </w:tcPr>
          <w:p w14:paraId="644163E3"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26</w:t>
            </w:r>
          </w:p>
        </w:tc>
        <w:tc>
          <w:tcPr>
            <w:tcW w:w="3780" w:type="dxa"/>
            <w:vAlign w:val="center"/>
          </w:tcPr>
          <w:p w14:paraId="644163E4"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Health and safety</w:t>
            </w:r>
          </w:p>
        </w:tc>
      </w:tr>
      <w:tr w:rsidR="008D3598" w:rsidRPr="00511330" w14:paraId="644163EA" w14:textId="77777777" w:rsidTr="00BD6379">
        <w:tc>
          <w:tcPr>
            <w:tcW w:w="450" w:type="dxa"/>
            <w:vAlign w:val="center"/>
          </w:tcPr>
          <w:p w14:paraId="644163E6"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27.</w:t>
            </w:r>
          </w:p>
        </w:tc>
        <w:tc>
          <w:tcPr>
            <w:tcW w:w="2949" w:type="dxa"/>
            <w:vAlign w:val="center"/>
          </w:tcPr>
          <w:p w14:paraId="644163E7"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Customer orientation</w:t>
            </w:r>
          </w:p>
        </w:tc>
        <w:tc>
          <w:tcPr>
            <w:tcW w:w="494" w:type="dxa"/>
            <w:vAlign w:val="center"/>
          </w:tcPr>
          <w:p w14:paraId="644163E8"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28</w:t>
            </w:r>
          </w:p>
        </w:tc>
        <w:tc>
          <w:tcPr>
            <w:tcW w:w="3780" w:type="dxa"/>
            <w:vAlign w:val="center"/>
          </w:tcPr>
          <w:p w14:paraId="644163E9"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Smart variable consumption</w:t>
            </w:r>
          </w:p>
        </w:tc>
      </w:tr>
      <w:tr w:rsidR="008D3598" w:rsidRPr="00511330" w14:paraId="644163EF" w14:textId="77777777" w:rsidTr="00BD6379">
        <w:tc>
          <w:tcPr>
            <w:tcW w:w="450" w:type="dxa"/>
            <w:vAlign w:val="center"/>
          </w:tcPr>
          <w:p w14:paraId="644163EB"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29.</w:t>
            </w:r>
          </w:p>
        </w:tc>
        <w:tc>
          <w:tcPr>
            <w:tcW w:w="2949" w:type="dxa"/>
            <w:vAlign w:val="center"/>
          </w:tcPr>
          <w:p w14:paraId="644163EC"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Updated with new approach</w:t>
            </w:r>
          </w:p>
        </w:tc>
        <w:tc>
          <w:tcPr>
            <w:tcW w:w="494" w:type="dxa"/>
            <w:vAlign w:val="center"/>
          </w:tcPr>
          <w:p w14:paraId="644163ED"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30</w:t>
            </w:r>
          </w:p>
        </w:tc>
        <w:tc>
          <w:tcPr>
            <w:tcW w:w="3780" w:type="dxa"/>
            <w:vAlign w:val="center"/>
          </w:tcPr>
          <w:p w14:paraId="644163EE"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Artificial intelligence</w:t>
            </w:r>
          </w:p>
        </w:tc>
      </w:tr>
      <w:tr w:rsidR="008D3598" w:rsidRPr="00511330" w14:paraId="644163F4" w14:textId="77777777" w:rsidTr="00BD6379">
        <w:tc>
          <w:tcPr>
            <w:tcW w:w="450" w:type="dxa"/>
            <w:vAlign w:val="center"/>
          </w:tcPr>
          <w:p w14:paraId="644163F0"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31.</w:t>
            </w:r>
          </w:p>
        </w:tc>
        <w:tc>
          <w:tcPr>
            <w:tcW w:w="2949" w:type="dxa"/>
            <w:vAlign w:val="center"/>
          </w:tcPr>
          <w:p w14:paraId="644163F1" w14:textId="77777777" w:rsidR="008D3598" w:rsidRPr="00511330" w:rsidRDefault="008D3598" w:rsidP="00BE0323">
            <w:pPr>
              <w:ind w:right="-3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Resources utilization</w:t>
            </w:r>
          </w:p>
        </w:tc>
        <w:tc>
          <w:tcPr>
            <w:tcW w:w="494" w:type="dxa"/>
            <w:vAlign w:val="center"/>
          </w:tcPr>
          <w:p w14:paraId="644163F2"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32</w:t>
            </w:r>
          </w:p>
        </w:tc>
        <w:tc>
          <w:tcPr>
            <w:tcW w:w="3780" w:type="dxa"/>
            <w:vAlign w:val="center"/>
          </w:tcPr>
          <w:p w14:paraId="644163F3"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Welfare and lifestyle </w:t>
            </w:r>
          </w:p>
        </w:tc>
      </w:tr>
    </w:tbl>
    <w:p w14:paraId="644163F5" w14:textId="77777777" w:rsidR="008D3598" w:rsidRPr="00511330" w:rsidRDefault="008D3598" w:rsidP="00721566">
      <w:pPr>
        <w:ind w:right="-450"/>
        <w:rPr>
          <w:lang w:val="en-US"/>
        </w:rPr>
      </w:pPr>
    </w:p>
    <w:p w14:paraId="644163F6" w14:textId="566A4783" w:rsidR="008D3598" w:rsidRPr="00511330" w:rsidRDefault="008D3598" w:rsidP="00BD6379">
      <w:pPr>
        <w:pStyle w:val="Caption"/>
        <w:keepNext/>
        <w:spacing w:after="0"/>
        <w:ind w:right="-450"/>
        <w:rPr>
          <w:rFonts w:asciiTheme="majorBidi" w:hAnsiTheme="majorBidi" w:cstheme="majorBidi"/>
          <w:b w:val="0"/>
          <w:bCs w:val="0"/>
          <w:color w:val="auto"/>
          <w:sz w:val="20"/>
          <w:szCs w:val="20"/>
          <w:lang w:val="en-US"/>
        </w:rPr>
      </w:pPr>
      <w:bookmarkStart w:id="721" w:name="_Toc43310893"/>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3</w:t>
      </w:r>
      <w:r w:rsidRPr="00511330">
        <w:rPr>
          <w:rFonts w:asciiTheme="majorBidi" w:hAnsiTheme="majorBidi" w:cstheme="majorBidi"/>
          <w:b w:val="0"/>
          <w:bCs w:val="0"/>
          <w:color w:val="auto"/>
          <w:sz w:val="20"/>
          <w:szCs w:val="20"/>
          <w:lang w:val="en-US"/>
        </w:rPr>
        <w:fldChar w:fldCharType="end"/>
      </w:r>
      <w:r w:rsidR="00BD6379"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Motivators Reported by Employees Perspective</w:t>
      </w:r>
      <w:bookmarkEnd w:id="721"/>
    </w:p>
    <w:tbl>
      <w:tblPr>
        <w:tblStyle w:val="TableGrid1"/>
        <w:tblW w:w="7673" w:type="dxa"/>
        <w:tblInd w:w="-5" w:type="dxa"/>
        <w:tblLayout w:type="fixed"/>
        <w:tblLook w:val="04A0" w:firstRow="1" w:lastRow="0" w:firstColumn="1" w:lastColumn="0" w:noHBand="0" w:noVBand="1"/>
      </w:tblPr>
      <w:tblGrid>
        <w:gridCol w:w="450"/>
        <w:gridCol w:w="2949"/>
        <w:gridCol w:w="516"/>
        <w:gridCol w:w="3758"/>
      </w:tblGrid>
      <w:tr w:rsidR="008D3598" w:rsidRPr="00511330" w14:paraId="644163F8" w14:textId="77777777" w:rsidTr="00BD6379">
        <w:trPr>
          <w:trHeight w:val="296"/>
        </w:trPr>
        <w:tc>
          <w:tcPr>
            <w:tcW w:w="7673" w:type="dxa"/>
            <w:gridSpan w:val="4"/>
            <w:shd w:val="clear" w:color="auto" w:fill="F2F2F2" w:themeFill="background1" w:themeFillShade="F2"/>
            <w:vAlign w:val="center"/>
          </w:tcPr>
          <w:p w14:paraId="644163F7" w14:textId="77777777" w:rsidR="008D3598" w:rsidRPr="00511330" w:rsidRDefault="008D3598" w:rsidP="00ED6132">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CM Motivators from Employees</w:t>
            </w:r>
            <w:r w:rsidRPr="00511330">
              <w:rPr>
                <w:rFonts w:asciiTheme="majorBidi" w:eastAsia="Calibri" w:hAnsiTheme="majorBidi" w:cstheme="majorBidi"/>
                <w:b/>
                <w:bCs/>
                <w:color w:val="000000"/>
                <w:sz w:val="20"/>
                <w:szCs w:val="20"/>
                <w:lang w:val="en-US"/>
              </w:rPr>
              <w:t xml:space="preserve"> </w:t>
            </w:r>
            <w:r w:rsidRPr="00511330">
              <w:rPr>
                <w:rFonts w:asciiTheme="majorBidi" w:eastAsia="Calibri" w:hAnsiTheme="majorBidi" w:cstheme="majorBidi"/>
                <w:b/>
                <w:bCs/>
                <w:sz w:val="20"/>
                <w:szCs w:val="20"/>
                <w:lang w:val="en-US"/>
              </w:rPr>
              <w:t>Perspective</w:t>
            </w:r>
          </w:p>
        </w:tc>
      </w:tr>
      <w:tr w:rsidR="008D3598" w:rsidRPr="00511330" w14:paraId="644163FD" w14:textId="77777777" w:rsidTr="00BD6379">
        <w:tc>
          <w:tcPr>
            <w:tcW w:w="450" w:type="dxa"/>
            <w:vAlign w:val="center"/>
          </w:tcPr>
          <w:p w14:paraId="644163F9"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w:t>
            </w:r>
          </w:p>
        </w:tc>
        <w:tc>
          <w:tcPr>
            <w:tcW w:w="2949" w:type="dxa"/>
            <w:vAlign w:val="center"/>
          </w:tcPr>
          <w:p w14:paraId="644163FA"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Benefits of change</w:t>
            </w:r>
          </w:p>
        </w:tc>
        <w:tc>
          <w:tcPr>
            <w:tcW w:w="516" w:type="dxa"/>
            <w:vAlign w:val="center"/>
          </w:tcPr>
          <w:p w14:paraId="644163FB"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w:t>
            </w:r>
          </w:p>
        </w:tc>
        <w:tc>
          <w:tcPr>
            <w:tcW w:w="3758" w:type="dxa"/>
            <w:vAlign w:val="center"/>
          </w:tcPr>
          <w:p w14:paraId="644163FC" w14:textId="77777777" w:rsidR="008D3598" w:rsidRPr="00511330" w:rsidRDefault="008D3598" w:rsidP="00BE0323">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Customer orientation</w:t>
            </w:r>
          </w:p>
        </w:tc>
      </w:tr>
      <w:tr w:rsidR="008D3598" w:rsidRPr="00511330" w14:paraId="64416402" w14:textId="77777777" w:rsidTr="00BD6379">
        <w:tc>
          <w:tcPr>
            <w:tcW w:w="450" w:type="dxa"/>
            <w:vAlign w:val="center"/>
          </w:tcPr>
          <w:p w14:paraId="644163FE"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w:t>
            </w:r>
          </w:p>
        </w:tc>
        <w:tc>
          <w:tcPr>
            <w:tcW w:w="2949" w:type="dxa"/>
            <w:vAlign w:val="center"/>
          </w:tcPr>
          <w:p w14:paraId="644163FF"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Visioning better tomorrow</w:t>
            </w:r>
          </w:p>
        </w:tc>
        <w:tc>
          <w:tcPr>
            <w:tcW w:w="516" w:type="dxa"/>
            <w:vAlign w:val="center"/>
          </w:tcPr>
          <w:p w14:paraId="64416400"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4.</w:t>
            </w:r>
          </w:p>
        </w:tc>
        <w:tc>
          <w:tcPr>
            <w:tcW w:w="3758" w:type="dxa"/>
            <w:vAlign w:val="center"/>
          </w:tcPr>
          <w:p w14:paraId="64416401" w14:textId="77777777" w:rsidR="008D3598" w:rsidRPr="00511330" w:rsidRDefault="008D3598" w:rsidP="00BE0323">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Better resource utilization</w:t>
            </w:r>
          </w:p>
        </w:tc>
      </w:tr>
      <w:tr w:rsidR="008D3598" w:rsidRPr="00511330" w14:paraId="64416407" w14:textId="77777777" w:rsidTr="00BD6379">
        <w:tc>
          <w:tcPr>
            <w:tcW w:w="450" w:type="dxa"/>
            <w:vAlign w:val="center"/>
          </w:tcPr>
          <w:p w14:paraId="64416403"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w:t>
            </w:r>
          </w:p>
        </w:tc>
        <w:tc>
          <w:tcPr>
            <w:tcW w:w="2949" w:type="dxa"/>
            <w:vAlign w:val="center"/>
          </w:tcPr>
          <w:p w14:paraId="64416404"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Out of the box-innovation</w:t>
            </w:r>
          </w:p>
        </w:tc>
        <w:tc>
          <w:tcPr>
            <w:tcW w:w="516" w:type="dxa"/>
            <w:vAlign w:val="center"/>
          </w:tcPr>
          <w:p w14:paraId="64416405"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w:t>
            </w:r>
          </w:p>
        </w:tc>
        <w:tc>
          <w:tcPr>
            <w:tcW w:w="3758" w:type="dxa"/>
            <w:vAlign w:val="center"/>
          </w:tcPr>
          <w:p w14:paraId="64416406" w14:textId="77777777" w:rsidR="008D3598" w:rsidRPr="00511330" w:rsidRDefault="008D3598" w:rsidP="00BE0323">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Global requirements</w:t>
            </w:r>
          </w:p>
        </w:tc>
      </w:tr>
      <w:tr w:rsidR="008D3598" w:rsidRPr="00511330" w14:paraId="6441640C" w14:textId="77777777" w:rsidTr="00BD6379">
        <w:tc>
          <w:tcPr>
            <w:tcW w:w="450" w:type="dxa"/>
            <w:vAlign w:val="center"/>
          </w:tcPr>
          <w:p w14:paraId="64416408"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7.</w:t>
            </w:r>
          </w:p>
        </w:tc>
        <w:tc>
          <w:tcPr>
            <w:tcW w:w="2949" w:type="dxa"/>
            <w:vAlign w:val="center"/>
          </w:tcPr>
          <w:p w14:paraId="64416409"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Job pressure reduction</w:t>
            </w:r>
          </w:p>
        </w:tc>
        <w:tc>
          <w:tcPr>
            <w:tcW w:w="516" w:type="dxa"/>
            <w:vAlign w:val="center"/>
          </w:tcPr>
          <w:p w14:paraId="6441640A"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8.</w:t>
            </w:r>
          </w:p>
        </w:tc>
        <w:tc>
          <w:tcPr>
            <w:tcW w:w="3758" w:type="dxa"/>
            <w:vAlign w:val="center"/>
          </w:tcPr>
          <w:p w14:paraId="6441640B" w14:textId="77777777" w:rsidR="008D3598" w:rsidRPr="00511330" w:rsidRDefault="008D3598" w:rsidP="00BE0323">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Experiencing new challenges</w:t>
            </w:r>
          </w:p>
        </w:tc>
      </w:tr>
      <w:tr w:rsidR="008D3598" w:rsidRPr="00511330" w14:paraId="64416411" w14:textId="77777777" w:rsidTr="00BD6379">
        <w:tc>
          <w:tcPr>
            <w:tcW w:w="450" w:type="dxa"/>
            <w:vAlign w:val="center"/>
          </w:tcPr>
          <w:p w14:paraId="6441640D"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9.</w:t>
            </w:r>
          </w:p>
        </w:tc>
        <w:tc>
          <w:tcPr>
            <w:tcW w:w="2949" w:type="dxa"/>
            <w:vAlign w:val="center"/>
          </w:tcPr>
          <w:p w14:paraId="6441640E"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Better job opportunities </w:t>
            </w:r>
          </w:p>
        </w:tc>
        <w:tc>
          <w:tcPr>
            <w:tcW w:w="516" w:type="dxa"/>
            <w:vAlign w:val="center"/>
          </w:tcPr>
          <w:p w14:paraId="6441640F"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10.</w:t>
            </w:r>
          </w:p>
        </w:tc>
        <w:tc>
          <w:tcPr>
            <w:tcW w:w="3758" w:type="dxa"/>
            <w:vAlign w:val="center"/>
          </w:tcPr>
          <w:p w14:paraId="64416410" w14:textId="77777777" w:rsidR="008D3598" w:rsidRPr="00511330" w:rsidRDefault="008D3598" w:rsidP="00BE0323">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Continuous improvements</w:t>
            </w:r>
          </w:p>
        </w:tc>
      </w:tr>
      <w:tr w:rsidR="008D3598" w:rsidRPr="00511330" w14:paraId="64416416" w14:textId="77777777" w:rsidTr="00BD6379">
        <w:tc>
          <w:tcPr>
            <w:tcW w:w="450" w:type="dxa"/>
            <w:vAlign w:val="center"/>
          </w:tcPr>
          <w:p w14:paraId="64416412"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11.</w:t>
            </w:r>
          </w:p>
        </w:tc>
        <w:tc>
          <w:tcPr>
            <w:tcW w:w="2949" w:type="dxa"/>
            <w:vAlign w:val="center"/>
          </w:tcPr>
          <w:p w14:paraId="64416413"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Skills and knowledge sharing </w:t>
            </w:r>
          </w:p>
        </w:tc>
        <w:tc>
          <w:tcPr>
            <w:tcW w:w="516" w:type="dxa"/>
            <w:vAlign w:val="center"/>
          </w:tcPr>
          <w:p w14:paraId="64416414"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12.</w:t>
            </w:r>
          </w:p>
        </w:tc>
        <w:tc>
          <w:tcPr>
            <w:tcW w:w="3758" w:type="dxa"/>
            <w:vAlign w:val="center"/>
          </w:tcPr>
          <w:p w14:paraId="64416415" w14:textId="77777777" w:rsidR="008D3598" w:rsidRPr="00511330" w:rsidRDefault="008D3598" w:rsidP="00BE0323">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Capabilities and competencies</w:t>
            </w:r>
          </w:p>
        </w:tc>
      </w:tr>
      <w:tr w:rsidR="008D3598" w:rsidRPr="00511330" w14:paraId="6441641B" w14:textId="77777777" w:rsidTr="00BD6379">
        <w:tc>
          <w:tcPr>
            <w:tcW w:w="450" w:type="dxa"/>
            <w:vAlign w:val="center"/>
          </w:tcPr>
          <w:p w14:paraId="64416417"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13.</w:t>
            </w:r>
          </w:p>
        </w:tc>
        <w:tc>
          <w:tcPr>
            <w:tcW w:w="2949" w:type="dxa"/>
            <w:vAlign w:val="center"/>
          </w:tcPr>
          <w:p w14:paraId="64416418"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New manager and colleagues</w:t>
            </w:r>
          </w:p>
        </w:tc>
        <w:tc>
          <w:tcPr>
            <w:tcW w:w="516" w:type="dxa"/>
            <w:vAlign w:val="center"/>
          </w:tcPr>
          <w:p w14:paraId="64416419"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14.</w:t>
            </w:r>
          </w:p>
        </w:tc>
        <w:tc>
          <w:tcPr>
            <w:tcW w:w="3758" w:type="dxa"/>
            <w:vAlign w:val="center"/>
          </w:tcPr>
          <w:p w14:paraId="6441641A" w14:textId="77777777" w:rsidR="008D3598" w:rsidRPr="00511330" w:rsidRDefault="008D3598" w:rsidP="00BE0323">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Enhance work environment </w:t>
            </w:r>
          </w:p>
        </w:tc>
      </w:tr>
      <w:tr w:rsidR="008D3598" w:rsidRPr="00511330" w14:paraId="64416420" w14:textId="77777777" w:rsidTr="00BD6379">
        <w:tc>
          <w:tcPr>
            <w:tcW w:w="450" w:type="dxa"/>
            <w:vAlign w:val="center"/>
          </w:tcPr>
          <w:p w14:paraId="6441641C"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15.</w:t>
            </w:r>
          </w:p>
        </w:tc>
        <w:tc>
          <w:tcPr>
            <w:tcW w:w="2949" w:type="dxa"/>
            <w:vAlign w:val="center"/>
          </w:tcPr>
          <w:p w14:paraId="6441641D" w14:textId="6A63A2AC"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Better lifestyle</w:t>
            </w:r>
          </w:p>
        </w:tc>
        <w:tc>
          <w:tcPr>
            <w:tcW w:w="516" w:type="dxa"/>
            <w:vAlign w:val="center"/>
          </w:tcPr>
          <w:p w14:paraId="6441641E"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16.</w:t>
            </w:r>
          </w:p>
        </w:tc>
        <w:tc>
          <w:tcPr>
            <w:tcW w:w="3758" w:type="dxa"/>
            <w:vAlign w:val="center"/>
          </w:tcPr>
          <w:p w14:paraId="6441641F" w14:textId="77777777" w:rsidR="008D3598" w:rsidRPr="00511330" w:rsidRDefault="008D3598" w:rsidP="00BE0323">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Recognition and rewards</w:t>
            </w:r>
          </w:p>
        </w:tc>
      </w:tr>
      <w:tr w:rsidR="008D3598" w:rsidRPr="00511330" w14:paraId="64416425" w14:textId="77777777" w:rsidTr="00BD6379">
        <w:tc>
          <w:tcPr>
            <w:tcW w:w="450" w:type="dxa"/>
            <w:vAlign w:val="center"/>
          </w:tcPr>
          <w:p w14:paraId="64416421"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17.</w:t>
            </w:r>
          </w:p>
        </w:tc>
        <w:tc>
          <w:tcPr>
            <w:tcW w:w="2949" w:type="dxa"/>
            <w:vAlign w:val="center"/>
          </w:tcPr>
          <w:p w14:paraId="64416422"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Fairness and equality</w:t>
            </w:r>
          </w:p>
        </w:tc>
        <w:tc>
          <w:tcPr>
            <w:tcW w:w="516" w:type="dxa"/>
            <w:vAlign w:val="center"/>
          </w:tcPr>
          <w:p w14:paraId="64416423"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18.</w:t>
            </w:r>
          </w:p>
        </w:tc>
        <w:tc>
          <w:tcPr>
            <w:tcW w:w="3758" w:type="dxa"/>
            <w:vAlign w:val="center"/>
          </w:tcPr>
          <w:p w14:paraId="64416424" w14:textId="77777777" w:rsidR="008D3598" w:rsidRPr="00511330" w:rsidRDefault="008D3598" w:rsidP="00BE0323">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Opportunity for learning</w:t>
            </w:r>
          </w:p>
        </w:tc>
      </w:tr>
      <w:tr w:rsidR="008D3598" w:rsidRPr="00511330" w14:paraId="6441642A" w14:textId="77777777" w:rsidTr="00BD6379">
        <w:tc>
          <w:tcPr>
            <w:tcW w:w="450" w:type="dxa"/>
            <w:vAlign w:val="center"/>
          </w:tcPr>
          <w:p w14:paraId="64416426"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19.</w:t>
            </w:r>
          </w:p>
        </w:tc>
        <w:tc>
          <w:tcPr>
            <w:tcW w:w="2949" w:type="dxa"/>
            <w:vAlign w:val="center"/>
          </w:tcPr>
          <w:p w14:paraId="64416427"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Reduce manual works/ efforts</w:t>
            </w:r>
          </w:p>
        </w:tc>
        <w:tc>
          <w:tcPr>
            <w:tcW w:w="516" w:type="dxa"/>
            <w:vAlign w:val="center"/>
          </w:tcPr>
          <w:p w14:paraId="64416428"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20.</w:t>
            </w:r>
          </w:p>
        </w:tc>
        <w:tc>
          <w:tcPr>
            <w:tcW w:w="3758" w:type="dxa"/>
            <w:vAlign w:val="center"/>
          </w:tcPr>
          <w:p w14:paraId="64416429" w14:textId="77777777" w:rsidR="008D3598" w:rsidRPr="00511330" w:rsidRDefault="008D3598" w:rsidP="00BE0323">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Easy user adoption</w:t>
            </w:r>
          </w:p>
        </w:tc>
      </w:tr>
      <w:tr w:rsidR="008D3598" w:rsidRPr="00511330" w14:paraId="6441642F" w14:textId="77777777" w:rsidTr="00BD6379">
        <w:tc>
          <w:tcPr>
            <w:tcW w:w="450" w:type="dxa"/>
            <w:vAlign w:val="center"/>
          </w:tcPr>
          <w:p w14:paraId="6441642B"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21.</w:t>
            </w:r>
          </w:p>
        </w:tc>
        <w:tc>
          <w:tcPr>
            <w:tcW w:w="2949" w:type="dxa"/>
            <w:vAlign w:val="center"/>
          </w:tcPr>
          <w:p w14:paraId="6441642C" w14:textId="77777777" w:rsidR="008D3598" w:rsidRPr="00511330" w:rsidRDefault="008D3598" w:rsidP="00BE0323">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Applying health and safety</w:t>
            </w:r>
          </w:p>
        </w:tc>
        <w:tc>
          <w:tcPr>
            <w:tcW w:w="516" w:type="dxa"/>
            <w:vAlign w:val="center"/>
          </w:tcPr>
          <w:p w14:paraId="6441642D"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22.</w:t>
            </w:r>
          </w:p>
        </w:tc>
        <w:tc>
          <w:tcPr>
            <w:tcW w:w="3758" w:type="dxa"/>
            <w:vAlign w:val="center"/>
          </w:tcPr>
          <w:p w14:paraId="6441642E" w14:textId="77777777" w:rsidR="008D3598" w:rsidRPr="00511330" w:rsidRDefault="008D3598" w:rsidP="00BE0323">
            <w:pPr>
              <w:ind w:right="95"/>
              <w:rPr>
                <w:rFonts w:asciiTheme="majorBidi" w:eastAsia="Calibri" w:hAnsiTheme="majorBidi" w:cstheme="majorBidi"/>
                <w:b/>
                <w:bCs/>
                <w:sz w:val="20"/>
                <w:szCs w:val="20"/>
                <w:lang w:val="en-US"/>
              </w:rPr>
            </w:pPr>
            <w:r w:rsidRPr="00511330">
              <w:rPr>
                <w:rFonts w:asciiTheme="majorBidi" w:eastAsia="Calibri" w:hAnsiTheme="majorBidi" w:cstheme="majorBidi"/>
                <w:sz w:val="20"/>
                <w:szCs w:val="20"/>
                <w:lang w:val="en-US"/>
              </w:rPr>
              <w:t>Self-development</w:t>
            </w:r>
          </w:p>
        </w:tc>
      </w:tr>
      <w:tr w:rsidR="008D3598" w:rsidRPr="00511330" w14:paraId="64416432" w14:textId="77777777" w:rsidTr="00BD6379">
        <w:tc>
          <w:tcPr>
            <w:tcW w:w="450" w:type="dxa"/>
            <w:vAlign w:val="center"/>
          </w:tcPr>
          <w:p w14:paraId="64416430"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23.</w:t>
            </w:r>
          </w:p>
        </w:tc>
        <w:tc>
          <w:tcPr>
            <w:tcW w:w="7223" w:type="dxa"/>
            <w:gridSpan w:val="3"/>
            <w:vAlign w:val="center"/>
          </w:tcPr>
          <w:p w14:paraId="64416431" w14:textId="77777777" w:rsidR="008D3598" w:rsidRPr="00511330" w:rsidRDefault="008D3598" w:rsidP="00721566">
            <w:pPr>
              <w:ind w:right="-450"/>
              <w:rPr>
                <w:rFonts w:asciiTheme="majorBidi" w:eastAsia="Calibri" w:hAnsiTheme="majorBidi" w:cstheme="majorBidi"/>
                <w:b/>
                <w:bCs/>
                <w:sz w:val="20"/>
                <w:szCs w:val="20"/>
                <w:lang w:val="en-US"/>
              </w:rPr>
            </w:pPr>
            <w:r w:rsidRPr="00511330">
              <w:rPr>
                <w:rFonts w:asciiTheme="majorBidi" w:eastAsia="Calibri" w:hAnsiTheme="majorBidi" w:cstheme="majorBidi"/>
                <w:sz w:val="20"/>
                <w:szCs w:val="20"/>
                <w:lang w:val="en-US"/>
              </w:rPr>
              <w:t>Process/procedure simplification</w:t>
            </w:r>
          </w:p>
        </w:tc>
      </w:tr>
    </w:tbl>
    <w:p w14:paraId="64416433" w14:textId="77777777" w:rsidR="008D3598" w:rsidRPr="00511330" w:rsidRDefault="008D3598" w:rsidP="00721566">
      <w:pPr>
        <w:ind w:right="-450"/>
        <w:rPr>
          <w:lang w:val="en-US"/>
        </w:rPr>
      </w:pPr>
    </w:p>
    <w:p w14:paraId="64416434" w14:textId="260AB3C2" w:rsidR="008D3598" w:rsidRPr="00511330" w:rsidRDefault="008D3598" w:rsidP="00BD6379">
      <w:pPr>
        <w:pStyle w:val="Caption"/>
        <w:keepNext/>
        <w:spacing w:after="0"/>
        <w:ind w:right="-450"/>
        <w:rPr>
          <w:rFonts w:asciiTheme="majorBidi" w:hAnsiTheme="majorBidi" w:cstheme="majorBidi"/>
          <w:b w:val="0"/>
          <w:bCs w:val="0"/>
          <w:color w:val="auto"/>
          <w:sz w:val="20"/>
          <w:szCs w:val="20"/>
          <w:lang w:val="en-US"/>
        </w:rPr>
      </w:pPr>
      <w:bookmarkStart w:id="722" w:name="_Toc43310894"/>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4</w:t>
      </w:r>
      <w:r w:rsidRPr="00511330">
        <w:rPr>
          <w:rFonts w:asciiTheme="majorBidi" w:hAnsiTheme="majorBidi" w:cstheme="majorBidi"/>
          <w:b w:val="0"/>
          <w:bCs w:val="0"/>
          <w:color w:val="auto"/>
          <w:sz w:val="20"/>
          <w:szCs w:val="20"/>
          <w:lang w:val="en-US"/>
        </w:rPr>
        <w:fldChar w:fldCharType="end"/>
      </w:r>
      <w:r w:rsidR="00BD6379"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Motivators Reported by Governments Perspective</w:t>
      </w:r>
      <w:bookmarkEnd w:id="722"/>
    </w:p>
    <w:tbl>
      <w:tblPr>
        <w:tblStyle w:val="TableGrid1"/>
        <w:tblW w:w="7673" w:type="dxa"/>
        <w:tblInd w:w="-5" w:type="dxa"/>
        <w:tblLayout w:type="fixed"/>
        <w:tblLook w:val="04A0" w:firstRow="1" w:lastRow="0" w:firstColumn="1" w:lastColumn="0" w:noHBand="0" w:noVBand="1"/>
      </w:tblPr>
      <w:tblGrid>
        <w:gridCol w:w="450"/>
        <w:gridCol w:w="2970"/>
        <w:gridCol w:w="540"/>
        <w:gridCol w:w="3713"/>
      </w:tblGrid>
      <w:tr w:rsidR="008D3598" w:rsidRPr="00511330" w14:paraId="64416436" w14:textId="77777777" w:rsidTr="00BD6379">
        <w:trPr>
          <w:trHeight w:val="260"/>
        </w:trPr>
        <w:tc>
          <w:tcPr>
            <w:tcW w:w="7673" w:type="dxa"/>
            <w:gridSpan w:val="4"/>
            <w:shd w:val="clear" w:color="auto" w:fill="F2F2F2" w:themeFill="background1" w:themeFillShade="F2"/>
            <w:vAlign w:val="center"/>
          </w:tcPr>
          <w:p w14:paraId="64416435" w14:textId="77777777" w:rsidR="008D3598" w:rsidRPr="00511330" w:rsidRDefault="008D3598" w:rsidP="00721566">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CM Motivators from Governments Perspective</w:t>
            </w:r>
          </w:p>
        </w:tc>
      </w:tr>
      <w:tr w:rsidR="008D3598" w:rsidRPr="00511330" w14:paraId="6441643B" w14:textId="77777777" w:rsidTr="0071216D">
        <w:trPr>
          <w:trHeight w:val="143"/>
        </w:trPr>
        <w:tc>
          <w:tcPr>
            <w:tcW w:w="450" w:type="dxa"/>
            <w:vAlign w:val="center"/>
          </w:tcPr>
          <w:p w14:paraId="64416437"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w:t>
            </w:r>
          </w:p>
        </w:tc>
        <w:tc>
          <w:tcPr>
            <w:tcW w:w="2970" w:type="dxa"/>
          </w:tcPr>
          <w:p w14:paraId="64416438" w14:textId="77777777" w:rsidR="008D3598" w:rsidRPr="00511330" w:rsidRDefault="008D3598" w:rsidP="0071216D">
            <w:pPr>
              <w:ind w:right="51"/>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UAE vision 2021</w:t>
            </w:r>
          </w:p>
        </w:tc>
        <w:tc>
          <w:tcPr>
            <w:tcW w:w="540" w:type="dxa"/>
          </w:tcPr>
          <w:p w14:paraId="64416439" w14:textId="77777777" w:rsidR="008D3598" w:rsidRPr="00511330" w:rsidRDefault="008D3598" w:rsidP="0071216D">
            <w:pPr>
              <w:ind w:left="-29" w:right="-46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w:t>
            </w:r>
          </w:p>
        </w:tc>
        <w:tc>
          <w:tcPr>
            <w:tcW w:w="3713" w:type="dxa"/>
          </w:tcPr>
          <w:p w14:paraId="6441643A" w14:textId="77777777" w:rsidR="008D3598" w:rsidRPr="00511330" w:rsidRDefault="008D3598" w:rsidP="0071216D">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Standards and applications</w:t>
            </w:r>
          </w:p>
        </w:tc>
      </w:tr>
      <w:tr w:rsidR="008D3598" w:rsidRPr="00511330" w14:paraId="64416440" w14:textId="77777777" w:rsidTr="0071216D">
        <w:tc>
          <w:tcPr>
            <w:tcW w:w="450" w:type="dxa"/>
            <w:vAlign w:val="center"/>
          </w:tcPr>
          <w:p w14:paraId="6441643C"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w:t>
            </w:r>
          </w:p>
        </w:tc>
        <w:tc>
          <w:tcPr>
            <w:tcW w:w="2970" w:type="dxa"/>
          </w:tcPr>
          <w:p w14:paraId="6441643D" w14:textId="77777777" w:rsidR="008D3598" w:rsidRPr="00511330" w:rsidRDefault="008D3598" w:rsidP="0071216D">
            <w:pPr>
              <w:ind w:right="51"/>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Environment protection </w:t>
            </w:r>
          </w:p>
        </w:tc>
        <w:tc>
          <w:tcPr>
            <w:tcW w:w="540" w:type="dxa"/>
          </w:tcPr>
          <w:p w14:paraId="6441643E" w14:textId="77777777" w:rsidR="008D3598" w:rsidRPr="00511330" w:rsidRDefault="008D3598" w:rsidP="0071216D">
            <w:pPr>
              <w:ind w:left="-29" w:right="-46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4.</w:t>
            </w:r>
          </w:p>
        </w:tc>
        <w:tc>
          <w:tcPr>
            <w:tcW w:w="3713" w:type="dxa"/>
          </w:tcPr>
          <w:p w14:paraId="6441643F" w14:textId="77777777" w:rsidR="008D3598" w:rsidRPr="00511330" w:rsidRDefault="008D3598" w:rsidP="0071216D">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Aligning with world standards </w:t>
            </w:r>
          </w:p>
        </w:tc>
      </w:tr>
      <w:tr w:rsidR="008D3598" w:rsidRPr="00511330" w14:paraId="64416445" w14:textId="77777777" w:rsidTr="0071216D">
        <w:tc>
          <w:tcPr>
            <w:tcW w:w="450" w:type="dxa"/>
            <w:vAlign w:val="center"/>
          </w:tcPr>
          <w:p w14:paraId="64416441"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w:t>
            </w:r>
          </w:p>
        </w:tc>
        <w:tc>
          <w:tcPr>
            <w:tcW w:w="2970" w:type="dxa"/>
          </w:tcPr>
          <w:p w14:paraId="64416442" w14:textId="77777777" w:rsidR="008D3598" w:rsidRPr="00511330" w:rsidRDefault="008D3598" w:rsidP="0071216D">
            <w:pPr>
              <w:ind w:right="51"/>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Efficiency, competitiveness and distinctiveness</w:t>
            </w:r>
          </w:p>
        </w:tc>
        <w:tc>
          <w:tcPr>
            <w:tcW w:w="540" w:type="dxa"/>
          </w:tcPr>
          <w:p w14:paraId="64416443" w14:textId="77777777" w:rsidR="008D3598" w:rsidRPr="00511330" w:rsidRDefault="008D3598" w:rsidP="0071216D">
            <w:pPr>
              <w:ind w:left="-29" w:right="-46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w:t>
            </w:r>
          </w:p>
        </w:tc>
        <w:tc>
          <w:tcPr>
            <w:tcW w:w="3713" w:type="dxa"/>
          </w:tcPr>
          <w:p w14:paraId="64416444" w14:textId="77777777" w:rsidR="008D3598" w:rsidRPr="00511330" w:rsidRDefault="008D3598" w:rsidP="0071216D">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International accreditations</w:t>
            </w:r>
          </w:p>
        </w:tc>
      </w:tr>
      <w:tr w:rsidR="008D3598" w:rsidRPr="00511330" w14:paraId="6441644A" w14:textId="77777777" w:rsidTr="0071216D">
        <w:tc>
          <w:tcPr>
            <w:tcW w:w="450" w:type="dxa"/>
            <w:vAlign w:val="center"/>
          </w:tcPr>
          <w:p w14:paraId="64416446"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7.</w:t>
            </w:r>
          </w:p>
        </w:tc>
        <w:tc>
          <w:tcPr>
            <w:tcW w:w="2970" w:type="dxa"/>
          </w:tcPr>
          <w:p w14:paraId="64416447" w14:textId="77777777" w:rsidR="008D3598" w:rsidRPr="00511330" w:rsidRDefault="008D3598" w:rsidP="0071216D">
            <w:pPr>
              <w:ind w:right="51"/>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Energy conservation</w:t>
            </w:r>
          </w:p>
        </w:tc>
        <w:tc>
          <w:tcPr>
            <w:tcW w:w="540" w:type="dxa"/>
          </w:tcPr>
          <w:p w14:paraId="64416448" w14:textId="77777777" w:rsidR="008D3598" w:rsidRPr="00511330" w:rsidRDefault="008D3598" w:rsidP="0071216D">
            <w:pPr>
              <w:ind w:left="-29" w:right="-46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8.</w:t>
            </w:r>
          </w:p>
        </w:tc>
        <w:tc>
          <w:tcPr>
            <w:tcW w:w="3713" w:type="dxa"/>
          </w:tcPr>
          <w:p w14:paraId="64416449" w14:textId="77777777" w:rsidR="008D3598" w:rsidRPr="00511330" w:rsidRDefault="008D3598" w:rsidP="0071216D">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Enhancing production outcome</w:t>
            </w:r>
          </w:p>
        </w:tc>
      </w:tr>
      <w:tr w:rsidR="008D3598" w:rsidRPr="00511330" w14:paraId="6441644F" w14:textId="77777777" w:rsidTr="0071216D">
        <w:tc>
          <w:tcPr>
            <w:tcW w:w="450" w:type="dxa"/>
            <w:vAlign w:val="center"/>
          </w:tcPr>
          <w:p w14:paraId="6441644B"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9.</w:t>
            </w:r>
          </w:p>
        </w:tc>
        <w:tc>
          <w:tcPr>
            <w:tcW w:w="2970" w:type="dxa"/>
          </w:tcPr>
          <w:p w14:paraId="6441644C" w14:textId="77777777" w:rsidR="008D3598" w:rsidRPr="00511330" w:rsidRDefault="008D3598" w:rsidP="0071216D">
            <w:pPr>
              <w:ind w:right="51"/>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Resource utilization and development </w:t>
            </w:r>
          </w:p>
        </w:tc>
        <w:tc>
          <w:tcPr>
            <w:tcW w:w="540" w:type="dxa"/>
          </w:tcPr>
          <w:p w14:paraId="6441644D" w14:textId="77777777" w:rsidR="008D3598" w:rsidRPr="00511330" w:rsidRDefault="008D3598" w:rsidP="0071216D">
            <w:pPr>
              <w:ind w:left="-29" w:right="-46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10.</w:t>
            </w:r>
          </w:p>
        </w:tc>
        <w:tc>
          <w:tcPr>
            <w:tcW w:w="3713" w:type="dxa"/>
          </w:tcPr>
          <w:p w14:paraId="6441644E" w14:textId="77777777" w:rsidR="008D3598" w:rsidRPr="00511330" w:rsidRDefault="008D3598" w:rsidP="0071216D">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Aligning with international laws and decrees</w:t>
            </w:r>
          </w:p>
        </w:tc>
      </w:tr>
      <w:tr w:rsidR="008D3598" w:rsidRPr="00511330" w14:paraId="64416454" w14:textId="77777777" w:rsidTr="0071216D">
        <w:tc>
          <w:tcPr>
            <w:tcW w:w="450" w:type="dxa"/>
            <w:vAlign w:val="center"/>
          </w:tcPr>
          <w:p w14:paraId="64416450"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11.</w:t>
            </w:r>
          </w:p>
        </w:tc>
        <w:tc>
          <w:tcPr>
            <w:tcW w:w="2970" w:type="dxa"/>
          </w:tcPr>
          <w:p w14:paraId="64416451" w14:textId="77777777" w:rsidR="008D3598" w:rsidRPr="00511330" w:rsidRDefault="008D3598" w:rsidP="0071216D">
            <w:pPr>
              <w:ind w:right="51"/>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International competitions and high reputation</w:t>
            </w:r>
          </w:p>
        </w:tc>
        <w:tc>
          <w:tcPr>
            <w:tcW w:w="540" w:type="dxa"/>
          </w:tcPr>
          <w:p w14:paraId="64416452" w14:textId="77777777" w:rsidR="008D3598" w:rsidRPr="00511330" w:rsidRDefault="008D3598" w:rsidP="0071216D">
            <w:pPr>
              <w:ind w:left="-29" w:right="-46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12.</w:t>
            </w:r>
          </w:p>
        </w:tc>
        <w:tc>
          <w:tcPr>
            <w:tcW w:w="3713" w:type="dxa"/>
          </w:tcPr>
          <w:p w14:paraId="64416453" w14:textId="77777777" w:rsidR="008D3598" w:rsidRPr="00511330" w:rsidRDefault="008D3598" w:rsidP="0071216D">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Finding solutions for challenges</w:t>
            </w:r>
          </w:p>
        </w:tc>
      </w:tr>
      <w:tr w:rsidR="008D3598" w:rsidRPr="00511330" w14:paraId="64416459" w14:textId="77777777" w:rsidTr="0071216D">
        <w:tc>
          <w:tcPr>
            <w:tcW w:w="450" w:type="dxa"/>
            <w:vAlign w:val="center"/>
          </w:tcPr>
          <w:p w14:paraId="64416455"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13.</w:t>
            </w:r>
          </w:p>
        </w:tc>
        <w:tc>
          <w:tcPr>
            <w:tcW w:w="2970" w:type="dxa"/>
          </w:tcPr>
          <w:p w14:paraId="64416456" w14:textId="77777777" w:rsidR="008D3598" w:rsidRPr="00511330" w:rsidRDefault="008D3598" w:rsidP="0071216D">
            <w:pPr>
              <w:ind w:right="51"/>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Assurance of sustainable developments</w:t>
            </w:r>
          </w:p>
        </w:tc>
        <w:tc>
          <w:tcPr>
            <w:tcW w:w="540" w:type="dxa"/>
          </w:tcPr>
          <w:p w14:paraId="64416457" w14:textId="77777777" w:rsidR="008D3598" w:rsidRPr="00511330" w:rsidRDefault="008D3598" w:rsidP="0071216D">
            <w:pPr>
              <w:ind w:left="-29" w:right="-46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14.</w:t>
            </w:r>
          </w:p>
        </w:tc>
        <w:tc>
          <w:tcPr>
            <w:tcW w:w="3713" w:type="dxa"/>
          </w:tcPr>
          <w:p w14:paraId="64416458" w14:textId="77777777" w:rsidR="008D3598" w:rsidRPr="00511330" w:rsidRDefault="008D3598" w:rsidP="0071216D">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Aligning with international association mandates</w:t>
            </w:r>
          </w:p>
        </w:tc>
      </w:tr>
      <w:tr w:rsidR="008D3598" w:rsidRPr="00511330" w14:paraId="6441645E" w14:textId="77777777" w:rsidTr="0071216D">
        <w:tc>
          <w:tcPr>
            <w:tcW w:w="450" w:type="dxa"/>
            <w:vAlign w:val="center"/>
          </w:tcPr>
          <w:p w14:paraId="6441645A"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15.</w:t>
            </w:r>
          </w:p>
        </w:tc>
        <w:tc>
          <w:tcPr>
            <w:tcW w:w="2970" w:type="dxa"/>
          </w:tcPr>
          <w:p w14:paraId="6441645B" w14:textId="77777777" w:rsidR="008D3598" w:rsidRPr="00511330" w:rsidRDefault="008D3598" w:rsidP="0071216D">
            <w:pPr>
              <w:ind w:right="51"/>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Pollution reduction</w:t>
            </w:r>
          </w:p>
        </w:tc>
        <w:tc>
          <w:tcPr>
            <w:tcW w:w="540" w:type="dxa"/>
          </w:tcPr>
          <w:p w14:paraId="6441645C" w14:textId="77777777" w:rsidR="008D3598" w:rsidRPr="00511330" w:rsidRDefault="008D3598" w:rsidP="0071216D">
            <w:pPr>
              <w:ind w:left="-29" w:right="-46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16.</w:t>
            </w:r>
          </w:p>
        </w:tc>
        <w:tc>
          <w:tcPr>
            <w:tcW w:w="3713" w:type="dxa"/>
          </w:tcPr>
          <w:p w14:paraId="6441645D" w14:textId="77777777" w:rsidR="008D3598" w:rsidRPr="00511330" w:rsidRDefault="008D3598" w:rsidP="0071216D">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Focusing on customer centricity</w:t>
            </w:r>
          </w:p>
        </w:tc>
      </w:tr>
      <w:tr w:rsidR="008D3598" w:rsidRPr="00511330" w14:paraId="64416463" w14:textId="77777777" w:rsidTr="0071216D">
        <w:tc>
          <w:tcPr>
            <w:tcW w:w="450" w:type="dxa"/>
            <w:vAlign w:val="center"/>
          </w:tcPr>
          <w:p w14:paraId="6441645F"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17.</w:t>
            </w:r>
          </w:p>
        </w:tc>
        <w:tc>
          <w:tcPr>
            <w:tcW w:w="2970" w:type="dxa"/>
          </w:tcPr>
          <w:p w14:paraId="64416460" w14:textId="77777777" w:rsidR="008D3598" w:rsidRPr="00511330" w:rsidRDefault="008D3598" w:rsidP="0071216D">
            <w:pPr>
              <w:ind w:right="51"/>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Solving existing problems </w:t>
            </w:r>
          </w:p>
        </w:tc>
        <w:tc>
          <w:tcPr>
            <w:tcW w:w="540" w:type="dxa"/>
          </w:tcPr>
          <w:p w14:paraId="64416461" w14:textId="77777777" w:rsidR="008D3598" w:rsidRPr="00511330" w:rsidRDefault="008D3598" w:rsidP="0071216D">
            <w:pPr>
              <w:ind w:left="-29" w:right="-46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18.</w:t>
            </w:r>
          </w:p>
        </w:tc>
        <w:tc>
          <w:tcPr>
            <w:tcW w:w="3713" w:type="dxa"/>
          </w:tcPr>
          <w:p w14:paraId="64416462" w14:textId="77777777" w:rsidR="008D3598" w:rsidRPr="00511330" w:rsidRDefault="008D3598" w:rsidP="0071216D">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Readiness to future energy requirements</w:t>
            </w:r>
          </w:p>
        </w:tc>
      </w:tr>
      <w:tr w:rsidR="008D3598" w:rsidRPr="00511330" w14:paraId="64416468" w14:textId="77777777" w:rsidTr="0071216D">
        <w:tc>
          <w:tcPr>
            <w:tcW w:w="450" w:type="dxa"/>
            <w:vAlign w:val="center"/>
          </w:tcPr>
          <w:p w14:paraId="64416464"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19.</w:t>
            </w:r>
          </w:p>
        </w:tc>
        <w:tc>
          <w:tcPr>
            <w:tcW w:w="2970" w:type="dxa"/>
          </w:tcPr>
          <w:p w14:paraId="64416465" w14:textId="77777777" w:rsidR="008D3598" w:rsidRPr="00511330" w:rsidRDefault="008D3598" w:rsidP="0071216D">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Cost reduction and proper budget management</w:t>
            </w:r>
          </w:p>
        </w:tc>
        <w:tc>
          <w:tcPr>
            <w:tcW w:w="540" w:type="dxa"/>
          </w:tcPr>
          <w:p w14:paraId="64416466" w14:textId="77777777" w:rsidR="008D3598" w:rsidRPr="00511330" w:rsidRDefault="008D3598" w:rsidP="0071216D">
            <w:pPr>
              <w:ind w:left="-44"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20.</w:t>
            </w:r>
          </w:p>
        </w:tc>
        <w:tc>
          <w:tcPr>
            <w:tcW w:w="3713" w:type="dxa"/>
          </w:tcPr>
          <w:p w14:paraId="64416467" w14:textId="77777777" w:rsidR="008D3598" w:rsidRPr="00511330" w:rsidRDefault="008D3598" w:rsidP="0071216D">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Coping with global developments</w:t>
            </w:r>
          </w:p>
        </w:tc>
      </w:tr>
      <w:tr w:rsidR="008D3598" w:rsidRPr="00511330" w14:paraId="6441646D" w14:textId="77777777" w:rsidTr="009B54BE">
        <w:tc>
          <w:tcPr>
            <w:tcW w:w="450" w:type="dxa"/>
            <w:vAlign w:val="center"/>
          </w:tcPr>
          <w:p w14:paraId="64416469"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lastRenderedPageBreak/>
              <w:t>21.</w:t>
            </w:r>
          </w:p>
        </w:tc>
        <w:tc>
          <w:tcPr>
            <w:tcW w:w="2970" w:type="dxa"/>
            <w:vAlign w:val="center"/>
          </w:tcPr>
          <w:p w14:paraId="6441646A"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Future foresight</w:t>
            </w:r>
          </w:p>
        </w:tc>
        <w:tc>
          <w:tcPr>
            <w:tcW w:w="540" w:type="dxa"/>
            <w:vAlign w:val="center"/>
          </w:tcPr>
          <w:p w14:paraId="6441646B" w14:textId="77777777" w:rsidR="008D3598" w:rsidRPr="00511330" w:rsidRDefault="008D3598" w:rsidP="00BD6379">
            <w:pPr>
              <w:ind w:left="-44"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22.</w:t>
            </w:r>
          </w:p>
        </w:tc>
        <w:tc>
          <w:tcPr>
            <w:tcW w:w="3713" w:type="dxa"/>
            <w:vAlign w:val="center"/>
          </w:tcPr>
          <w:p w14:paraId="6441646C" w14:textId="77777777" w:rsidR="008D3598" w:rsidRPr="00511330" w:rsidRDefault="008D3598" w:rsidP="00BE0323">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Sufficiency and independence</w:t>
            </w:r>
          </w:p>
        </w:tc>
      </w:tr>
      <w:tr w:rsidR="008D3598" w:rsidRPr="00511330" w14:paraId="64416472" w14:textId="77777777" w:rsidTr="009B54BE">
        <w:tc>
          <w:tcPr>
            <w:tcW w:w="450" w:type="dxa"/>
            <w:vAlign w:val="center"/>
          </w:tcPr>
          <w:p w14:paraId="6441646E"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23.</w:t>
            </w:r>
          </w:p>
        </w:tc>
        <w:tc>
          <w:tcPr>
            <w:tcW w:w="2970" w:type="dxa"/>
            <w:vAlign w:val="center"/>
          </w:tcPr>
          <w:p w14:paraId="6441646F"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Government innovation projects </w:t>
            </w:r>
          </w:p>
        </w:tc>
        <w:tc>
          <w:tcPr>
            <w:tcW w:w="540" w:type="dxa"/>
            <w:vAlign w:val="center"/>
          </w:tcPr>
          <w:p w14:paraId="64416470" w14:textId="77777777" w:rsidR="008D3598" w:rsidRPr="00511330" w:rsidRDefault="008D3598" w:rsidP="00BD6379">
            <w:pPr>
              <w:ind w:left="-44"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24.</w:t>
            </w:r>
          </w:p>
        </w:tc>
        <w:tc>
          <w:tcPr>
            <w:tcW w:w="3713" w:type="dxa"/>
            <w:vAlign w:val="center"/>
          </w:tcPr>
          <w:p w14:paraId="64416471" w14:textId="77777777" w:rsidR="008D3598" w:rsidRPr="00511330" w:rsidRDefault="008D3598" w:rsidP="00BE0323">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Fulfilling consumption demand</w:t>
            </w:r>
          </w:p>
        </w:tc>
      </w:tr>
      <w:tr w:rsidR="008D3598" w:rsidRPr="00511330" w14:paraId="64416477" w14:textId="77777777" w:rsidTr="009B54BE">
        <w:tc>
          <w:tcPr>
            <w:tcW w:w="450" w:type="dxa"/>
            <w:vAlign w:val="center"/>
          </w:tcPr>
          <w:p w14:paraId="64416473"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25.</w:t>
            </w:r>
          </w:p>
        </w:tc>
        <w:tc>
          <w:tcPr>
            <w:tcW w:w="2970" w:type="dxa"/>
            <w:vAlign w:val="center"/>
          </w:tcPr>
          <w:p w14:paraId="64416474"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Government accelerators approach</w:t>
            </w:r>
          </w:p>
        </w:tc>
        <w:tc>
          <w:tcPr>
            <w:tcW w:w="540" w:type="dxa"/>
            <w:vAlign w:val="center"/>
          </w:tcPr>
          <w:p w14:paraId="64416475" w14:textId="77777777" w:rsidR="008D3598" w:rsidRPr="00511330" w:rsidRDefault="008D3598" w:rsidP="00BD6379">
            <w:pPr>
              <w:ind w:left="-44"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26.</w:t>
            </w:r>
          </w:p>
        </w:tc>
        <w:tc>
          <w:tcPr>
            <w:tcW w:w="3713" w:type="dxa"/>
            <w:vAlign w:val="center"/>
          </w:tcPr>
          <w:p w14:paraId="64416476" w14:textId="77777777" w:rsidR="008D3598" w:rsidRPr="00511330" w:rsidRDefault="008D3598" w:rsidP="00BE0323">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People happiness and satisfaction</w:t>
            </w:r>
          </w:p>
        </w:tc>
      </w:tr>
      <w:tr w:rsidR="008D3598" w:rsidRPr="00511330" w14:paraId="6441647C" w14:textId="77777777" w:rsidTr="009B54BE">
        <w:tc>
          <w:tcPr>
            <w:tcW w:w="450" w:type="dxa"/>
            <w:vAlign w:val="center"/>
          </w:tcPr>
          <w:p w14:paraId="64416478"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27.</w:t>
            </w:r>
          </w:p>
        </w:tc>
        <w:tc>
          <w:tcPr>
            <w:tcW w:w="2970" w:type="dxa"/>
            <w:vAlign w:val="center"/>
          </w:tcPr>
          <w:p w14:paraId="64416479"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Fulfilling people needs </w:t>
            </w:r>
          </w:p>
        </w:tc>
        <w:tc>
          <w:tcPr>
            <w:tcW w:w="540" w:type="dxa"/>
            <w:vAlign w:val="center"/>
          </w:tcPr>
          <w:p w14:paraId="6441647A" w14:textId="77777777" w:rsidR="008D3598" w:rsidRPr="00511330" w:rsidRDefault="008D3598" w:rsidP="00BD6379">
            <w:pPr>
              <w:ind w:left="-44"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28.</w:t>
            </w:r>
          </w:p>
        </w:tc>
        <w:tc>
          <w:tcPr>
            <w:tcW w:w="3713" w:type="dxa"/>
            <w:vAlign w:val="center"/>
          </w:tcPr>
          <w:p w14:paraId="6441647B" w14:textId="77777777" w:rsidR="008D3598" w:rsidRPr="00511330" w:rsidRDefault="008D3598" w:rsidP="00BE0323">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Hub for the energy research center</w:t>
            </w:r>
          </w:p>
        </w:tc>
      </w:tr>
      <w:tr w:rsidR="008D3598" w:rsidRPr="00511330" w14:paraId="64416481" w14:textId="77777777" w:rsidTr="009B54BE">
        <w:tc>
          <w:tcPr>
            <w:tcW w:w="450" w:type="dxa"/>
            <w:vAlign w:val="center"/>
          </w:tcPr>
          <w:p w14:paraId="6441647D"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29.</w:t>
            </w:r>
          </w:p>
        </w:tc>
        <w:tc>
          <w:tcPr>
            <w:tcW w:w="2970" w:type="dxa"/>
            <w:vAlign w:val="center"/>
          </w:tcPr>
          <w:p w14:paraId="6441647E"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Infrastructure development</w:t>
            </w:r>
          </w:p>
        </w:tc>
        <w:tc>
          <w:tcPr>
            <w:tcW w:w="540" w:type="dxa"/>
            <w:vAlign w:val="center"/>
          </w:tcPr>
          <w:p w14:paraId="6441647F" w14:textId="77777777" w:rsidR="008D3598" w:rsidRPr="00511330" w:rsidRDefault="008D3598" w:rsidP="00BD6379">
            <w:pPr>
              <w:ind w:left="-44"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30.</w:t>
            </w:r>
          </w:p>
        </w:tc>
        <w:tc>
          <w:tcPr>
            <w:tcW w:w="3713" w:type="dxa"/>
            <w:vAlign w:val="center"/>
          </w:tcPr>
          <w:p w14:paraId="64416480" w14:textId="77777777" w:rsidR="008D3598" w:rsidRPr="00511330" w:rsidRDefault="008D3598" w:rsidP="00BE0323">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Reduction of resource waste</w:t>
            </w:r>
          </w:p>
        </w:tc>
      </w:tr>
      <w:tr w:rsidR="008D3598" w:rsidRPr="00511330" w14:paraId="64416486" w14:textId="77777777" w:rsidTr="009B54BE">
        <w:tc>
          <w:tcPr>
            <w:tcW w:w="450" w:type="dxa"/>
            <w:vAlign w:val="center"/>
          </w:tcPr>
          <w:p w14:paraId="64416482"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31.</w:t>
            </w:r>
          </w:p>
        </w:tc>
        <w:tc>
          <w:tcPr>
            <w:tcW w:w="2970" w:type="dxa"/>
            <w:vAlign w:val="center"/>
          </w:tcPr>
          <w:p w14:paraId="64416483"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Artificial intelligence/ smart government </w:t>
            </w:r>
          </w:p>
        </w:tc>
        <w:tc>
          <w:tcPr>
            <w:tcW w:w="540" w:type="dxa"/>
            <w:vAlign w:val="center"/>
          </w:tcPr>
          <w:p w14:paraId="64416484" w14:textId="77777777" w:rsidR="008D3598" w:rsidRPr="00511330" w:rsidRDefault="008D3598" w:rsidP="00BD6379">
            <w:pPr>
              <w:ind w:left="-44"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32.</w:t>
            </w:r>
          </w:p>
        </w:tc>
        <w:tc>
          <w:tcPr>
            <w:tcW w:w="3713" w:type="dxa"/>
            <w:vAlign w:val="center"/>
          </w:tcPr>
          <w:p w14:paraId="64416485" w14:textId="77777777" w:rsidR="008D3598" w:rsidRPr="00511330" w:rsidRDefault="008D3598" w:rsidP="00BE0323">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High national income and ROI</w:t>
            </w:r>
          </w:p>
        </w:tc>
      </w:tr>
      <w:tr w:rsidR="008D3598" w:rsidRPr="00511330" w14:paraId="6441648B" w14:textId="77777777" w:rsidTr="009B54BE">
        <w:tc>
          <w:tcPr>
            <w:tcW w:w="450" w:type="dxa"/>
            <w:vAlign w:val="center"/>
          </w:tcPr>
          <w:p w14:paraId="64416487"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33.</w:t>
            </w:r>
          </w:p>
        </w:tc>
        <w:tc>
          <w:tcPr>
            <w:tcW w:w="2970" w:type="dxa"/>
            <w:vAlign w:val="center"/>
          </w:tcPr>
          <w:p w14:paraId="64416488"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Raise the expectations ceiling</w:t>
            </w:r>
          </w:p>
        </w:tc>
        <w:tc>
          <w:tcPr>
            <w:tcW w:w="540" w:type="dxa"/>
            <w:vAlign w:val="center"/>
          </w:tcPr>
          <w:p w14:paraId="64416489" w14:textId="77777777" w:rsidR="008D3598" w:rsidRPr="00511330" w:rsidRDefault="008D3598" w:rsidP="00BD6379">
            <w:pPr>
              <w:ind w:left="-44"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34.</w:t>
            </w:r>
          </w:p>
        </w:tc>
        <w:tc>
          <w:tcPr>
            <w:tcW w:w="3713" w:type="dxa"/>
            <w:vAlign w:val="center"/>
          </w:tcPr>
          <w:p w14:paraId="6441648A" w14:textId="77777777" w:rsidR="008D3598" w:rsidRPr="00511330" w:rsidRDefault="008D3598" w:rsidP="00BE0323">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Improving people’s lifestyle </w:t>
            </w:r>
          </w:p>
        </w:tc>
      </w:tr>
    </w:tbl>
    <w:p w14:paraId="6441648C" w14:textId="77777777" w:rsidR="008D3598" w:rsidRPr="00511330" w:rsidRDefault="008D3598" w:rsidP="00721566">
      <w:pPr>
        <w:spacing w:after="0" w:line="480" w:lineRule="auto"/>
        <w:ind w:right="-450"/>
        <w:jc w:val="both"/>
        <w:rPr>
          <w:rFonts w:asciiTheme="majorBidi" w:eastAsia="Calibri" w:hAnsiTheme="majorBidi" w:cstheme="majorBidi"/>
          <w:sz w:val="24"/>
          <w:szCs w:val="24"/>
          <w:lang w:val="en-US"/>
        </w:rPr>
      </w:pPr>
    </w:p>
    <w:p w14:paraId="6441648D" w14:textId="3B6290C0" w:rsidR="008D3598" w:rsidRPr="00511330" w:rsidRDefault="008D3598" w:rsidP="00721566">
      <w:pPr>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Meanwhile, the common motivational elements towards change to renewable energy are extracted from Table 4.</w:t>
      </w:r>
      <w:r w:rsidR="00075242" w:rsidRPr="00511330">
        <w:rPr>
          <w:rFonts w:asciiTheme="majorBidi" w:eastAsia="Calibri" w:hAnsiTheme="majorBidi" w:cstheme="majorBidi"/>
          <w:sz w:val="24"/>
          <w:szCs w:val="24"/>
          <w:lang w:val="en-US"/>
        </w:rPr>
        <w:t xml:space="preserve">1 </w:t>
      </w:r>
      <w:r w:rsidRPr="00511330">
        <w:rPr>
          <w:rFonts w:asciiTheme="majorBidi" w:eastAsia="Calibri" w:hAnsiTheme="majorBidi" w:cstheme="majorBidi"/>
          <w:sz w:val="24"/>
          <w:szCs w:val="24"/>
          <w:lang w:val="en-US"/>
        </w:rPr>
        <w:t>to Table 4.</w:t>
      </w:r>
      <w:r w:rsidR="00075242" w:rsidRPr="00511330">
        <w:rPr>
          <w:rFonts w:asciiTheme="majorBidi" w:eastAsia="Calibri" w:hAnsiTheme="majorBidi" w:cstheme="majorBidi"/>
          <w:sz w:val="24"/>
          <w:szCs w:val="24"/>
          <w:lang w:val="en-US"/>
        </w:rPr>
        <w:t xml:space="preserve">4 </w:t>
      </w:r>
      <w:r w:rsidRPr="00511330">
        <w:rPr>
          <w:rFonts w:asciiTheme="majorBidi" w:eastAsia="Calibri" w:hAnsiTheme="majorBidi" w:cstheme="majorBidi"/>
          <w:sz w:val="24"/>
          <w:szCs w:val="24"/>
          <w:lang w:val="en-US"/>
        </w:rPr>
        <w:t>and depicted in Table 4.</w:t>
      </w:r>
      <w:r w:rsidR="00075242" w:rsidRPr="00511330">
        <w:rPr>
          <w:rFonts w:asciiTheme="majorBidi" w:eastAsia="Calibri" w:hAnsiTheme="majorBidi" w:cstheme="majorBidi"/>
          <w:sz w:val="24"/>
          <w:szCs w:val="24"/>
          <w:lang w:val="en-US"/>
        </w:rPr>
        <w:t xml:space="preserve">5 </w:t>
      </w:r>
      <w:r w:rsidRPr="00511330">
        <w:rPr>
          <w:rFonts w:asciiTheme="majorBidi" w:eastAsia="Calibri" w:hAnsiTheme="majorBidi" w:cstheme="majorBidi"/>
          <w:sz w:val="24"/>
          <w:szCs w:val="24"/>
          <w:lang w:val="en-US"/>
        </w:rPr>
        <w:t>Subsequently, the categories are separated into groups, such as A, B, C, and D, derived from Table 4.</w:t>
      </w:r>
      <w:r w:rsidR="00075242" w:rsidRPr="00511330">
        <w:rPr>
          <w:rFonts w:asciiTheme="majorBidi" w:eastAsia="Calibri" w:hAnsiTheme="majorBidi" w:cstheme="majorBidi"/>
          <w:sz w:val="24"/>
          <w:szCs w:val="24"/>
          <w:lang w:val="en-US"/>
        </w:rPr>
        <w:t>1</w:t>
      </w:r>
      <w:r w:rsidRPr="00511330">
        <w:rPr>
          <w:rFonts w:asciiTheme="majorBidi" w:eastAsia="Calibri" w:hAnsiTheme="majorBidi" w:cstheme="majorBidi"/>
          <w:sz w:val="24"/>
          <w:szCs w:val="24"/>
          <w:lang w:val="en-US"/>
        </w:rPr>
        <w:t xml:space="preserve"> to Table 4.</w:t>
      </w:r>
      <w:r w:rsidR="00075242" w:rsidRPr="00511330">
        <w:rPr>
          <w:rFonts w:asciiTheme="majorBidi" w:eastAsia="Calibri" w:hAnsiTheme="majorBidi" w:cstheme="majorBidi"/>
          <w:sz w:val="24"/>
          <w:szCs w:val="24"/>
          <w:lang w:val="en-US"/>
        </w:rPr>
        <w:t>4</w:t>
      </w:r>
      <w:r w:rsidRPr="00511330">
        <w:rPr>
          <w:rFonts w:asciiTheme="majorBidi" w:eastAsia="Calibri" w:hAnsiTheme="majorBidi" w:cstheme="majorBidi"/>
          <w:sz w:val="24"/>
          <w:szCs w:val="24"/>
          <w:lang w:val="en-US"/>
        </w:rPr>
        <w:t xml:space="preserve">, after which the core motivators for stakeholders from these categories are differentiated. To illustrate, groups E, F, G, H, I and J exhibit the similarities between two stakeholders, whereas groups K, L, M and N exhibit the similarities based on three stakeholders. Lastly, group O shows the similarities among the four stakeholder’s perspectives that are deemed rare and highly important. </w:t>
      </w:r>
    </w:p>
    <w:p w14:paraId="6441648E" w14:textId="1B8DB50D" w:rsidR="008D3598" w:rsidRPr="00511330" w:rsidRDefault="008D3598" w:rsidP="00BD6379">
      <w:pPr>
        <w:pStyle w:val="Caption"/>
        <w:keepNext/>
        <w:spacing w:after="0"/>
        <w:ind w:right="-450"/>
        <w:rPr>
          <w:rFonts w:asciiTheme="majorBidi" w:hAnsiTheme="majorBidi" w:cstheme="majorBidi"/>
          <w:b w:val="0"/>
          <w:bCs w:val="0"/>
          <w:color w:val="auto"/>
          <w:sz w:val="20"/>
          <w:szCs w:val="20"/>
          <w:lang w:val="en-US"/>
        </w:rPr>
      </w:pPr>
      <w:bookmarkStart w:id="723" w:name="_Toc43310895"/>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5</w:t>
      </w:r>
      <w:r w:rsidRPr="00511330">
        <w:rPr>
          <w:rFonts w:asciiTheme="majorBidi" w:hAnsiTheme="majorBidi" w:cstheme="majorBidi"/>
          <w:b w:val="0"/>
          <w:bCs w:val="0"/>
          <w:color w:val="auto"/>
          <w:sz w:val="20"/>
          <w:szCs w:val="20"/>
          <w:lang w:val="en-US"/>
        </w:rPr>
        <w:fldChar w:fldCharType="end"/>
      </w:r>
      <w:r w:rsidR="00BD6379" w:rsidRPr="00511330">
        <w:rPr>
          <w:rFonts w:asciiTheme="majorBidi" w:hAnsiTheme="majorBidi" w:cstheme="majorBidi"/>
          <w:b w:val="0"/>
          <w:bCs w:val="0"/>
          <w:noProof/>
          <w:color w:val="auto"/>
          <w:sz w:val="20"/>
          <w:szCs w:val="20"/>
          <w:lang w:val="en-US"/>
        </w:rPr>
        <w:t>:</w:t>
      </w:r>
      <w:r w:rsidRPr="00511330">
        <w:rPr>
          <w:rFonts w:asciiTheme="majorBidi" w:hAnsiTheme="majorBidi" w:cstheme="majorBidi"/>
          <w:b w:val="0"/>
          <w:bCs w:val="0"/>
          <w:noProof/>
          <w:color w:val="auto"/>
          <w:sz w:val="20"/>
          <w:szCs w:val="20"/>
          <w:lang w:val="en-US"/>
        </w:rPr>
        <w:t xml:space="preserve"> </w:t>
      </w:r>
      <w:r w:rsidRPr="00511330">
        <w:rPr>
          <w:rFonts w:asciiTheme="majorBidi" w:hAnsiTheme="majorBidi" w:cstheme="majorBidi"/>
          <w:b w:val="0"/>
          <w:bCs w:val="0"/>
          <w:i/>
          <w:iCs/>
          <w:noProof/>
          <w:color w:val="auto"/>
          <w:sz w:val="20"/>
          <w:szCs w:val="20"/>
          <w:lang w:val="en-US"/>
        </w:rPr>
        <w:t>Commonality in Stakeholders’ Perceptions of CM Motivators</w:t>
      </w:r>
      <w:bookmarkEnd w:id="723"/>
    </w:p>
    <w:tbl>
      <w:tblPr>
        <w:tblW w:w="79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4793"/>
        <w:gridCol w:w="1147"/>
      </w:tblGrid>
      <w:tr w:rsidR="008D3598" w:rsidRPr="00511330" w14:paraId="64416492" w14:textId="77777777" w:rsidTr="00BD6379">
        <w:trPr>
          <w:cantSplit/>
          <w:trHeight w:val="305"/>
          <w:tblHeader/>
        </w:trPr>
        <w:tc>
          <w:tcPr>
            <w:tcW w:w="1980" w:type="dxa"/>
            <w:shd w:val="clear" w:color="auto" w:fill="F2F2F2" w:themeFill="background1" w:themeFillShade="F2"/>
            <w:noWrap/>
            <w:hideMark/>
          </w:tcPr>
          <w:p w14:paraId="6441648F" w14:textId="77777777" w:rsidR="008D3598" w:rsidRPr="00511330" w:rsidRDefault="008D3598" w:rsidP="00BE0323">
            <w:pPr>
              <w:spacing w:after="0" w:line="240" w:lineRule="auto"/>
              <w:ind w:right="-85"/>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Stakeholders</w:t>
            </w:r>
          </w:p>
        </w:tc>
        <w:tc>
          <w:tcPr>
            <w:tcW w:w="4793" w:type="dxa"/>
            <w:shd w:val="clear" w:color="auto" w:fill="F2F2F2" w:themeFill="background1" w:themeFillShade="F2"/>
            <w:hideMark/>
          </w:tcPr>
          <w:p w14:paraId="64416490" w14:textId="77777777" w:rsidR="008D3598" w:rsidRPr="00511330" w:rsidRDefault="008D3598" w:rsidP="00721566">
            <w:pPr>
              <w:spacing w:after="0" w:line="240" w:lineRule="auto"/>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Common Factors</w:t>
            </w:r>
          </w:p>
        </w:tc>
        <w:tc>
          <w:tcPr>
            <w:tcW w:w="1147" w:type="dxa"/>
            <w:shd w:val="clear" w:color="auto" w:fill="F2F2F2" w:themeFill="background1" w:themeFillShade="F2"/>
            <w:hideMark/>
          </w:tcPr>
          <w:p w14:paraId="64416491" w14:textId="77777777" w:rsidR="008D3598" w:rsidRPr="00511330" w:rsidRDefault="008D3598" w:rsidP="00BE0323">
            <w:pPr>
              <w:spacing w:after="0" w:line="240" w:lineRule="auto"/>
              <w:ind w:right="-175"/>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Groups</w:t>
            </w:r>
          </w:p>
        </w:tc>
      </w:tr>
      <w:tr w:rsidR="008D3598" w:rsidRPr="00511330" w14:paraId="64416499" w14:textId="77777777" w:rsidTr="00BD6379">
        <w:trPr>
          <w:trHeight w:val="395"/>
        </w:trPr>
        <w:tc>
          <w:tcPr>
            <w:tcW w:w="1980" w:type="dxa"/>
            <w:shd w:val="clear" w:color="auto" w:fill="auto"/>
            <w:noWrap/>
            <w:vAlign w:val="center"/>
            <w:hideMark/>
          </w:tcPr>
          <w:p w14:paraId="64416493" w14:textId="77777777" w:rsidR="008D3598" w:rsidRPr="00511330" w:rsidRDefault="008D3598" w:rsidP="00BD6379">
            <w:pPr>
              <w:spacing w:after="0" w:line="240" w:lineRule="auto"/>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Employee</w:t>
            </w:r>
          </w:p>
        </w:tc>
        <w:tc>
          <w:tcPr>
            <w:tcW w:w="4793" w:type="dxa"/>
            <w:vAlign w:val="center"/>
            <w:hideMark/>
          </w:tcPr>
          <w:p w14:paraId="64416494" w14:textId="77777777" w:rsidR="008D3598" w:rsidRPr="00511330" w:rsidRDefault="008D3598" w:rsidP="00BE0323">
            <w:pPr>
              <w:numPr>
                <w:ilvl w:val="0"/>
                <w:numId w:val="6"/>
              </w:numPr>
              <w:spacing w:after="0" w:line="240" w:lineRule="auto"/>
              <w:ind w:left="229" w:right="-450" w:hanging="270"/>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Trust in Government’s vision  </w:t>
            </w:r>
          </w:p>
          <w:p w14:paraId="64416495" w14:textId="77777777" w:rsidR="008D3598" w:rsidRPr="00511330" w:rsidRDefault="008D3598" w:rsidP="00BE0323">
            <w:pPr>
              <w:numPr>
                <w:ilvl w:val="0"/>
                <w:numId w:val="6"/>
              </w:numPr>
              <w:spacing w:after="0" w:line="240" w:lineRule="auto"/>
              <w:ind w:left="229" w:right="-450" w:hanging="270"/>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Self-Development</w:t>
            </w:r>
          </w:p>
          <w:p w14:paraId="64416496" w14:textId="77777777" w:rsidR="008D3598" w:rsidRPr="00511330" w:rsidRDefault="008D3598" w:rsidP="00BE0323">
            <w:pPr>
              <w:numPr>
                <w:ilvl w:val="0"/>
                <w:numId w:val="6"/>
              </w:numPr>
              <w:spacing w:after="0" w:line="240" w:lineRule="auto"/>
              <w:ind w:left="229" w:right="-450" w:hanging="270"/>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Recognition and rewards </w:t>
            </w:r>
          </w:p>
          <w:p w14:paraId="64416497" w14:textId="77777777" w:rsidR="008D3598" w:rsidRPr="00511330" w:rsidRDefault="008D3598" w:rsidP="00BE0323">
            <w:pPr>
              <w:numPr>
                <w:ilvl w:val="0"/>
                <w:numId w:val="6"/>
              </w:numPr>
              <w:spacing w:after="0" w:line="240" w:lineRule="auto"/>
              <w:ind w:left="229" w:right="-450" w:hanging="270"/>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Simplification and easy user adoption</w:t>
            </w:r>
          </w:p>
        </w:tc>
        <w:tc>
          <w:tcPr>
            <w:tcW w:w="1147" w:type="dxa"/>
            <w:vAlign w:val="center"/>
            <w:hideMark/>
          </w:tcPr>
          <w:p w14:paraId="64416498" w14:textId="77777777" w:rsidR="008D3598" w:rsidRPr="00511330" w:rsidRDefault="008D3598" w:rsidP="00BE0323">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w:t>
            </w:r>
          </w:p>
        </w:tc>
      </w:tr>
      <w:tr w:rsidR="008D3598" w:rsidRPr="00511330" w14:paraId="644164A2" w14:textId="77777777" w:rsidTr="00BD6379">
        <w:trPr>
          <w:trHeight w:val="782"/>
        </w:trPr>
        <w:tc>
          <w:tcPr>
            <w:tcW w:w="1980" w:type="dxa"/>
            <w:shd w:val="clear" w:color="auto" w:fill="auto"/>
            <w:noWrap/>
            <w:vAlign w:val="center"/>
            <w:hideMark/>
          </w:tcPr>
          <w:p w14:paraId="6441649A" w14:textId="77777777" w:rsidR="008D3598" w:rsidRPr="00511330" w:rsidRDefault="008D3598" w:rsidP="00BD6379">
            <w:pPr>
              <w:spacing w:after="0" w:line="240" w:lineRule="auto"/>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Top Management </w:t>
            </w:r>
          </w:p>
        </w:tc>
        <w:tc>
          <w:tcPr>
            <w:tcW w:w="4793" w:type="dxa"/>
            <w:vAlign w:val="center"/>
            <w:hideMark/>
          </w:tcPr>
          <w:p w14:paraId="6441649B" w14:textId="77777777" w:rsidR="008D3598" w:rsidRPr="00511330" w:rsidRDefault="008D3598" w:rsidP="00BE0323">
            <w:pPr>
              <w:numPr>
                <w:ilvl w:val="0"/>
                <w:numId w:val="6"/>
              </w:numPr>
              <w:spacing w:after="0" w:line="240" w:lineRule="auto"/>
              <w:ind w:left="229" w:right="-450" w:hanging="229"/>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Continuity and survival</w:t>
            </w:r>
          </w:p>
          <w:p w14:paraId="6441649C" w14:textId="77777777" w:rsidR="008D3598" w:rsidRPr="00511330" w:rsidRDefault="008D3598" w:rsidP="00BE0323">
            <w:pPr>
              <w:numPr>
                <w:ilvl w:val="0"/>
                <w:numId w:val="6"/>
              </w:numPr>
              <w:spacing w:after="0" w:line="240" w:lineRule="auto"/>
              <w:ind w:left="229" w:right="-450" w:hanging="229"/>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Trust and support of the Government’s vision  </w:t>
            </w:r>
          </w:p>
          <w:p w14:paraId="6441649D" w14:textId="77777777" w:rsidR="008D3598" w:rsidRPr="00511330" w:rsidRDefault="008D3598" w:rsidP="00BE0323">
            <w:pPr>
              <w:numPr>
                <w:ilvl w:val="0"/>
                <w:numId w:val="6"/>
              </w:numPr>
              <w:spacing w:after="0" w:line="240" w:lineRule="auto"/>
              <w:ind w:left="229" w:right="-450" w:hanging="229"/>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Improvements (corporate / individual level)</w:t>
            </w:r>
          </w:p>
          <w:p w14:paraId="6441649E" w14:textId="77777777" w:rsidR="008D3598" w:rsidRPr="00511330" w:rsidRDefault="008D3598" w:rsidP="00BE0323">
            <w:pPr>
              <w:numPr>
                <w:ilvl w:val="0"/>
                <w:numId w:val="6"/>
              </w:numPr>
              <w:spacing w:after="0" w:line="240" w:lineRule="auto"/>
              <w:ind w:left="229" w:right="-450" w:hanging="229"/>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Customer and community orientation </w:t>
            </w:r>
          </w:p>
          <w:p w14:paraId="6441649F" w14:textId="77777777" w:rsidR="008D3598" w:rsidRPr="00511330" w:rsidRDefault="008D3598" w:rsidP="00BD6379">
            <w:pPr>
              <w:numPr>
                <w:ilvl w:val="0"/>
                <w:numId w:val="6"/>
              </w:numPr>
              <w:spacing w:after="0" w:line="240" w:lineRule="auto"/>
              <w:ind w:left="229" w:hanging="229"/>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Financial Aspects (ROI, resource utilization, cost reduction)</w:t>
            </w:r>
          </w:p>
          <w:p w14:paraId="644164A0" w14:textId="77777777" w:rsidR="008D3598" w:rsidRPr="00511330" w:rsidRDefault="008D3598" w:rsidP="00BE0323">
            <w:pPr>
              <w:numPr>
                <w:ilvl w:val="0"/>
                <w:numId w:val="6"/>
              </w:numPr>
              <w:spacing w:after="0" w:line="240" w:lineRule="auto"/>
              <w:ind w:left="229" w:right="-450" w:hanging="229"/>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Globalization and accreditation and rewards</w:t>
            </w:r>
          </w:p>
        </w:tc>
        <w:tc>
          <w:tcPr>
            <w:tcW w:w="1147" w:type="dxa"/>
            <w:vAlign w:val="center"/>
            <w:hideMark/>
          </w:tcPr>
          <w:p w14:paraId="644164A1" w14:textId="77777777" w:rsidR="008D3598" w:rsidRPr="00511330" w:rsidRDefault="008D3598" w:rsidP="00BE0323">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w:t>
            </w:r>
          </w:p>
        </w:tc>
      </w:tr>
      <w:tr w:rsidR="008D3598" w:rsidRPr="00511330" w14:paraId="644164AC" w14:textId="77777777" w:rsidTr="00BD6379">
        <w:trPr>
          <w:trHeight w:val="1844"/>
        </w:trPr>
        <w:tc>
          <w:tcPr>
            <w:tcW w:w="1980" w:type="dxa"/>
            <w:shd w:val="clear" w:color="auto" w:fill="auto"/>
            <w:noWrap/>
            <w:vAlign w:val="center"/>
            <w:hideMark/>
          </w:tcPr>
          <w:p w14:paraId="644164A3" w14:textId="77777777" w:rsidR="008D3598" w:rsidRPr="00511330" w:rsidRDefault="008D3598" w:rsidP="00BD6379">
            <w:pPr>
              <w:spacing w:after="0" w:line="240" w:lineRule="auto"/>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Government </w:t>
            </w:r>
          </w:p>
        </w:tc>
        <w:tc>
          <w:tcPr>
            <w:tcW w:w="4793" w:type="dxa"/>
            <w:hideMark/>
          </w:tcPr>
          <w:p w14:paraId="644164A4"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UAE vision 2021</w:t>
            </w:r>
          </w:p>
          <w:p w14:paraId="644164A5"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Environment protection</w:t>
            </w:r>
          </w:p>
          <w:p w14:paraId="644164A6"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Efficiency and competitiveness</w:t>
            </w:r>
          </w:p>
          <w:p w14:paraId="644164A7"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Assurance of sustainable developments</w:t>
            </w:r>
          </w:p>
          <w:p w14:paraId="644164A8"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People happiness and satisfaction</w:t>
            </w:r>
          </w:p>
          <w:p w14:paraId="644164A9"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Sufficiency and independence</w:t>
            </w:r>
          </w:p>
          <w:p w14:paraId="644164AA" w14:textId="77777777" w:rsidR="008D3598" w:rsidRPr="00511330" w:rsidRDefault="008D3598" w:rsidP="00721566">
            <w:pPr>
              <w:numPr>
                <w:ilvl w:val="0"/>
                <w:numId w:val="6"/>
              </w:numPr>
              <w:spacing w:after="0" w:line="240" w:lineRule="auto"/>
              <w:ind w:left="231" w:right="-450" w:hanging="245"/>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Innovation and future foresight</w:t>
            </w:r>
          </w:p>
        </w:tc>
        <w:tc>
          <w:tcPr>
            <w:tcW w:w="1147" w:type="dxa"/>
            <w:vAlign w:val="center"/>
            <w:hideMark/>
          </w:tcPr>
          <w:p w14:paraId="644164AB" w14:textId="77777777" w:rsidR="008D3598" w:rsidRPr="00511330" w:rsidRDefault="008D3598" w:rsidP="00BE0323">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w:t>
            </w:r>
          </w:p>
        </w:tc>
      </w:tr>
      <w:tr w:rsidR="008D3598" w:rsidRPr="00511330" w14:paraId="644164B6" w14:textId="77777777" w:rsidTr="00BD6379">
        <w:trPr>
          <w:trHeight w:val="251"/>
        </w:trPr>
        <w:tc>
          <w:tcPr>
            <w:tcW w:w="1980" w:type="dxa"/>
            <w:shd w:val="clear" w:color="auto" w:fill="auto"/>
            <w:noWrap/>
            <w:vAlign w:val="center"/>
            <w:hideMark/>
          </w:tcPr>
          <w:p w14:paraId="644164AD" w14:textId="77777777" w:rsidR="008D3598" w:rsidRPr="00511330" w:rsidRDefault="008D3598" w:rsidP="00BD6379">
            <w:pPr>
              <w:spacing w:after="0" w:line="240" w:lineRule="auto"/>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Customers </w:t>
            </w:r>
          </w:p>
        </w:tc>
        <w:tc>
          <w:tcPr>
            <w:tcW w:w="4793" w:type="dxa"/>
            <w:hideMark/>
          </w:tcPr>
          <w:p w14:paraId="644164AE" w14:textId="77777777" w:rsidR="008D3598" w:rsidRPr="00511330" w:rsidRDefault="008D3598" w:rsidP="00BD6379">
            <w:pPr>
              <w:numPr>
                <w:ilvl w:val="0"/>
                <w:numId w:val="6"/>
              </w:numPr>
              <w:spacing w:after="0" w:line="240" w:lineRule="auto"/>
              <w:ind w:left="222"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Product availability, accessibility, accountability, usability </w:t>
            </w:r>
          </w:p>
          <w:p w14:paraId="644164AF"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Lifestyle </w:t>
            </w:r>
          </w:p>
          <w:p w14:paraId="644164B0"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lastRenderedPageBreak/>
              <w:t>Trust in the Government’s vision</w:t>
            </w:r>
          </w:p>
          <w:p w14:paraId="644164B1"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Cost-effectiveness</w:t>
            </w:r>
          </w:p>
          <w:p w14:paraId="644164B2"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High demand fulfillment</w:t>
            </w:r>
          </w:p>
          <w:p w14:paraId="644164B3"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Fairness and equity </w:t>
            </w:r>
          </w:p>
        </w:tc>
        <w:tc>
          <w:tcPr>
            <w:tcW w:w="1147" w:type="dxa"/>
            <w:vAlign w:val="center"/>
          </w:tcPr>
          <w:p w14:paraId="644164B4" w14:textId="77777777" w:rsidR="008D3598" w:rsidRPr="00511330" w:rsidRDefault="008D3598" w:rsidP="00BE0323">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lastRenderedPageBreak/>
              <w:t>D</w:t>
            </w:r>
          </w:p>
          <w:p w14:paraId="644164B5" w14:textId="77777777" w:rsidR="008D3598" w:rsidRPr="00511330" w:rsidRDefault="008D3598" w:rsidP="00721566">
            <w:pPr>
              <w:spacing w:after="0" w:line="240" w:lineRule="auto"/>
              <w:ind w:right="-450"/>
              <w:jc w:val="center"/>
              <w:rPr>
                <w:rFonts w:asciiTheme="majorBidi" w:eastAsia="Calibri" w:hAnsiTheme="majorBidi" w:cstheme="majorBidi"/>
                <w:sz w:val="20"/>
                <w:szCs w:val="20"/>
                <w:lang w:val="en-US"/>
              </w:rPr>
            </w:pPr>
          </w:p>
        </w:tc>
      </w:tr>
      <w:tr w:rsidR="008D3598" w:rsidRPr="00511330" w14:paraId="644164BF" w14:textId="77777777" w:rsidTr="00BD6379">
        <w:trPr>
          <w:trHeight w:val="332"/>
        </w:trPr>
        <w:tc>
          <w:tcPr>
            <w:tcW w:w="1980" w:type="dxa"/>
            <w:shd w:val="clear" w:color="auto" w:fill="auto"/>
            <w:noWrap/>
            <w:vAlign w:val="center"/>
            <w:hideMark/>
          </w:tcPr>
          <w:p w14:paraId="644164B7" w14:textId="77777777" w:rsidR="008D3598" w:rsidRPr="00511330" w:rsidRDefault="008D3598" w:rsidP="00BD6379">
            <w:pPr>
              <w:spacing w:after="0" w:line="240" w:lineRule="auto"/>
              <w:ind w:right="-8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lastRenderedPageBreak/>
              <w:t>Employee- Top Management</w:t>
            </w:r>
          </w:p>
        </w:tc>
        <w:tc>
          <w:tcPr>
            <w:tcW w:w="4793" w:type="dxa"/>
            <w:hideMark/>
          </w:tcPr>
          <w:p w14:paraId="644164B8"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Capability and competencies </w:t>
            </w:r>
          </w:p>
          <w:p w14:paraId="644164B9"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Customer orientation</w:t>
            </w:r>
          </w:p>
          <w:p w14:paraId="644164BA"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Health, safety and environment aspect</w:t>
            </w:r>
          </w:p>
          <w:p w14:paraId="644164BB"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Innovation</w:t>
            </w:r>
          </w:p>
          <w:p w14:paraId="644164BC"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Trust in the Government’s vision</w:t>
            </w:r>
          </w:p>
          <w:p w14:paraId="644164BD"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Continuous improvements</w:t>
            </w:r>
          </w:p>
        </w:tc>
        <w:tc>
          <w:tcPr>
            <w:tcW w:w="1147" w:type="dxa"/>
            <w:vAlign w:val="center"/>
            <w:hideMark/>
          </w:tcPr>
          <w:p w14:paraId="644164BE" w14:textId="77777777" w:rsidR="008D3598" w:rsidRPr="00511330" w:rsidRDefault="008D3598" w:rsidP="00FB46F6">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w:t>
            </w:r>
          </w:p>
        </w:tc>
      </w:tr>
      <w:tr w:rsidR="008D3598" w:rsidRPr="00511330" w14:paraId="644164C5" w14:textId="77777777" w:rsidTr="00BD6379">
        <w:trPr>
          <w:trHeight w:val="548"/>
        </w:trPr>
        <w:tc>
          <w:tcPr>
            <w:tcW w:w="1980" w:type="dxa"/>
            <w:shd w:val="clear" w:color="auto" w:fill="auto"/>
            <w:noWrap/>
            <w:vAlign w:val="center"/>
            <w:hideMark/>
          </w:tcPr>
          <w:p w14:paraId="644164C0" w14:textId="77777777" w:rsidR="008D3598" w:rsidRPr="00511330" w:rsidRDefault="008D3598" w:rsidP="00BD6379">
            <w:pPr>
              <w:spacing w:after="0" w:line="240" w:lineRule="auto"/>
              <w:ind w:right="-8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Employee- Government</w:t>
            </w:r>
          </w:p>
        </w:tc>
        <w:tc>
          <w:tcPr>
            <w:tcW w:w="4793" w:type="dxa"/>
            <w:vAlign w:val="center"/>
            <w:hideMark/>
          </w:tcPr>
          <w:p w14:paraId="644164C1"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Customer orientation and happiness</w:t>
            </w:r>
          </w:p>
          <w:p w14:paraId="644164C2"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Continuous improvements</w:t>
            </w:r>
          </w:p>
          <w:p w14:paraId="644164C3"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Innovation</w:t>
            </w:r>
          </w:p>
        </w:tc>
        <w:tc>
          <w:tcPr>
            <w:tcW w:w="1147" w:type="dxa"/>
            <w:vAlign w:val="center"/>
            <w:hideMark/>
          </w:tcPr>
          <w:p w14:paraId="644164C4" w14:textId="77777777" w:rsidR="008D3598" w:rsidRPr="00511330" w:rsidRDefault="008D3598" w:rsidP="00FB46F6">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w:t>
            </w:r>
          </w:p>
        </w:tc>
      </w:tr>
      <w:tr w:rsidR="008D3598" w:rsidRPr="00511330" w14:paraId="644164CC" w14:textId="77777777" w:rsidTr="00BD6379">
        <w:trPr>
          <w:trHeight w:val="80"/>
        </w:trPr>
        <w:tc>
          <w:tcPr>
            <w:tcW w:w="1980" w:type="dxa"/>
            <w:shd w:val="clear" w:color="auto" w:fill="auto"/>
            <w:noWrap/>
            <w:vAlign w:val="center"/>
            <w:hideMark/>
          </w:tcPr>
          <w:p w14:paraId="644164C6" w14:textId="77777777" w:rsidR="008D3598" w:rsidRPr="00511330" w:rsidRDefault="008D3598" w:rsidP="00BD6379">
            <w:pPr>
              <w:spacing w:after="0" w:line="240" w:lineRule="auto"/>
              <w:ind w:right="-8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Employee- Customers</w:t>
            </w:r>
          </w:p>
        </w:tc>
        <w:tc>
          <w:tcPr>
            <w:tcW w:w="4793" w:type="dxa"/>
            <w:vAlign w:val="center"/>
            <w:hideMark/>
          </w:tcPr>
          <w:p w14:paraId="644164C7"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Trust in the Government’s vision </w:t>
            </w:r>
          </w:p>
          <w:p w14:paraId="644164C8"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Simplification and easy user adoption </w:t>
            </w:r>
          </w:p>
          <w:p w14:paraId="644164C9"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Health, safety, and environmental aspect</w:t>
            </w:r>
          </w:p>
          <w:p w14:paraId="644164CA"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Fairness and equality</w:t>
            </w:r>
          </w:p>
        </w:tc>
        <w:tc>
          <w:tcPr>
            <w:tcW w:w="1147" w:type="dxa"/>
            <w:vAlign w:val="center"/>
            <w:hideMark/>
          </w:tcPr>
          <w:p w14:paraId="644164CB" w14:textId="77777777" w:rsidR="008D3598" w:rsidRPr="00511330" w:rsidRDefault="008D3598" w:rsidP="00FB46F6">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w:t>
            </w:r>
          </w:p>
        </w:tc>
      </w:tr>
      <w:tr w:rsidR="008D3598" w:rsidRPr="00511330" w14:paraId="644164D4" w14:textId="77777777" w:rsidTr="00BD6379">
        <w:trPr>
          <w:trHeight w:val="58"/>
        </w:trPr>
        <w:tc>
          <w:tcPr>
            <w:tcW w:w="1980" w:type="dxa"/>
            <w:shd w:val="clear" w:color="auto" w:fill="auto"/>
            <w:noWrap/>
            <w:vAlign w:val="center"/>
            <w:hideMark/>
          </w:tcPr>
          <w:p w14:paraId="644164CD" w14:textId="77777777" w:rsidR="008D3598" w:rsidRPr="00511330" w:rsidRDefault="008D3598" w:rsidP="00BD6379">
            <w:pPr>
              <w:spacing w:after="0" w:line="240" w:lineRule="auto"/>
              <w:ind w:left="4" w:right="-85" w:hangingChars="2" w:hanging="4"/>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Top Management- Government</w:t>
            </w:r>
          </w:p>
        </w:tc>
        <w:tc>
          <w:tcPr>
            <w:tcW w:w="4793" w:type="dxa"/>
            <w:vAlign w:val="center"/>
            <w:hideMark/>
          </w:tcPr>
          <w:p w14:paraId="644164CE"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Financial aspects (ROI/ Budget utilization)</w:t>
            </w:r>
          </w:p>
          <w:p w14:paraId="644164CF"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Efficiency, competitiveness, &amp; distinctiveness</w:t>
            </w:r>
          </w:p>
          <w:p w14:paraId="644164D0"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People happiness and customer orientation </w:t>
            </w:r>
          </w:p>
          <w:p w14:paraId="644164D1"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Innovation and future foresight</w:t>
            </w:r>
          </w:p>
          <w:p w14:paraId="644164D2"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Assurance of sustainable developments</w:t>
            </w:r>
          </w:p>
        </w:tc>
        <w:tc>
          <w:tcPr>
            <w:tcW w:w="1147" w:type="dxa"/>
            <w:vAlign w:val="center"/>
            <w:hideMark/>
          </w:tcPr>
          <w:p w14:paraId="644164D3" w14:textId="77777777" w:rsidR="008D3598" w:rsidRPr="00511330" w:rsidRDefault="008D3598" w:rsidP="00FB46F6">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w:t>
            </w:r>
          </w:p>
        </w:tc>
      </w:tr>
      <w:tr w:rsidR="008D3598" w:rsidRPr="00511330" w14:paraId="644164D8" w14:textId="77777777" w:rsidTr="00BD6379">
        <w:trPr>
          <w:trHeight w:val="332"/>
        </w:trPr>
        <w:tc>
          <w:tcPr>
            <w:tcW w:w="1980" w:type="dxa"/>
            <w:shd w:val="clear" w:color="auto" w:fill="auto"/>
            <w:noWrap/>
            <w:vAlign w:val="center"/>
            <w:hideMark/>
          </w:tcPr>
          <w:p w14:paraId="644164D5" w14:textId="77777777" w:rsidR="008D3598" w:rsidRPr="00511330" w:rsidRDefault="008D3598" w:rsidP="00BD6379">
            <w:pPr>
              <w:spacing w:after="0" w:line="240" w:lineRule="auto"/>
              <w:ind w:left="4" w:right="-85" w:hangingChars="2" w:hanging="4"/>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Top Management- Customers</w:t>
            </w:r>
          </w:p>
        </w:tc>
        <w:tc>
          <w:tcPr>
            <w:tcW w:w="4793" w:type="dxa"/>
            <w:vAlign w:val="center"/>
            <w:hideMark/>
          </w:tcPr>
          <w:p w14:paraId="644164D6"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Community welfare and lifestyle</w:t>
            </w:r>
          </w:p>
        </w:tc>
        <w:tc>
          <w:tcPr>
            <w:tcW w:w="1147" w:type="dxa"/>
            <w:vAlign w:val="center"/>
            <w:hideMark/>
          </w:tcPr>
          <w:p w14:paraId="644164D7" w14:textId="77777777" w:rsidR="008D3598" w:rsidRPr="00511330" w:rsidRDefault="008D3598" w:rsidP="00FB46F6">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w:t>
            </w:r>
          </w:p>
        </w:tc>
      </w:tr>
      <w:tr w:rsidR="008D3598" w:rsidRPr="00511330" w14:paraId="644164DC" w14:textId="77777777" w:rsidTr="00BD6379">
        <w:trPr>
          <w:trHeight w:val="665"/>
        </w:trPr>
        <w:tc>
          <w:tcPr>
            <w:tcW w:w="1980" w:type="dxa"/>
            <w:shd w:val="clear" w:color="auto" w:fill="auto"/>
            <w:noWrap/>
            <w:vAlign w:val="center"/>
            <w:hideMark/>
          </w:tcPr>
          <w:p w14:paraId="644164D9" w14:textId="77777777" w:rsidR="008D3598" w:rsidRPr="00511330" w:rsidRDefault="008D3598" w:rsidP="00BD6379">
            <w:pPr>
              <w:spacing w:after="0" w:line="240" w:lineRule="auto"/>
              <w:ind w:right="-8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Government- Customers</w:t>
            </w:r>
          </w:p>
        </w:tc>
        <w:tc>
          <w:tcPr>
            <w:tcW w:w="4793" w:type="dxa"/>
            <w:vAlign w:val="center"/>
            <w:hideMark/>
          </w:tcPr>
          <w:p w14:paraId="644164DA"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Fulfill high demand</w:t>
            </w:r>
          </w:p>
        </w:tc>
        <w:tc>
          <w:tcPr>
            <w:tcW w:w="1147" w:type="dxa"/>
            <w:vAlign w:val="center"/>
            <w:hideMark/>
          </w:tcPr>
          <w:p w14:paraId="644164DB" w14:textId="77777777" w:rsidR="008D3598" w:rsidRPr="00511330" w:rsidRDefault="008D3598" w:rsidP="00FB46F6">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J</w:t>
            </w:r>
          </w:p>
        </w:tc>
      </w:tr>
      <w:tr w:rsidR="008D3598" w:rsidRPr="00511330" w14:paraId="644164E1" w14:textId="77777777" w:rsidTr="00BD6379">
        <w:trPr>
          <w:trHeight w:val="58"/>
        </w:trPr>
        <w:tc>
          <w:tcPr>
            <w:tcW w:w="1980" w:type="dxa"/>
            <w:shd w:val="clear" w:color="auto" w:fill="auto"/>
            <w:noWrap/>
            <w:hideMark/>
          </w:tcPr>
          <w:p w14:paraId="644164DD" w14:textId="77777777" w:rsidR="008D3598" w:rsidRPr="00511330" w:rsidRDefault="008D3598" w:rsidP="00BD6379">
            <w:pPr>
              <w:spacing w:after="0" w:line="240" w:lineRule="auto"/>
              <w:ind w:right="-8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Top Management-Employees-Customers</w:t>
            </w:r>
          </w:p>
        </w:tc>
        <w:tc>
          <w:tcPr>
            <w:tcW w:w="4793" w:type="dxa"/>
            <w:vAlign w:val="center"/>
            <w:hideMark/>
          </w:tcPr>
          <w:p w14:paraId="644164DE"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Trust in the Government’s vision</w:t>
            </w:r>
          </w:p>
          <w:p w14:paraId="644164DF"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Lifestyle</w:t>
            </w:r>
          </w:p>
        </w:tc>
        <w:tc>
          <w:tcPr>
            <w:tcW w:w="1147" w:type="dxa"/>
            <w:vAlign w:val="center"/>
            <w:hideMark/>
          </w:tcPr>
          <w:p w14:paraId="644164E0" w14:textId="77777777" w:rsidR="008D3598" w:rsidRPr="00511330" w:rsidRDefault="008D3598" w:rsidP="00FB46F6">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K</w:t>
            </w:r>
          </w:p>
        </w:tc>
      </w:tr>
      <w:tr w:rsidR="008D3598" w:rsidRPr="00511330" w14:paraId="644164E7" w14:textId="77777777" w:rsidTr="00BD6379">
        <w:trPr>
          <w:trHeight w:val="251"/>
        </w:trPr>
        <w:tc>
          <w:tcPr>
            <w:tcW w:w="1980" w:type="dxa"/>
            <w:shd w:val="clear" w:color="auto" w:fill="auto"/>
            <w:noWrap/>
            <w:hideMark/>
          </w:tcPr>
          <w:p w14:paraId="644164E2" w14:textId="77777777" w:rsidR="008D3598" w:rsidRPr="00511330" w:rsidRDefault="008D3598" w:rsidP="00BD6379">
            <w:pPr>
              <w:spacing w:after="0" w:line="240" w:lineRule="auto"/>
              <w:ind w:right="-8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Top Management -Employees-Government</w:t>
            </w:r>
          </w:p>
        </w:tc>
        <w:tc>
          <w:tcPr>
            <w:tcW w:w="4793" w:type="dxa"/>
            <w:vAlign w:val="center"/>
            <w:hideMark/>
          </w:tcPr>
          <w:p w14:paraId="644164E3"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Innovation.</w:t>
            </w:r>
          </w:p>
          <w:p w14:paraId="644164E4"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Capability and competitiveness</w:t>
            </w:r>
          </w:p>
          <w:p w14:paraId="644164E5"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Knowledge sharing</w:t>
            </w:r>
          </w:p>
        </w:tc>
        <w:tc>
          <w:tcPr>
            <w:tcW w:w="1147" w:type="dxa"/>
            <w:vAlign w:val="center"/>
            <w:hideMark/>
          </w:tcPr>
          <w:p w14:paraId="644164E6" w14:textId="77777777" w:rsidR="008D3598" w:rsidRPr="00511330" w:rsidRDefault="008D3598" w:rsidP="00FB46F6">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w:t>
            </w:r>
          </w:p>
        </w:tc>
      </w:tr>
      <w:tr w:rsidR="008D3598" w:rsidRPr="00511330" w14:paraId="644164EC" w14:textId="77777777" w:rsidTr="00BD6379">
        <w:trPr>
          <w:trHeight w:val="593"/>
        </w:trPr>
        <w:tc>
          <w:tcPr>
            <w:tcW w:w="1980" w:type="dxa"/>
            <w:shd w:val="clear" w:color="auto" w:fill="auto"/>
            <w:noWrap/>
            <w:hideMark/>
          </w:tcPr>
          <w:p w14:paraId="644164E8" w14:textId="77777777" w:rsidR="008D3598" w:rsidRPr="00511330" w:rsidRDefault="008D3598" w:rsidP="00BD6379">
            <w:pPr>
              <w:spacing w:after="0" w:line="240" w:lineRule="auto"/>
              <w:ind w:right="-8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Top Management -Customers-Government</w:t>
            </w:r>
          </w:p>
        </w:tc>
        <w:tc>
          <w:tcPr>
            <w:tcW w:w="4793" w:type="dxa"/>
            <w:vAlign w:val="center"/>
            <w:hideMark/>
          </w:tcPr>
          <w:p w14:paraId="644164E9"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Fulfilling future energy demand</w:t>
            </w:r>
          </w:p>
          <w:p w14:paraId="644164EA"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Environmental health and safety aspect</w:t>
            </w:r>
          </w:p>
        </w:tc>
        <w:tc>
          <w:tcPr>
            <w:tcW w:w="1147" w:type="dxa"/>
            <w:vAlign w:val="center"/>
            <w:hideMark/>
          </w:tcPr>
          <w:p w14:paraId="644164EB" w14:textId="77777777" w:rsidR="008D3598" w:rsidRPr="00511330" w:rsidRDefault="008D3598" w:rsidP="00FB46F6">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w:t>
            </w:r>
          </w:p>
        </w:tc>
      </w:tr>
      <w:tr w:rsidR="008D3598" w:rsidRPr="00511330" w14:paraId="644164F1" w14:textId="77777777" w:rsidTr="00BD6379">
        <w:trPr>
          <w:trHeight w:val="449"/>
        </w:trPr>
        <w:tc>
          <w:tcPr>
            <w:tcW w:w="1980" w:type="dxa"/>
            <w:shd w:val="clear" w:color="auto" w:fill="auto"/>
            <w:noWrap/>
            <w:hideMark/>
          </w:tcPr>
          <w:p w14:paraId="644164ED" w14:textId="77777777" w:rsidR="008D3598" w:rsidRPr="00511330" w:rsidRDefault="008D3598" w:rsidP="00BD6379">
            <w:pPr>
              <w:spacing w:after="0" w:line="240" w:lineRule="auto"/>
              <w:ind w:right="-8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Employees-Customers-Government</w:t>
            </w:r>
          </w:p>
        </w:tc>
        <w:tc>
          <w:tcPr>
            <w:tcW w:w="4793" w:type="dxa"/>
            <w:vAlign w:val="center"/>
            <w:hideMark/>
          </w:tcPr>
          <w:p w14:paraId="644164EE"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Innovation.</w:t>
            </w:r>
          </w:p>
          <w:p w14:paraId="644164EF"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Sustainability</w:t>
            </w:r>
          </w:p>
        </w:tc>
        <w:tc>
          <w:tcPr>
            <w:tcW w:w="1147" w:type="dxa"/>
            <w:vAlign w:val="center"/>
            <w:hideMark/>
          </w:tcPr>
          <w:p w14:paraId="644164F0" w14:textId="77777777" w:rsidR="008D3598" w:rsidRPr="00511330" w:rsidRDefault="008D3598" w:rsidP="00FB46F6">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N</w:t>
            </w:r>
          </w:p>
        </w:tc>
      </w:tr>
      <w:tr w:rsidR="008D3598" w:rsidRPr="00511330" w14:paraId="644164F7" w14:textId="77777777" w:rsidTr="00BD6379">
        <w:trPr>
          <w:trHeight w:val="440"/>
        </w:trPr>
        <w:tc>
          <w:tcPr>
            <w:tcW w:w="1980" w:type="dxa"/>
            <w:shd w:val="clear" w:color="auto" w:fill="auto"/>
            <w:noWrap/>
            <w:hideMark/>
          </w:tcPr>
          <w:p w14:paraId="644164F2" w14:textId="77777777" w:rsidR="008D3598" w:rsidRPr="00511330" w:rsidRDefault="008D3598" w:rsidP="00BD6379">
            <w:pPr>
              <w:spacing w:after="0" w:line="240" w:lineRule="auto"/>
              <w:ind w:right="-8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Top Management -Customers-Employees-Government</w:t>
            </w:r>
          </w:p>
        </w:tc>
        <w:tc>
          <w:tcPr>
            <w:tcW w:w="4793" w:type="dxa"/>
            <w:vAlign w:val="center"/>
            <w:hideMark/>
          </w:tcPr>
          <w:p w14:paraId="644164F3"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Community welfare and lifestyle</w:t>
            </w:r>
          </w:p>
          <w:p w14:paraId="644164F4"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Environmental aspect</w:t>
            </w:r>
          </w:p>
          <w:p w14:paraId="644164F5" w14:textId="77777777" w:rsidR="008D3598" w:rsidRPr="00511330" w:rsidRDefault="008D3598" w:rsidP="00721566">
            <w:pPr>
              <w:numPr>
                <w:ilvl w:val="0"/>
                <w:numId w:val="6"/>
              </w:numPr>
              <w:spacing w:after="0" w:line="240" w:lineRule="auto"/>
              <w:ind w:left="222" w:right="-450" w:hangingChars="111" w:hanging="222"/>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UAE brand and image</w:t>
            </w:r>
          </w:p>
        </w:tc>
        <w:tc>
          <w:tcPr>
            <w:tcW w:w="1147" w:type="dxa"/>
            <w:vAlign w:val="center"/>
            <w:hideMark/>
          </w:tcPr>
          <w:p w14:paraId="644164F6" w14:textId="77777777" w:rsidR="008D3598" w:rsidRPr="00511330" w:rsidRDefault="008D3598" w:rsidP="00FB46F6">
            <w:pPr>
              <w:spacing w:after="0" w:line="240" w:lineRule="auto"/>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O</w:t>
            </w:r>
          </w:p>
        </w:tc>
      </w:tr>
    </w:tbl>
    <w:p w14:paraId="644164F8" w14:textId="77777777" w:rsidR="008D3598" w:rsidRPr="00511330" w:rsidRDefault="008D3598" w:rsidP="00721566">
      <w:pPr>
        <w:spacing w:after="0" w:line="480" w:lineRule="auto"/>
        <w:ind w:right="-450"/>
        <w:jc w:val="both"/>
        <w:rPr>
          <w:rFonts w:asciiTheme="majorBidi" w:eastAsia="Calibri" w:hAnsiTheme="majorBidi" w:cstheme="majorBidi"/>
          <w:sz w:val="24"/>
          <w:szCs w:val="24"/>
          <w:lang w:val="en-US"/>
        </w:rPr>
      </w:pPr>
    </w:p>
    <w:p w14:paraId="644164F9" w14:textId="4F57F835" w:rsidR="008D3598" w:rsidRPr="00511330" w:rsidRDefault="008D3598" w:rsidP="00721566">
      <w:pPr>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According to the findings, employees are motivated by rewards, recognition, and leadership support. Meanwhile, top management is motivated by the factors of globalization, continuity, and survival, including the financial aspects of ROI, resources utilization, and cost reduction. However, the governments are targeting </w:t>
      </w:r>
      <w:r w:rsidRPr="00511330">
        <w:rPr>
          <w:rFonts w:asciiTheme="majorBidi" w:eastAsia="Calibri" w:hAnsiTheme="majorBidi" w:cstheme="majorBidi"/>
          <w:sz w:val="24"/>
          <w:szCs w:val="24"/>
          <w:lang w:val="en-US"/>
        </w:rPr>
        <w:lastRenderedPageBreak/>
        <w:t xml:space="preserve">a different perspective of people happiness, lifestyle, and welfare of </w:t>
      </w:r>
      <w:r w:rsidR="00892A00" w:rsidRPr="00511330">
        <w:rPr>
          <w:rFonts w:asciiTheme="majorBidi" w:eastAsia="Calibri" w:hAnsiTheme="majorBidi" w:cstheme="majorBidi"/>
          <w:sz w:val="24"/>
          <w:szCs w:val="24"/>
          <w:lang w:val="en-US"/>
        </w:rPr>
        <w:t xml:space="preserve">the </w:t>
      </w:r>
      <w:r w:rsidRPr="00511330">
        <w:rPr>
          <w:rFonts w:asciiTheme="majorBidi" w:eastAsia="Calibri" w:hAnsiTheme="majorBidi" w:cstheme="majorBidi"/>
          <w:sz w:val="24"/>
          <w:szCs w:val="24"/>
          <w:lang w:val="en-US"/>
        </w:rPr>
        <w:t xml:space="preserve">UAE communities. For this reason, customers are the main motivators, supporters, and aligners of the governmental vision, which is evidenced in their appreciation. Based on the analysis illustrated in Table </w:t>
      </w:r>
      <w:r w:rsidR="00075242" w:rsidRPr="00511330">
        <w:rPr>
          <w:rFonts w:asciiTheme="majorBidi" w:eastAsia="Calibri" w:hAnsiTheme="majorBidi" w:cstheme="majorBidi"/>
          <w:sz w:val="24"/>
          <w:szCs w:val="24"/>
          <w:lang w:val="en-US"/>
        </w:rPr>
        <w:t>4.5</w:t>
      </w:r>
      <w:r w:rsidRPr="00511330">
        <w:rPr>
          <w:rFonts w:asciiTheme="majorBidi" w:eastAsia="Calibri" w:hAnsiTheme="majorBidi" w:cstheme="majorBidi"/>
          <w:sz w:val="24"/>
          <w:szCs w:val="24"/>
          <w:lang w:val="en-US"/>
        </w:rPr>
        <w:t xml:space="preserve">, it is apparent that the relationships between top management and employees and between employees and customers have overlapping factors of trust in governmental vision and flexibility. In contrast, the relationships between government and top management and between top management and employees have overlapping factors of the assurance of continuous sustainable development and improvement. However, the relationship between top management, employees, and governments has revealed a common factor for innovation, capabilities, competitiveness, as well as knowledge sharing, although the four main factors vary with each group in the nature of requirement with elements. The trust placed on the government’s vision factor denotes a vital element of motives in making the transition to </w:t>
      </w:r>
      <w:r w:rsidR="00DD2E9F" w:rsidRPr="00511330">
        <w:rPr>
          <w:rFonts w:asciiTheme="majorBidi" w:eastAsia="Calibri" w:hAnsiTheme="majorBidi" w:cstheme="majorBidi"/>
          <w:sz w:val="24"/>
          <w:szCs w:val="24"/>
          <w:lang w:val="en-US"/>
        </w:rPr>
        <w:t>renewable</w:t>
      </w:r>
      <w:r w:rsidRPr="00511330">
        <w:rPr>
          <w:rFonts w:asciiTheme="majorBidi" w:eastAsia="Calibri" w:hAnsiTheme="majorBidi" w:cstheme="majorBidi"/>
          <w:sz w:val="24"/>
          <w:szCs w:val="24"/>
          <w:lang w:val="en-US"/>
        </w:rPr>
        <w:t xml:space="preserve"> energy.</w:t>
      </w:r>
    </w:p>
    <w:p w14:paraId="644164FA" w14:textId="1B4DD43C" w:rsidR="008D3598" w:rsidRPr="00511330" w:rsidRDefault="008D3598" w:rsidP="00721566">
      <w:pPr>
        <w:spacing w:after="20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In addition, all stakeholders’ categories agree on the common factors of enhancing UAE community welfare, lifestyles, and environmental aspects. In addition, the high perception of </w:t>
      </w:r>
      <w:r w:rsidR="009E623D" w:rsidRPr="00511330">
        <w:rPr>
          <w:rFonts w:asciiTheme="majorBidi" w:eastAsia="Calibri" w:hAnsiTheme="majorBidi" w:cstheme="majorBidi"/>
          <w:sz w:val="24"/>
          <w:szCs w:val="24"/>
          <w:lang w:val="en-US"/>
        </w:rPr>
        <w:t xml:space="preserve">the </w:t>
      </w:r>
      <w:r w:rsidRPr="00511330">
        <w:rPr>
          <w:rFonts w:asciiTheme="majorBidi" w:eastAsia="Calibri" w:hAnsiTheme="majorBidi" w:cstheme="majorBidi"/>
          <w:sz w:val="24"/>
          <w:szCs w:val="24"/>
          <w:lang w:val="en-US"/>
        </w:rPr>
        <w:t xml:space="preserve">UAE brand and image were considered to be non-compromising. </w:t>
      </w:r>
    </w:p>
    <w:p w14:paraId="644164FB" w14:textId="77777777" w:rsidR="008D3598" w:rsidRPr="00511330" w:rsidRDefault="008D3598" w:rsidP="00721566">
      <w:pPr>
        <w:pStyle w:val="ListParagraph"/>
        <w:keepNext/>
        <w:keepLines/>
        <w:spacing w:before="200" w:after="0" w:line="360" w:lineRule="auto"/>
        <w:ind w:left="360" w:right="-450"/>
        <w:contextualSpacing w:val="0"/>
        <w:outlineLvl w:val="2"/>
        <w:rPr>
          <w:rFonts w:asciiTheme="majorBidi" w:eastAsia="Calibri" w:hAnsiTheme="majorBidi" w:cstheme="majorBidi"/>
          <w:b/>
          <w:bCs/>
          <w:vanish/>
          <w:sz w:val="24"/>
          <w:lang w:val="en-US"/>
        </w:rPr>
      </w:pPr>
      <w:bookmarkStart w:id="724" w:name="_Toc32085853"/>
      <w:bookmarkStart w:id="725" w:name="_Toc32086038"/>
      <w:bookmarkStart w:id="726" w:name="_Toc32086225"/>
      <w:bookmarkStart w:id="727" w:name="_Toc32090362"/>
      <w:bookmarkStart w:id="728" w:name="_Toc32090692"/>
      <w:bookmarkStart w:id="729" w:name="_Toc32091608"/>
      <w:bookmarkStart w:id="730" w:name="_Toc32085854"/>
      <w:bookmarkStart w:id="731" w:name="_Toc32086039"/>
      <w:bookmarkStart w:id="732" w:name="_Toc32086226"/>
      <w:bookmarkStart w:id="733" w:name="_Toc32090363"/>
      <w:bookmarkStart w:id="734" w:name="_Toc32090693"/>
      <w:bookmarkStart w:id="735" w:name="_Toc32091609"/>
      <w:bookmarkStart w:id="736" w:name="_Toc32085855"/>
      <w:bookmarkStart w:id="737" w:name="_Toc32086040"/>
      <w:bookmarkStart w:id="738" w:name="_Toc32086227"/>
      <w:bookmarkStart w:id="739" w:name="_Toc32090364"/>
      <w:bookmarkStart w:id="740" w:name="_Toc32090694"/>
      <w:bookmarkStart w:id="741" w:name="_Toc32091610"/>
      <w:bookmarkStart w:id="742" w:name="_Toc32085859"/>
      <w:bookmarkStart w:id="743" w:name="_Toc32086044"/>
      <w:bookmarkStart w:id="744" w:name="_Toc32086231"/>
      <w:bookmarkStart w:id="745" w:name="_Toc32090368"/>
      <w:bookmarkStart w:id="746" w:name="_Toc32090698"/>
      <w:bookmarkStart w:id="747" w:name="_Toc32091614"/>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14:paraId="644164FC" w14:textId="626632C0" w:rsidR="008D3598" w:rsidRPr="00511330" w:rsidRDefault="004862F1" w:rsidP="00EC3822">
      <w:pPr>
        <w:pStyle w:val="Heading3"/>
        <w:spacing w:line="480" w:lineRule="auto"/>
        <w:ind w:left="720" w:right="-450" w:hanging="720"/>
        <w:rPr>
          <w:rFonts w:eastAsia="Calibri"/>
          <w:lang w:val="en-US"/>
        </w:rPr>
      </w:pPr>
      <w:bookmarkStart w:id="748" w:name="_Toc43311635"/>
      <w:r w:rsidRPr="00511330">
        <w:rPr>
          <w:rFonts w:eastAsia="Calibri"/>
          <w:lang w:val="en-US"/>
        </w:rPr>
        <w:t>4.1</w:t>
      </w:r>
      <w:r w:rsidR="008D3598" w:rsidRPr="00511330">
        <w:rPr>
          <w:rFonts w:eastAsia="Calibri"/>
          <w:lang w:val="en-US"/>
        </w:rPr>
        <w:t>.</w:t>
      </w:r>
      <w:r w:rsidRPr="00511330">
        <w:rPr>
          <w:rFonts w:eastAsia="Calibri"/>
          <w:lang w:val="en-US"/>
        </w:rPr>
        <w:t>2</w:t>
      </w:r>
      <w:r w:rsidR="008D3598" w:rsidRPr="00511330">
        <w:rPr>
          <w:rFonts w:eastAsia="Calibri"/>
          <w:lang w:val="en-US"/>
        </w:rPr>
        <w:t xml:space="preserve">. </w:t>
      </w:r>
      <w:r w:rsidR="00EC3822" w:rsidRPr="00511330">
        <w:rPr>
          <w:rFonts w:eastAsia="Calibri"/>
          <w:lang w:val="en-US"/>
        </w:rPr>
        <w:tab/>
      </w:r>
      <w:r w:rsidR="008D3598" w:rsidRPr="00511330">
        <w:rPr>
          <w:rFonts w:eastAsia="Calibri"/>
          <w:lang w:val="en-US"/>
        </w:rPr>
        <w:t>CM Enablers from Stakeholders’ Perspective</w:t>
      </w:r>
      <w:bookmarkEnd w:id="748"/>
    </w:p>
    <w:p w14:paraId="644164FD" w14:textId="4C0CB6DC" w:rsidR="008D3598" w:rsidRPr="00511330" w:rsidRDefault="008D3598" w:rsidP="00721566">
      <w:pPr>
        <w:spacing w:after="20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Based on the results of the aforementioned interviews, the final list of enablers is presented in Table 4.</w:t>
      </w:r>
      <w:r w:rsidR="00075242" w:rsidRPr="00511330">
        <w:rPr>
          <w:rFonts w:asciiTheme="majorBidi" w:eastAsia="Calibri" w:hAnsiTheme="majorBidi" w:cstheme="majorBidi"/>
          <w:sz w:val="24"/>
          <w:szCs w:val="24"/>
          <w:lang w:val="en-US"/>
        </w:rPr>
        <w:t>6</w:t>
      </w:r>
      <w:r w:rsidRPr="00511330">
        <w:rPr>
          <w:rFonts w:asciiTheme="majorBidi" w:eastAsia="Calibri" w:hAnsiTheme="majorBidi" w:cstheme="majorBidi"/>
          <w:b/>
          <w:bCs/>
          <w:sz w:val="24"/>
          <w:szCs w:val="24"/>
          <w:lang w:val="en-US"/>
        </w:rPr>
        <w:t xml:space="preserve"> </w:t>
      </w:r>
      <w:r w:rsidRPr="00511330">
        <w:rPr>
          <w:rFonts w:asciiTheme="majorBidi" w:eastAsia="Calibri" w:hAnsiTheme="majorBidi" w:cstheme="majorBidi"/>
          <w:sz w:val="24"/>
          <w:szCs w:val="24"/>
          <w:lang w:val="en-US"/>
        </w:rPr>
        <w:t>to</w:t>
      </w:r>
      <w:r w:rsidRPr="00511330">
        <w:rPr>
          <w:rFonts w:asciiTheme="majorBidi" w:eastAsia="Calibri" w:hAnsiTheme="majorBidi" w:cstheme="majorBidi"/>
          <w:b/>
          <w:bCs/>
          <w:sz w:val="24"/>
          <w:szCs w:val="24"/>
          <w:lang w:val="en-US"/>
        </w:rPr>
        <w:t xml:space="preserve"> </w:t>
      </w:r>
      <w:r w:rsidRPr="00511330">
        <w:rPr>
          <w:rFonts w:asciiTheme="majorBidi" w:eastAsia="Calibri" w:hAnsiTheme="majorBidi" w:cstheme="majorBidi"/>
          <w:sz w:val="24"/>
          <w:szCs w:val="24"/>
          <w:lang w:val="en-US"/>
        </w:rPr>
        <w:t>Table 4.</w:t>
      </w:r>
      <w:r w:rsidR="00075242" w:rsidRPr="00511330">
        <w:rPr>
          <w:rFonts w:asciiTheme="majorBidi" w:eastAsia="Calibri" w:hAnsiTheme="majorBidi" w:cstheme="majorBidi"/>
          <w:sz w:val="24"/>
          <w:szCs w:val="24"/>
          <w:lang w:val="en-US"/>
        </w:rPr>
        <w:t>9</w:t>
      </w:r>
      <w:r w:rsidRPr="00511330">
        <w:rPr>
          <w:rFonts w:asciiTheme="majorBidi" w:eastAsia="Calibri" w:hAnsiTheme="majorBidi" w:cstheme="majorBidi"/>
          <w:b/>
          <w:bCs/>
          <w:sz w:val="24"/>
          <w:szCs w:val="24"/>
          <w:lang w:val="en-US"/>
        </w:rPr>
        <w:t xml:space="preserve">. </w:t>
      </w:r>
      <w:r w:rsidRPr="00511330">
        <w:rPr>
          <w:rFonts w:asciiTheme="majorBidi" w:eastAsia="Calibri" w:hAnsiTheme="majorBidi" w:cstheme="majorBidi"/>
          <w:sz w:val="24"/>
          <w:szCs w:val="24"/>
          <w:lang w:val="en-US"/>
        </w:rPr>
        <w:t xml:space="preserve"> This list includes a random of 18 factors identified by customers, 24 by top management, 20 by employees, and 23 by governments.</w:t>
      </w:r>
    </w:p>
    <w:p w14:paraId="644164FE" w14:textId="4DFF9F07" w:rsidR="008D3598" w:rsidRPr="00511330" w:rsidRDefault="008D3598" w:rsidP="00BD6379">
      <w:pPr>
        <w:pStyle w:val="Caption"/>
        <w:keepNext/>
        <w:spacing w:after="0"/>
        <w:ind w:right="-450"/>
        <w:rPr>
          <w:rFonts w:asciiTheme="majorBidi" w:hAnsiTheme="majorBidi" w:cstheme="majorBidi"/>
          <w:b w:val="0"/>
          <w:bCs w:val="0"/>
          <w:color w:val="auto"/>
          <w:sz w:val="20"/>
          <w:szCs w:val="20"/>
          <w:lang w:val="en-US"/>
        </w:rPr>
      </w:pPr>
      <w:bookmarkStart w:id="749" w:name="_Toc43310896"/>
      <w:r w:rsidRPr="00511330">
        <w:rPr>
          <w:rFonts w:asciiTheme="majorBidi" w:hAnsiTheme="majorBidi" w:cstheme="majorBidi"/>
          <w:b w:val="0"/>
          <w:bCs w:val="0"/>
          <w:color w:val="auto"/>
          <w:sz w:val="20"/>
          <w:szCs w:val="20"/>
          <w:lang w:val="en-US"/>
        </w:rPr>
        <w:lastRenderedPageBreak/>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6</w:t>
      </w:r>
      <w:r w:rsidRPr="00511330">
        <w:rPr>
          <w:rFonts w:asciiTheme="majorBidi" w:hAnsiTheme="majorBidi" w:cstheme="majorBidi"/>
          <w:b w:val="0"/>
          <w:bCs w:val="0"/>
          <w:color w:val="auto"/>
          <w:sz w:val="20"/>
          <w:szCs w:val="20"/>
          <w:lang w:val="en-US"/>
        </w:rPr>
        <w:fldChar w:fldCharType="end"/>
      </w:r>
      <w:r w:rsidR="00BD6379"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Enablers Reported by Customer</w:t>
      </w:r>
      <w:r w:rsidR="00075242" w:rsidRPr="00511330">
        <w:rPr>
          <w:rFonts w:asciiTheme="majorBidi" w:hAnsiTheme="majorBidi" w:cstheme="majorBidi"/>
          <w:b w:val="0"/>
          <w:bCs w:val="0"/>
          <w:i/>
          <w:iCs/>
          <w:color w:val="auto"/>
          <w:sz w:val="20"/>
          <w:szCs w:val="20"/>
          <w:lang w:val="en-US"/>
        </w:rPr>
        <w:t xml:space="preserve"> Perspective</w:t>
      </w:r>
      <w:bookmarkEnd w:id="749"/>
    </w:p>
    <w:tbl>
      <w:tblPr>
        <w:tblStyle w:val="TableGrid1"/>
        <w:tblW w:w="7853" w:type="dxa"/>
        <w:tblInd w:w="-5" w:type="dxa"/>
        <w:tblLayout w:type="fixed"/>
        <w:tblLook w:val="04A0" w:firstRow="1" w:lastRow="0" w:firstColumn="1" w:lastColumn="0" w:noHBand="0" w:noVBand="1"/>
      </w:tblPr>
      <w:tblGrid>
        <w:gridCol w:w="450"/>
        <w:gridCol w:w="3420"/>
        <w:gridCol w:w="473"/>
        <w:gridCol w:w="3510"/>
      </w:tblGrid>
      <w:tr w:rsidR="008D3598" w:rsidRPr="00511330" w14:paraId="64416500" w14:textId="77777777" w:rsidTr="00BD6379">
        <w:trPr>
          <w:trHeight w:val="278"/>
        </w:trPr>
        <w:tc>
          <w:tcPr>
            <w:tcW w:w="7853" w:type="dxa"/>
            <w:gridSpan w:val="4"/>
            <w:shd w:val="clear" w:color="auto" w:fill="F2F2F2" w:themeFill="background1" w:themeFillShade="F2"/>
          </w:tcPr>
          <w:p w14:paraId="644164FF" w14:textId="77777777" w:rsidR="008D3598" w:rsidRPr="00511330" w:rsidRDefault="008D3598" w:rsidP="00721566">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CM Enablers from Customer Perspective</w:t>
            </w:r>
          </w:p>
        </w:tc>
      </w:tr>
      <w:tr w:rsidR="008D3598" w:rsidRPr="00511330" w14:paraId="64416505" w14:textId="77777777" w:rsidTr="00BD6379">
        <w:tc>
          <w:tcPr>
            <w:tcW w:w="450" w:type="dxa"/>
          </w:tcPr>
          <w:p w14:paraId="64416501" w14:textId="77777777" w:rsidR="008D3598" w:rsidRPr="00511330" w:rsidRDefault="008D3598" w:rsidP="00BD6379">
            <w:pPr>
              <w:numPr>
                <w:ilvl w:val="0"/>
                <w:numId w:val="4"/>
              </w:numPr>
              <w:tabs>
                <w:tab w:val="left" w:pos="510"/>
              </w:tabs>
              <w:ind w:left="-15" w:right="-450" w:firstLine="0"/>
              <w:rPr>
                <w:rFonts w:asciiTheme="majorBidi" w:eastAsia="Calibri" w:hAnsiTheme="majorBidi" w:cstheme="majorBidi"/>
                <w:sz w:val="20"/>
                <w:szCs w:val="20"/>
                <w:lang w:val="en-US"/>
              </w:rPr>
            </w:pPr>
          </w:p>
        </w:tc>
        <w:tc>
          <w:tcPr>
            <w:tcW w:w="3420" w:type="dxa"/>
          </w:tcPr>
          <w:p w14:paraId="64416502" w14:textId="77777777" w:rsidR="008D3598" w:rsidRPr="00511330" w:rsidRDefault="008D3598" w:rsidP="00FB46F6">
            <w:pPr>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Trust in the Government’s vision</w:t>
            </w:r>
          </w:p>
        </w:tc>
        <w:tc>
          <w:tcPr>
            <w:tcW w:w="473" w:type="dxa"/>
          </w:tcPr>
          <w:p w14:paraId="64416503" w14:textId="77777777" w:rsidR="008D3598" w:rsidRPr="00511330" w:rsidRDefault="008D3598" w:rsidP="003E346F">
            <w:pPr>
              <w:numPr>
                <w:ilvl w:val="0"/>
                <w:numId w:val="4"/>
              </w:numPr>
              <w:tabs>
                <w:tab w:val="left" w:pos="510"/>
              </w:tabs>
              <w:ind w:left="0" w:right="-450" w:firstLine="0"/>
              <w:rPr>
                <w:rFonts w:asciiTheme="majorBidi" w:eastAsia="Calibri" w:hAnsiTheme="majorBidi" w:cstheme="majorBidi"/>
                <w:sz w:val="20"/>
                <w:szCs w:val="20"/>
                <w:lang w:val="en-US"/>
              </w:rPr>
            </w:pPr>
          </w:p>
        </w:tc>
        <w:tc>
          <w:tcPr>
            <w:tcW w:w="3510" w:type="dxa"/>
          </w:tcPr>
          <w:p w14:paraId="64416504" w14:textId="77777777" w:rsidR="008D3598" w:rsidRPr="00511330" w:rsidRDefault="008D3598" w:rsidP="00FB46F6">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Open communication channels</w:t>
            </w:r>
          </w:p>
        </w:tc>
      </w:tr>
      <w:tr w:rsidR="008D3598" w:rsidRPr="00511330" w14:paraId="6441650A" w14:textId="77777777" w:rsidTr="00BD6379">
        <w:tc>
          <w:tcPr>
            <w:tcW w:w="450" w:type="dxa"/>
          </w:tcPr>
          <w:p w14:paraId="64416506" w14:textId="77777777" w:rsidR="008D3598" w:rsidRPr="00511330" w:rsidRDefault="008D3598" w:rsidP="00BD6379">
            <w:pPr>
              <w:numPr>
                <w:ilvl w:val="0"/>
                <w:numId w:val="4"/>
              </w:numPr>
              <w:tabs>
                <w:tab w:val="left" w:pos="510"/>
              </w:tabs>
              <w:ind w:left="-15" w:right="-450" w:firstLine="0"/>
              <w:rPr>
                <w:rFonts w:asciiTheme="majorBidi" w:eastAsia="Calibri" w:hAnsiTheme="majorBidi" w:cstheme="majorBidi"/>
                <w:sz w:val="20"/>
                <w:szCs w:val="20"/>
                <w:lang w:val="en-US"/>
              </w:rPr>
            </w:pPr>
          </w:p>
        </w:tc>
        <w:tc>
          <w:tcPr>
            <w:tcW w:w="3420" w:type="dxa"/>
          </w:tcPr>
          <w:p w14:paraId="64416507" w14:textId="77777777" w:rsidR="008D3598" w:rsidRPr="00511330" w:rsidRDefault="008D3598" w:rsidP="00FB46F6">
            <w:pPr>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Awareness of change direction</w:t>
            </w:r>
          </w:p>
        </w:tc>
        <w:tc>
          <w:tcPr>
            <w:tcW w:w="473" w:type="dxa"/>
          </w:tcPr>
          <w:p w14:paraId="64416508" w14:textId="77777777" w:rsidR="008D3598" w:rsidRPr="00511330" w:rsidRDefault="008D3598" w:rsidP="003E346F">
            <w:pPr>
              <w:numPr>
                <w:ilvl w:val="0"/>
                <w:numId w:val="4"/>
              </w:numPr>
              <w:tabs>
                <w:tab w:val="left" w:pos="510"/>
              </w:tabs>
              <w:ind w:left="0" w:right="-450" w:firstLine="0"/>
              <w:rPr>
                <w:rFonts w:asciiTheme="majorBidi" w:eastAsia="Calibri" w:hAnsiTheme="majorBidi" w:cstheme="majorBidi"/>
                <w:sz w:val="20"/>
                <w:szCs w:val="20"/>
                <w:lang w:val="en-US"/>
              </w:rPr>
            </w:pPr>
          </w:p>
        </w:tc>
        <w:tc>
          <w:tcPr>
            <w:tcW w:w="3510" w:type="dxa"/>
          </w:tcPr>
          <w:p w14:paraId="64416509" w14:textId="77777777" w:rsidR="008D3598" w:rsidRPr="00511330" w:rsidRDefault="008D3598" w:rsidP="00FB46F6">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Infrastructure availability</w:t>
            </w:r>
          </w:p>
        </w:tc>
      </w:tr>
      <w:tr w:rsidR="008D3598" w:rsidRPr="00511330" w14:paraId="6441650F" w14:textId="77777777" w:rsidTr="00BD6379">
        <w:tc>
          <w:tcPr>
            <w:tcW w:w="450" w:type="dxa"/>
          </w:tcPr>
          <w:p w14:paraId="6441650B" w14:textId="77777777" w:rsidR="008D3598" w:rsidRPr="00511330" w:rsidRDefault="008D3598" w:rsidP="00BD6379">
            <w:pPr>
              <w:numPr>
                <w:ilvl w:val="0"/>
                <w:numId w:val="4"/>
              </w:numPr>
              <w:tabs>
                <w:tab w:val="left" w:pos="510"/>
              </w:tabs>
              <w:ind w:left="-15" w:right="-450" w:firstLine="0"/>
              <w:rPr>
                <w:rFonts w:asciiTheme="majorBidi" w:eastAsia="Calibri" w:hAnsiTheme="majorBidi" w:cstheme="majorBidi"/>
                <w:sz w:val="20"/>
                <w:szCs w:val="20"/>
                <w:lang w:val="en-US"/>
              </w:rPr>
            </w:pPr>
          </w:p>
        </w:tc>
        <w:tc>
          <w:tcPr>
            <w:tcW w:w="3420" w:type="dxa"/>
          </w:tcPr>
          <w:p w14:paraId="6441650C" w14:textId="77777777" w:rsidR="008D3598" w:rsidRPr="00511330" w:rsidRDefault="008D3598" w:rsidP="00FB46F6">
            <w:pPr>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Comprehensive media messages</w:t>
            </w:r>
          </w:p>
        </w:tc>
        <w:tc>
          <w:tcPr>
            <w:tcW w:w="473" w:type="dxa"/>
          </w:tcPr>
          <w:p w14:paraId="6441650D" w14:textId="77777777" w:rsidR="008D3598" w:rsidRPr="00511330" w:rsidRDefault="008D3598" w:rsidP="003E346F">
            <w:pPr>
              <w:numPr>
                <w:ilvl w:val="0"/>
                <w:numId w:val="4"/>
              </w:numPr>
              <w:tabs>
                <w:tab w:val="left" w:pos="510"/>
              </w:tabs>
              <w:ind w:left="0" w:right="-450" w:firstLine="0"/>
              <w:rPr>
                <w:rFonts w:asciiTheme="majorBidi" w:eastAsia="Calibri" w:hAnsiTheme="majorBidi" w:cstheme="majorBidi"/>
                <w:sz w:val="20"/>
                <w:szCs w:val="20"/>
                <w:lang w:val="en-US"/>
              </w:rPr>
            </w:pPr>
          </w:p>
        </w:tc>
        <w:tc>
          <w:tcPr>
            <w:tcW w:w="3510" w:type="dxa"/>
          </w:tcPr>
          <w:p w14:paraId="6441650E" w14:textId="77777777" w:rsidR="008D3598" w:rsidRPr="00511330" w:rsidRDefault="008D3598" w:rsidP="00FB46F6">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Fair tariffs</w:t>
            </w:r>
          </w:p>
        </w:tc>
      </w:tr>
      <w:tr w:rsidR="008D3598" w:rsidRPr="00511330" w14:paraId="64416514" w14:textId="77777777" w:rsidTr="00BD6379">
        <w:tc>
          <w:tcPr>
            <w:tcW w:w="450" w:type="dxa"/>
          </w:tcPr>
          <w:p w14:paraId="64416510" w14:textId="77777777" w:rsidR="008D3598" w:rsidRPr="00511330" w:rsidRDefault="008D3598" w:rsidP="00BD6379">
            <w:pPr>
              <w:numPr>
                <w:ilvl w:val="0"/>
                <w:numId w:val="4"/>
              </w:numPr>
              <w:tabs>
                <w:tab w:val="left" w:pos="510"/>
              </w:tabs>
              <w:ind w:left="-15" w:right="-450" w:firstLine="0"/>
              <w:rPr>
                <w:rFonts w:asciiTheme="majorBidi" w:eastAsia="Calibri" w:hAnsiTheme="majorBidi" w:cstheme="majorBidi"/>
                <w:sz w:val="20"/>
                <w:szCs w:val="20"/>
                <w:lang w:val="en-US"/>
              </w:rPr>
            </w:pPr>
          </w:p>
        </w:tc>
        <w:tc>
          <w:tcPr>
            <w:tcW w:w="3420" w:type="dxa"/>
          </w:tcPr>
          <w:p w14:paraId="64416511" w14:textId="77777777" w:rsidR="008D3598" w:rsidRPr="00511330" w:rsidRDefault="008D3598" w:rsidP="00FB46F6">
            <w:pPr>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Cultural diversity</w:t>
            </w:r>
          </w:p>
        </w:tc>
        <w:tc>
          <w:tcPr>
            <w:tcW w:w="473" w:type="dxa"/>
          </w:tcPr>
          <w:p w14:paraId="64416512" w14:textId="77777777" w:rsidR="008D3598" w:rsidRPr="00511330" w:rsidRDefault="008D3598" w:rsidP="003E346F">
            <w:pPr>
              <w:numPr>
                <w:ilvl w:val="0"/>
                <w:numId w:val="4"/>
              </w:numPr>
              <w:tabs>
                <w:tab w:val="left" w:pos="510"/>
              </w:tabs>
              <w:ind w:left="0" w:right="-450" w:firstLine="0"/>
              <w:rPr>
                <w:rFonts w:asciiTheme="majorBidi" w:eastAsia="Calibri" w:hAnsiTheme="majorBidi" w:cstheme="majorBidi"/>
                <w:sz w:val="20"/>
                <w:szCs w:val="20"/>
                <w:lang w:val="en-US"/>
              </w:rPr>
            </w:pPr>
          </w:p>
        </w:tc>
        <w:tc>
          <w:tcPr>
            <w:tcW w:w="3510" w:type="dxa"/>
          </w:tcPr>
          <w:p w14:paraId="64416513" w14:textId="77777777" w:rsidR="008D3598" w:rsidRPr="00511330" w:rsidRDefault="008D3598" w:rsidP="00FB46F6">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Loyalty and citizenship</w:t>
            </w:r>
          </w:p>
        </w:tc>
      </w:tr>
      <w:tr w:rsidR="008D3598" w:rsidRPr="00511330" w14:paraId="64416519" w14:textId="77777777" w:rsidTr="00BD6379">
        <w:tc>
          <w:tcPr>
            <w:tcW w:w="450" w:type="dxa"/>
          </w:tcPr>
          <w:p w14:paraId="64416515" w14:textId="77777777" w:rsidR="008D3598" w:rsidRPr="00511330" w:rsidRDefault="008D3598" w:rsidP="00BD6379">
            <w:pPr>
              <w:numPr>
                <w:ilvl w:val="0"/>
                <w:numId w:val="4"/>
              </w:numPr>
              <w:tabs>
                <w:tab w:val="left" w:pos="510"/>
              </w:tabs>
              <w:ind w:left="-15" w:right="-450" w:firstLine="0"/>
              <w:rPr>
                <w:rFonts w:asciiTheme="majorBidi" w:eastAsia="Calibri" w:hAnsiTheme="majorBidi" w:cstheme="majorBidi"/>
                <w:sz w:val="20"/>
                <w:szCs w:val="20"/>
                <w:lang w:val="en-US"/>
              </w:rPr>
            </w:pPr>
          </w:p>
        </w:tc>
        <w:tc>
          <w:tcPr>
            <w:tcW w:w="3420" w:type="dxa"/>
          </w:tcPr>
          <w:p w14:paraId="64416516" w14:textId="77777777" w:rsidR="008D3598" w:rsidRPr="00511330" w:rsidRDefault="008D3598" w:rsidP="00FB46F6">
            <w:pPr>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Govern. financial support</w:t>
            </w:r>
          </w:p>
        </w:tc>
        <w:tc>
          <w:tcPr>
            <w:tcW w:w="473" w:type="dxa"/>
          </w:tcPr>
          <w:p w14:paraId="64416517" w14:textId="77777777" w:rsidR="008D3598" w:rsidRPr="00511330" w:rsidRDefault="008D3598" w:rsidP="003E346F">
            <w:pPr>
              <w:numPr>
                <w:ilvl w:val="0"/>
                <w:numId w:val="4"/>
              </w:numPr>
              <w:tabs>
                <w:tab w:val="left" w:pos="510"/>
              </w:tabs>
              <w:ind w:left="0" w:right="-450" w:firstLine="0"/>
              <w:rPr>
                <w:rFonts w:asciiTheme="majorBidi" w:eastAsia="Calibri" w:hAnsiTheme="majorBidi" w:cstheme="majorBidi"/>
                <w:sz w:val="20"/>
                <w:szCs w:val="20"/>
                <w:lang w:val="en-US"/>
              </w:rPr>
            </w:pPr>
          </w:p>
        </w:tc>
        <w:tc>
          <w:tcPr>
            <w:tcW w:w="3510" w:type="dxa"/>
          </w:tcPr>
          <w:p w14:paraId="64416518" w14:textId="77777777" w:rsidR="008D3598" w:rsidRPr="00511330" w:rsidRDefault="008D3598" w:rsidP="00FB46F6">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World class logistics service</w:t>
            </w:r>
          </w:p>
        </w:tc>
      </w:tr>
      <w:tr w:rsidR="008D3598" w:rsidRPr="00511330" w14:paraId="6441651E" w14:textId="77777777" w:rsidTr="00BD6379">
        <w:tc>
          <w:tcPr>
            <w:tcW w:w="450" w:type="dxa"/>
          </w:tcPr>
          <w:p w14:paraId="6441651A" w14:textId="77777777" w:rsidR="008D3598" w:rsidRPr="00511330" w:rsidRDefault="008D3598" w:rsidP="00BD6379">
            <w:pPr>
              <w:numPr>
                <w:ilvl w:val="0"/>
                <w:numId w:val="4"/>
              </w:numPr>
              <w:tabs>
                <w:tab w:val="left" w:pos="510"/>
              </w:tabs>
              <w:ind w:left="-15" w:right="-450" w:firstLine="0"/>
              <w:rPr>
                <w:rFonts w:asciiTheme="majorBidi" w:eastAsia="Calibri" w:hAnsiTheme="majorBidi" w:cstheme="majorBidi"/>
                <w:sz w:val="20"/>
                <w:szCs w:val="20"/>
                <w:lang w:val="en-US"/>
              </w:rPr>
            </w:pPr>
          </w:p>
        </w:tc>
        <w:tc>
          <w:tcPr>
            <w:tcW w:w="3420" w:type="dxa"/>
          </w:tcPr>
          <w:p w14:paraId="6441651B" w14:textId="77777777" w:rsidR="008D3598" w:rsidRPr="00511330" w:rsidRDefault="008D3598" w:rsidP="00FB46F6">
            <w:pPr>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Gradual change</w:t>
            </w:r>
          </w:p>
        </w:tc>
        <w:tc>
          <w:tcPr>
            <w:tcW w:w="473" w:type="dxa"/>
          </w:tcPr>
          <w:p w14:paraId="6441651C" w14:textId="77777777" w:rsidR="008D3598" w:rsidRPr="00511330" w:rsidRDefault="008D3598" w:rsidP="003E346F">
            <w:pPr>
              <w:numPr>
                <w:ilvl w:val="0"/>
                <w:numId w:val="4"/>
              </w:numPr>
              <w:tabs>
                <w:tab w:val="left" w:pos="510"/>
              </w:tabs>
              <w:ind w:left="0" w:right="-450" w:firstLine="0"/>
              <w:rPr>
                <w:rFonts w:asciiTheme="majorBidi" w:eastAsia="Calibri" w:hAnsiTheme="majorBidi" w:cstheme="majorBidi"/>
                <w:sz w:val="20"/>
                <w:szCs w:val="20"/>
                <w:lang w:val="en-US"/>
              </w:rPr>
            </w:pPr>
          </w:p>
        </w:tc>
        <w:tc>
          <w:tcPr>
            <w:tcW w:w="3510" w:type="dxa"/>
          </w:tcPr>
          <w:p w14:paraId="6441651D" w14:textId="77777777" w:rsidR="008D3598" w:rsidRPr="00511330" w:rsidRDefault="008D3598" w:rsidP="00FB46F6">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Easy implementation </w:t>
            </w:r>
          </w:p>
        </w:tc>
      </w:tr>
      <w:tr w:rsidR="008D3598" w:rsidRPr="00511330" w14:paraId="64416523" w14:textId="77777777" w:rsidTr="00BD6379">
        <w:tc>
          <w:tcPr>
            <w:tcW w:w="450" w:type="dxa"/>
          </w:tcPr>
          <w:p w14:paraId="6441651F" w14:textId="77777777" w:rsidR="008D3598" w:rsidRPr="00511330" w:rsidRDefault="008D3598" w:rsidP="00BD6379">
            <w:pPr>
              <w:numPr>
                <w:ilvl w:val="0"/>
                <w:numId w:val="4"/>
              </w:numPr>
              <w:tabs>
                <w:tab w:val="left" w:pos="510"/>
              </w:tabs>
              <w:ind w:left="-15" w:right="-450" w:firstLine="0"/>
              <w:rPr>
                <w:rFonts w:asciiTheme="majorBidi" w:eastAsia="Calibri" w:hAnsiTheme="majorBidi" w:cstheme="majorBidi"/>
                <w:sz w:val="20"/>
                <w:szCs w:val="20"/>
                <w:lang w:val="en-US"/>
              </w:rPr>
            </w:pPr>
          </w:p>
        </w:tc>
        <w:tc>
          <w:tcPr>
            <w:tcW w:w="3420" w:type="dxa"/>
          </w:tcPr>
          <w:p w14:paraId="64416520" w14:textId="77777777" w:rsidR="008D3598" w:rsidRPr="00511330" w:rsidRDefault="008D3598" w:rsidP="00FB46F6">
            <w:pPr>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Audience social participation</w:t>
            </w:r>
          </w:p>
        </w:tc>
        <w:tc>
          <w:tcPr>
            <w:tcW w:w="473" w:type="dxa"/>
          </w:tcPr>
          <w:p w14:paraId="64416521" w14:textId="77777777" w:rsidR="008D3598" w:rsidRPr="00511330" w:rsidRDefault="008D3598" w:rsidP="003E346F">
            <w:pPr>
              <w:numPr>
                <w:ilvl w:val="0"/>
                <w:numId w:val="4"/>
              </w:numPr>
              <w:tabs>
                <w:tab w:val="left" w:pos="510"/>
              </w:tabs>
              <w:ind w:left="0" w:right="-450" w:firstLine="0"/>
              <w:rPr>
                <w:rFonts w:asciiTheme="majorBidi" w:eastAsia="Calibri" w:hAnsiTheme="majorBidi" w:cstheme="majorBidi"/>
                <w:sz w:val="20"/>
                <w:szCs w:val="20"/>
                <w:lang w:val="en-US"/>
              </w:rPr>
            </w:pPr>
          </w:p>
        </w:tc>
        <w:tc>
          <w:tcPr>
            <w:tcW w:w="3510" w:type="dxa"/>
          </w:tcPr>
          <w:p w14:paraId="64416522" w14:textId="77777777" w:rsidR="008D3598" w:rsidRPr="00511330" w:rsidRDefault="008D3598" w:rsidP="00FB46F6">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Flexibility</w:t>
            </w:r>
          </w:p>
        </w:tc>
      </w:tr>
      <w:tr w:rsidR="008D3598" w:rsidRPr="00511330" w14:paraId="64416528" w14:textId="77777777" w:rsidTr="00BD6379">
        <w:tc>
          <w:tcPr>
            <w:tcW w:w="450" w:type="dxa"/>
          </w:tcPr>
          <w:p w14:paraId="64416524" w14:textId="77777777" w:rsidR="008D3598" w:rsidRPr="00511330" w:rsidRDefault="008D3598" w:rsidP="00BD6379">
            <w:pPr>
              <w:numPr>
                <w:ilvl w:val="0"/>
                <w:numId w:val="4"/>
              </w:numPr>
              <w:tabs>
                <w:tab w:val="left" w:pos="510"/>
              </w:tabs>
              <w:ind w:left="-15" w:right="-450" w:firstLine="0"/>
              <w:rPr>
                <w:rFonts w:asciiTheme="majorBidi" w:eastAsia="Calibri" w:hAnsiTheme="majorBidi" w:cstheme="majorBidi"/>
                <w:sz w:val="20"/>
                <w:szCs w:val="20"/>
                <w:lang w:val="en-US"/>
              </w:rPr>
            </w:pPr>
          </w:p>
        </w:tc>
        <w:tc>
          <w:tcPr>
            <w:tcW w:w="3420" w:type="dxa"/>
          </w:tcPr>
          <w:p w14:paraId="64416525" w14:textId="77777777" w:rsidR="008D3598" w:rsidRPr="00511330" w:rsidRDefault="008D3598" w:rsidP="00FB46F6">
            <w:pPr>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Ability/willingness to change</w:t>
            </w:r>
          </w:p>
        </w:tc>
        <w:tc>
          <w:tcPr>
            <w:tcW w:w="473" w:type="dxa"/>
          </w:tcPr>
          <w:p w14:paraId="64416526" w14:textId="77777777" w:rsidR="008D3598" w:rsidRPr="00511330" w:rsidRDefault="008D3598" w:rsidP="003E346F">
            <w:pPr>
              <w:numPr>
                <w:ilvl w:val="0"/>
                <w:numId w:val="4"/>
              </w:numPr>
              <w:tabs>
                <w:tab w:val="left" w:pos="510"/>
              </w:tabs>
              <w:ind w:left="0" w:right="-450" w:firstLine="0"/>
              <w:rPr>
                <w:rFonts w:asciiTheme="majorBidi" w:eastAsia="Calibri" w:hAnsiTheme="majorBidi" w:cstheme="majorBidi"/>
                <w:sz w:val="20"/>
                <w:szCs w:val="20"/>
                <w:lang w:val="en-US"/>
              </w:rPr>
            </w:pPr>
          </w:p>
        </w:tc>
        <w:tc>
          <w:tcPr>
            <w:tcW w:w="3510" w:type="dxa"/>
          </w:tcPr>
          <w:p w14:paraId="64416527" w14:textId="77777777" w:rsidR="008D3598" w:rsidRPr="00511330" w:rsidRDefault="008D3598" w:rsidP="00FB46F6">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Supported rules and regulations</w:t>
            </w:r>
          </w:p>
        </w:tc>
      </w:tr>
      <w:tr w:rsidR="008D3598" w:rsidRPr="00511330" w14:paraId="6441652D" w14:textId="77777777" w:rsidTr="00BD6379">
        <w:tc>
          <w:tcPr>
            <w:tcW w:w="450" w:type="dxa"/>
          </w:tcPr>
          <w:p w14:paraId="64416529" w14:textId="77777777" w:rsidR="008D3598" w:rsidRPr="00511330" w:rsidRDefault="008D3598" w:rsidP="00BD6379">
            <w:pPr>
              <w:numPr>
                <w:ilvl w:val="0"/>
                <w:numId w:val="4"/>
              </w:numPr>
              <w:tabs>
                <w:tab w:val="left" w:pos="510"/>
              </w:tabs>
              <w:ind w:left="-15" w:right="-450" w:firstLine="0"/>
              <w:rPr>
                <w:rFonts w:asciiTheme="majorBidi" w:eastAsia="Calibri" w:hAnsiTheme="majorBidi" w:cstheme="majorBidi"/>
                <w:sz w:val="20"/>
                <w:szCs w:val="20"/>
                <w:lang w:val="en-US"/>
              </w:rPr>
            </w:pPr>
          </w:p>
        </w:tc>
        <w:tc>
          <w:tcPr>
            <w:tcW w:w="3420" w:type="dxa"/>
          </w:tcPr>
          <w:p w14:paraId="6441652A" w14:textId="77777777" w:rsidR="008D3598" w:rsidRPr="00511330" w:rsidRDefault="008D3598" w:rsidP="00FB46F6">
            <w:pPr>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Comfort and readiness</w:t>
            </w:r>
          </w:p>
        </w:tc>
        <w:tc>
          <w:tcPr>
            <w:tcW w:w="473" w:type="dxa"/>
          </w:tcPr>
          <w:p w14:paraId="6441652B" w14:textId="77777777" w:rsidR="008D3598" w:rsidRPr="00511330" w:rsidRDefault="008D3598" w:rsidP="003E346F">
            <w:pPr>
              <w:numPr>
                <w:ilvl w:val="0"/>
                <w:numId w:val="4"/>
              </w:numPr>
              <w:tabs>
                <w:tab w:val="left" w:pos="510"/>
              </w:tabs>
              <w:ind w:left="0" w:right="-450" w:firstLine="0"/>
              <w:rPr>
                <w:rFonts w:asciiTheme="majorBidi" w:eastAsia="Calibri" w:hAnsiTheme="majorBidi" w:cstheme="majorBidi"/>
                <w:sz w:val="20"/>
                <w:szCs w:val="20"/>
                <w:lang w:val="en-US"/>
              </w:rPr>
            </w:pPr>
          </w:p>
        </w:tc>
        <w:tc>
          <w:tcPr>
            <w:tcW w:w="3510" w:type="dxa"/>
          </w:tcPr>
          <w:p w14:paraId="6441652C" w14:textId="77777777" w:rsidR="008D3598" w:rsidRPr="00511330" w:rsidRDefault="008D3598" w:rsidP="00FB46F6">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Engagement </w:t>
            </w:r>
          </w:p>
        </w:tc>
      </w:tr>
    </w:tbl>
    <w:p w14:paraId="6441652E" w14:textId="77777777" w:rsidR="008D3598" w:rsidRPr="00511330" w:rsidRDefault="008D3598" w:rsidP="00721566">
      <w:pPr>
        <w:ind w:right="-450"/>
        <w:rPr>
          <w:lang w:val="en-US"/>
        </w:rPr>
      </w:pPr>
    </w:p>
    <w:p w14:paraId="6441652F" w14:textId="18570FC6" w:rsidR="008D3598" w:rsidRPr="00511330" w:rsidRDefault="008D3598" w:rsidP="00BD6379">
      <w:pPr>
        <w:pStyle w:val="Caption"/>
        <w:keepNext/>
        <w:spacing w:after="0"/>
        <w:ind w:right="-450"/>
        <w:rPr>
          <w:rFonts w:asciiTheme="majorBidi" w:hAnsiTheme="majorBidi" w:cstheme="majorBidi"/>
          <w:b w:val="0"/>
          <w:bCs w:val="0"/>
          <w:color w:val="auto"/>
          <w:sz w:val="20"/>
          <w:szCs w:val="20"/>
          <w:lang w:val="en-US"/>
        </w:rPr>
      </w:pPr>
      <w:bookmarkStart w:id="750" w:name="_Toc43310897"/>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7</w:t>
      </w:r>
      <w:r w:rsidRPr="00511330">
        <w:rPr>
          <w:rFonts w:asciiTheme="majorBidi" w:hAnsiTheme="majorBidi" w:cstheme="majorBidi"/>
          <w:b w:val="0"/>
          <w:bCs w:val="0"/>
          <w:color w:val="auto"/>
          <w:sz w:val="20"/>
          <w:szCs w:val="20"/>
          <w:lang w:val="en-US"/>
        </w:rPr>
        <w:fldChar w:fldCharType="end"/>
      </w:r>
      <w:r w:rsidR="00BD6379"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Enablers Reported by Top Management</w:t>
      </w:r>
      <w:r w:rsidR="00075242" w:rsidRPr="00511330">
        <w:rPr>
          <w:rFonts w:asciiTheme="majorBidi" w:hAnsiTheme="majorBidi" w:cstheme="majorBidi"/>
          <w:b w:val="0"/>
          <w:bCs w:val="0"/>
          <w:i/>
          <w:iCs/>
          <w:color w:val="auto"/>
          <w:sz w:val="20"/>
          <w:szCs w:val="20"/>
          <w:lang w:val="en-US"/>
        </w:rPr>
        <w:t xml:space="preserve"> Perspective</w:t>
      </w:r>
      <w:bookmarkEnd w:id="750"/>
    </w:p>
    <w:tbl>
      <w:tblPr>
        <w:tblStyle w:val="TableGrid1"/>
        <w:tblW w:w="7853" w:type="dxa"/>
        <w:tblInd w:w="-5" w:type="dxa"/>
        <w:tblLayout w:type="fixed"/>
        <w:tblLook w:val="04A0" w:firstRow="1" w:lastRow="0" w:firstColumn="1" w:lastColumn="0" w:noHBand="0" w:noVBand="1"/>
      </w:tblPr>
      <w:tblGrid>
        <w:gridCol w:w="540"/>
        <w:gridCol w:w="3330"/>
        <w:gridCol w:w="473"/>
        <w:gridCol w:w="3510"/>
      </w:tblGrid>
      <w:tr w:rsidR="008D3598" w:rsidRPr="00511330" w14:paraId="64416531" w14:textId="77777777" w:rsidTr="00BD6379">
        <w:trPr>
          <w:trHeight w:val="278"/>
        </w:trPr>
        <w:tc>
          <w:tcPr>
            <w:tcW w:w="7853" w:type="dxa"/>
            <w:gridSpan w:val="4"/>
            <w:shd w:val="clear" w:color="auto" w:fill="F2F2F2" w:themeFill="background1" w:themeFillShade="F2"/>
          </w:tcPr>
          <w:p w14:paraId="64416530" w14:textId="77777777" w:rsidR="008D3598" w:rsidRPr="00511330" w:rsidRDefault="008D3598" w:rsidP="00721566">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CM Enablers from Top Management Perspective</w:t>
            </w:r>
          </w:p>
        </w:tc>
      </w:tr>
      <w:tr w:rsidR="008D3598" w:rsidRPr="00511330" w14:paraId="64416536" w14:textId="77777777" w:rsidTr="00BD6379">
        <w:tc>
          <w:tcPr>
            <w:tcW w:w="540" w:type="dxa"/>
          </w:tcPr>
          <w:p w14:paraId="64416532" w14:textId="77777777" w:rsidR="008D3598" w:rsidRPr="00511330" w:rsidRDefault="008D3598" w:rsidP="003E346F">
            <w:pPr>
              <w:tabs>
                <w:tab w:val="left" w:pos="247"/>
              </w:tabs>
              <w:ind w:right="-45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w:t>
            </w:r>
          </w:p>
        </w:tc>
        <w:tc>
          <w:tcPr>
            <w:tcW w:w="3330" w:type="dxa"/>
          </w:tcPr>
          <w:p w14:paraId="64416533"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Team support and buy-in</w:t>
            </w:r>
          </w:p>
        </w:tc>
        <w:tc>
          <w:tcPr>
            <w:tcW w:w="473" w:type="dxa"/>
          </w:tcPr>
          <w:p w14:paraId="64416534" w14:textId="77777777" w:rsidR="008D3598" w:rsidRPr="00511330" w:rsidRDefault="008D3598" w:rsidP="003E346F">
            <w:pPr>
              <w:tabs>
                <w:tab w:val="left" w:pos="162"/>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w:t>
            </w:r>
          </w:p>
        </w:tc>
        <w:tc>
          <w:tcPr>
            <w:tcW w:w="3510" w:type="dxa"/>
          </w:tcPr>
          <w:p w14:paraId="64416535" w14:textId="77777777" w:rsidR="008D3598" w:rsidRPr="00511330" w:rsidRDefault="008D3598" w:rsidP="00FB46F6">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Flexibility</w:t>
            </w:r>
          </w:p>
        </w:tc>
      </w:tr>
      <w:tr w:rsidR="008D3598" w:rsidRPr="00511330" w14:paraId="6441653B" w14:textId="77777777" w:rsidTr="00BD6379">
        <w:tc>
          <w:tcPr>
            <w:tcW w:w="540" w:type="dxa"/>
          </w:tcPr>
          <w:p w14:paraId="64416537" w14:textId="77777777" w:rsidR="008D3598" w:rsidRPr="00511330" w:rsidRDefault="008D3598" w:rsidP="003E346F">
            <w:pPr>
              <w:tabs>
                <w:tab w:val="left" w:pos="247"/>
              </w:tabs>
              <w:ind w:right="-45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w:t>
            </w:r>
          </w:p>
        </w:tc>
        <w:tc>
          <w:tcPr>
            <w:tcW w:w="3330" w:type="dxa"/>
          </w:tcPr>
          <w:p w14:paraId="64416538"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Articulating change value proposition</w:t>
            </w:r>
          </w:p>
        </w:tc>
        <w:tc>
          <w:tcPr>
            <w:tcW w:w="473" w:type="dxa"/>
          </w:tcPr>
          <w:p w14:paraId="64416539" w14:textId="77777777" w:rsidR="008D3598" w:rsidRPr="00511330" w:rsidRDefault="008D3598" w:rsidP="003E346F">
            <w:pPr>
              <w:tabs>
                <w:tab w:val="left" w:pos="162"/>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4.</w:t>
            </w:r>
          </w:p>
        </w:tc>
        <w:tc>
          <w:tcPr>
            <w:tcW w:w="3510" w:type="dxa"/>
          </w:tcPr>
          <w:p w14:paraId="6441653A" w14:textId="3994AA1E" w:rsidR="008D3598" w:rsidRPr="00511330" w:rsidRDefault="008D3598" w:rsidP="003E346F">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Extensive communication skills </w:t>
            </w:r>
            <w:r w:rsidR="003E346F" w:rsidRPr="00511330">
              <w:rPr>
                <w:rFonts w:asciiTheme="majorBidi" w:eastAsia="Calibri" w:hAnsiTheme="majorBidi" w:cstheme="majorBidi"/>
                <w:sz w:val="20"/>
                <w:szCs w:val="20"/>
                <w:lang w:val="en-US"/>
              </w:rPr>
              <w:t>&amp;</w:t>
            </w:r>
            <w:r w:rsidRPr="00511330">
              <w:rPr>
                <w:rFonts w:asciiTheme="majorBidi" w:eastAsia="Calibri" w:hAnsiTheme="majorBidi" w:cstheme="majorBidi"/>
                <w:sz w:val="20"/>
                <w:szCs w:val="20"/>
                <w:lang w:val="en-US"/>
              </w:rPr>
              <w:t xml:space="preserve"> plan</w:t>
            </w:r>
          </w:p>
        </w:tc>
      </w:tr>
      <w:tr w:rsidR="008D3598" w:rsidRPr="00511330" w14:paraId="64416540" w14:textId="77777777" w:rsidTr="00BD6379">
        <w:tc>
          <w:tcPr>
            <w:tcW w:w="540" w:type="dxa"/>
          </w:tcPr>
          <w:p w14:paraId="6441653C" w14:textId="77777777" w:rsidR="008D3598" w:rsidRPr="00511330" w:rsidRDefault="008D3598" w:rsidP="003E346F">
            <w:pPr>
              <w:tabs>
                <w:tab w:val="left" w:pos="247"/>
              </w:tabs>
              <w:ind w:right="-45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w:t>
            </w:r>
          </w:p>
        </w:tc>
        <w:tc>
          <w:tcPr>
            <w:tcW w:w="3330" w:type="dxa"/>
          </w:tcPr>
          <w:p w14:paraId="6441653D"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Clear change objective</w:t>
            </w:r>
          </w:p>
        </w:tc>
        <w:tc>
          <w:tcPr>
            <w:tcW w:w="473" w:type="dxa"/>
          </w:tcPr>
          <w:p w14:paraId="6441653E" w14:textId="77777777" w:rsidR="008D3598" w:rsidRPr="00511330" w:rsidRDefault="008D3598" w:rsidP="003E346F">
            <w:pPr>
              <w:tabs>
                <w:tab w:val="left" w:pos="162"/>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w:t>
            </w:r>
          </w:p>
        </w:tc>
        <w:tc>
          <w:tcPr>
            <w:tcW w:w="3510" w:type="dxa"/>
          </w:tcPr>
          <w:p w14:paraId="6441653F" w14:textId="77777777" w:rsidR="008D3598" w:rsidRPr="00511330" w:rsidRDefault="008D3598" w:rsidP="00FB46F6">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Diverse open culture</w:t>
            </w:r>
          </w:p>
        </w:tc>
      </w:tr>
      <w:tr w:rsidR="008D3598" w:rsidRPr="00511330" w14:paraId="64416545" w14:textId="77777777" w:rsidTr="00BD6379">
        <w:tc>
          <w:tcPr>
            <w:tcW w:w="540" w:type="dxa"/>
          </w:tcPr>
          <w:p w14:paraId="64416541" w14:textId="77777777" w:rsidR="008D3598" w:rsidRPr="00511330" w:rsidRDefault="008D3598" w:rsidP="003E346F">
            <w:pPr>
              <w:tabs>
                <w:tab w:val="left" w:pos="247"/>
              </w:tabs>
              <w:ind w:right="-45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7.</w:t>
            </w:r>
          </w:p>
        </w:tc>
        <w:tc>
          <w:tcPr>
            <w:tcW w:w="3330" w:type="dxa"/>
          </w:tcPr>
          <w:p w14:paraId="64416542"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Focus skilled people</w:t>
            </w:r>
          </w:p>
        </w:tc>
        <w:tc>
          <w:tcPr>
            <w:tcW w:w="473" w:type="dxa"/>
          </w:tcPr>
          <w:p w14:paraId="64416543" w14:textId="77777777" w:rsidR="008D3598" w:rsidRPr="00511330" w:rsidRDefault="008D3598" w:rsidP="003E346F">
            <w:pPr>
              <w:tabs>
                <w:tab w:val="left" w:pos="162"/>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8.</w:t>
            </w:r>
          </w:p>
        </w:tc>
        <w:tc>
          <w:tcPr>
            <w:tcW w:w="3510" w:type="dxa"/>
          </w:tcPr>
          <w:p w14:paraId="64416544" w14:textId="77777777" w:rsidR="008D3598" w:rsidRPr="00511330" w:rsidRDefault="008D3598" w:rsidP="00FB46F6">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Legal powers and supports</w:t>
            </w:r>
          </w:p>
        </w:tc>
      </w:tr>
      <w:tr w:rsidR="008D3598" w:rsidRPr="00511330" w14:paraId="6441654A" w14:textId="77777777" w:rsidTr="00BD6379">
        <w:tc>
          <w:tcPr>
            <w:tcW w:w="540" w:type="dxa"/>
          </w:tcPr>
          <w:p w14:paraId="64416546" w14:textId="77777777" w:rsidR="008D3598" w:rsidRPr="00511330" w:rsidRDefault="008D3598" w:rsidP="003E346F">
            <w:pPr>
              <w:tabs>
                <w:tab w:val="left" w:pos="247"/>
              </w:tabs>
              <w:ind w:right="-45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9.</w:t>
            </w:r>
          </w:p>
        </w:tc>
        <w:tc>
          <w:tcPr>
            <w:tcW w:w="3330" w:type="dxa"/>
          </w:tcPr>
          <w:p w14:paraId="64416547"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Constant and focused plan</w:t>
            </w:r>
          </w:p>
        </w:tc>
        <w:tc>
          <w:tcPr>
            <w:tcW w:w="473" w:type="dxa"/>
          </w:tcPr>
          <w:p w14:paraId="64416548" w14:textId="77777777" w:rsidR="008D3598" w:rsidRPr="00511330" w:rsidRDefault="008D3598" w:rsidP="003E346F">
            <w:pPr>
              <w:tabs>
                <w:tab w:val="left" w:pos="162"/>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10</w:t>
            </w:r>
          </w:p>
        </w:tc>
        <w:tc>
          <w:tcPr>
            <w:tcW w:w="3510" w:type="dxa"/>
          </w:tcPr>
          <w:p w14:paraId="64416549" w14:textId="77777777" w:rsidR="008D3598" w:rsidRPr="00511330" w:rsidRDefault="008D3598" w:rsidP="00FB46F6">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Easy use technology</w:t>
            </w:r>
          </w:p>
        </w:tc>
      </w:tr>
      <w:tr w:rsidR="008D3598" w:rsidRPr="00511330" w14:paraId="6441654F" w14:textId="77777777" w:rsidTr="00BD6379">
        <w:tc>
          <w:tcPr>
            <w:tcW w:w="540" w:type="dxa"/>
          </w:tcPr>
          <w:p w14:paraId="6441654B" w14:textId="77777777" w:rsidR="008D3598" w:rsidRPr="00511330" w:rsidRDefault="008D3598" w:rsidP="003E346F">
            <w:pPr>
              <w:tabs>
                <w:tab w:val="left" w:pos="247"/>
              </w:tabs>
              <w:ind w:right="-45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11</w:t>
            </w:r>
          </w:p>
        </w:tc>
        <w:tc>
          <w:tcPr>
            <w:tcW w:w="3330" w:type="dxa"/>
          </w:tcPr>
          <w:p w14:paraId="6441654C"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People engagements </w:t>
            </w:r>
          </w:p>
        </w:tc>
        <w:tc>
          <w:tcPr>
            <w:tcW w:w="473" w:type="dxa"/>
          </w:tcPr>
          <w:p w14:paraId="6441654D" w14:textId="77777777" w:rsidR="008D3598" w:rsidRPr="00511330" w:rsidRDefault="008D3598" w:rsidP="003E346F">
            <w:pPr>
              <w:tabs>
                <w:tab w:val="left" w:pos="162"/>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12</w:t>
            </w:r>
          </w:p>
        </w:tc>
        <w:tc>
          <w:tcPr>
            <w:tcW w:w="3510" w:type="dxa"/>
          </w:tcPr>
          <w:p w14:paraId="6441654E" w14:textId="77777777" w:rsidR="008D3598" w:rsidRPr="00511330" w:rsidRDefault="008D3598" w:rsidP="00FB46F6">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Authorization</w:t>
            </w:r>
          </w:p>
        </w:tc>
      </w:tr>
      <w:tr w:rsidR="008D3598" w:rsidRPr="00511330" w14:paraId="64416554" w14:textId="77777777" w:rsidTr="00BD6379">
        <w:tc>
          <w:tcPr>
            <w:tcW w:w="540" w:type="dxa"/>
          </w:tcPr>
          <w:p w14:paraId="64416550" w14:textId="77777777" w:rsidR="008D3598" w:rsidRPr="00511330" w:rsidRDefault="008D3598" w:rsidP="003E346F">
            <w:pPr>
              <w:tabs>
                <w:tab w:val="left" w:pos="247"/>
              </w:tabs>
              <w:ind w:right="-45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13.</w:t>
            </w:r>
          </w:p>
        </w:tc>
        <w:tc>
          <w:tcPr>
            <w:tcW w:w="3330" w:type="dxa"/>
          </w:tcPr>
          <w:p w14:paraId="64416551"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Understanding business blueprint</w:t>
            </w:r>
          </w:p>
        </w:tc>
        <w:tc>
          <w:tcPr>
            <w:tcW w:w="473" w:type="dxa"/>
          </w:tcPr>
          <w:p w14:paraId="64416552" w14:textId="77777777" w:rsidR="008D3598" w:rsidRPr="00511330" w:rsidRDefault="008D3598" w:rsidP="003E346F">
            <w:pPr>
              <w:tabs>
                <w:tab w:val="left" w:pos="162"/>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14</w:t>
            </w:r>
          </w:p>
        </w:tc>
        <w:tc>
          <w:tcPr>
            <w:tcW w:w="3510" w:type="dxa"/>
          </w:tcPr>
          <w:p w14:paraId="64416553" w14:textId="77777777" w:rsidR="008D3598" w:rsidRPr="00511330" w:rsidRDefault="008D3598" w:rsidP="00FB46F6">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Leader/ Govern. support</w:t>
            </w:r>
          </w:p>
        </w:tc>
      </w:tr>
      <w:tr w:rsidR="008D3598" w:rsidRPr="00511330" w14:paraId="64416559" w14:textId="77777777" w:rsidTr="00BD6379">
        <w:tc>
          <w:tcPr>
            <w:tcW w:w="540" w:type="dxa"/>
          </w:tcPr>
          <w:p w14:paraId="64416555" w14:textId="77777777" w:rsidR="008D3598" w:rsidRPr="00511330" w:rsidRDefault="008D3598" w:rsidP="003E346F">
            <w:pPr>
              <w:tabs>
                <w:tab w:val="left" w:pos="247"/>
              </w:tabs>
              <w:ind w:right="-45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15.</w:t>
            </w:r>
          </w:p>
        </w:tc>
        <w:tc>
          <w:tcPr>
            <w:tcW w:w="3330" w:type="dxa"/>
          </w:tcPr>
          <w:p w14:paraId="64416556"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Supporting rules and regulation</w:t>
            </w:r>
          </w:p>
        </w:tc>
        <w:tc>
          <w:tcPr>
            <w:tcW w:w="473" w:type="dxa"/>
          </w:tcPr>
          <w:p w14:paraId="64416557" w14:textId="77777777" w:rsidR="008D3598" w:rsidRPr="00511330" w:rsidRDefault="008D3598" w:rsidP="003E346F">
            <w:pPr>
              <w:tabs>
                <w:tab w:val="left" w:pos="162"/>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16</w:t>
            </w:r>
          </w:p>
        </w:tc>
        <w:tc>
          <w:tcPr>
            <w:tcW w:w="3510" w:type="dxa"/>
          </w:tcPr>
          <w:p w14:paraId="64416558" w14:textId="77777777" w:rsidR="008D3598" w:rsidRPr="00511330" w:rsidRDefault="008D3598" w:rsidP="00FB46F6">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Supportive structure and process</w:t>
            </w:r>
          </w:p>
        </w:tc>
      </w:tr>
      <w:tr w:rsidR="008D3598" w:rsidRPr="00511330" w14:paraId="6441655E" w14:textId="77777777" w:rsidTr="00BD6379">
        <w:tc>
          <w:tcPr>
            <w:tcW w:w="540" w:type="dxa"/>
          </w:tcPr>
          <w:p w14:paraId="6441655A" w14:textId="77777777" w:rsidR="008D3598" w:rsidRPr="00511330" w:rsidRDefault="008D3598" w:rsidP="003E346F">
            <w:pPr>
              <w:tabs>
                <w:tab w:val="left" w:pos="247"/>
              </w:tabs>
              <w:ind w:right="-45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17.</w:t>
            </w:r>
          </w:p>
        </w:tc>
        <w:tc>
          <w:tcPr>
            <w:tcW w:w="3330" w:type="dxa"/>
          </w:tcPr>
          <w:p w14:paraId="6441655B"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Other entities’ cooperation</w:t>
            </w:r>
          </w:p>
        </w:tc>
        <w:tc>
          <w:tcPr>
            <w:tcW w:w="473" w:type="dxa"/>
          </w:tcPr>
          <w:p w14:paraId="6441655C" w14:textId="77777777" w:rsidR="008D3598" w:rsidRPr="00511330" w:rsidRDefault="008D3598" w:rsidP="003E346F">
            <w:pPr>
              <w:tabs>
                <w:tab w:val="left" w:pos="162"/>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18</w:t>
            </w:r>
          </w:p>
        </w:tc>
        <w:tc>
          <w:tcPr>
            <w:tcW w:w="3510" w:type="dxa"/>
          </w:tcPr>
          <w:p w14:paraId="6441655D" w14:textId="77777777" w:rsidR="008D3598" w:rsidRPr="00511330" w:rsidRDefault="008D3598" w:rsidP="00FB46F6">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Accuracy and precision</w:t>
            </w:r>
          </w:p>
        </w:tc>
      </w:tr>
      <w:tr w:rsidR="008D3598" w:rsidRPr="00511330" w14:paraId="64416563" w14:textId="77777777" w:rsidTr="00BD6379">
        <w:tc>
          <w:tcPr>
            <w:tcW w:w="540" w:type="dxa"/>
          </w:tcPr>
          <w:p w14:paraId="6441655F" w14:textId="77777777" w:rsidR="008D3598" w:rsidRPr="00511330" w:rsidRDefault="008D3598" w:rsidP="003E346F">
            <w:pPr>
              <w:tabs>
                <w:tab w:val="left" w:pos="247"/>
              </w:tabs>
              <w:ind w:right="-45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19.</w:t>
            </w:r>
          </w:p>
        </w:tc>
        <w:tc>
          <w:tcPr>
            <w:tcW w:w="3330" w:type="dxa"/>
          </w:tcPr>
          <w:p w14:paraId="64416560"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Open organizational culture</w:t>
            </w:r>
          </w:p>
        </w:tc>
        <w:tc>
          <w:tcPr>
            <w:tcW w:w="473" w:type="dxa"/>
          </w:tcPr>
          <w:p w14:paraId="64416561" w14:textId="77777777" w:rsidR="008D3598" w:rsidRPr="00511330" w:rsidRDefault="008D3598" w:rsidP="003E346F">
            <w:pPr>
              <w:tabs>
                <w:tab w:val="left" w:pos="162"/>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20</w:t>
            </w:r>
          </w:p>
        </w:tc>
        <w:tc>
          <w:tcPr>
            <w:tcW w:w="3510" w:type="dxa"/>
          </w:tcPr>
          <w:p w14:paraId="64416562" w14:textId="77777777" w:rsidR="008D3598" w:rsidRPr="00511330" w:rsidRDefault="008D3598" w:rsidP="00FB46F6">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Allocated and sufficient budget </w:t>
            </w:r>
          </w:p>
        </w:tc>
      </w:tr>
      <w:tr w:rsidR="008D3598" w:rsidRPr="00511330" w14:paraId="64416568" w14:textId="77777777" w:rsidTr="00BD6379">
        <w:tc>
          <w:tcPr>
            <w:tcW w:w="540" w:type="dxa"/>
          </w:tcPr>
          <w:p w14:paraId="64416564" w14:textId="77777777" w:rsidR="008D3598" w:rsidRPr="00511330" w:rsidRDefault="008D3598" w:rsidP="003E346F">
            <w:pPr>
              <w:tabs>
                <w:tab w:val="left" w:pos="247"/>
              </w:tabs>
              <w:ind w:right="-45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21.</w:t>
            </w:r>
          </w:p>
        </w:tc>
        <w:tc>
          <w:tcPr>
            <w:tcW w:w="3330" w:type="dxa"/>
          </w:tcPr>
          <w:p w14:paraId="64416565"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Team ability and willingness </w:t>
            </w:r>
          </w:p>
        </w:tc>
        <w:tc>
          <w:tcPr>
            <w:tcW w:w="473" w:type="dxa"/>
          </w:tcPr>
          <w:p w14:paraId="64416566" w14:textId="77777777" w:rsidR="008D3598" w:rsidRPr="00511330" w:rsidRDefault="008D3598" w:rsidP="003E346F">
            <w:pPr>
              <w:tabs>
                <w:tab w:val="left" w:pos="162"/>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22</w:t>
            </w:r>
          </w:p>
        </w:tc>
        <w:tc>
          <w:tcPr>
            <w:tcW w:w="3510" w:type="dxa"/>
          </w:tcPr>
          <w:p w14:paraId="64416567" w14:textId="77777777" w:rsidR="008D3598" w:rsidRPr="00511330" w:rsidRDefault="008D3598" w:rsidP="00FB46F6">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Governmental support </w:t>
            </w:r>
          </w:p>
        </w:tc>
      </w:tr>
      <w:tr w:rsidR="008D3598" w:rsidRPr="00511330" w14:paraId="6441656D" w14:textId="77777777" w:rsidTr="00BD6379">
        <w:tc>
          <w:tcPr>
            <w:tcW w:w="540" w:type="dxa"/>
          </w:tcPr>
          <w:p w14:paraId="64416569" w14:textId="77777777" w:rsidR="008D3598" w:rsidRPr="00511330" w:rsidRDefault="008D3598" w:rsidP="003E346F">
            <w:pPr>
              <w:tabs>
                <w:tab w:val="left" w:pos="247"/>
              </w:tabs>
              <w:ind w:right="-459"/>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23.</w:t>
            </w:r>
          </w:p>
        </w:tc>
        <w:tc>
          <w:tcPr>
            <w:tcW w:w="3330" w:type="dxa"/>
          </w:tcPr>
          <w:p w14:paraId="6441656A"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Stakeholders partnership </w:t>
            </w:r>
          </w:p>
        </w:tc>
        <w:tc>
          <w:tcPr>
            <w:tcW w:w="473" w:type="dxa"/>
          </w:tcPr>
          <w:p w14:paraId="6441656B" w14:textId="77777777" w:rsidR="008D3598" w:rsidRPr="00511330" w:rsidRDefault="008D3598" w:rsidP="003E346F">
            <w:pPr>
              <w:tabs>
                <w:tab w:val="left" w:pos="162"/>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24</w:t>
            </w:r>
          </w:p>
        </w:tc>
        <w:tc>
          <w:tcPr>
            <w:tcW w:w="3510" w:type="dxa"/>
          </w:tcPr>
          <w:p w14:paraId="6441656C" w14:textId="77777777" w:rsidR="008D3598" w:rsidRPr="00511330" w:rsidRDefault="008D3598" w:rsidP="00FB46F6">
            <w:pPr>
              <w:ind w:right="9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High scenes of citizenship</w:t>
            </w:r>
          </w:p>
        </w:tc>
      </w:tr>
    </w:tbl>
    <w:p w14:paraId="6441656E" w14:textId="77777777" w:rsidR="008D3598" w:rsidRPr="00511330" w:rsidRDefault="008D3598" w:rsidP="00721566">
      <w:pPr>
        <w:ind w:right="-450"/>
        <w:rPr>
          <w:lang w:val="en-US"/>
        </w:rPr>
      </w:pPr>
    </w:p>
    <w:p w14:paraId="6441656F" w14:textId="0A5C7CB9" w:rsidR="008D3598" w:rsidRPr="00511330" w:rsidRDefault="008D3598" w:rsidP="00BD6379">
      <w:pPr>
        <w:pStyle w:val="Caption"/>
        <w:keepNext/>
        <w:spacing w:after="0"/>
        <w:ind w:right="-450"/>
        <w:rPr>
          <w:rFonts w:asciiTheme="majorBidi" w:hAnsiTheme="majorBidi" w:cstheme="majorBidi"/>
          <w:b w:val="0"/>
          <w:bCs w:val="0"/>
          <w:color w:val="auto"/>
          <w:sz w:val="20"/>
          <w:szCs w:val="20"/>
          <w:lang w:val="en-US"/>
        </w:rPr>
      </w:pPr>
      <w:bookmarkStart w:id="751" w:name="_Toc43310898"/>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8</w:t>
      </w:r>
      <w:r w:rsidRPr="00511330">
        <w:rPr>
          <w:rFonts w:asciiTheme="majorBidi" w:hAnsiTheme="majorBidi" w:cstheme="majorBidi"/>
          <w:b w:val="0"/>
          <w:bCs w:val="0"/>
          <w:color w:val="auto"/>
          <w:sz w:val="20"/>
          <w:szCs w:val="20"/>
          <w:lang w:val="en-US"/>
        </w:rPr>
        <w:fldChar w:fldCharType="end"/>
      </w:r>
      <w:r w:rsidR="00F068F5" w:rsidRPr="00511330">
        <w:rPr>
          <w:rFonts w:asciiTheme="majorBidi" w:hAnsiTheme="majorBidi" w:cstheme="majorBidi"/>
          <w:b w:val="0"/>
          <w:bCs w:val="0"/>
          <w:i/>
          <w:iCs/>
          <w:color w:val="auto"/>
          <w:sz w:val="20"/>
          <w:szCs w:val="20"/>
          <w:lang w:val="en-US"/>
        </w:rPr>
        <w:t>:</w:t>
      </w:r>
      <w:r w:rsidRPr="00511330">
        <w:rPr>
          <w:rFonts w:asciiTheme="majorBidi" w:hAnsiTheme="majorBidi" w:cstheme="majorBidi"/>
          <w:b w:val="0"/>
          <w:bCs w:val="0"/>
          <w:i/>
          <w:iCs/>
          <w:color w:val="auto"/>
          <w:sz w:val="20"/>
          <w:szCs w:val="20"/>
          <w:lang w:val="en-US"/>
        </w:rPr>
        <w:t xml:space="preserve"> Enablers Reported by Employees</w:t>
      </w:r>
      <w:r w:rsidRPr="00511330">
        <w:rPr>
          <w:rFonts w:asciiTheme="majorBidi" w:hAnsiTheme="majorBidi" w:cstheme="majorBidi"/>
          <w:b w:val="0"/>
          <w:bCs w:val="0"/>
          <w:color w:val="auto"/>
          <w:sz w:val="20"/>
          <w:szCs w:val="20"/>
          <w:lang w:val="en-US"/>
        </w:rPr>
        <w:t xml:space="preserve"> </w:t>
      </w:r>
      <w:r w:rsidR="00075242" w:rsidRPr="00511330">
        <w:rPr>
          <w:rFonts w:asciiTheme="majorBidi" w:hAnsiTheme="majorBidi" w:cstheme="majorBidi"/>
          <w:b w:val="0"/>
          <w:bCs w:val="0"/>
          <w:i/>
          <w:iCs/>
          <w:color w:val="auto"/>
          <w:sz w:val="20"/>
          <w:szCs w:val="20"/>
          <w:lang w:val="en-US"/>
        </w:rPr>
        <w:t>Perspective</w:t>
      </w:r>
      <w:bookmarkEnd w:id="751"/>
    </w:p>
    <w:tbl>
      <w:tblPr>
        <w:tblStyle w:val="TableGrid1"/>
        <w:tblW w:w="7853" w:type="dxa"/>
        <w:tblInd w:w="-5" w:type="dxa"/>
        <w:tblLayout w:type="fixed"/>
        <w:tblLook w:val="04A0" w:firstRow="1" w:lastRow="0" w:firstColumn="1" w:lastColumn="0" w:noHBand="0" w:noVBand="1"/>
      </w:tblPr>
      <w:tblGrid>
        <w:gridCol w:w="540"/>
        <w:gridCol w:w="3690"/>
        <w:gridCol w:w="450"/>
        <w:gridCol w:w="3173"/>
      </w:tblGrid>
      <w:tr w:rsidR="008D3598" w:rsidRPr="00511330" w14:paraId="64416571" w14:textId="77777777" w:rsidTr="00BD6379">
        <w:trPr>
          <w:trHeight w:val="260"/>
        </w:trPr>
        <w:tc>
          <w:tcPr>
            <w:tcW w:w="7853" w:type="dxa"/>
            <w:gridSpan w:val="4"/>
            <w:shd w:val="clear" w:color="auto" w:fill="F2F2F2" w:themeFill="background1" w:themeFillShade="F2"/>
          </w:tcPr>
          <w:p w14:paraId="64416570" w14:textId="77777777" w:rsidR="008D3598" w:rsidRPr="00511330" w:rsidRDefault="008D3598" w:rsidP="00721566">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CM Enablers from Employees</w:t>
            </w:r>
            <w:r w:rsidRPr="00511330">
              <w:rPr>
                <w:rFonts w:asciiTheme="majorBidi" w:eastAsia="Calibri" w:hAnsiTheme="majorBidi" w:cstheme="majorBidi"/>
                <w:b/>
                <w:bCs/>
                <w:color w:val="000000"/>
                <w:sz w:val="20"/>
                <w:szCs w:val="20"/>
                <w:lang w:val="en-US"/>
              </w:rPr>
              <w:t xml:space="preserve"> </w:t>
            </w:r>
            <w:r w:rsidRPr="00511330">
              <w:rPr>
                <w:rFonts w:asciiTheme="majorBidi" w:eastAsia="Calibri" w:hAnsiTheme="majorBidi" w:cstheme="majorBidi"/>
                <w:b/>
                <w:bCs/>
                <w:sz w:val="20"/>
                <w:szCs w:val="20"/>
                <w:lang w:val="en-US"/>
              </w:rPr>
              <w:t>Perspective</w:t>
            </w:r>
          </w:p>
        </w:tc>
      </w:tr>
      <w:tr w:rsidR="008D3598" w:rsidRPr="00511330" w14:paraId="64416576" w14:textId="77777777" w:rsidTr="00BD6379">
        <w:tc>
          <w:tcPr>
            <w:tcW w:w="540" w:type="dxa"/>
          </w:tcPr>
          <w:p w14:paraId="64416572" w14:textId="77777777" w:rsidR="008D3598" w:rsidRPr="00511330" w:rsidRDefault="008D3598" w:rsidP="003E346F">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w:t>
            </w:r>
          </w:p>
        </w:tc>
        <w:tc>
          <w:tcPr>
            <w:tcW w:w="3690" w:type="dxa"/>
            <w:vAlign w:val="center"/>
          </w:tcPr>
          <w:p w14:paraId="64416573"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Proper time frame</w:t>
            </w:r>
          </w:p>
        </w:tc>
        <w:tc>
          <w:tcPr>
            <w:tcW w:w="450" w:type="dxa"/>
          </w:tcPr>
          <w:p w14:paraId="64416574" w14:textId="77777777" w:rsidR="008D3598" w:rsidRPr="00511330" w:rsidRDefault="008D3598" w:rsidP="003E346F">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w:t>
            </w:r>
          </w:p>
        </w:tc>
        <w:tc>
          <w:tcPr>
            <w:tcW w:w="3173" w:type="dxa"/>
          </w:tcPr>
          <w:p w14:paraId="64416575"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Clear transparent objectives </w:t>
            </w:r>
          </w:p>
        </w:tc>
      </w:tr>
      <w:tr w:rsidR="008D3598" w:rsidRPr="00511330" w14:paraId="6441657B" w14:textId="77777777" w:rsidTr="00BD6379">
        <w:tc>
          <w:tcPr>
            <w:tcW w:w="540" w:type="dxa"/>
          </w:tcPr>
          <w:p w14:paraId="64416577" w14:textId="77777777" w:rsidR="008D3598" w:rsidRPr="00511330" w:rsidRDefault="008D3598" w:rsidP="003E346F">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w:t>
            </w:r>
          </w:p>
        </w:tc>
        <w:tc>
          <w:tcPr>
            <w:tcW w:w="3690" w:type="dxa"/>
          </w:tcPr>
          <w:p w14:paraId="64416578"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Proper communication plan</w:t>
            </w:r>
          </w:p>
        </w:tc>
        <w:tc>
          <w:tcPr>
            <w:tcW w:w="450" w:type="dxa"/>
          </w:tcPr>
          <w:p w14:paraId="64416579" w14:textId="77777777" w:rsidR="008D3598" w:rsidRPr="00511330" w:rsidRDefault="008D3598" w:rsidP="003E346F">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4.</w:t>
            </w:r>
          </w:p>
        </w:tc>
        <w:tc>
          <w:tcPr>
            <w:tcW w:w="3173" w:type="dxa"/>
          </w:tcPr>
          <w:p w14:paraId="6441657A"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Motivation &amp; rewarding system</w:t>
            </w:r>
          </w:p>
        </w:tc>
      </w:tr>
      <w:tr w:rsidR="008D3598" w:rsidRPr="00511330" w14:paraId="64416580" w14:textId="77777777" w:rsidTr="00BD6379">
        <w:tc>
          <w:tcPr>
            <w:tcW w:w="540" w:type="dxa"/>
          </w:tcPr>
          <w:p w14:paraId="6441657C" w14:textId="77777777" w:rsidR="008D3598" w:rsidRPr="00511330" w:rsidRDefault="008D3598" w:rsidP="003E346F">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w:t>
            </w:r>
          </w:p>
        </w:tc>
        <w:tc>
          <w:tcPr>
            <w:tcW w:w="3690" w:type="dxa"/>
            <w:vAlign w:val="center"/>
          </w:tcPr>
          <w:p w14:paraId="6441657D"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Performance and benefits</w:t>
            </w:r>
          </w:p>
        </w:tc>
        <w:tc>
          <w:tcPr>
            <w:tcW w:w="450" w:type="dxa"/>
          </w:tcPr>
          <w:p w14:paraId="6441657E" w14:textId="77777777" w:rsidR="008D3598" w:rsidRPr="00511330" w:rsidRDefault="008D3598" w:rsidP="003E346F">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w:t>
            </w:r>
          </w:p>
        </w:tc>
        <w:tc>
          <w:tcPr>
            <w:tcW w:w="3173" w:type="dxa"/>
          </w:tcPr>
          <w:p w14:paraId="6441657F"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Proper Awareness</w:t>
            </w:r>
          </w:p>
        </w:tc>
      </w:tr>
      <w:tr w:rsidR="008D3598" w:rsidRPr="00511330" w14:paraId="64416585" w14:textId="77777777" w:rsidTr="00BD6379">
        <w:tc>
          <w:tcPr>
            <w:tcW w:w="540" w:type="dxa"/>
          </w:tcPr>
          <w:p w14:paraId="64416581" w14:textId="77777777" w:rsidR="008D3598" w:rsidRPr="00511330" w:rsidRDefault="008D3598" w:rsidP="003E346F">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7.</w:t>
            </w:r>
          </w:p>
        </w:tc>
        <w:tc>
          <w:tcPr>
            <w:tcW w:w="3690" w:type="dxa"/>
            <w:vAlign w:val="center"/>
          </w:tcPr>
          <w:p w14:paraId="64416582"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Empowerment and ownership</w:t>
            </w:r>
          </w:p>
        </w:tc>
        <w:tc>
          <w:tcPr>
            <w:tcW w:w="450" w:type="dxa"/>
          </w:tcPr>
          <w:p w14:paraId="64416583" w14:textId="77777777" w:rsidR="008D3598" w:rsidRPr="00511330" w:rsidRDefault="008D3598" w:rsidP="003E346F">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8.</w:t>
            </w:r>
          </w:p>
        </w:tc>
        <w:tc>
          <w:tcPr>
            <w:tcW w:w="3173" w:type="dxa"/>
          </w:tcPr>
          <w:p w14:paraId="64416584"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Involvements in change process</w:t>
            </w:r>
          </w:p>
        </w:tc>
      </w:tr>
      <w:tr w:rsidR="008D3598" w:rsidRPr="00511330" w14:paraId="6441658A" w14:textId="77777777" w:rsidTr="00BD6379">
        <w:tc>
          <w:tcPr>
            <w:tcW w:w="540" w:type="dxa"/>
          </w:tcPr>
          <w:p w14:paraId="64416586" w14:textId="77777777" w:rsidR="008D3598" w:rsidRPr="00511330" w:rsidRDefault="008D3598" w:rsidP="003E346F">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9.</w:t>
            </w:r>
          </w:p>
        </w:tc>
        <w:tc>
          <w:tcPr>
            <w:tcW w:w="3690" w:type="dxa"/>
            <w:vAlign w:val="center"/>
          </w:tcPr>
          <w:p w14:paraId="64416587"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Leadership support and capabilities </w:t>
            </w:r>
          </w:p>
        </w:tc>
        <w:tc>
          <w:tcPr>
            <w:tcW w:w="450" w:type="dxa"/>
          </w:tcPr>
          <w:p w14:paraId="64416588" w14:textId="77777777" w:rsidR="008D3598" w:rsidRPr="00511330" w:rsidRDefault="008D3598" w:rsidP="003E346F">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10.</w:t>
            </w:r>
          </w:p>
        </w:tc>
        <w:tc>
          <w:tcPr>
            <w:tcW w:w="3173" w:type="dxa"/>
          </w:tcPr>
          <w:p w14:paraId="64416589"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Openness to people opinion</w:t>
            </w:r>
          </w:p>
        </w:tc>
      </w:tr>
      <w:tr w:rsidR="008D3598" w:rsidRPr="00511330" w14:paraId="6441658F" w14:textId="77777777" w:rsidTr="00BD6379">
        <w:tc>
          <w:tcPr>
            <w:tcW w:w="540" w:type="dxa"/>
          </w:tcPr>
          <w:p w14:paraId="6441658B" w14:textId="77777777" w:rsidR="008D3598" w:rsidRPr="00511330" w:rsidRDefault="008D3598" w:rsidP="003E346F">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11.</w:t>
            </w:r>
          </w:p>
        </w:tc>
        <w:tc>
          <w:tcPr>
            <w:tcW w:w="3690" w:type="dxa"/>
            <w:vAlign w:val="center"/>
          </w:tcPr>
          <w:p w14:paraId="6441658C"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Flexibility</w:t>
            </w:r>
          </w:p>
        </w:tc>
        <w:tc>
          <w:tcPr>
            <w:tcW w:w="450" w:type="dxa"/>
          </w:tcPr>
          <w:p w14:paraId="6441658D" w14:textId="77777777" w:rsidR="008D3598" w:rsidRPr="00511330" w:rsidRDefault="008D3598" w:rsidP="003E346F">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12.</w:t>
            </w:r>
          </w:p>
        </w:tc>
        <w:tc>
          <w:tcPr>
            <w:tcW w:w="3173" w:type="dxa"/>
          </w:tcPr>
          <w:p w14:paraId="6441658E"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People willingness and enthusiasms  </w:t>
            </w:r>
          </w:p>
        </w:tc>
      </w:tr>
      <w:tr w:rsidR="008D3598" w:rsidRPr="00511330" w14:paraId="64416594" w14:textId="77777777" w:rsidTr="00BD6379">
        <w:tc>
          <w:tcPr>
            <w:tcW w:w="540" w:type="dxa"/>
          </w:tcPr>
          <w:p w14:paraId="64416590" w14:textId="77777777" w:rsidR="008D3598" w:rsidRPr="00511330" w:rsidRDefault="008D3598" w:rsidP="003E346F">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13.</w:t>
            </w:r>
          </w:p>
        </w:tc>
        <w:tc>
          <w:tcPr>
            <w:tcW w:w="3690" w:type="dxa"/>
          </w:tcPr>
          <w:p w14:paraId="64416591"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Attitude and open culture</w:t>
            </w:r>
          </w:p>
        </w:tc>
        <w:tc>
          <w:tcPr>
            <w:tcW w:w="450" w:type="dxa"/>
          </w:tcPr>
          <w:p w14:paraId="64416592" w14:textId="77777777" w:rsidR="008D3598" w:rsidRPr="00511330" w:rsidRDefault="008D3598" w:rsidP="003E346F">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14.</w:t>
            </w:r>
          </w:p>
        </w:tc>
        <w:tc>
          <w:tcPr>
            <w:tcW w:w="3173" w:type="dxa"/>
          </w:tcPr>
          <w:p w14:paraId="64416593"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Organizational support</w:t>
            </w:r>
          </w:p>
        </w:tc>
      </w:tr>
      <w:tr w:rsidR="008D3598" w:rsidRPr="00511330" w14:paraId="64416599" w14:textId="77777777" w:rsidTr="00BD6379">
        <w:tc>
          <w:tcPr>
            <w:tcW w:w="540" w:type="dxa"/>
          </w:tcPr>
          <w:p w14:paraId="64416595" w14:textId="77777777" w:rsidR="008D3598" w:rsidRPr="00511330" w:rsidRDefault="008D3598" w:rsidP="003E346F">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15.</w:t>
            </w:r>
          </w:p>
        </w:tc>
        <w:tc>
          <w:tcPr>
            <w:tcW w:w="3690" w:type="dxa"/>
            <w:vAlign w:val="center"/>
          </w:tcPr>
          <w:p w14:paraId="64416596"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Comprehensive training programs</w:t>
            </w:r>
          </w:p>
        </w:tc>
        <w:tc>
          <w:tcPr>
            <w:tcW w:w="450" w:type="dxa"/>
          </w:tcPr>
          <w:p w14:paraId="64416597" w14:textId="77777777" w:rsidR="008D3598" w:rsidRPr="00511330" w:rsidRDefault="008D3598" w:rsidP="003E346F">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16.</w:t>
            </w:r>
          </w:p>
        </w:tc>
        <w:tc>
          <w:tcPr>
            <w:tcW w:w="3173" w:type="dxa"/>
          </w:tcPr>
          <w:p w14:paraId="64416598"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Easy use of technology</w:t>
            </w:r>
          </w:p>
        </w:tc>
      </w:tr>
      <w:tr w:rsidR="008D3598" w:rsidRPr="00511330" w14:paraId="6441659E" w14:textId="77777777" w:rsidTr="00BD6379">
        <w:tc>
          <w:tcPr>
            <w:tcW w:w="540" w:type="dxa"/>
          </w:tcPr>
          <w:p w14:paraId="6441659A" w14:textId="77777777" w:rsidR="008D3598" w:rsidRPr="00511330" w:rsidRDefault="008D3598" w:rsidP="003E346F">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17.</w:t>
            </w:r>
          </w:p>
        </w:tc>
        <w:tc>
          <w:tcPr>
            <w:tcW w:w="3690" w:type="dxa"/>
          </w:tcPr>
          <w:p w14:paraId="6441659B" w14:textId="77777777" w:rsidR="008D3598" w:rsidRPr="00511330" w:rsidRDefault="008D3598" w:rsidP="00385C3A">
            <w:pPr>
              <w:ind w:right="-1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Gradual implementation approach (pilot bases)</w:t>
            </w:r>
          </w:p>
        </w:tc>
        <w:tc>
          <w:tcPr>
            <w:tcW w:w="450" w:type="dxa"/>
          </w:tcPr>
          <w:p w14:paraId="6441659C" w14:textId="77777777" w:rsidR="008D3598" w:rsidRPr="00511330" w:rsidRDefault="008D3598" w:rsidP="003E346F">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18.</w:t>
            </w:r>
          </w:p>
        </w:tc>
        <w:tc>
          <w:tcPr>
            <w:tcW w:w="3173" w:type="dxa"/>
          </w:tcPr>
          <w:p w14:paraId="6441659D"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Effective communication tools</w:t>
            </w:r>
          </w:p>
        </w:tc>
      </w:tr>
      <w:tr w:rsidR="008D3598" w:rsidRPr="00511330" w14:paraId="644165A3" w14:textId="77777777" w:rsidTr="00BD6379">
        <w:tc>
          <w:tcPr>
            <w:tcW w:w="540" w:type="dxa"/>
          </w:tcPr>
          <w:p w14:paraId="6441659F" w14:textId="77777777" w:rsidR="008D3598" w:rsidRPr="00511330" w:rsidRDefault="008D3598" w:rsidP="003E346F">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19.</w:t>
            </w:r>
          </w:p>
        </w:tc>
        <w:tc>
          <w:tcPr>
            <w:tcW w:w="3690" w:type="dxa"/>
          </w:tcPr>
          <w:p w14:paraId="644165A0"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Senses of belonging and citizenship</w:t>
            </w:r>
          </w:p>
        </w:tc>
        <w:tc>
          <w:tcPr>
            <w:tcW w:w="450" w:type="dxa"/>
          </w:tcPr>
          <w:p w14:paraId="644165A1" w14:textId="77777777" w:rsidR="008D3598" w:rsidRPr="00511330" w:rsidRDefault="008D3598" w:rsidP="003E346F">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20.</w:t>
            </w:r>
          </w:p>
        </w:tc>
        <w:tc>
          <w:tcPr>
            <w:tcW w:w="3173" w:type="dxa"/>
          </w:tcPr>
          <w:p w14:paraId="644165A2"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Innovative tools and approach</w:t>
            </w:r>
          </w:p>
        </w:tc>
      </w:tr>
    </w:tbl>
    <w:p w14:paraId="644165A4" w14:textId="77777777" w:rsidR="008D3598" w:rsidRPr="00511330" w:rsidRDefault="008D3598" w:rsidP="00721566">
      <w:pPr>
        <w:ind w:right="-450"/>
        <w:rPr>
          <w:sz w:val="10"/>
          <w:szCs w:val="10"/>
          <w:lang w:val="en-US"/>
        </w:rPr>
      </w:pPr>
    </w:p>
    <w:p w14:paraId="7D983B6D" w14:textId="77777777" w:rsidR="00BD6379" w:rsidRPr="00511330" w:rsidRDefault="00BD6379">
      <w:pPr>
        <w:rPr>
          <w:rFonts w:asciiTheme="majorBidi" w:hAnsiTheme="majorBidi" w:cstheme="majorBidi"/>
          <w:sz w:val="20"/>
          <w:szCs w:val="20"/>
          <w:lang w:val="en-US"/>
        </w:rPr>
      </w:pPr>
      <w:r w:rsidRPr="00511330">
        <w:rPr>
          <w:rFonts w:asciiTheme="majorBidi" w:hAnsiTheme="majorBidi" w:cstheme="majorBidi"/>
          <w:b/>
          <w:bCs/>
          <w:sz w:val="20"/>
          <w:szCs w:val="20"/>
          <w:lang w:val="en-US"/>
        </w:rPr>
        <w:br w:type="page"/>
      </w:r>
    </w:p>
    <w:p w14:paraId="644165A5" w14:textId="192969ED" w:rsidR="008D3598" w:rsidRPr="00511330" w:rsidRDefault="008D3598" w:rsidP="00BD6379">
      <w:pPr>
        <w:pStyle w:val="Caption"/>
        <w:keepNext/>
        <w:spacing w:after="0"/>
        <w:ind w:right="-450"/>
        <w:rPr>
          <w:rFonts w:asciiTheme="majorBidi" w:hAnsiTheme="majorBidi" w:cstheme="majorBidi"/>
          <w:b w:val="0"/>
          <w:bCs w:val="0"/>
          <w:color w:val="auto"/>
          <w:sz w:val="20"/>
          <w:szCs w:val="20"/>
          <w:lang w:val="en-US"/>
        </w:rPr>
      </w:pPr>
      <w:bookmarkStart w:id="752" w:name="_Toc43310899"/>
      <w:r w:rsidRPr="00511330">
        <w:rPr>
          <w:rFonts w:asciiTheme="majorBidi" w:hAnsiTheme="majorBidi" w:cstheme="majorBidi"/>
          <w:b w:val="0"/>
          <w:bCs w:val="0"/>
          <w:color w:val="auto"/>
          <w:sz w:val="20"/>
          <w:szCs w:val="20"/>
          <w:lang w:val="en-US"/>
        </w:rPr>
        <w:lastRenderedPageBreak/>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9</w:t>
      </w:r>
      <w:r w:rsidRPr="00511330">
        <w:rPr>
          <w:rFonts w:asciiTheme="majorBidi" w:hAnsiTheme="majorBidi" w:cstheme="majorBidi"/>
          <w:b w:val="0"/>
          <w:bCs w:val="0"/>
          <w:color w:val="auto"/>
          <w:sz w:val="20"/>
          <w:szCs w:val="20"/>
          <w:lang w:val="en-US"/>
        </w:rPr>
        <w:fldChar w:fldCharType="end"/>
      </w:r>
      <w:r w:rsidR="00F068F5"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i/>
          <w:iCs/>
          <w:noProof/>
          <w:color w:val="auto"/>
          <w:sz w:val="20"/>
          <w:szCs w:val="20"/>
          <w:lang w:val="en-US"/>
        </w:rPr>
        <w:t xml:space="preserve"> Enablers</w:t>
      </w:r>
      <w:r w:rsidR="00C9086B" w:rsidRPr="00511330">
        <w:rPr>
          <w:rFonts w:asciiTheme="majorBidi" w:hAnsiTheme="majorBidi" w:cstheme="majorBidi"/>
          <w:b w:val="0"/>
          <w:bCs w:val="0"/>
          <w:i/>
          <w:iCs/>
          <w:noProof/>
          <w:color w:val="auto"/>
          <w:sz w:val="20"/>
          <w:szCs w:val="20"/>
          <w:lang w:val="en-US"/>
        </w:rPr>
        <w:t xml:space="preserve"> Reported</w:t>
      </w:r>
      <w:r w:rsidRPr="00511330">
        <w:rPr>
          <w:rFonts w:asciiTheme="majorBidi" w:hAnsiTheme="majorBidi" w:cstheme="majorBidi"/>
          <w:b w:val="0"/>
          <w:bCs w:val="0"/>
          <w:i/>
          <w:iCs/>
          <w:noProof/>
          <w:color w:val="auto"/>
          <w:sz w:val="20"/>
          <w:szCs w:val="20"/>
          <w:lang w:val="en-US"/>
        </w:rPr>
        <w:t xml:space="preserve"> by  Government</w:t>
      </w:r>
      <w:r w:rsidRPr="00511330">
        <w:rPr>
          <w:rFonts w:asciiTheme="majorBidi" w:hAnsiTheme="majorBidi" w:cstheme="majorBidi"/>
          <w:b w:val="0"/>
          <w:bCs w:val="0"/>
          <w:noProof/>
          <w:color w:val="auto"/>
          <w:sz w:val="20"/>
          <w:szCs w:val="20"/>
          <w:lang w:val="en-US"/>
        </w:rPr>
        <w:t xml:space="preserve"> </w:t>
      </w:r>
      <w:r w:rsidR="00C9086B" w:rsidRPr="00511330">
        <w:rPr>
          <w:rFonts w:asciiTheme="majorBidi" w:hAnsiTheme="majorBidi" w:cstheme="majorBidi"/>
          <w:b w:val="0"/>
          <w:bCs w:val="0"/>
          <w:i/>
          <w:iCs/>
          <w:noProof/>
          <w:color w:val="auto"/>
          <w:sz w:val="20"/>
          <w:szCs w:val="20"/>
          <w:lang w:val="en-US"/>
        </w:rPr>
        <w:t>Perspective</w:t>
      </w:r>
      <w:bookmarkEnd w:id="752"/>
    </w:p>
    <w:tbl>
      <w:tblPr>
        <w:tblStyle w:val="TableGrid1"/>
        <w:tblW w:w="7943" w:type="dxa"/>
        <w:tblInd w:w="-95" w:type="dxa"/>
        <w:tblLayout w:type="fixed"/>
        <w:tblLook w:val="04A0" w:firstRow="1" w:lastRow="0" w:firstColumn="1" w:lastColumn="0" w:noHBand="0" w:noVBand="1"/>
      </w:tblPr>
      <w:tblGrid>
        <w:gridCol w:w="450"/>
        <w:gridCol w:w="3330"/>
        <w:gridCol w:w="360"/>
        <w:gridCol w:w="3803"/>
      </w:tblGrid>
      <w:tr w:rsidR="008D3598" w:rsidRPr="00511330" w14:paraId="644165A7" w14:textId="77777777" w:rsidTr="00BD6379">
        <w:trPr>
          <w:trHeight w:val="278"/>
        </w:trPr>
        <w:tc>
          <w:tcPr>
            <w:tcW w:w="7943" w:type="dxa"/>
            <w:gridSpan w:val="4"/>
            <w:shd w:val="clear" w:color="auto" w:fill="F2F2F2" w:themeFill="background1" w:themeFillShade="F2"/>
          </w:tcPr>
          <w:p w14:paraId="644165A6" w14:textId="77777777" w:rsidR="008D3598" w:rsidRPr="00511330" w:rsidRDefault="008D3598" w:rsidP="00721566">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CM Enablers from Governments Perspective</w:t>
            </w:r>
          </w:p>
        </w:tc>
      </w:tr>
      <w:tr w:rsidR="008D3598" w:rsidRPr="00511330" w14:paraId="644165AC" w14:textId="77777777" w:rsidTr="00BD6379">
        <w:tc>
          <w:tcPr>
            <w:tcW w:w="450" w:type="dxa"/>
          </w:tcPr>
          <w:p w14:paraId="644165A8" w14:textId="77777777" w:rsidR="008D3598" w:rsidRPr="00511330" w:rsidRDefault="008D3598" w:rsidP="00FB46F6">
            <w:pPr>
              <w:tabs>
                <w:tab w:val="left" w:pos="157"/>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w:t>
            </w:r>
          </w:p>
        </w:tc>
        <w:tc>
          <w:tcPr>
            <w:tcW w:w="3330" w:type="dxa"/>
          </w:tcPr>
          <w:p w14:paraId="644165A9" w14:textId="77777777" w:rsidR="008D3598" w:rsidRPr="00511330" w:rsidRDefault="008D3598" w:rsidP="003E346F">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Direct communication and clear vision </w:t>
            </w:r>
          </w:p>
        </w:tc>
        <w:tc>
          <w:tcPr>
            <w:tcW w:w="360" w:type="dxa"/>
          </w:tcPr>
          <w:p w14:paraId="644165AA" w14:textId="77777777" w:rsidR="008D3598" w:rsidRPr="00511330" w:rsidRDefault="008D3598" w:rsidP="00FB46F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w:t>
            </w:r>
          </w:p>
        </w:tc>
        <w:tc>
          <w:tcPr>
            <w:tcW w:w="3803" w:type="dxa"/>
          </w:tcPr>
          <w:p w14:paraId="644165AB" w14:textId="77777777" w:rsidR="008D3598" w:rsidRPr="00511330" w:rsidRDefault="008D3598" w:rsidP="00FB46F6">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Flexibility</w:t>
            </w:r>
          </w:p>
        </w:tc>
      </w:tr>
      <w:tr w:rsidR="008D3598" w:rsidRPr="00511330" w14:paraId="644165B1" w14:textId="77777777" w:rsidTr="00BD6379">
        <w:tc>
          <w:tcPr>
            <w:tcW w:w="450" w:type="dxa"/>
          </w:tcPr>
          <w:p w14:paraId="644165AD" w14:textId="77777777" w:rsidR="008D3598" w:rsidRPr="00511330" w:rsidRDefault="008D3598" w:rsidP="00FB46F6">
            <w:pPr>
              <w:tabs>
                <w:tab w:val="left" w:pos="157"/>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w:t>
            </w:r>
          </w:p>
        </w:tc>
        <w:tc>
          <w:tcPr>
            <w:tcW w:w="3330" w:type="dxa"/>
          </w:tcPr>
          <w:p w14:paraId="644165AE" w14:textId="77777777" w:rsidR="008D3598" w:rsidRPr="00511330" w:rsidRDefault="008D3598" w:rsidP="003E346F">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Building capacities of future leaders</w:t>
            </w:r>
          </w:p>
        </w:tc>
        <w:tc>
          <w:tcPr>
            <w:tcW w:w="360" w:type="dxa"/>
          </w:tcPr>
          <w:p w14:paraId="644165AF" w14:textId="77777777" w:rsidR="008D3598" w:rsidRPr="00511330" w:rsidRDefault="008D3598" w:rsidP="00FB46F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4.</w:t>
            </w:r>
          </w:p>
        </w:tc>
        <w:tc>
          <w:tcPr>
            <w:tcW w:w="3803" w:type="dxa"/>
          </w:tcPr>
          <w:p w14:paraId="644165B0" w14:textId="77777777" w:rsidR="008D3598" w:rsidRPr="00511330" w:rsidRDefault="008D3598" w:rsidP="00FB46F6">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Effective suggestions system</w:t>
            </w:r>
          </w:p>
        </w:tc>
      </w:tr>
      <w:tr w:rsidR="008D3598" w:rsidRPr="00511330" w14:paraId="644165B6" w14:textId="77777777" w:rsidTr="00BD6379">
        <w:tc>
          <w:tcPr>
            <w:tcW w:w="450" w:type="dxa"/>
          </w:tcPr>
          <w:p w14:paraId="644165B2" w14:textId="77777777" w:rsidR="008D3598" w:rsidRPr="00511330" w:rsidRDefault="008D3598" w:rsidP="00FB46F6">
            <w:pPr>
              <w:tabs>
                <w:tab w:val="left" w:pos="157"/>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w:t>
            </w:r>
          </w:p>
        </w:tc>
        <w:tc>
          <w:tcPr>
            <w:tcW w:w="3330" w:type="dxa"/>
          </w:tcPr>
          <w:p w14:paraId="644165B3" w14:textId="77777777" w:rsidR="008D3598" w:rsidRPr="00511330" w:rsidRDefault="008D3598" w:rsidP="003E346F">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Legislations of innovation incubators</w:t>
            </w:r>
          </w:p>
        </w:tc>
        <w:tc>
          <w:tcPr>
            <w:tcW w:w="360" w:type="dxa"/>
          </w:tcPr>
          <w:p w14:paraId="644165B4" w14:textId="77777777" w:rsidR="008D3598" w:rsidRPr="00511330" w:rsidRDefault="008D3598" w:rsidP="00FB46F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w:t>
            </w:r>
          </w:p>
        </w:tc>
        <w:tc>
          <w:tcPr>
            <w:tcW w:w="3803" w:type="dxa"/>
          </w:tcPr>
          <w:p w14:paraId="644165B5" w14:textId="77777777" w:rsidR="008D3598" w:rsidRPr="00511330" w:rsidRDefault="008D3598" w:rsidP="00FB46F6">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Set reputable acknowledgeable international decree</w:t>
            </w:r>
          </w:p>
        </w:tc>
      </w:tr>
      <w:tr w:rsidR="008D3598" w:rsidRPr="00511330" w14:paraId="644165BB" w14:textId="77777777" w:rsidTr="00BD6379">
        <w:tc>
          <w:tcPr>
            <w:tcW w:w="450" w:type="dxa"/>
          </w:tcPr>
          <w:p w14:paraId="644165B7" w14:textId="77777777" w:rsidR="008D3598" w:rsidRPr="00511330" w:rsidRDefault="008D3598" w:rsidP="00FB46F6">
            <w:pPr>
              <w:tabs>
                <w:tab w:val="left" w:pos="157"/>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7.</w:t>
            </w:r>
          </w:p>
        </w:tc>
        <w:tc>
          <w:tcPr>
            <w:tcW w:w="3330" w:type="dxa"/>
          </w:tcPr>
          <w:p w14:paraId="644165B8" w14:textId="77777777" w:rsidR="008D3598" w:rsidRPr="00511330" w:rsidRDefault="008D3598" w:rsidP="003E346F">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Government-integrated innovation system </w:t>
            </w:r>
          </w:p>
        </w:tc>
        <w:tc>
          <w:tcPr>
            <w:tcW w:w="360" w:type="dxa"/>
          </w:tcPr>
          <w:p w14:paraId="644165B9" w14:textId="77777777" w:rsidR="008D3598" w:rsidRPr="00511330" w:rsidRDefault="008D3598" w:rsidP="00FB46F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8.</w:t>
            </w:r>
          </w:p>
        </w:tc>
        <w:tc>
          <w:tcPr>
            <w:tcW w:w="3803" w:type="dxa"/>
          </w:tcPr>
          <w:p w14:paraId="644165BA" w14:textId="77777777" w:rsidR="008D3598" w:rsidRPr="00511330" w:rsidRDefault="008D3598" w:rsidP="00FB46F6">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Strengthening integrated communications </w:t>
            </w:r>
          </w:p>
        </w:tc>
      </w:tr>
      <w:tr w:rsidR="008D3598" w:rsidRPr="00511330" w14:paraId="644165C0" w14:textId="77777777" w:rsidTr="00BD6379">
        <w:tc>
          <w:tcPr>
            <w:tcW w:w="450" w:type="dxa"/>
          </w:tcPr>
          <w:p w14:paraId="644165BC" w14:textId="77777777" w:rsidR="008D3598" w:rsidRPr="00511330" w:rsidRDefault="008D3598" w:rsidP="00FB46F6">
            <w:pPr>
              <w:tabs>
                <w:tab w:val="left" w:pos="157"/>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9.</w:t>
            </w:r>
          </w:p>
        </w:tc>
        <w:tc>
          <w:tcPr>
            <w:tcW w:w="3330" w:type="dxa"/>
          </w:tcPr>
          <w:p w14:paraId="644165BD" w14:textId="77777777" w:rsidR="008D3598" w:rsidRPr="00511330" w:rsidRDefault="008D3598" w:rsidP="003E346F">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Private/public sector partnership </w:t>
            </w:r>
          </w:p>
        </w:tc>
        <w:tc>
          <w:tcPr>
            <w:tcW w:w="360" w:type="dxa"/>
          </w:tcPr>
          <w:p w14:paraId="644165BE" w14:textId="77777777" w:rsidR="008D3598" w:rsidRPr="00511330" w:rsidRDefault="008D3598" w:rsidP="00FB46F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10.</w:t>
            </w:r>
          </w:p>
        </w:tc>
        <w:tc>
          <w:tcPr>
            <w:tcW w:w="3803" w:type="dxa"/>
          </w:tcPr>
          <w:p w14:paraId="644165BF" w14:textId="77777777" w:rsidR="008D3598" w:rsidRPr="00511330" w:rsidRDefault="008D3598" w:rsidP="00FB46F6">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Dedicated R&amp;D centers &amp; budgets</w:t>
            </w:r>
          </w:p>
        </w:tc>
      </w:tr>
      <w:tr w:rsidR="008D3598" w:rsidRPr="00511330" w14:paraId="644165C5" w14:textId="77777777" w:rsidTr="00BD6379">
        <w:tc>
          <w:tcPr>
            <w:tcW w:w="450" w:type="dxa"/>
          </w:tcPr>
          <w:p w14:paraId="644165C1" w14:textId="77777777" w:rsidR="008D3598" w:rsidRPr="00511330" w:rsidRDefault="008D3598" w:rsidP="00FB46F6">
            <w:pPr>
              <w:tabs>
                <w:tab w:val="left" w:pos="157"/>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11.</w:t>
            </w:r>
          </w:p>
        </w:tc>
        <w:tc>
          <w:tcPr>
            <w:tcW w:w="3330" w:type="dxa"/>
          </w:tcPr>
          <w:p w14:paraId="644165C2" w14:textId="77777777" w:rsidR="008D3598" w:rsidRPr="00511330" w:rsidRDefault="008D3598" w:rsidP="003E346F">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International research Centre (R&amp;D)</w:t>
            </w:r>
          </w:p>
        </w:tc>
        <w:tc>
          <w:tcPr>
            <w:tcW w:w="360" w:type="dxa"/>
          </w:tcPr>
          <w:p w14:paraId="644165C3" w14:textId="77777777" w:rsidR="008D3598" w:rsidRPr="00511330" w:rsidRDefault="008D3598" w:rsidP="00FB46F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12.</w:t>
            </w:r>
          </w:p>
        </w:tc>
        <w:tc>
          <w:tcPr>
            <w:tcW w:w="3803" w:type="dxa"/>
          </w:tcPr>
          <w:p w14:paraId="644165C4" w14:textId="77777777" w:rsidR="008D3598" w:rsidRPr="00511330" w:rsidRDefault="008D3598" w:rsidP="00FB46F6">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Analyzing organizations set up and structure</w:t>
            </w:r>
          </w:p>
        </w:tc>
      </w:tr>
      <w:tr w:rsidR="008D3598" w:rsidRPr="00511330" w14:paraId="644165CA" w14:textId="77777777" w:rsidTr="00BD6379">
        <w:tc>
          <w:tcPr>
            <w:tcW w:w="450" w:type="dxa"/>
          </w:tcPr>
          <w:p w14:paraId="644165C6" w14:textId="77777777" w:rsidR="008D3598" w:rsidRPr="00511330" w:rsidRDefault="008D3598" w:rsidP="00FB46F6">
            <w:pPr>
              <w:tabs>
                <w:tab w:val="left" w:pos="157"/>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13.</w:t>
            </w:r>
          </w:p>
        </w:tc>
        <w:tc>
          <w:tcPr>
            <w:tcW w:w="3330" w:type="dxa"/>
          </w:tcPr>
          <w:p w14:paraId="644165C7" w14:textId="77777777" w:rsidR="008D3598" w:rsidRPr="00511330" w:rsidRDefault="008D3598" w:rsidP="003E346F">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Brainstorming platform</w:t>
            </w:r>
          </w:p>
        </w:tc>
        <w:tc>
          <w:tcPr>
            <w:tcW w:w="360" w:type="dxa"/>
          </w:tcPr>
          <w:p w14:paraId="644165C8" w14:textId="77777777" w:rsidR="008D3598" w:rsidRPr="00511330" w:rsidRDefault="008D3598" w:rsidP="00FB46F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14.</w:t>
            </w:r>
          </w:p>
        </w:tc>
        <w:tc>
          <w:tcPr>
            <w:tcW w:w="3803" w:type="dxa"/>
          </w:tcPr>
          <w:p w14:paraId="644165C9" w14:textId="77777777" w:rsidR="008D3598" w:rsidRPr="00511330" w:rsidRDefault="008D3598" w:rsidP="00FB46F6">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Infrastructure availability</w:t>
            </w:r>
          </w:p>
        </w:tc>
      </w:tr>
      <w:tr w:rsidR="008D3598" w:rsidRPr="00511330" w14:paraId="644165CF" w14:textId="77777777" w:rsidTr="00BD6379">
        <w:tc>
          <w:tcPr>
            <w:tcW w:w="450" w:type="dxa"/>
          </w:tcPr>
          <w:p w14:paraId="644165CB" w14:textId="77777777" w:rsidR="008D3598" w:rsidRPr="00511330" w:rsidRDefault="008D3598" w:rsidP="00FB46F6">
            <w:pPr>
              <w:tabs>
                <w:tab w:val="left" w:pos="157"/>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15.</w:t>
            </w:r>
          </w:p>
        </w:tc>
        <w:tc>
          <w:tcPr>
            <w:tcW w:w="3330" w:type="dxa"/>
          </w:tcPr>
          <w:p w14:paraId="644165CC" w14:textId="77777777" w:rsidR="008D3598" w:rsidRPr="00511330" w:rsidRDefault="008D3598" w:rsidP="003E346F">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Availabilities of accurate data </w:t>
            </w:r>
          </w:p>
        </w:tc>
        <w:tc>
          <w:tcPr>
            <w:tcW w:w="360" w:type="dxa"/>
          </w:tcPr>
          <w:p w14:paraId="644165CD" w14:textId="77777777" w:rsidR="008D3598" w:rsidRPr="00511330" w:rsidRDefault="008D3598" w:rsidP="00FB46F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16.</w:t>
            </w:r>
          </w:p>
        </w:tc>
        <w:tc>
          <w:tcPr>
            <w:tcW w:w="3803" w:type="dxa"/>
          </w:tcPr>
          <w:p w14:paraId="644165CE" w14:textId="77777777" w:rsidR="008D3598" w:rsidRPr="00511330" w:rsidRDefault="008D3598" w:rsidP="00FB46F6">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Rewarding competition programs </w:t>
            </w:r>
          </w:p>
        </w:tc>
      </w:tr>
      <w:tr w:rsidR="008D3598" w:rsidRPr="00511330" w14:paraId="644165D4" w14:textId="77777777" w:rsidTr="00BD6379">
        <w:tc>
          <w:tcPr>
            <w:tcW w:w="450" w:type="dxa"/>
          </w:tcPr>
          <w:p w14:paraId="644165D0" w14:textId="77777777" w:rsidR="008D3598" w:rsidRPr="00511330" w:rsidRDefault="008D3598" w:rsidP="00FB46F6">
            <w:pPr>
              <w:tabs>
                <w:tab w:val="left" w:pos="157"/>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17.</w:t>
            </w:r>
          </w:p>
        </w:tc>
        <w:tc>
          <w:tcPr>
            <w:tcW w:w="3330" w:type="dxa"/>
          </w:tcPr>
          <w:p w14:paraId="644165D1" w14:textId="77777777" w:rsidR="008D3598" w:rsidRPr="00511330" w:rsidRDefault="008D3598" w:rsidP="003E346F">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Proper governance system (setting rules &amp; responsibilities)</w:t>
            </w:r>
          </w:p>
        </w:tc>
        <w:tc>
          <w:tcPr>
            <w:tcW w:w="360" w:type="dxa"/>
          </w:tcPr>
          <w:p w14:paraId="644165D2" w14:textId="77777777" w:rsidR="008D3598" w:rsidRPr="00511330" w:rsidRDefault="008D3598" w:rsidP="00FB46F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18.</w:t>
            </w:r>
          </w:p>
        </w:tc>
        <w:tc>
          <w:tcPr>
            <w:tcW w:w="3803" w:type="dxa"/>
          </w:tcPr>
          <w:p w14:paraId="644165D3" w14:textId="77777777" w:rsidR="008D3598" w:rsidRPr="00511330" w:rsidRDefault="008D3598" w:rsidP="00FB46F6">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International global partnership</w:t>
            </w:r>
          </w:p>
        </w:tc>
      </w:tr>
      <w:tr w:rsidR="008D3598" w:rsidRPr="00511330" w14:paraId="644165D9" w14:textId="77777777" w:rsidTr="00BD6379">
        <w:tc>
          <w:tcPr>
            <w:tcW w:w="450" w:type="dxa"/>
          </w:tcPr>
          <w:p w14:paraId="644165D5" w14:textId="77777777" w:rsidR="008D3598" w:rsidRPr="00511330" w:rsidRDefault="008D3598" w:rsidP="00FB46F6">
            <w:pPr>
              <w:tabs>
                <w:tab w:val="left" w:pos="157"/>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19.</w:t>
            </w:r>
          </w:p>
        </w:tc>
        <w:tc>
          <w:tcPr>
            <w:tcW w:w="3330" w:type="dxa"/>
          </w:tcPr>
          <w:p w14:paraId="644165D6" w14:textId="77777777" w:rsidR="008D3598" w:rsidRPr="00511330" w:rsidRDefault="008D3598" w:rsidP="003E346F">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Enhancing organizations Knowledge sharing (locally/globally)</w:t>
            </w:r>
          </w:p>
        </w:tc>
        <w:tc>
          <w:tcPr>
            <w:tcW w:w="360" w:type="dxa"/>
          </w:tcPr>
          <w:p w14:paraId="644165D7" w14:textId="77777777" w:rsidR="008D3598" w:rsidRPr="00511330" w:rsidRDefault="008D3598" w:rsidP="00FB46F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20.</w:t>
            </w:r>
          </w:p>
        </w:tc>
        <w:tc>
          <w:tcPr>
            <w:tcW w:w="3803" w:type="dxa"/>
          </w:tcPr>
          <w:p w14:paraId="644165D8" w14:textId="77777777" w:rsidR="008D3598" w:rsidRPr="00511330" w:rsidRDefault="008D3598" w:rsidP="00FB46F6">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Comprehensive training program</w:t>
            </w:r>
          </w:p>
        </w:tc>
      </w:tr>
      <w:tr w:rsidR="008D3598" w:rsidRPr="00511330" w14:paraId="644165DE" w14:textId="77777777" w:rsidTr="00BD6379">
        <w:tc>
          <w:tcPr>
            <w:tcW w:w="450" w:type="dxa"/>
          </w:tcPr>
          <w:p w14:paraId="644165DA" w14:textId="77777777" w:rsidR="008D3598" w:rsidRPr="00511330" w:rsidRDefault="008D3598" w:rsidP="00FB46F6">
            <w:pPr>
              <w:tabs>
                <w:tab w:val="left" w:pos="157"/>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21.</w:t>
            </w:r>
          </w:p>
        </w:tc>
        <w:tc>
          <w:tcPr>
            <w:tcW w:w="3330" w:type="dxa"/>
          </w:tcPr>
          <w:p w14:paraId="644165DB"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Innovative customer platform interaction</w:t>
            </w:r>
          </w:p>
        </w:tc>
        <w:tc>
          <w:tcPr>
            <w:tcW w:w="360" w:type="dxa"/>
          </w:tcPr>
          <w:p w14:paraId="644165DC" w14:textId="77777777" w:rsidR="008D3598" w:rsidRPr="00511330" w:rsidRDefault="008D3598" w:rsidP="00FB46F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22.</w:t>
            </w:r>
          </w:p>
        </w:tc>
        <w:tc>
          <w:tcPr>
            <w:tcW w:w="3803" w:type="dxa"/>
          </w:tcPr>
          <w:p w14:paraId="644165DD" w14:textId="77777777" w:rsidR="008D3598" w:rsidRPr="00511330" w:rsidRDefault="008D3598" w:rsidP="00FB46F6">
            <w:pP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People involvement and trust</w:t>
            </w:r>
          </w:p>
        </w:tc>
      </w:tr>
      <w:tr w:rsidR="008D3598" w:rsidRPr="00511330" w14:paraId="644165E1" w14:textId="77777777" w:rsidTr="00BD6379">
        <w:tc>
          <w:tcPr>
            <w:tcW w:w="450" w:type="dxa"/>
          </w:tcPr>
          <w:p w14:paraId="644165DF" w14:textId="77777777" w:rsidR="008D3598" w:rsidRPr="00511330" w:rsidRDefault="008D3598" w:rsidP="00FB46F6">
            <w:pPr>
              <w:tabs>
                <w:tab w:val="left" w:pos="157"/>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23.</w:t>
            </w:r>
          </w:p>
        </w:tc>
        <w:tc>
          <w:tcPr>
            <w:tcW w:w="7493" w:type="dxa"/>
            <w:gridSpan w:val="3"/>
          </w:tcPr>
          <w:p w14:paraId="644165E0" w14:textId="13D3B13B"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Performance frame monitoring for </w:t>
            </w:r>
            <w:r w:rsidR="009E623D" w:rsidRPr="00511330">
              <w:rPr>
                <w:rFonts w:asciiTheme="majorBidi" w:eastAsia="Calibri" w:hAnsiTheme="majorBidi" w:cstheme="majorBidi"/>
                <w:sz w:val="20"/>
                <w:szCs w:val="20"/>
                <w:lang w:val="en-US"/>
              </w:rPr>
              <w:t xml:space="preserve">the </w:t>
            </w:r>
            <w:r w:rsidRPr="00511330">
              <w:rPr>
                <w:rFonts w:asciiTheme="majorBidi" w:eastAsia="Calibri" w:hAnsiTheme="majorBidi" w:cstheme="majorBidi"/>
                <w:sz w:val="20"/>
                <w:szCs w:val="20"/>
                <w:lang w:val="en-US"/>
              </w:rPr>
              <w:t>UAE 2020</w:t>
            </w:r>
          </w:p>
        </w:tc>
      </w:tr>
    </w:tbl>
    <w:p w14:paraId="644165E2" w14:textId="77777777" w:rsidR="008D3598" w:rsidRPr="00511330" w:rsidRDefault="008D3598" w:rsidP="00721566">
      <w:pPr>
        <w:spacing w:after="0" w:line="480" w:lineRule="auto"/>
        <w:ind w:right="-450"/>
        <w:jc w:val="both"/>
        <w:rPr>
          <w:rFonts w:asciiTheme="majorBidi" w:eastAsia="Calibri" w:hAnsiTheme="majorBidi" w:cstheme="majorBidi"/>
          <w:sz w:val="24"/>
          <w:szCs w:val="24"/>
          <w:lang w:val="en-US"/>
        </w:rPr>
      </w:pPr>
    </w:p>
    <w:p w14:paraId="644165E3" w14:textId="472269BE" w:rsidR="0047402F" w:rsidRPr="00511330" w:rsidRDefault="008D3598" w:rsidP="00721566">
      <w:pPr>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The next step entails the determination of common views and perceptions for stakeholders. The common elements are extracted from Table 4.</w:t>
      </w:r>
      <w:r w:rsidR="00C9086B" w:rsidRPr="00511330">
        <w:rPr>
          <w:rFonts w:asciiTheme="majorBidi" w:eastAsia="Calibri" w:hAnsiTheme="majorBidi" w:cstheme="majorBidi"/>
          <w:sz w:val="24"/>
          <w:szCs w:val="24"/>
          <w:lang w:val="en-US"/>
        </w:rPr>
        <w:t xml:space="preserve">6 </w:t>
      </w:r>
      <w:r w:rsidRPr="00511330">
        <w:rPr>
          <w:rFonts w:asciiTheme="majorBidi" w:eastAsia="Calibri" w:hAnsiTheme="majorBidi" w:cstheme="majorBidi"/>
          <w:sz w:val="24"/>
          <w:szCs w:val="24"/>
          <w:lang w:val="en-US"/>
        </w:rPr>
        <w:t>to Table 4.</w:t>
      </w:r>
      <w:r w:rsidR="00C9086B" w:rsidRPr="00511330">
        <w:rPr>
          <w:rFonts w:asciiTheme="majorBidi" w:eastAsia="Calibri" w:hAnsiTheme="majorBidi" w:cstheme="majorBidi"/>
          <w:sz w:val="24"/>
          <w:szCs w:val="24"/>
          <w:lang w:val="en-US"/>
        </w:rPr>
        <w:t>9</w:t>
      </w:r>
      <w:r w:rsidRPr="00511330">
        <w:rPr>
          <w:rFonts w:asciiTheme="majorBidi" w:eastAsia="Calibri" w:hAnsiTheme="majorBidi" w:cstheme="majorBidi"/>
          <w:sz w:val="24"/>
          <w:szCs w:val="24"/>
          <w:lang w:val="en-US"/>
        </w:rPr>
        <w:t>, subsequent to which the enablers from stakeholders’ views are categorized. Thereafter, the categories are segregated in groups such as A, B, C, and D based on Table 4.</w:t>
      </w:r>
      <w:r w:rsidR="00C9086B" w:rsidRPr="00511330">
        <w:rPr>
          <w:rFonts w:asciiTheme="majorBidi" w:eastAsia="Calibri" w:hAnsiTheme="majorBidi" w:cstheme="majorBidi"/>
          <w:sz w:val="24"/>
          <w:szCs w:val="24"/>
          <w:lang w:val="en-US"/>
        </w:rPr>
        <w:t>10</w:t>
      </w:r>
      <w:r w:rsidRPr="00511330">
        <w:rPr>
          <w:rFonts w:asciiTheme="majorBidi" w:eastAsia="Calibri" w:hAnsiTheme="majorBidi" w:cstheme="majorBidi"/>
          <w:sz w:val="24"/>
          <w:szCs w:val="24"/>
          <w:lang w:val="en-US"/>
        </w:rPr>
        <w:t xml:space="preserve">, specifying the core enablers for each stakeholder group. </w:t>
      </w:r>
      <w:r w:rsidR="00DA4BDE" w:rsidRPr="00511330">
        <w:rPr>
          <w:rFonts w:asciiTheme="majorBidi" w:eastAsia="Calibri" w:hAnsiTheme="majorBidi" w:cstheme="majorBidi"/>
          <w:sz w:val="24"/>
          <w:szCs w:val="24"/>
          <w:lang w:val="en-US"/>
        </w:rPr>
        <w:t>Similarly</w:t>
      </w:r>
      <w:r w:rsidRPr="00511330">
        <w:rPr>
          <w:rFonts w:asciiTheme="majorBidi" w:eastAsia="Calibri" w:hAnsiTheme="majorBidi" w:cstheme="majorBidi"/>
          <w:sz w:val="24"/>
          <w:szCs w:val="24"/>
          <w:lang w:val="en-US"/>
        </w:rPr>
        <w:t>, groups E, F, G, H, I, and J are based on the similarities between two stakeholders, and groups K, L, M, and N are premised on the similarities between three stakeholders. Lastly, group O is based on the similarities between the four stakeholders, which become rare and highly important.</w:t>
      </w:r>
    </w:p>
    <w:p w14:paraId="0E3F7EE9" w14:textId="77777777" w:rsidR="0047402F" w:rsidRPr="00511330" w:rsidRDefault="0047402F">
      <w:pPr>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br w:type="page"/>
      </w:r>
    </w:p>
    <w:p w14:paraId="644165E4" w14:textId="555E5498" w:rsidR="008D3598" w:rsidRPr="00511330" w:rsidRDefault="008D3598" w:rsidP="00BD6379">
      <w:pPr>
        <w:pStyle w:val="Caption"/>
        <w:keepNext/>
        <w:spacing w:after="0"/>
        <w:ind w:right="-450"/>
        <w:rPr>
          <w:rFonts w:asciiTheme="majorBidi" w:hAnsiTheme="majorBidi" w:cstheme="majorBidi"/>
          <w:b w:val="0"/>
          <w:bCs w:val="0"/>
          <w:color w:val="auto"/>
          <w:sz w:val="20"/>
          <w:szCs w:val="20"/>
          <w:lang w:val="en-US"/>
        </w:rPr>
      </w:pPr>
      <w:bookmarkStart w:id="753" w:name="_Toc43310900"/>
      <w:r w:rsidRPr="00511330">
        <w:rPr>
          <w:rFonts w:asciiTheme="majorBidi" w:hAnsiTheme="majorBidi" w:cstheme="majorBidi"/>
          <w:b w:val="0"/>
          <w:bCs w:val="0"/>
          <w:color w:val="auto"/>
          <w:sz w:val="20"/>
          <w:szCs w:val="20"/>
          <w:lang w:val="en-US"/>
        </w:rPr>
        <w:lastRenderedPageBreak/>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10</w:t>
      </w:r>
      <w:r w:rsidRPr="00511330">
        <w:rPr>
          <w:rFonts w:asciiTheme="majorBidi" w:hAnsiTheme="majorBidi" w:cstheme="majorBidi"/>
          <w:b w:val="0"/>
          <w:bCs w:val="0"/>
          <w:color w:val="auto"/>
          <w:sz w:val="20"/>
          <w:szCs w:val="20"/>
          <w:lang w:val="en-US"/>
        </w:rPr>
        <w:fldChar w:fldCharType="end"/>
      </w:r>
      <w:r w:rsidR="00BD6379" w:rsidRPr="00511330">
        <w:rPr>
          <w:rFonts w:asciiTheme="majorBidi" w:hAnsiTheme="majorBidi" w:cstheme="majorBidi"/>
          <w:b w:val="0"/>
          <w:bCs w:val="0"/>
          <w:noProof/>
          <w:color w:val="auto"/>
          <w:sz w:val="20"/>
          <w:szCs w:val="20"/>
          <w:lang w:val="en-US"/>
        </w:rPr>
        <w:t>:</w:t>
      </w:r>
      <w:r w:rsidRPr="00511330">
        <w:rPr>
          <w:rFonts w:asciiTheme="majorBidi" w:hAnsiTheme="majorBidi" w:cstheme="majorBidi"/>
          <w:b w:val="0"/>
          <w:bCs w:val="0"/>
          <w:noProof/>
          <w:color w:val="auto"/>
          <w:sz w:val="20"/>
          <w:szCs w:val="20"/>
          <w:lang w:val="en-US"/>
        </w:rPr>
        <w:t xml:space="preserve"> </w:t>
      </w:r>
      <w:r w:rsidRPr="00511330">
        <w:rPr>
          <w:rFonts w:asciiTheme="majorBidi" w:hAnsiTheme="majorBidi" w:cstheme="majorBidi"/>
          <w:b w:val="0"/>
          <w:bCs w:val="0"/>
          <w:i/>
          <w:iCs/>
          <w:noProof/>
          <w:color w:val="auto"/>
          <w:sz w:val="20"/>
          <w:szCs w:val="20"/>
          <w:lang w:val="en-US"/>
        </w:rPr>
        <w:t>Commonality in Stakeholders’ Perceptions of CM Enablers</w:t>
      </w:r>
      <w:bookmarkEnd w:id="753"/>
    </w:p>
    <w:tbl>
      <w:tblPr>
        <w:tblW w:w="77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3870"/>
        <w:gridCol w:w="900"/>
      </w:tblGrid>
      <w:tr w:rsidR="008D3598" w:rsidRPr="00511330" w14:paraId="644165E8" w14:textId="77777777" w:rsidTr="00BD6379">
        <w:trPr>
          <w:cantSplit/>
          <w:trHeight w:val="170"/>
          <w:tblHeader/>
        </w:trPr>
        <w:tc>
          <w:tcPr>
            <w:tcW w:w="2970" w:type="dxa"/>
            <w:shd w:val="clear" w:color="auto" w:fill="F2F2F2" w:themeFill="background1" w:themeFillShade="F2"/>
            <w:noWrap/>
            <w:hideMark/>
          </w:tcPr>
          <w:p w14:paraId="644165E5" w14:textId="77777777" w:rsidR="008D3598" w:rsidRPr="00511330" w:rsidRDefault="008D3598" w:rsidP="00721566">
            <w:pPr>
              <w:spacing w:after="0" w:line="240" w:lineRule="auto"/>
              <w:ind w:right="-450"/>
              <w:jc w:val="both"/>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Stakeholders</w:t>
            </w:r>
          </w:p>
        </w:tc>
        <w:tc>
          <w:tcPr>
            <w:tcW w:w="3870" w:type="dxa"/>
            <w:shd w:val="clear" w:color="auto" w:fill="F2F2F2" w:themeFill="background1" w:themeFillShade="F2"/>
            <w:hideMark/>
          </w:tcPr>
          <w:p w14:paraId="644165E6" w14:textId="77777777" w:rsidR="008D3598" w:rsidRPr="00511330" w:rsidRDefault="008D3598" w:rsidP="00721566">
            <w:pPr>
              <w:spacing w:after="0" w:line="240" w:lineRule="auto"/>
              <w:ind w:right="-450"/>
              <w:jc w:val="both"/>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Common Factors</w:t>
            </w:r>
          </w:p>
        </w:tc>
        <w:tc>
          <w:tcPr>
            <w:tcW w:w="900" w:type="dxa"/>
            <w:shd w:val="clear" w:color="auto" w:fill="F2F2F2" w:themeFill="background1" w:themeFillShade="F2"/>
            <w:hideMark/>
          </w:tcPr>
          <w:p w14:paraId="644165E7" w14:textId="77777777" w:rsidR="008D3598" w:rsidRPr="00511330" w:rsidRDefault="008D3598" w:rsidP="00ED6132">
            <w:pPr>
              <w:tabs>
                <w:tab w:val="left" w:pos="702"/>
              </w:tabs>
              <w:spacing w:after="0" w:line="240" w:lineRule="auto"/>
              <w:ind w:right="-18"/>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Groups</w:t>
            </w:r>
          </w:p>
        </w:tc>
      </w:tr>
      <w:tr w:rsidR="008D3598" w:rsidRPr="00511330" w14:paraId="644165F0" w14:textId="77777777" w:rsidTr="00BD6379">
        <w:trPr>
          <w:trHeight w:val="395"/>
        </w:trPr>
        <w:tc>
          <w:tcPr>
            <w:tcW w:w="2970" w:type="dxa"/>
            <w:shd w:val="clear" w:color="auto" w:fill="auto"/>
            <w:noWrap/>
            <w:vAlign w:val="center"/>
            <w:hideMark/>
          </w:tcPr>
          <w:p w14:paraId="644165E9" w14:textId="77777777" w:rsidR="008D3598" w:rsidRPr="00511330" w:rsidRDefault="008D3598" w:rsidP="003E346F">
            <w:pPr>
              <w:spacing w:after="0" w:line="240" w:lineRule="auto"/>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Employee</w:t>
            </w:r>
          </w:p>
        </w:tc>
        <w:tc>
          <w:tcPr>
            <w:tcW w:w="3870" w:type="dxa"/>
            <w:shd w:val="clear" w:color="auto" w:fill="auto"/>
            <w:vAlign w:val="center"/>
            <w:hideMark/>
          </w:tcPr>
          <w:p w14:paraId="644165EA"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Leadership support</w:t>
            </w:r>
          </w:p>
          <w:p w14:paraId="644165EB"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Effective communications and objectives</w:t>
            </w:r>
          </w:p>
          <w:p w14:paraId="644165EC"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Motives and rewards</w:t>
            </w:r>
          </w:p>
          <w:p w14:paraId="644165ED"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Involvement</w:t>
            </w:r>
          </w:p>
          <w:p w14:paraId="644165EE"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Infrastructure availability</w:t>
            </w:r>
          </w:p>
        </w:tc>
        <w:tc>
          <w:tcPr>
            <w:tcW w:w="900" w:type="dxa"/>
            <w:shd w:val="clear" w:color="auto" w:fill="auto"/>
            <w:vAlign w:val="center"/>
            <w:hideMark/>
          </w:tcPr>
          <w:p w14:paraId="644165EF" w14:textId="77777777" w:rsidR="008D3598" w:rsidRPr="00511330" w:rsidRDefault="008D3598" w:rsidP="003E346F">
            <w:pPr>
              <w:spacing w:after="0" w:line="240" w:lineRule="auto"/>
              <w:ind w:right="25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w:t>
            </w:r>
          </w:p>
        </w:tc>
      </w:tr>
      <w:tr w:rsidR="008D3598" w:rsidRPr="00511330" w14:paraId="644165F7" w14:textId="77777777" w:rsidTr="00BD6379">
        <w:trPr>
          <w:trHeight w:val="782"/>
        </w:trPr>
        <w:tc>
          <w:tcPr>
            <w:tcW w:w="2970" w:type="dxa"/>
            <w:shd w:val="clear" w:color="auto" w:fill="auto"/>
            <w:noWrap/>
            <w:vAlign w:val="center"/>
            <w:hideMark/>
          </w:tcPr>
          <w:p w14:paraId="644165F1" w14:textId="77777777" w:rsidR="008D3598" w:rsidRPr="00511330" w:rsidRDefault="008D3598" w:rsidP="003E346F">
            <w:pPr>
              <w:spacing w:after="0" w:line="240" w:lineRule="auto"/>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Top Management </w:t>
            </w:r>
          </w:p>
        </w:tc>
        <w:tc>
          <w:tcPr>
            <w:tcW w:w="3870" w:type="dxa"/>
            <w:shd w:val="clear" w:color="auto" w:fill="auto"/>
            <w:vAlign w:val="center"/>
            <w:hideMark/>
          </w:tcPr>
          <w:p w14:paraId="644165F2"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Support rules and regulation</w:t>
            </w:r>
          </w:p>
          <w:p w14:paraId="644165F3"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Team ability and willingness</w:t>
            </w:r>
          </w:p>
          <w:p w14:paraId="644165F4"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Leaders/Governmental support</w:t>
            </w:r>
          </w:p>
          <w:p w14:paraId="644165F5"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Availability of infrastructure &amp; resources</w:t>
            </w:r>
          </w:p>
        </w:tc>
        <w:tc>
          <w:tcPr>
            <w:tcW w:w="900" w:type="dxa"/>
            <w:shd w:val="clear" w:color="auto" w:fill="auto"/>
            <w:vAlign w:val="center"/>
            <w:hideMark/>
          </w:tcPr>
          <w:p w14:paraId="644165F6" w14:textId="77777777" w:rsidR="008D3598" w:rsidRPr="00511330" w:rsidRDefault="008D3598" w:rsidP="003E346F">
            <w:pPr>
              <w:spacing w:after="0" w:line="240" w:lineRule="auto"/>
              <w:ind w:right="25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w:t>
            </w:r>
          </w:p>
        </w:tc>
      </w:tr>
      <w:tr w:rsidR="008D3598" w:rsidRPr="00511330" w14:paraId="644165FE" w14:textId="77777777" w:rsidTr="00BD6379">
        <w:trPr>
          <w:trHeight w:val="1088"/>
        </w:trPr>
        <w:tc>
          <w:tcPr>
            <w:tcW w:w="2970" w:type="dxa"/>
            <w:shd w:val="clear" w:color="auto" w:fill="auto"/>
            <w:noWrap/>
            <w:vAlign w:val="center"/>
            <w:hideMark/>
          </w:tcPr>
          <w:p w14:paraId="644165F8" w14:textId="77777777" w:rsidR="008D3598" w:rsidRPr="00511330" w:rsidRDefault="008D3598" w:rsidP="003E346F">
            <w:pPr>
              <w:spacing w:after="0" w:line="240" w:lineRule="auto"/>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Government </w:t>
            </w:r>
          </w:p>
        </w:tc>
        <w:tc>
          <w:tcPr>
            <w:tcW w:w="3870" w:type="dxa"/>
            <w:shd w:val="clear" w:color="auto" w:fill="auto"/>
            <w:hideMark/>
          </w:tcPr>
          <w:p w14:paraId="644165F9"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Effective communication</w:t>
            </w:r>
          </w:p>
          <w:p w14:paraId="644165FA"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Budgeting and resources</w:t>
            </w:r>
          </w:p>
          <w:p w14:paraId="644165FB"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Infrastructure availability</w:t>
            </w:r>
          </w:p>
          <w:p w14:paraId="644165FC"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Private and public sector partnership</w:t>
            </w:r>
          </w:p>
        </w:tc>
        <w:tc>
          <w:tcPr>
            <w:tcW w:w="900" w:type="dxa"/>
            <w:shd w:val="clear" w:color="auto" w:fill="auto"/>
            <w:vAlign w:val="center"/>
            <w:hideMark/>
          </w:tcPr>
          <w:p w14:paraId="644165FD" w14:textId="77777777" w:rsidR="008D3598" w:rsidRPr="00511330" w:rsidRDefault="008D3598" w:rsidP="003E346F">
            <w:pPr>
              <w:spacing w:after="0" w:line="240" w:lineRule="auto"/>
              <w:ind w:right="16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w:t>
            </w:r>
          </w:p>
        </w:tc>
      </w:tr>
      <w:tr w:rsidR="008D3598" w:rsidRPr="00511330" w14:paraId="64416606" w14:textId="77777777" w:rsidTr="00BD6379">
        <w:trPr>
          <w:trHeight w:val="107"/>
        </w:trPr>
        <w:tc>
          <w:tcPr>
            <w:tcW w:w="2970" w:type="dxa"/>
            <w:shd w:val="clear" w:color="auto" w:fill="auto"/>
            <w:noWrap/>
            <w:vAlign w:val="center"/>
            <w:hideMark/>
          </w:tcPr>
          <w:p w14:paraId="644165FF" w14:textId="77777777" w:rsidR="008D3598" w:rsidRPr="00511330" w:rsidRDefault="008D3598" w:rsidP="003E346F">
            <w:pPr>
              <w:spacing w:after="0" w:line="480" w:lineRule="auto"/>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Customers </w:t>
            </w:r>
          </w:p>
        </w:tc>
        <w:tc>
          <w:tcPr>
            <w:tcW w:w="3870" w:type="dxa"/>
            <w:shd w:val="clear" w:color="auto" w:fill="auto"/>
            <w:hideMark/>
          </w:tcPr>
          <w:p w14:paraId="64416600" w14:textId="1BAFED0B"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bookmarkStart w:id="754" w:name="_Hlk6259210"/>
            <w:r w:rsidRPr="00511330">
              <w:rPr>
                <w:rFonts w:asciiTheme="majorBidi" w:eastAsia="Calibri" w:hAnsiTheme="majorBidi" w:cstheme="majorBidi"/>
                <w:sz w:val="20"/>
                <w:szCs w:val="20"/>
                <w:lang w:val="en-US"/>
              </w:rPr>
              <w:t>Flexibility</w:t>
            </w:r>
            <w:bookmarkEnd w:id="754"/>
          </w:p>
          <w:p w14:paraId="64416601"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Effective communication</w:t>
            </w:r>
          </w:p>
          <w:p w14:paraId="64416602"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Infrastructure availability</w:t>
            </w:r>
          </w:p>
          <w:p w14:paraId="64416603"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Government financial support </w:t>
            </w:r>
          </w:p>
        </w:tc>
        <w:tc>
          <w:tcPr>
            <w:tcW w:w="900" w:type="dxa"/>
            <w:shd w:val="clear" w:color="auto" w:fill="auto"/>
            <w:vAlign w:val="center"/>
          </w:tcPr>
          <w:p w14:paraId="64416605" w14:textId="6A22E88A" w:rsidR="008D3598" w:rsidRPr="00511330" w:rsidRDefault="008D3598" w:rsidP="003E346F">
            <w:pPr>
              <w:spacing w:after="0" w:line="480" w:lineRule="auto"/>
              <w:ind w:right="16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w:t>
            </w:r>
          </w:p>
        </w:tc>
      </w:tr>
      <w:tr w:rsidR="008D3598" w:rsidRPr="00511330" w14:paraId="6441660C" w14:textId="77777777" w:rsidTr="00BD6379">
        <w:trPr>
          <w:trHeight w:val="683"/>
        </w:trPr>
        <w:tc>
          <w:tcPr>
            <w:tcW w:w="2970" w:type="dxa"/>
            <w:shd w:val="clear" w:color="auto" w:fill="auto"/>
            <w:noWrap/>
            <w:vAlign w:val="center"/>
            <w:hideMark/>
          </w:tcPr>
          <w:p w14:paraId="64416607" w14:textId="77777777" w:rsidR="008D3598" w:rsidRPr="00511330" w:rsidRDefault="008D3598" w:rsidP="000E2E80">
            <w:pPr>
              <w:spacing w:after="0" w:line="240" w:lineRule="auto"/>
              <w:ind w:right="-18"/>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Employee- Top Management</w:t>
            </w:r>
          </w:p>
        </w:tc>
        <w:tc>
          <w:tcPr>
            <w:tcW w:w="3870" w:type="dxa"/>
            <w:shd w:val="clear" w:color="auto" w:fill="auto"/>
            <w:hideMark/>
          </w:tcPr>
          <w:p w14:paraId="64416608"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Clear objectives.</w:t>
            </w:r>
          </w:p>
          <w:p w14:paraId="64416609"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Authorization and empowerment.</w:t>
            </w:r>
          </w:p>
          <w:p w14:paraId="6441660A"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Open culture</w:t>
            </w:r>
          </w:p>
        </w:tc>
        <w:tc>
          <w:tcPr>
            <w:tcW w:w="900" w:type="dxa"/>
            <w:shd w:val="clear" w:color="auto" w:fill="auto"/>
            <w:vAlign w:val="center"/>
            <w:hideMark/>
          </w:tcPr>
          <w:p w14:paraId="6441660B" w14:textId="77777777" w:rsidR="008D3598" w:rsidRPr="00511330" w:rsidRDefault="008D3598" w:rsidP="003E346F">
            <w:pPr>
              <w:spacing w:after="0" w:line="480" w:lineRule="auto"/>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w:t>
            </w:r>
          </w:p>
        </w:tc>
      </w:tr>
      <w:tr w:rsidR="008D3598" w:rsidRPr="00511330" w14:paraId="64416611" w14:textId="77777777" w:rsidTr="00BD6379">
        <w:trPr>
          <w:trHeight w:val="89"/>
        </w:trPr>
        <w:tc>
          <w:tcPr>
            <w:tcW w:w="2970" w:type="dxa"/>
            <w:shd w:val="clear" w:color="auto" w:fill="auto"/>
            <w:noWrap/>
            <w:vAlign w:val="center"/>
            <w:hideMark/>
          </w:tcPr>
          <w:p w14:paraId="6441660D" w14:textId="77777777" w:rsidR="008D3598" w:rsidRPr="00511330" w:rsidRDefault="008D3598" w:rsidP="003E346F">
            <w:pPr>
              <w:spacing w:after="0" w:line="240" w:lineRule="auto"/>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Employee- Government</w:t>
            </w:r>
          </w:p>
        </w:tc>
        <w:tc>
          <w:tcPr>
            <w:tcW w:w="3870" w:type="dxa"/>
            <w:shd w:val="clear" w:color="auto" w:fill="auto"/>
            <w:vAlign w:val="center"/>
            <w:hideMark/>
          </w:tcPr>
          <w:p w14:paraId="6441660E"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Leadership capabilities</w:t>
            </w:r>
          </w:p>
          <w:p w14:paraId="6441660F"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Clear objectives and communication plan</w:t>
            </w:r>
          </w:p>
        </w:tc>
        <w:tc>
          <w:tcPr>
            <w:tcW w:w="900" w:type="dxa"/>
            <w:shd w:val="clear" w:color="auto" w:fill="auto"/>
            <w:vAlign w:val="center"/>
            <w:hideMark/>
          </w:tcPr>
          <w:p w14:paraId="64416610" w14:textId="77777777" w:rsidR="008D3598" w:rsidRPr="00511330" w:rsidRDefault="008D3598" w:rsidP="003E346F">
            <w:pPr>
              <w:spacing w:after="0" w:line="480" w:lineRule="auto"/>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w:t>
            </w:r>
          </w:p>
        </w:tc>
      </w:tr>
      <w:tr w:rsidR="008D3598" w:rsidRPr="00511330" w14:paraId="64416617" w14:textId="77777777" w:rsidTr="00BD6379">
        <w:trPr>
          <w:trHeight w:val="539"/>
        </w:trPr>
        <w:tc>
          <w:tcPr>
            <w:tcW w:w="2970" w:type="dxa"/>
            <w:shd w:val="clear" w:color="auto" w:fill="auto"/>
            <w:noWrap/>
            <w:vAlign w:val="center"/>
            <w:hideMark/>
          </w:tcPr>
          <w:p w14:paraId="64416612" w14:textId="77777777" w:rsidR="008D3598" w:rsidRPr="00511330" w:rsidRDefault="008D3598" w:rsidP="000E2E80">
            <w:pPr>
              <w:spacing w:after="0" w:line="240" w:lineRule="auto"/>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Employee- Customers</w:t>
            </w:r>
          </w:p>
        </w:tc>
        <w:tc>
          <w:tcPr>
            <w:tcW w:w="3870" w:type="dxa"/>
            <w:shd w:val="clear" w:color="auto" w:fill="auto"/>
            <w:vAlign w:val="center"/>
            <w:hideMark/>
          </w:tcPr>
          <w:p w14:paraId="64416613"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Engagement</w:t>
            </w:r>
          </w:p>
          <w:p w14:paraId="64416614"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Comprehensive communication plan</w:t>
            </w:r>
          </w:p>
          <w:p w14:paraId="64416615"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Pilot and gradual change</w:t>
            </w:r>
          </w:p>
        </w:tc>
        <w:tc>
          <w:tcPr>
            <w:tcW w:w="900" w:type="dxa"/>
            <w:shd w:val="clear" w:color="auto" w:fill="auto"/>
            <w:vAlign w:val="center"/>
            <w:hideMark/>
          </w:tcPr>
          <w:p w14:paraId="64416616" w14:textId="77777777" w:rsidR="008D3598" w:rsidRPr="00511330" w:rsidRDefault="008D3598" w:rsidP="003E346F">
            <w:pPr>
              <w:spacing w:after="0" w:line="480" w:lineRule="auto"/>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w:t>
            </w:r>
          </w:p>
        </w:tc>
      </w:tr>
      <w:tr w:rsidR="008D3598" w:rsidRPr="00511330" w14:paraId="6441661E" w14:textId="77777777" w:rsidTr="00BD6379">
        <w:trPr>
          <w:trHeight w:val="116"/>
        </w:trPr>
        <w:tc>
          <w:tcPr>
            <w:tcW w:w="2970" w:type="dxa"/>
            <w:shd w:val="clear" w:color="auto" w:fill="auto"/>
            <w:noWrap/>
            <w:vAlign w:val="center"/>
            <w:hideMark/>
          </w:tcPr>
          <w:p w14:paraId="64416618" w14:textId="77777777" w:rsidR="008D3598" w:rsidRPr="00511330" w:rsidRDefault="008D3598" w:rsidP="000E2E80">
            <w:pPr>
              <w:spacing w:after="0" w:line="240" w:lineRule="auto"/>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Top Management- Government</w:t>
            </w:r>
          </w:p>
        </w:tc>
        <w:tc>
          <w:tcPr>
            <w:tcW w:w="3870" w:type="dxa"/>
            <w:shd w:val="clear" w:color="auto" w:fill="auto"/>
            <w:vAlign w:val="center"/>
            <w:hideMark/>
          </w:tcPr>
          <w:p w14:paraId="64416619"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Accuracy and precision</w:t>
            </w:r>
          </w:p>
          <w:p w14:paraId="6441661A"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Resources and budget</w:t>
            </w:r>
          </w:p>
          <w:p w14:paraId="6441661B"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Transparent and clear communication</w:t>
            </w:r>
          </w:p>
          <w:p w14:paraId="6441661C"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Stakeholders partnership</w:t>
            </w:r>
          </w:p>
        </w:tc>
        <w:tc>
          <w:tcPr>
            <w:tcW w:w="900" w:type="dxa"/>
            <w:shd w:val="clear" w:color="auto" w:fill="auto"/>
            <w:vAlign w:val="center"/>
            <w:hideMark/>
          </w:tcPr>
          <w:p w14:paraId="6441661D" w14:textId="77777777" w:rsidR="008D3598" w:rsidRPr="00511330" w:rsidRDefault="008D3598" w:rsidP="003E346F">
            <w:pPr>
              <w:spacing w:after="0" w:line="480" w:lineRule="auto"/>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w:t>
            </w:r>
          </w:p>
        </w:tc>
      </w:tr>
      <w:tr w:rsidR="008D3598" w:rsidRPr="00511330" w14:paraId="64416622" w14:textId="77777777" w:rsidTr="00BD6379">
        <w:trPr>
          <w:trHeight w:val="251"/>
        </w:trPr>
        <w:tc>
          <w:tcPr>
            <w:tcW w:w="2970" w:type="dxa"/>
            <w:shd w:val="clear" w:color="auto" w:fill="auto"/>
            <w:noWrap/>
            <w:vAlign w:val="center"/>
            <w:hideMark/>
          </w:tcPr>
          <w:p w14:paraId="6441661F" w14:textId="77777777" w:rsidR="008D3598" w:rsidRPr="00511330" w:rsidRDefault="008D3598" w:rsidP="000E2E80">
            <w:pPr>
              <w:spacing w:after="0" w:line="240" w:lineRule="auto"/>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Top Management- Customers</w:t>
            </w:r>
          </w:p>
        </w:tc>
        <w:tc>
          <w:tcPr>
            <w:tcW w:w="3870" w:type="dxa"/>
            <w:vAlign w:val="center"/>
            <w:hideMark/>
          </w:tcPr>
          <w:p w14:paraId="64416620"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Infrastructure availability</w:t>
            </w:r>
          </w:p>
        </w:tc>
        <w:tc>
          <w:tcPr>
            <w:tcW w:w="900" w:type="dxa"/>
            <w:vAlign w:val="center"/>
            <w:hideMark/>
          </w:tcPr>
          <w:p w14:paraId="64416621" w14:textId="77777777" w:rsidR="008D3598" w:rsidRPr="00511330" w:rsidRDefault="008D3598" w:rsidP="003E346F">
            <w:pPr>
              <w:spacing w:after="0" w:line="240" w:lineRule="auto"/>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w:t>
            </w:r>
          </w:p>
        </w:tc>
      </w:tr>
      <w:tr w:rsidR="008D3598" w:rsidRPr="00511330" w14:paraId="64416626" w14:textId="77777777" w:rsidTr="00BD6379">
        <w:trPr>
          <w:trHeight w:val="341"/>
        </w:trPr>
        <w:tc>
          <w:tcPr>
            <w:tcW w:w="2970" w:type="dxa"/>
            <w:shd w:val="clear" w:color="auto" w:fill="auto"/>
            <w:noWrap/>
            <w:vAlign w:val="center"/>
            <w:hideMark/>
          </w:tcPr>
          <w:p w14:paraId="64416623" w14:textId="77777777" w:rsidR="008D3598" w:rsidRPr="00511330" w:rsidRDefault="008D3598" w:rsidP="003E346F">
            <w:pPr>
              <w:spacing w:after="0" w:line="240" w:lineRule="auto"/>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Government- Customers</w:t>
            </w:r>
          </w:p>
        </w:tc>
        <w:tc>
          <w:tcPr>
            <w:tcW w:w="3870" w:type="dxa"/>
            <w:vAlign w:val="center"/>
            <w:hideMark/>
          </w:tcPr>
          <w:p w14:paraId="64416624"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Communication platform</w:t>
            </w:r>
          </w:p>
        </w:tc>
        <w:tc>
          <w:tcPr>
            <w:tcW w:w="900" w:type="dxa"/>
            <w:vAlign w:val="center"/>
            <w:hideMark/>
          </w:tcPr>
          <w:p w14:paraId="64416625" w14:textId="77777777" w:rsidR="008D3598" w:rsidRPr="00511330" w:rsidRDefault="008D3598" w:rsidP="003E346F">
            <w:pPr>
              <w:spacing w:after="0" w:line="240" w:lineRule="auto"/>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J</w:t>
            </w:r>
          </w:p>
        </w:tc>
      </w:tr>
      <w:tr w:rsidR="008D3598" w:rsidRPr="00511330" w14:paraId="6441662A" w14:textId="77777777" w:rsidTr="00BD6379">
        <w:trPr>
          <w:trHeight w:val="269"/>
        </w:trPr>
        <w:tc>
          <w:tcPr>
            <w:tcW w:w="2970" w:type="dxa"/>
            <w:shd w:val="clear" w:color="auto" w:fill="auto"/>
            <w:noWrap/>
            <w:hideMark/>
          </w:tcPr>
          <w:p w14:paraId="64416627" w14:textId="77777777" w:rsidR="008D3598" w:rsidRPr="00511330" w:rsidRDefault="008D3598" w:rsidP="000E2E80">
            <w:pPr>
              <w:spacing w:after="0" w:line="240" w:lineRule="auto"/>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Top Management-Employees-Customers</w:t>
            </w:r>
          </w:p>
        </w:tc>
        <w:tc>
          <w:tcPr>
            <w:tcW w:w="3870" w:type="dxa"/>
            <w:vAlign w:val="center"/>
            <w:hideMark/>
          </w:tcPr>
          <w:p w14:paraId="64416628"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Communication platform</w:t>
            </w:r>
          </w:p>
        </w:tc>
        <w:tc>
          <w:tcPr>
            <w:tcW w:w="900" w:type="dxa"/>
            <w:vAlign w:val="center"/>
            <w:hideMark/>
          </w:tcPr>
          <w:p w14:paraId="64416629" w14:textId="77777777" w:rsidR="008D3598" w:rsidRPr="00511330" w:rsidRDefault="008D3598" w:rsidP="003E346F">
            <w:pPr>
              <w:spacing w:after="0" w:line="240" w:lineRule="auto"/>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K</w:t>
            </w:r>
          </w:p>
        </w:tc>
      </w:tr>
      <w:tr w:rsidR="008D3598" w:rsidRPr="00511330" w14:paraId="6441662E" w14:textId="77777777" w:rsidTr="00BD6379">
        <w:trPr>
          <w:trHeight w:val="350"/>
        </w:trPr>
        <w:tc>
          <w:tcPr>
            <w:tcW w:w="2970" w:type="dxa"/>
            <w:shd w:val="clear" w:color="auto" w:fill="auto"/>
            <w:noWrap/>
            <w:hideMark/>
          </w:tcPr>
          <w:p w14:paraId="6441662B" w14:textId="77777777" w:rsidR="008D3598" w:rsidRPr="00511330" w:rsidRDefault="008D3598" w:rsidP="000E2E80">
            <w:pPr>
              <w:spacing w:after="0" w:line="240" w:lineRule="auto"/>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Top Management -Employees-government</w:t>
            </w:r>
          </w:p>
        </w:tc>
        <w:tc>
          <w:tcPr>
            <w:tcW w:w="3870" w:type="dxa"/>
            <w:vAlign w:val="center"/>
            <w:hideMark/>
          </w:tcPr>
          <w:p w14:paraId="6441662C"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Communication platform</w:t>
            </w:r>
          </w:p>
        </w:tc>
        <w:tc>
          <w:tcPr>
            <w:tcW w:w="900" w:type="dxa"/>
            <w:vAlign w:val="center"/>
            <w:hideMark/>
          </w:tcPr>
          <w:p w14:paraId="6441662D" w14:textId="77777777" w:rsidR="008D3598" w:rsidRPr="00511330" w:rsidRDefault="008D3598" w:rsidP="003E346F">
            <w:pPr>
              <w:spacing w:after="0" w:line="240" w:lineRule="auto"/>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w:t>
            </w:r>
          </w:p>
        </w:tc>
      </w:tr>
      <w:tr w:rsidR="008D3598" w:rsidRPr="00511330" w14:paraId="64416632" w14:textId="77777777" w:rsidTr="00BD6379">
        <w:trPr>
          <w:trHeight w:val="341"/>
        </w:trPr>
        <w:tc>
          <w:tcPr>
            <w:tcW w:w="2970" w:type="dxa"/>
            <w:shd w:val="clear" w:color="auto" w:fill="auto"/>
            <w:noWrap/>
            <w:hideMark/>
          </w:tcPr>
          <w:p w14:paraId="6441662F" w14:textId="77777777" w:rsidR="008D3598" w:rsidRPr="00511330" w:rsidRDefault="008D3598" w:rsidP="000E2E80">
            <w:pPr>
              <w:spacing w:after="0" w:line="240" w:lineRule="auto"/>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Top Management -Customers-Government</w:t>
            </w:r>
          </w:p>
        </w:tc>
        <w:tc>
          <w:tcPr>
            <w:tcW w:w="3870" w:type="dxa"/>
            <w:vAlign w:val="center"/>
            <w:hideMark/>
          </w:tcPr>
          <w:p w14:paraId="64416630"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Infrastructure availability</w:t>
            </w:r>
          </w:p>
        </w:tc>
        <w:tc>
          <w:tcPr>
            <w:tcW w:w="900" w:type="dxa"/>
            <w:vAlign w:val="center"/>
            <w:hideMark/>
          </w:tcPr>
          <w:p w14:paraId="64416631" w14:textId="77777777" w:rsidR="008D3598" w:rsidRPr="00511330" w:rsidRDefault="008D3598" w:rsidP="003E346F">
            <w:pPr>
              <w:spacing w:after="0" w:line="240" w:lineRule="auto"/>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w:t>
            </w:r>
          </w:p>
        </w:tc>
      </w:tr>
      <w:tr w:rsidR="008D3598" w:rsidRPr="00511330" w14:paraId="64416637" w14:textId="77777777" w:rsidTr="00BD6379">
        <w:trPr>
          <w:trHeight w:val="161"/>
        </w:trPr>
        <w:tc>
          <w:tcPr>
            <w:tcW w:w="2970" w:type="dxa"/>
            <w:shd w:val="clear" w:color="auto" w:fill="auto"/>
            <w:noWrap/>
            <w:hideMark/>
          </w:tcPr>
          <w:p w14:paraId="64416633" w14:textId="77777777" w:rsidR="008D3598" w:rsidRPr="00511330" w:rsidRDefault="008D3598" w:rsidP="000E2E80">
            <w:pPr>
              <w:spacing w:after="0" w:line="240" w:lineRule="auto"/>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Employees-Customers-Government</w:t>
            </w:r>
          </w:p>
        </w:tc>
        <w:tc>
          <w:tcPr>
            <w:tcW w:w="3870" w:type="dxa"/>
            <w:vAlign w:val="center"/>
            <w:hideMark/>
          </w:tcPr>
          <w:p w14:paraId="64416634"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Communication platform</w:t>
            </w:r>
          </w:p>
          <w:p w14:paraId="64416635"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Leadership capabilities</w:t>
            </w:r>
          </w:p>
        </w:tc>
        <w:tc>
          <w:tcPr>
            <w:tcW w:w="900" w:type="dxa"/>
            <w:vAlign w:val="center"/>
            <w:hideMark/>
          </w:tcPr>
          <w:p w14:paraId="64416636" w14:textId="77777777" w:rsidR="008D3598" w:rsidRPr="00511330" w:rsidRDefault="008D3598" w:rsidP="003E346F">
            <w:pPr>
              <w:spacing w:after="0" w:line="240" w:lineRule="auto"/>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N</w:t>
            </w:r>
          </w:p>
        </w:tc>
      </w:tr>
      <w:tr w:rsidR="008D3598" w:rsidRPr="00511330" w14:paraId="6441663D" w14:textId="77777777" w:rsidTr="00BD6379">
        <w:trPr>
          <w:trHeight w:val="71"/>
        </w:trPr>
        <w:tc>
          <w:tcPr>
            <w:tcW w:w="2970" w:type="dxa"/>
            <w:noWrap/>
            <w:hideMark/>
          </w:tcPr>
          <w:p w14:paraId="64416638" w14:textId="77777777" w:rsidR="008D3598" w:rsidRPr="00511330" w:rsidRDefault="008D3598" w:rsidP="000E2E80">
            <w:pPr>
              <w:spacing w:after="0" w:line="240" w:lineRule="auto"/>
              <w:ind w:right="-18"/>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Top Management -Customers-Employees-Government</w:t>
            </w:r>
          </w:p>
        </w:tc>
        <w:tc>
          <w:tcPr>
            <w:tcW w:w="3870" w:type="dxa"/>
            <w:vAlign w:val="center"/>
            <w:hideMark/>
          </w:tcPr>
          <w:p w14:paraId="64416639"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Effective and transparent communication</w:t>
            </w:r>
          </w:p>
          <w:p w14:paraId="6441663A"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Infrastructure availability </w:t>
            </w:r>
          </w:p>
          <w:p w14:paraId="6441663B" w14:textId="77777777" w:rsidR="008D3598" w:rsidRPr="00511330" w:rsidRDefault="008D3598" w:rsidP="00BD6379">
            <w:pPr>
              <w:numPr>
                <w:ilvl w:val="0"/>
                <w:numId w:val="6"/>
              </w:numPr>
              <w:spacing w:after="0" w:line="240" w:lineRule="auto"/>
              <w:ind w:left="166" w:right="-450" w:hanging="166"/>
              <w:contextualSpacing/>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Flexibility</w:t>
            </w:r>
          </w:p>
        </w:tc>
        <w:tc>
          <w:tcPr>
            <w:tcW w:w="900" w:type="dxa"/>
            <w:vAlign w:val="center"/>
            <w:hideMark/>
          </w:tcPr>
          <w:p w14:paraId="6441663C" w14:textId="77777777" w:rsidR="008D3598" w:rsidRPr="00511330" w:rsidRDefault="008D3598" w:rsidP="003E346F">
            <w:pPr>
              <w:spacing w:after="0" w:line="240" w:lineRule="auto"/>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O</w:t>
            </w:r>
          </w:p>
        </w:tc>
      </w:tr>
    </w:tbl>
    <w:p w14:paraId="6441663F" w14:textId="77777777" w:rsidR="008D3598" w:rsidRPr="00511330" w:rsidRDefault="008D3598" w:rsidP="000E2E80">
      <w:pPr>
        <w:spacing w:before="240"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In addition to effective communications and rewards, the employee’s common enabling factor is leadership support and involvement. Meanwhile the top management‘s common factors of enablers included the availability of resources and supportive teams alongside their willingness. Similarly, common government </w:t>
      </w:r>
      <w:r w:rsidRPr="00511330">
        <w:rPr>
          <w:rFonts w:asciiTheme="majorBidi" w:eastAsia="Calibri" w:hAnsiTheme="majorBidi" w:cstheme="majorBidi"/>
          <w:sz w:val="24"/>
          <w:szCs w:val="24"/>
          <w:lang w:val="en-US"/>
        </w:rPr>
        <w:lastRenderedPageBreak/>
        <w:t>enablers’ factors included effective communications and partnership with the private sector. However, customers opined that the common enabling factors include the flexibility and effective communications to be updated about the latest rules and regulations, which were rated as the highest one.</w:t>
      </w:r>
    </w:p>
    <w:p w14:paraId="64416640" w14:textId="5488FAAA" w:rsidR="008D3598" w:rsidRPr="00511330" w:rsidRDefault="008D3598" w:rsidP="00721566">
      <w:pPr>
        <w:spacing w:after="20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Additionally, most of the local customers stated a common factor of requesting government financial support in implementing and adapting </w:t>
      </w:r>
      <w:r w:rsidR="00461833" w:rsidRPr="00511330">
        <w:rPr>
          <w:rFonts w:asciiTheme="majorBidi" w:eastAsia="Calibri" w:hAnsiTheme="majorBidi" w:cstheme="majorBidi"/>
          <w:sz w:val="24"/>
          <w:szCs w:val="24"/>
          <w:lang w:val="en-US"/>
        </w:rPr>
        <w:t>renewable</w:t>
      </w:r>
      <w:r w:rsidRPr="00511330">
        <w:rPr>
          <w:rFonts w:asciiTheme="majorBidi" w:eastAsia="Calibri" w:hAnsiTheme="majorBidi" w:cstheme="majorBidi"/>
          <w:sz w:val="24"/>
          <w:szCs w:val="24"/>
          <w:lang w:val="en-US"/>
        </w:rPr>
        <w:t xml:space="preserve"> energy generators, such as solar panels. There was a valid reason for this request since the cost of solar panels is extremely high and the ROI is beyond 12 years. However, customers are able to simultaneously foresee that the government will understand the importance of partially assisting in payment or bare partial cost of solar panels in order to encourage them to use </w:t>
      </w:r>
      <w:r w:rsidR="00461833" w:rsidRPr="00511330">
        <w:rPr>
          <w:rFonts w:asciiTheme="majorBidi" w:eastAsia="Calibri" w:hAnsiTheme="majorBidi" w:cstheme="majorBidi"/>
          <w:sz w:val="24"/>
          <w:szCs w:val="24"/>
          <w:lang w:val="en-US"/>
        </w:rPr>
        <w:t>renewable</w:t>
      </w:r>
      <w:r w:rsidRPr="00511330">
        <w:rPr>
          <w:rFonts w:asciiTheme="majorBidi" w:eastAsia="Calibri" w:hAnsiTheme="majorBidi" w:cstheme="majorBidi"/>
          <w:sz w:val="24"/>
          <w:szCs w:val="24"/>
          <w:lang w:val="en-US"/>
        </w:rPr>
        <w:t xml:space="preserve"> energy sources.</w:t>
      </w:r>
    </w:p>
    <w:p w14:paraId="64416641" w14:textId="75D96FC0" w:rsidR="008D3598" w:rsidRPr="00511330" w:rsidRDefault="008D3598" w:rsidP="00721566">
      <w:pPr>
        <w:spacing w:after="20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The analysis depicted in Table 4.</w:t>
      </w:r>
      <w:r w:rsidR="00C9086B" w:rsidRPr="00511330">
        <w:rPr>
          <w:rFonts w:asciiTheme="majorBidi" w:eastAsia="Calibri" w:hAnsiTheme="majorBidi" w:cstheme="majorBidi"/>
          <w:sz w:val="24"/>
          <w:szCs w:val="24"/>
          <w:lang w:val="en-US"/>
        </w:rPr>
        <w:t xml:space="preserve">10 </w:t>
      </w:r>
      <w:r w:rsidRPr="00511330">
        <w:rPr>
          <w:rFonts w:asciiTheme="majorBidi" w:eastAsia="Calibri" w:hAnsiTheme="majorBidi" w:cstheme="majorBidi"/>
          <w:sz w:val="24"/>
          <w:szCs w:val="24"/>
          <w:lang w:val="en-US"/>
        </w:rPr>
        <w:t xml:space="preserve">reveals that the relationships between employees and government common factors show leadership capabilities and have unambiguous communication plans. Meanwhile, the relationship between employees and customers illustrates a similar overlapping factor of comprehensive and transparent communication plan, as well as seeking pilot and gradual change. The actor of gradual change is an essential point for customers and employees alike so as to ensure that change can be adequately deciphered and that implementation is accompanied </w:t>
      </w:r>
      <w:r w:rsidR="00DA4BDE" w:rsidRPr="00511330">
        <w:rPr>
          <w:rFonts w:asciiTheme="majorBidi" w:eastAsia="Calibri" w:hAnsiTheme="majorBidi" w:cstheme="majorBidi"/>
          <w:sz w:val="24"/>
          <w:szCs w:val="24"/>
          <w:lang w:val="en-US"/>
        </w:rPr>
        <w:t>by</w:t>
      </w:r>
      <w:r w:rsidRPr="00511330">
        <w:rPr>
          <w:rFonts w:asciiTheme="majorBidi" w:eastAsia="Calibri" w:hAnsiTheme="majorBidi" w:cstheme="majorBidi"/>
          <w:sz w:val="24"/>
          <w:szCs w:val="24"/>
          <w:lang w:val="en-US"/>
        </w:rPr>
        <w:t xml:space="preserve"> rational understanding. Alternatively, the relationship between governments, employees, and customers shows a common factor to establish the need for communication platforms. In this context, communication is considered to be a major common enabler factor among all stakeholders as well as a breakthrough in the success of change management. </w:t>
      </w:r>
      <w:r w:rsidRPr="00511330">
        <w:rPr>
          <w:rFonts w:asciiTheme="majorBidi" w:eastAsia="Calibri" w:hAnsiTheme="majorBidi" w:cstheme="majorBidi"/>
          <w:sz w:val="24"/>
          <w:szCs w:val="24"/>
          <w:lang w:val="en-US"/>
        </w:rPr>
        <w:lastRenderedPageBreak/>
        <w:t xml:space="preserve">Similarly, the relationship between employees, governments, and top management shows a common factor of having a communication platform. </w:t>
      </w:r>
    </w:p>
    <w:p w14:paraId="64416642" w14:textId="77777777" w:rsidR="008D3598" w:rsidRPr="00511330" w:rsidRDefault="008D3598" w:rsidP="00721566">
      <w:pPr>
        <w:spacing w:after="20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In summary, all four stakeholders (government, top management, employees, and customers) were found to have a common factor for effective and transparent communication as a major enabler. However, another existing common factor indicated was willingness and flexibility. The enablers are considered to be a pillar whereby all stakeholders would use it as ladders in order to ensure that the change is successful. The stakeholder’s enablers display a high strength and repetitive requirements for communication platforms. In contrast, the common factor of flexibility and willingness indicated a common factor, albeit without the same magnitude as communication.</w:t>
      </w:r>
      <w:bookmarkStart w:id="755" w:name="_Toc32090370"/>
      <w:bookmarkStart w:id="756" w:name="_Toc32090700"/>
      <w:bookmarkStart w:id="757" w:name="_Toc32091616"/>
      <w:bookmarkStart w:id="758" w:name="_Toc32090371"/>
      <w:bookmarkStart w:id="759" w:name="_Toc32090701"/>
      <w:bookmarkStart w:id="760" w:name="_Toc32091617"/>
      <w:bookmarkStart w:id="761" w:name="_Toc32090372"/>
      <w:bookmarkStart w:id="762" w:name="_Toc32090702"/>
      <w:bookmarkStart w:id="763" w:name="_Toc32091618"/>
      <w:bookmarkStart w:id="764" w:name="_Toc32090373"/>
      <w:bookmarkStart w:id="765" w:name="_Toc32090703"/>
      <w:bookmarkStart w:id="766" w:name="_Toc32091619"/>
      <w:bookmarkStart w:id="767" w:name="_Toc32090374"/>
      <w:bookmarkStart w:id="768" w:name="_Toc32090704"/>
      <w:bookmarkStart w:id="769" w:name="_Toc32091620"/>
      <w:bookmarkStart w:id="770" w:name="_Toc32090375"/>
      <w:bookmarkStart w:id="771" w:name="_Toc32090705"/>
      <w:bookmarkStart w:id="772" w:name="_Toc32091621"/>
      <w:bookmarkStart w:id="773" w:name="_Toc32090376"/>
      <w:bookmarkStart w:id="774" w:name="_Toc32090706"/>
      <w:bookmarkStart w:id="775" w:name="_Toc32091622"/>
      <w:bookmarkStart w:id="776" w:name="_Toc32090377"/>
      <w:bookmarkStart w:id="777" w:name="_Toc32090707"/>
      <w:bookmarkStart w:id="778" w:name="_Toc32091623"/>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14:paraId="64416643" w14:textId="41950F64" w:rsidR="008D3598" w:rsidRPr="00511330" w:rsidRDefault="004862F1" w:rsidP="00721566">
      <w:pPr>
        <w:pStyle w:val="Heading3"/>
        <w:spacing w:after="240"/>
        <w:ind w:left="720" w:right="-450" w:hanging="720"/>
        <w:rPr>
          <w:rFonts w:eastAsia="Calibri"/>
          <w:lang w:val="en-US"/>
        </w:rPr>
      </w:pPr>
      <w:bookmarkStart w:id="779" w:name="_Toc43311636"/>
      <w:r w:rsidRPr="00511330">
        <w:rPr>
          <w:rFonts w:eastAsia="Calibri"/>
          <w:lang w:val="en-US"/>
        </w:rPr>
        <w:t>4.1</w:t>
      </w:r>
      <w:r w:rsidR="008D3598" w:rsidRPr="00511330">
        <w:rPr>
          <w:rFonts w:eastAsia="Calibri"/>
          <w:lang w:val="en-US"/>
        </w:rPr>
        <w:t xml:space="preserve">.3. </w:t>
      </w:r>
      <w:r w:rsidR="00EC3822" w:rsidRPr="00511330">
        <w:rPr>
          <w:rFonts w:eastAsia="Calibri"/>
          <w:lang w:val="en-US"/>
        </w:rPr>
        <w:tab/>
      </w:r>
      <w:r w:rsidR="008D3598" w:rsidRPr="00511330">
        <w:rPr>
          <w:rFonts w:eastAsia="Calibri"/>
          <w:lang w:val="en-US"/>
        </w:rPr>
        <w:t>CM Barriers from Stakeholders’ Perspective</w:t>
      </w:r>
      <w:bookmarkEnd w:id="779"/>
    </w:p>
    <w:p w14:paraId="64416644" w14:textId="0CBA1538" w:rsidR="008D3598" w:rsidRPr="00511330" w:rsidRDefault="008D3598" w:rsidP="00721566">
      <w:pPr>
        <w:spacing w:after="20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The answers extracted from the interviews were shortened and analyzed in order to indicate the main barriers as well as commonality analysis from various perspectives of each stakeholder. The final list of barriers includes 20 factors that were randomly identified by customers, 19 by top management, 25 by employees, and 18 by government/owners, as depicted in Table 4.</w:t>
      </w:r>
      <w:r w:rsidR="00C9086B" w:rsidRPr="00511330">
        <w:rPr>
          <w:rFonts w:asciiTheme="majorBidi" w:eastAsia="Calibri" w:hAnsiTheme="majorBidi" w:cstheme="majorBidi"/>
          <w:sz w:val="24"/>
          <w:szCs w:val="24"/>
          <w:lang w:val="en-US"/>
        </w:rPr>
        <w:t xml:space="preserve">11 </w:t>
      </w:r>
      <w:r w:rsidRPr="00511330">
        <w:rPr>
          <w:rFonts w:asciiTheme="majorBidi" w:eastAsia="Calibri" w:hAnsiTheme="majorBidi" w:cstheme="majorBidi"/>
          <w:sz w:val="24"/>
          <w:szCs w:val="24"/>
          <w:lang w:val="en-US"/>
        </w:rPr>
        <w:t>to Table 4.</w:t>
      </w:r>
      <w:r w:rsidR="00C9086B" w:rsidRPr="00511330">
        <w:rPr>
          <w:rFonts w:asciiTheme="majorBidi" w:eastAsia="Calibri" w:hAnsiTheme="majorBidi" w:cstheme="majorBidi"/>
          <w:sz w:val="24"/>
          <w:szCs w:val="24"/>
          <w:lang w:val="en-US"/>
        </w:rPr>
        <w:t>14</w:t>
      </w:r>
      <w:r w:rsidRPr="00511330">
        <w:rPr>
          <w:rFonts w:asciiTheme="majorBidi" w:eastAsia="Calibri" w:hAnsiTheme="majorBidi" w:cstheme="majorBidi"/>
          <w:sz w:val="24"/>
          <w:szCs w:val="24"/>
          <w:lang w:val="en-US"/>
        </w:rPr>
        <w:t xml:space="preserve">. </w:t>
      </w:r>
    </w:p>
    <w:p w14:paraId="64416645" w14:textId="1DE5B41E" w:rsidR="008D3598" w:rsidRPr="00511330" w:rsidRDefault="008D3598" w:rsidP="0047402F">
      <w:pPr>
        <w:pStyle w:val="Caption"/>
        <w:keepNext/>
        <w:spacing w:after="0"/>
        <w:ind w:right="-450"/>
        <w:rPr>
          <w:rFonts w:asciiTheme="majorBidi" w:hAnsiTheme="majorBidi" w:cstheme="majorBidi"/>
          <w:b w:val="0"/>
          <w:bCs w:val="0"/>
          <w:color w:val="auto"/>
          <w:sz w:val="20"/>
          <w:szCs w:val="20"/>
          <w:lang w:val="en-US"/>
        </w:rPr>
      </w:pPr>
      <w:bookmarkStart w:id="780" w:name="_Toc43310901"/>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11</w:t>
      </w:r>
      <w:r w:rsidRPr="00511330">
        <w:rPr>
          <w:rFonts w:asciiTheme="majorBidi" w:hAnsiTheme="majorBidi" w:cstheme="majorBidi"/>
          <w:b w:val="0"/>
          <w:bCs w:val="0"/>
          <w:color w:val="auto"/>
          <w:sz w:val="20"/>
          <w:szCs w:val="20"/>
          <w:lang w:val="en-US"/>
        </w:rPr>
        <w:fldChar w:fldCharType="end"/>
      </w:r>
      <w:r w:rsidR="0047402F"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Barriers Reported by Customers</w:t>
      </w:r>
      <w:r w:rsidR="00C9086B" w:rsidRPr="00511330">
        <w:rPr>
          <w:rFonts w:asciiTheme="majorBidi" w:hAnsiTheme="majorBidi" w:cstheme="majorBidi"/>
          <w:b w:val="0"/>
          <w:bCs w:val="0"/>
          <w:i/>
          <w:iCs/>
          <w:color w:val="auto"/>
          <w:sz w:val="20"/>
          <w:szCs w:val="20"/>
          <w:lang w:val="en-US"/>
        </w:rPr>
        <w:t xml:space="preserve"> Perspective</w:t>
      </w:r>
      <w:bookmarkEnd w:id="780"/>
    </w:p>
    <w:tbl>
      <w:tblPr>
        <w:tblStyle w:val="TableGrid1"/>
        <w:tblW w:w="7763" w:type="dxa"/>
        <w:tblInd w:w="-5" w:type="dxa"/>
        <w:tblLayout w:type="fixed"/>
        <w:tblLook w:val="04A0" w:firstRow="1" w:lastRow="0" w:firstColumn="1" w:lastColumn="0" w:noHBand="0" w:noVBand="1"/>
      </w:tblPr>
      <w:tblGrid>
        <w:gridCol w:w="540"/>
        <w:gridCol w:w="2970"/>
        <w:gridCol w:w="473"/>
        <w:gridCol w:w="3780"/>
      </w:tblGrid>
      <w:tr w:rsidR="008D3598" w:rsidRPr="00511330" w14:paraId="64416647" w14:textId="77777777" w:rsidTr="0047402F">
        <w:trPr>
          <w:trHeight w:val="260"/>
        </w:trPr>
        <w:tc>
          <w:tcPr>
            <w:tcW w:w="7763" w:type="dxa"/>
            <w:gridSpan w:val="4"/>
            <w:shd w:val="clear" w:color="auto" w:fill="F2F2F2" w:themeFill="background1" w:themeFillShade="F2"/>
          </w:tcPr>
          <w:p w14:paraId="64416646" w14:textId="77777777" w:rsidR="008D3598" w:rsidRPr="00511330" w:rsidRDefault="008D3598" w:rsidP="00721566">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CM Barriers from Customer Perspective</w:t>
            </w:r>
          </w:p>
        </w:tc>
      </w:tr>
      <w:tr w:rsidR="008D3598" w:rsidRPr="00511330" w14:paraId="6441664C" w14:textId="77777777" w:rsidTr="0047402F">
        <w:tc>
          <w:tcPr>
            <w:tcW w:w="540" w:type="dxa"/>
          </w:tcPr>
          <w:p w14:paraId="64416648" w14:textId="77777777" w:rsidR="008D3598" w:rsidRPr="00511330" w:rsidRDefault="008D3598" w:rsidP="0047402F">
            <w:pPr>
              <w:numPr>
                <w:ilvl w:val="0"/>
                <w:numId w:val="5"/>
              </w:numPr>
              <w:tabs>
                <w:tab w:val="left" w:pos="510"/>
              </w:tabs>
              <w:ind w:left="-105" w:right="-450" w:firstLine="0"/>
              <w:jc w:val="center"/>
              <w:rPr>
                <w:rFonts w:asciiTheme="majorBidi" w:eastAsia="Calibri" w:hAnsiTheme="majorBidi" w:cstheme="majorBidi"/>
                <w:sz w:val="20"/>
                <w:szCs w:val="20"/>
                <w:lang w:val="en-US"/>
              </w:rPr>
            </w:pPr>
          </w:p>
        </w:tc>
        <w:tc>
          <w:tcPr>
            <w:tcW w:w="2970" w:type="dxa"/>
          </w:tcPr>
          <w:p w14:paraId="64416649"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Resistance to change</w:t>
            </w:r>
          </w:p>
        </w:tc>
        <w:tc>
          <w:tcPr>
            <w:tcW w:w="473" w:type="dxa"/>
          </w:tcPr>
          <w:p w14:paraId="6441664A" w14:textId="77777777" w:rsidR="008D3598" w:rsidRPr="00511330" w:rsidRDefault="008D3598" w:rsidP="00721566">
            <w:pPr>
              <w:numPr>
                <w:ilvl w:val="0"/>
                <w:numId w:val="5"/>
              </w:numPr>
              <w:tabs>
                <w:tab w:val="left" w:pos="510"/>
              </w:tabs>
              <w:ind w:left="0" w:right="-450" w:firstLine="0"/>
              <w:jc w:val="center"/>
              <w:rPr>
                <w:rFonts w:asciiTheme="majorBidi" w:eastAsia="Calibri" w:hAnsiTheme="majorBidi" w:cstheme="majorBidi"/>
                <w:sz w:val="20"/>
                <w:szCs w:val="20"/>
                <w:lang w:val="en-US"/>
              </w:rPr>
            </w:pPr>
          </w:p>
        </w:tc>
        <w:tc>
          <w:tcPr>
            <w:tcW w:w="3780" w:type="dxa"/>
          </w:tcPr>
          <w:p w14:paraId="6441664B"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Complex requirements</w:t>
            </w:r>
          </w:p>
        </w:tc>
      </w:tr>
      <w:tr w:rsidR="008D3598" w:rsidRPr="00511330" w14:paraId="64416651" w14:textId="77777777" w:rsidTr="0047402F">
        <w:tc>
          <w:tcPr>
            <w:tcW w:w="540" w:type="dxa"/>
          </w:tcPr>
          <w:p w14:paraId="6441664D" w14:textId="77777777" w:rsidR="008D3598" w:rsidRPr="00511330" w:rsidRDefault="008D3598" w:rsidP="0047402F">
            <w:pPr>
              <w:numPr>
                <w:ilvl w:val="0"/>
                <w:numId w:val="5"/>
              </w:numPr>
              <w:tabs>
                <w:tab w:val="left" w:pos="510"/>
              </w:tabs>
              <w:ind w:left="-105" w:right="-450" w:firstLine="0"/>
              <w:jc w:val="center"/>
              <w:rPr>
                <w:rFonts w:asciiTheme="majorBidi" w:eastAsia="Calibri" w:hAnsiTheme="majorBidi" w:cstheme="majorBidi"/>
                <w:sz w:val="20"/>
                <w:szCs w:val="20"/>
                <w:lang w:val="en-US"/>
              </w:rPr>
            </w:pPr>
          </w:p>
        </w:tc>
        <w:tc>
          <w:tcPr>
            <w:tcW w:w="2970" w:type="dxa"/>
          </w:tcPr>
          <w:p w14:paraId="6441664E"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Confusion and fear</w:t>
            </w:r>
          </w:p>
        </w:tc>
        <w:tc>
          <w:tcPr>
            <w:tcW w:w="473" w:type="dxa"/>
          </w:tcPr>
          <w:p w14:paraId="6441664F" w14:textId="77777777" w:rsidR="008D3598" w:rsidRPr="00511330" w:rsidRDefault="008D3598" w:rsidP="00721566">
            <w:pPr>
              <w:numPr>
                <w:ilvl w:val="0"/>
                <w:numId w:val="5"/>
              </w:numPr>
              <w:tabs>
                <w:tab w:val="left" w:pos="510"/>
              </w:tabs>
              <w:ind w:left="0" w:right="-450" w:firstLine="0"/>
              <w:jc w:val="center"/>
              <w:rPr>
                <w:rFonts w:asciiTheme="majorBidi" w:eastAsia="Calibri" w:hAnsiTheme="majorBidi" w:cstheme="majorBidi"/>
                <w:sz w:val="20"/>
                <w:szCs w:val="20"/>
                <w:lang w:val="en-US"/>
              </w:rPr>
            </w:pPr>
          </w:p>
        </w:tc>
        <w:tc>
          <w:tcPr>
            <w:tcW w:w="3780" w:type="dxa"/>
          </w:tcPr>
          <w:p w14:paraId="64416650"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unknown and unfamiliar</w:t>
            </w:r>
          </w:p>
        </w:tc>
      </w:tr>
      <w:tr w:rsidR="008D3598" w:rsidRPr="00511330" w14:paraId="64416656" w14:textId="77777777" w:rsidTr="0047402F">
        <w:tc>
          <w:tcPr>
            <w:tcW w:w="540" w:type="dxa"/>
          </w:tcPr>
          <w:p w14:paraId="64416652" w14:textId="77777777" w:rsidR="008D3598" w:rsidRPr="00511330" w:rsidRDefault="008D3598" w:rsidP="0047402F">
            <w:pPr>
              <w:numPr>
                <w:ilvl w:val="0"/>
                <w:numId w:val="5"/>
              </w:numPr>
              <w:tabs>
                <w:tab w:val="left" w:pos="510"/>
              </w:tabs>
              <w:ind w:left="-105" w:right="-450" w:firstLine="0"/>
              <w:jc w:val="center"/>
              <w:rPr>
                <w:rFonts w:asciiTheme="majorBidi" w:eastAsia="Calibri" w:hAnsiTheme="majorBidi" w:cstheme="majorBidi"/>
                <w:sz w:val="20"/>
                <w:szCs w:val="20"/>
                <w:lang w:val="en-US"/>
              </w:rPr>
            </w:pPr>
          </w:p>
        </w:tc>
        <w:tc>
          <w:tcPr>
            <w:tcW w:w="2970" w:type="dxa"/>
          </w:tcPr>
          <w:p w14:paraId="64416653"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Misplaced prioritization</w:t>
            </w:r>
          </w:p>
        </w:tc>
        <w:tc>
          <w:tcPr>
            <w:tcW w:w="473" w:type="dxa"/>
          </w:tcPr>
          <w:p w14:paraId="64416654" w14:textId="77777777" w:rsidR="008D3598" w:rsidRPr="00511330" w:rsidRDefault="008D3598" w:rsidP="00721566">
            <w:pPr>
              <w:numPr>
                <w:ilvl w:val="0"/>
                <w:numId w:val="5"/>
              </w:numPr>
              <w:tabs>
                <w:tab w:val="left" w:pos="510"/>
              </w:tabs>
              <w:ind w:left="0" w:right="-450" w:firstLine="0"/>
              <w:jc w:val="center"/>
              <w:rPr>
                <w:rFonts w:asciiTheme="majorBidi" w:eastAsia="Calibri" w:hAnsiTheme="majorBidi" w:cstheme="majorBidi"/>
                <w:sz w:val="20"/>
                <w:szCs w:val="20"/>
                <w:lang w:val="en-US"/>
              </w:rPr>
            </w:pPr>
          </w:p>
        </w:tc>
        <w:tc>
          <w:tcPr>
            <w:tcW w:w="3780" w:type="dxa"/>
          </w:tcPr>
          <w:p w14:paraId="64416655"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Absence of a communication plan</w:t>
            </w:r>
          </w:p>
        </w:tc>
      </w:tr>
      <w:tr w:rsidR="008D3598" w:rsidRPr="00511330" w14:paraId="6441665B" w14:textId="77777777" w:rsidTr="0047402F">
        <w:tc>
          <w:tcPr>
            <w:tcW w:w="540" w:type="dxa"/>
          </w:tcPr>
          <w:p w14:paraId="64416657" w14:textId="77777777" w:rsidR="008D3598" w:rsidRPr="00511330" w:rsidRDefault="008D3598" w:rsidP="00721566">
            <w:pPr>
              <w:numPr>
                <w:ilvl w:val="0"/>
                <w:numId w:val="5"/>
              </w:numPr>
              <w:tabs>
                <w:tab w:val="left" w:pos="510"/>
              </w:tabs>
              <w:ind w:right="-450"/>
              <w:rPr>
                <w:rFonts w:asciiTheme="majorBidi" w:eastAsia="Calibri" w:hAnsiTheme="majorBidi" w:cstheme="majorBidi"/>
                <w:sz w:val="20"/>
                <w:szCs w:val="20"/>
                <w:lang w:val="en-US"/>
              </w:rPr>
            </w:pPr>
          </w:p>
        </w:tc>
        <w:tc>
          <w:tcPr>
            <w:tcW w:w="2970" w:type="dxa"/>
          </w:tcPr>
          <w:p w14:paraId="64416658"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Gap in knowledge</w:t>
            </w:r>
          </w:p>
        </w:tc>
        <w:tc>
          <w:tcPr>
            <w:tcW w:w="473" w:type="dxa"/>
          </w:tcPr>
          <w:p w14:paraId="64416659" w14:textId="77777777" w:rsidR="008D3598" w:rsidRPr="00511330" w:rsidRDefault="008D3598" w:rsidP="00721566">
            <w:pPr>
              <w:numPr>
                <w:ilvl w:val="0"/>
                <w:numId w:val="5"/>
              </w:numPr>
              <w:tabs>
                <w:tab w:val="left" w:pos="510"/>
              </w:tabs>
              <w:ind w:left="0" w:right="-450" w:firstLine="0"/>
              <w:jc w:val="center"/>
              <w:rPr>
                <w:rFonts w:asciiTheme="majorBidi" w:eastAsia="Calibri" w:hAnsiTheme="majorBidi" w:cstheme="majorBidi"/>
                <w:sz w:val="20"/>
                <w:szCs w:val="20"/>
                <w:lang w:val="en-US"/>
              </w:rPr>
            </w:pPr>
          </w:p>
        </w:tc>
        <w:tc>
          <w:tcPr>
            <w:tcW w:w="3780" w:type="dxa"/>
          </w:tcPr>
          <w:p w14:paraId="6441665A"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Low engagement</w:t>
            </w:r>
          </w:p>
        </w:tc>
      </w:tr>
      <w:tr w:rsidR="008D3598" w:rsidRPr="00511330" w14:paraId="64416660" w14:textId="77777777" w:rsidTr="0047402F">
        <w:tc>
          <w:tcPr>
            <w:tcW w:w="540" w:type="dxa"/>
          </w:tcPr>
          <w:p w14:paraId="6441665C" w14:textId="77777777" w:rsidR="008D3598" w:rsidRPr="00511330" w:rsidRDefault="008D3598" w:rsidP="00721566">
            <w:pPr>
              <w:numPr>
                <w:ilvl w:val="0"/>
                <w:numId w:val="5"/>
              </w:numPr>
              <w:tabs>
                <w:tab w:val="left" w:pos="510"/>
              </w:tabs>
              <w:ind w:right="-450"/>
              <w:rPr>
                <w:rFonts w:asciiTheme="majorBidi" w:eastAsia="Calibri" w:hAnsiTheme="majorBidi" w:cstheme="majorBidi"/>
                <w:sz w:val="20"/>
                <w:szCs w:val="20"/>
                <w:lang w:val="en-US"/>
              </w:rPr>
            </w:pPr>
          </w:p>
        </w:tc>
        <w:tc>
          <w:tcPr>
            <w:tcW w:w="2970" w:type="dxa"/>
          </w:tcPr>
          <w:p w14:paraId="6441665D"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Negative past experience</w:t>
            </w:r>
          </w:p>
        </w:tc>
        <w:tc>
          <w:tcPr>
            <w:tcW w:w="473" w:type="dxa"/>
          </w:tcPr>
          <w:p w14:paraId="6441665E" w14:textId="77777777" w:rsidR="008D3598" w:rsidRPr="00511330" w:rsidRDefault="008D3598" w:rsidP="00721566">
            <w:pPr>
              <w:numPr>
                <w:ilvl w:val="0"/>
                <w:numId w:val="5"/>
              </w:numPr>
              <w:tabs>
                <w:tab w:val="left" w:pos="510"/>
              </w:tabs>
              <w:ind w:right="-450"/>
              <w:rPr>
                <w:rFonts w:asciiTheme="majorBidi" w:eastAsia="Calibri" w:hAnsiTheme="majorBidi" w:cstheme="majorBidi"/>
                <w:sz w:val="20"/>
                <w:szCs w:val="20"/>
                <w:lang w:val="en-US"/>
              </w:rPr>
            </w:pPr>
          </w:p>
        </w:tc>
        <w:tc>
          <w:tcPr>
            <w:tcW w:w="3780" w:type="dxa"/>
          </w:tcPr>
          <w:p w14:paraId="6441665F"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Difficulty of adaption</w:t>
            </w:r>
          </w:p>
        </w:tc>
      </w:tr>
      <w:tr w:rsidR="008D3598" w:rsidRPr="00511330" w14:paraId="64416665" w14:textId="77777777" w:rsidTr="0047402F">
        <w:tc>
          <w:tcPr>
            <w:tcW w:w="540" w:type="dxa"/>
          </w:tcPr>
          <w:p w14:paraId="64416661" w14:textId="77777777" w:rsidR="008D3598" w:rsidRPr="00511330" w:rsidRDefault="008D3598" w:rsidP="00721566">
            <w:pPr>
              <w:numPr>
                <w:ilvl w:val="0"/>
                <w:numId w:val="5"/>
              </w:numPr>
              <w:tabs>
                <w:tab w:val="left" w:pos="510"/>
              </w:tabs>
              <w:ind w:right="-450"/>
              <w:rPr>
                <w:rFonts w:asciiTheme="majorBidi" w:eastAsia="Calibri" w:hAnsiTheme="majorBidi" w:cstheme="majorBidi"/>
                <w:sz w:val="20"/>
                <w:szCs w:val="20"/>
                <w:lang w:val="en-US"/>
              </w:rPr>
            </w:pPr>
          </w:p>
        </w:tc>
        <w:tc>
          <w:tcPr>
            <w:tcW w:w="2970" w:type="dxa"/>
          </w:tcPr>
          <w:p w14:paraId="64416662"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opposite outcomes</w:t>
            </w:r>
          </w:p>
        </w:tc>
        <w:tc>
          <w:tcPr>
            <w:tcW w:w="473" w:type="dxa"/>
          </w:tcPr>
          <w:p w14:paraId="64416663" w14:textId="77777777" w:rsidR="008D3598" w:rsidRPr="00511330" w:rsidRDefault="008D3598" w:rsidP="00721566">
            <w:pPr>
              <w:numPr>
                <w:ilvl w:val="0"/>
                <w:numId w:val="5"/>
              </w:numPr>
              <w:tabs>
                <w:tab w:val="left" w:pos="510"/>
              </w:tabs>
              <w:ind w:right="-450"/>
              <w:rPr>
                <w:rFonts w:asciiTheme="majorBidi" w:eastAsia="Calibri" w:hAnsiTheme="majorBidi" w:cstheme="majorBidi"/>
                <w:sz w:val="20"/>
                <w:szCs w:val="20"/>
                <w:lang w:val="en-US"/>
              </w:rPr>
            </w:pPr>
          </w:p>
        </w:tc>
        <w:tc>
          <w:tcPr>
            <w:tcW w:w="3780" w:type="dxa"/>
          </w:tcPr>
          <w:p w14:paraId="64416664" w14:textId="77777777" w:rsidR="008D3598" w:rsidRPr="00511330" w:rsidRDefault="008D3598" w:rsidP="00721566">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No real improvements</w:t>
            </w:r>
          </w:p>
        </w:tc>
      </w:tr>
      <w:tr w:rsidR="008D3598" w:rsidRPr="00511330" w14:paraId="6441666A" w14:textId="77777777" w:rsidTr="0047402F">
        <w:tc>
          <w:tcPr>
            <w:tcW w:w="540" w:type="dxa"/>
          </w:tcPr>
          <w:p w14:paraId="64416666" w14:textId="77777777" w:rsidR="008D3598" w:rsidRPr="00511330" w:rsidRDefault="008D3598" w:rsidP="00721566">
            <w:pPr>
              <w:numPr>
                <w:ilvl w:val="0"/>
                <w:numId w:val="5"/>
              </w:numPr>
              <w:tabs>
                <w:tab w:val="left" w:pos="510"/>
              </w:tabs>
              <w:ind w:right="-450"/>
              <w:rPr>
                <w:rFonts w:asciiTheme="majorBidi" w:eastAsia="Calibri" w:hAnsiTheme="majorBidi" w:cstheme="majorBidi"/>
                <w:sz w:val="20"/>
                <w:szCs w:val="20"/>
                <w:lang w:val="en-US"/>
              </w:rPr>
            </w:pPr>
          </w:p>
        </w:tc>
        <w:tc>
          <w:tcPr>
            <w:tcW w:w="2970" w:type="dxa"/>
          </w:tcPr>
          <w:p w14:paraId="64416667"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Inability to adapt change </w:t>
            </w:r>
          </w:p>
        </w:tc>
        <w:tc>
          <w:tcPr>
            <w:tcW w:w="473" w:type="dxa"/>
          </w:tcPr>
          <w:p w14:paraId="64416668" w14:textId="77777777" w:rsidR="008D3598" w:rsidRPr="00511330" w:rsidRDefault="008D3598" w:rsidP="00721566">
            <w:pPr>
              <w:numPr>
                <w:ilvl w:val="0"/>
                <w:numId w:val="5"/>
              </w:numPr>
              <w:tabs>
                <w:tab w:val="left" w:pos="510"/>
              </w:tabs>
              <w:ind w:right="-450"/>
              <w:rPr>
                <w:rFonts w:asciiTheme="majorBidi" w:eastAsia="Calibri" w:hAnsiTheme="majorBidi" w:cstheme="majorBidi"/>
                <w:sz w:val="20"/>
                <w:szCs w:val="20"/>
                <w:lang w:val="en-US"/>
              </w:rPr>
            </w:pPr>
          </w:p>
        </w:tc>
        <w:tc>
          <w:tcPr>
            <w:tcW w:w="3780" w:type="dxa"/>
          </w:tcPr>
          <w:p w14:paraId="64416669"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Lack of focus</w:t>
            </w:r>
          </w:p>
        </w:tc>
      </w:tr>
      <w:tr w:rsidR="008D3598" w:rsidRPr="00511330" w14:paraId="6441666F" w14:textId="77777777" w:rsidTr="0047402F">
        <w:tc>
          <w:tcPr>
            <w:tcW w:w="540" w:type="dxa"/>
          </w:tcPr>
          <w:p w14:paraId="6441666B" w14:textId="77777777" w:rsidR="008D3598" w:rsidRPr="00511330" w:rsidRDefault="008D3598" w:rsidP="00721566">
            <w:pPr>
              <w:numPr>
                <w:ilvl w:val="0"/>
                <w:numId w:val="5"/>
              </w:numPr>
              <w:tabs>
                <w:tab w:val="left" w:pos="510"/>
              </w:tabs>
              <w:ind w:right="-450"/>
              <w:rPr>
                <w:rFonts w:asciiTheme="majorBidi" w:eastAsia="Calibri" w:hAnsiTheme="majorBidi" w:cstheme="majorBidi"/>
                <w:sz w:val="20"/>
                <w:szCs w:val="20"/>
                <w:lang w:val="en-US"/>
              </w:rPr>
            </w:pPr>
          </w:p>
        </w:tc>
        <w:tc>
          <w:tcPr>
            <w:tcW w:w="2970" w:type="dxa"/>
          </w:tcPr>
          <w:p w14:paraId="6441666C"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extra cost</w:t>
            </w:r>
          </w:p>
        </w:tc>
        <w:tc>
          <w:tcPr>
            <w:tcW w:w="473" w:type="dxa"/>
          </w:tcPr>
          <w:p w14:paraId="6441666D" w14:textId="77777777" w:rsidR="008D3598" w:rsidRPr="00511330" w:rsidRDefault="008D3598" w:rsidP="00721566">
            <w:pPr>
              <w:numPr>
                <w:ilvl w:val="0"/>
                <w:numId w:val="5"/>
              </w:numPr>
              <w:tabs>
                <w:tab w:val="left" w:pos="510"/>
              </w:tabs>
              <w:ind w:right="-450"/>
              <w:rPr>
                <w:rFonts w:asciiTheme="majorBidi" w:eastAsia="Calibri" w:hAnsiTheme="majorBidi" w:cstheme="majorBidi"/>
                <w:sz w:val="20"/>
                <w:szCs w:val="20"/>
                <w:lang w:val="en-US"/>
              </w:rPr>
            </w:pPr>
          </w:p>
        </w:tc>
        <w:tc>
          <w:tcPr>
            <w:tcW w:w="3780" w:type="dxa"/>
          </w:tcPr>
          <w:p w14:paraId="6441666E"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Time pressure</w:t>
            </w:r>
          </w:p>
        </w:tc>
      </w:tr>
      <w:tr w:rsidR="008D3598" w:rsidRPr="00511330" w14:paraId="64416674" w14:textId="77777777" w:rsidTr="0047402F">
        <w:tc>
          <w:tcPr>
            <w:tcW w:w="540" w:type="dxa"/>
          </w:tcPr>
          <w:p w14:paraId="64416670" w14:textId="77777777" w:rsidR="008D3598" w:rsidRPr="00511330" w:rsidRDefault="008D3598" w:rsidP="00721566">
            <w:pPr>
              <w:numPr>
                <w:ilvl w:val="0"/>
                <w:numId w:val="5"/>
              </w:numPr>
              <w:tabs>
                <w:tab w:val="left" w:pos="510"/>
              </w:tabs>
              <w:ind w:right="-450"/>
              <w:rPr>
                <w:rFonts w:asciiTheme="majorBidi" w:eastAsia="Calibri" w:hAnsiTheme="majorBidi" w:cstheme="majorBidi"/>
                <w:sz w:val="20"/>
                <w:szCs w:val="20"/>
                <w:lang w:val="en-US"/>
              </w:rPr>
            </w:pPr>
          </w:p>
        </w:tc>
        <w:tc>
          <w:tcPr>
            <w:tcW w:w="2970" w:type="dxa"/>
          </w:tcPr>
          <w:p w14:paraId="64416671"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lack of desire</w:t>
            </w:r>
          </w:p>
        </w:tc>
        <w:tc>
          <w:tcPr>
            <w:tcW w:w="473" w:type="dxa"/>
          </w:tcPr>
          <w:p w14:paraId="64416672" w14:textId="77777777" w:rsidR="008D3598" w:rsidRPr="00511330" w:rsidRDefault="008D3598" w:rsidP="00721566">
            <w:pPr>
              <w:numPr>
                <w:ilvl w:val="0"/>
                <w:numId w:val="5"/>
              </w:numPr>
              <w:tabs>
                <w:tab w:val="left" w:pos="510"/>
              </w:tabs>
              <w:ind w:right="-450"/>
              <w:rPr>
                <w:rFonts w:asciiTheme="majorBidi" w:eastAsia="Calibri" w:hAnsiTheme="majorBidi" w:cstheme="majorBidi"/>
                <w:sz w:val="20"/>
                <w:szCs w:val="20"/>
                <w:lang w:val="en-US"/>
              </w:rPr>
            </w:pPr>
          </w:p>
        </w:tc>
        <w:tc>
          <w:tcPr>
            <w:tcW w:w="3780" w:type="dxa"/>
          </w:tcPr>
          <w:p w14:paraId="64416673"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Realize change necessity (why)</w:t>
            </w:r>
          </w:p>
        </w:tc>
      </w:tr>
      <w:tr w:rsidR="008D3598" w:rsidRPr="00511330" w14:paraId="64416679" w14:textId="77777777" w:rsidTr="0047402F">
        <w:tc>
          <w:tcPr>
            <w:tcW w:w="540" w:type="dxa"/>
          </w:tcPr>
          <w:p w14:paraId="64416675" w14:textId="77777777" w:rsidR="008D3598" w:rsidRPr="00511330" w:rsidRDefault="008D3598" w:rsidP="00721566">
            <w:pPr>
              <w:numPr>
                <w:ilvl w:val="0"/>
                <w:numId w:val="5"/>
              </w:numPr>
              <w:tabs>
                <w:tab w:val="left" w:pos="510"/>
              </w:tabs>
              <w:ind w:right="-450"/>
              <w:rPr>
                <w:rFonts w:asciiTheme="majorBidi" w:eastAsia="Calibri" w:hAnsiTheme="majorBidi" w:cstheme="majorBidi"/>
                <w:sz w:val="20"/>
                <w:szCs w:val="20"/>
                <w:lang w:val="en-US"/>
              </w:rPr>
            </w:pPr>
          </w:p>
        </w:tc>
        <w:tc>
          <w:tcPr>
            <w:tcW w:w="2970" w:type="dxa"/>
          </w:tcPr>
          <w:p w14:paraId="64416676"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Rumors</w:t>
            </w:r>
          </w:p>
        </w:tc>
        <w:tc>
          <w:tcPr>
            <w:tcW w:w="473" w:type="dxa"/>
          </w:tcPr>
          <w:p w14:paraId="64416677" w14:textId="77777777" w:rsidR="008D3598" w:rsidRPr="00511330" w:rsidRDefault="008D3598" w:rsidP="00721566">
            <w:pPr>
              <w:numPr>
                <w:ilvl w:val="0"/>
                <w:numId w:val="5"/>
              </w:numPr>
              <w:tabs>
                <w:tab w:val="left" w:pos="510"/>
              </w:tabs>
              <w:ind w:right="-450"/>
              <w:rPr>
                <w:rFonts w:asciiTheme="majorBidi" w:eastAsia="Calibri" w:hAnsiTheme="majorBidi" w:cstheme="majorBidi"/>
                <w:sz w:val="20"/>
                <w:szCs w:val="20"/>
                <w:lang w:val="en-US"/>
              </w:rPr>
            </w:pPr>
          </w:p>
        </w:tc>
        <w:tc>
          <w:tcPr>
            <w:tcW w:w="3780" w:type="dxa"/>
          </w:tcPr>
          <w:p w14:paraId="64416678"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Realize change methods (How)</w:t>
            </w:r>
          </w:p>
        </w:tc>
      </w:tr>
    </w:tbl>
    <w:p w14:paraId="6441667A" w14:textId="77777777" w:rsidR="008D3598" w:rsidRPr="00511330" w:rsidRDefault="008D3598" w:rsidP="00721566">
      <w:pPr>
        <w:ind w:right="-450"/>
        <w:rPr>
          <w:sz w:val="12"/>
          <w:szCs w:val="12"/>
          <w:lang w:val="en-US"/>
        </w:rPr>
      </w:pPr>
    </w:p>
    <w:p w14:paraId="6441667B" w14:textId="091DFE3B" w:rsidR="008D3598" w:rsidRPr="00511330" w:rsidRDefault="008D3598" w:rsidP="0047402F">
      <w:pPr>
        <w:pStyle w:val="Caption"/>
        <w:keepNext/>
        <w:spacing w:after="0"/>
        <w:ind w:right="-450"/>
        <w:rPr>
          <w:rFonts w:asciiTheme="majorBidi" w:hAnsiTheme="majorBidi" w:cstheme="majorBidi"/>
          <w:b w:val="0"/>
          <w:bCs w:val="0"/>
          <w:color w:val="auto"/>
          <w:sz w:val="20"/>
          <w:szCs w:val="20"/>
          <w:lang w:val="en-US"/>
        </w:rPr>
      </w:pPr>
      <w:bookmarkStart w:id="781" w:name="_Toc43310902"/>
      <w:r w:rsidRPr="00511330">
        <w:rPr>
          <w:rFonts w:asciiTheme="majorBidi" w:hAnsiTheme="majorBidi" w:cstheme="majorBidi"/>
          <w:b w:val="0"/>
          <w:bCs w:val="0"/>
          <w:color w:val="auto"/>
          <w:sz w:val="20"/>
          <w:szCs w:val="20"/>
          <w:lang w:val="en-US"/>
        </w:rPr>
        <w:lastRenderedPageBreak/>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12</w:t>
      </w:r>
      <w:r w:rsidRPr="00511330">
        <w:rPr>
          <w:rFonts w:asciiTheme="majorBidi" w:hAnsiTheme="majorBidi" w:cstheme="majorBidi"/>
          <w:b w:val="0"/>
          <w:bCs w:val="0"/>
          <w:color w:val="auto"/>
          <w:sz w:val="20"/>
          <w:szCs w:val="20"/>
          <w:lang w:val="en-US"/>
        </w:rPr>
        <w:fldChar w:fldCharType="end"/>
      </w:r>
      <w:r w:rsidR="0047402F"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Barriers Reported by Top Management</w:t>
      </w:r>
      <w:r w:rsidR="00C9086B" w:rsidRPr="00511330">
        <w:rPr>
          <w:rFonts w:asciiTheme="majorBidi" w:hAnsiTheme="majorBidi" w:cstheme="majorBidi"/>
          <w:b w:val="0"/>
          <w:bCs w:val="0"/>
          <w:i/>
          <w:iCs/>
          <w:color w:val="auto"/>
          <w:sz w:val="20"/>
          <w:szCs w:val="20"/>
          <w:lang w:val="en-US"/>
        </w:rPr>
        <w:t xml:space="preserve"> Perspective</w:t>
      </w:r>
      <w:bookmarkEnd w:id="781"/>
    </w:p>
    <w:tbl>
      <w:tblPr>
        <w:tblStyle w:val="TableGrid1"/>
        <w:tblW w:w="7848" w:type="dxa"/>
        <w:tblInd w:w="-90" w:type="dxa"/>
        <w:tblLayout w:type="fixed"/>
        <w:tblLook w:val="04A0" w:firstRow="1" w:lastRow="0" w:firstColumn="1" w:lastColumn="0" w:noHBand="0" w:noVBand="1"/>
      </w:tblPr>
      <w:tblGrid>
        <w:gridCol w:w="468"/>
        <w:gridCol w:w="3127"/>
        <w:gridCol w:w="540"/>
        <w:gridCol w:w="3713"/>
      </w:tblGrid>
      <w:tr w:rsidR="008D3598" w:rsidRPr="00511330" w14:paraId="6441667D" w14:textId="77777777" w:rsidTr="00ED6132">
        <w:tc>
          <w:tcPr>
            <w:tcW w:w="7848" w:type="dxa"/>
            <w:gridSpan w:val="4"/>
            <w:shd w:val="clear" w:color="auto" w:fill="F2F2F2" w:themeFill="background1" w:themeFillShade="F2"/>
          </w:tcPr>
          <w:p w14:paraId="6441667C" w14:textId="77777777" w:rsidR="008D3598" w:rsidRPr="00511330" w:rsidRDefault="008D3598" w:rsidP="00721566">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CM Barriers from Top Management Perspective</w:t>
            </w:r>
          </w:p>
        </w:tc>
      </w:tr>
      <w:tr w:rsidR="008D3598" w:rsidRPr="00511330" w14:paraId="64416682" w14:textId="77777777" w:rsidTr="00F11D42">
        <w:tc>
          <w:tcPr>
            <w:tcW w:w="468" w:type="dxa"/>
          </w:tcPr>
          <w:p w14:paraId="6441667E"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w:t>
            </w:r>
          </w:p>
        </w:tc>
        <w:tc>
          <w:tcPr>
            <w:tcW w:w="3127" w:type="dxa"/>
          </w:tcPr>
          <w:p w14:paraId="6441667F"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Not tolerable going forward</w:t>
            </w:r>
          </w:p>
        </w:tc>
        <w:tc>
          <w:tcPr>
            <w:tcW w:w="540" w:type="dxa"/>
          </w:tcPr>
          <w:p w14:paraId="64416680"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w:t>
            </w:r>
          </w:p>
        </w:tc>
        <w:tc>
          <w:tcPr>
            <w:tcW w:w="3713" w:type="dxa"/>
          </w:tcPr>
          <w:p w14:paraId="64416681"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Poor team member morals</w:t>
            </w:r>
          </w:p>
        </w:tc>
      </w:tr>
      <w:tr w:rsidR="008D3598" w:rsidRPr="00511330" w14:paraId="64416687" w14:textId="77777777" w:rsidTr="00F11D42">
        <w:tc>
          <w:tcPr>
            <w:tcW w:w="468" w:type="dxa"/>
          </w:tcPr>
          <w:p w14:paraId="64416683"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w:t>
            </w:r>
          </w:p>
        </w:tc>
        <w:tc>
          <w:tcPr>
            <w:tcW w:w="3127" w:type="dxa"/>
          </w:tcPr>
          <w:p w14:paraId="64416684"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High risk of rework</w:t>
            </w:r>
          </w:p>
        </w:tc>
        <w:tc>
          <w:tcPr>
            <w:tcW w:w="540" w:type="dxa"/>
          </w:tcPr>
          <w:p w14:paraId="64416685"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4.</w:t>
            </w:r>
          </w:p>
        </w:tc>
        <w:tc>
          <w:tcPr>
            <w:tcW w:w="3713" w:type="dxa"/>
          </w:tcPr>
          <w:p w14:paraId="64416686"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failure</w:t>
            </w:r>
          </w:p>
        </w:tc>
      </w:tr>
      <w:tr w:rsidR="008D3598" w:rsidRPr="00511330" w14:paraId="6441668C" w14:textId="77777777" w:rsidTr="00F11D42">
        <w:tc>
          <w:tcPr>
            <w:tcW w:w="468" w:type="dxa"/>
          </w:tcPr>
          <w:p w14:paraId="64416688"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w:t>
            </w:r>
          </w:p>
        </w:tc>
        <w:tc>
          <w:tcPr>
            <w:tcW w:w="3127" w:type="dxa"/>
          </w:tcPr>
          <w:p w14:paraId="64416689"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unexpected obstacles</w:t>
            </w:r>
          </w:p>
        </w:tc>
        <w:tc>
          <w:tcPr>
            <w:tcW w:w="540" w:type="dxa"/>
          </w:tcPr>
          <w:p w14:paraId="6441668A"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w:t>
            </w:r>
          </w:p>
        </w:tc>
        <w:tc>
          <w:tcPr>
            <w:tcW w:w="3713" w:type="dxa"/>
          </w:tcPr>
          <w:p w14:paraId="6441668B"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Time pressure</w:t>
            </w:r>
          </w:p>
        </w:tc>
      </w:tr>
      <w:tr w:rsidR="008D3598" w:rsidRPr="00511330" w14:paraId="64416691" w14:textId="77777777" w:rsidTr="00F11D42">
        <w:tc>
          <w:tcPr>
            <w:tcW w:w="468" w:type="dxa"/>
          </w:tcPr>
          <w:p w14:paraId="6441668D"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7.</w:t>
            </w:r>
          </w:p>
        </w:tc>
        <w:tc>
          <w:tcPr>
            <w:tcW w:w="3127" w:type="dxa"/>
          </w:tcPr>
          <w:p w14:paraId="6441668E"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Unclear objectives</w:t>
            </w:r>
          </w:p>
        </w:tc>
        <w:tc>
          <w:tcPr>
            <w:tcW w:w="540" w:type="dxa"/>
          </w:tcPr>
          <w:p w14:paraId="6441668F"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8.</w:t>
            </w:r>
          </w:p>
        </w:tc>
        <w:tc>
          <w:tcPr>
            <w:tcW w:w="3713" w:type="dxa"/>
          </w:tcPr>
          <w:p w14:paraId="64416690"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Restricted rules/regulations</w:t>
            </w:r>
          </w:p>
        </w:tc>
      </w:tr>
      <w:tr w:rsidR="008D3598" w:rsidRPr="00511330" w14:paraId="64416696" w14:textId="77777777" w:rsidTr="00F11D42">
        <w:tc>
          <w:tcPr>
            <w:tcW w:w="468" w:type="dxa"/>
          </w:tcPr>
          <w:p w14:paraId="64416692"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9.</w:t>
            </w:r>
          </w:p>
        </w:tc>
        <w:tc>
          <w:tcPr>
            <w:tcW w:w="3127" w:type="dxa"/>
          </w:tcPr>
          <w:p w14:paraId="64416693"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Lack of empowerment</w:t>
            </w:r>
          </w:p>
        </w:tc>
        <w:tc>
          <w:tcPr>
            <w:tcW w:w="540" w:type="dxa"/>
          </w:tcPr>
          <w:p w14:paraId="64416694"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10</w:t>
            </w:r>
          </w:p>
        </w:tc>
        <w:tc>
          <w:tcPr>
            <w:tcW w:w="3713" w:type="dxa"/>
          </w:tcPr>
          <w:p w14:paraId="64416695"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Disturbance of power hierarchies</w:t>
            </w:r>
          </w:p>
        </w:tc>
      </w:tr>
      <w:tr w:rsidR="008D3598" w:rsidRPr="00511330" w14:paraId="6441669B" w14:textId="77777777" w:rsidTr="00F11D42">
        <w:tc>
          <w:tcPr>
            <w:tcW w:w="468" w:type="dxa"/>
          </w:tcPr>
          <w:p w14:paraId="64416697" w14:textId="319C57D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11</w:t>
            </w:r>
            <w:r w:rsidR="0047402F" w:rsidRPr="00511330">
              <w:rPr>
                <w:rFonts w:asciiTheme="majorBidi" w:eastAsia="Calibri" w:hAnsiTheme="majorBidi" w:cstheme="majorBidi"/>
                <w:sz w:val="20"/>
                <w:szCs w:val="20"/>
                <w:lang w:val="en-US"/>
              </w:rPr>
              <w:t>.</w:t>
            </w:r>
          </w:p>
        </w:tc>
        <w:tc>
          <w:tcPr>
            <w:tcW w:w="3127" w:type="dxa"/>
          </w:tcPr>
          <w:p w14:paraId="64416698"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Poor communication</w:t>
            </w:r>
          </w:p>
        </w:tc>
        <w:tc>
          <w:tcPr>
            <w:tcW w:w="540" w:type="dxa"/>
          </w:tcPr>
          <w:p w14:paraId="64416699"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12.</w:t>
            </w:r>
          </w:p>
        </w:tc>
        <w:tc>
          <w:tcPr>
            <w:tcW w:w="3713" w:type="dxa"/>
          </w:tcPr>
          <w:p w14:paraId="6441669A"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Inter-dependencies in roles</w:t>
            </w:r>
          </w:p>
        </w:tc>
      </w:tr>
      <w:tr w:rsidR="008D3598" w:rsidRPr="00511330" w14:paraId="644166A0" w14:textId="77777777" w:rsidTr="00F11D42">
        <w:tc>
          <w:tcPr>
            <w:tcW w:w="468" w:type="dxa"/>
          </w:tcPr>
          <w:p w14:paraId="6441669C" w14:textId="55E2A4C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13</w:t>
            </w:r>
            <w:r w:rsidR="0047402F" w:rsidRPr="00511330">
              <w:rPr>
                <w:rFonts w:asciiTheme="majorBidi" w:eastAsia="Calibri" w:hAnsiTheme="majorBidi" w:cstheme="majorBidi"/>
                <w:sz w:val="20"/>
                <w:szCs w:val="20"/>
                <w:lang w:val="en-US"/>
              </w:rPr>
              <w:t>.</w:t>
            </w:r>
          </w:p>
        </w:tc>
        <w:tc>
          <w:tcPr>
            <w:tcW w:w="3127" w:type="dxa"/>
          </w:tcPr>
          <w:p w14:paraId="6441669D"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Employees’ resistance</w:t>
            </w:r>
          </w:p>
        </w:tc>
        <w:tc>
          <w:tcPr>
            <w:tcW w:w="540" w:type="dxa"/>
          </w:tcPr>
          <w:p w14:paraId="6441669E"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14.</w:t>
            </w:r>
          </w:p>
        </w:tc>
        <w:tc>
          <w:tcPr>
            <w:tcW w:w="3713" w:type="dxa"/>
          </w:tcPr>
          <w:p w14:paraId="6441669F"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Inability/willingness to change</w:t>
            </w:r>
          </w:p>
        </w:tc>
      </w:tr>
      <w:tr w:rsidR="008D3598" w:rsidRPr="00511330" w14:paraId="644166A5" w14:textId="77777777" w:rsidTr="00F11D42">
        <w:tc>
          <w:tcPr>
            <w:tcW w:w="468" w:type="dxa"/>
          </w:tcPr>
          <w:p w14:paraId="644166A1" w14:textId="72D83FAE"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15</w:t>
            </w:r>
            <w:r w:rsidR="0047402F" w:rsidRPr="00511330">
              <w:rPr>
                <w:rFonts w:asciiTheme="majorBidi" w:eastAsia="Calibri" w:hAnsiTheme="majorBidi" w:cstheme="majorBidi"/>
                <w:sz w:val="20"/>
                <w:szCs w:val="20"/>
                <w:lang w:val="en-US"/>
              </w:rPr>
              <w:t>.</w:t>
            </w:r>
          </w:p>
        </w:tc>
        <w:tc>
          <w:tcPr>
            <w:tcW w:w="3127" w:type="dxa"/>
          </w:tcPr>
          <w:p w14:paraId="644166A2"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Complex change processes</w:t>
            </w:r>
          </w:p>
        </w:tc>
        <w:tc>
          <w:tcPr>
            <w:tcW w:w="540" w:type="dxa"/>
          </w:tcPr>
          <w:p w14:paraId="644166A3"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16.</w:t>
            </w:r>
          </w:p>
        </w:tc>
        <w:tc>
          <w:tcPr>
            <w:tcW w:w="3713" w:type="dxa"/>
          </w:tcPr>
          <w:p w14:paraId="644166A4"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Closed and extremism cultures</w:t>
            </w:r>
          </w:p>
        </w:tc>
      </w:tr>
      <w:tr w:rsidR="008D3598" w:rsidRPr="00511330" w14:paraId="644166AA" w14:textId="77777777" w:rsidTr="00F11D42">
        <w:tc>
          <w:tcPr>
            <w:tcW w:w="468" w:type="dxa"/>
          </w:tcPr>
          <w:p w14:paraId="644166A6" w14:textId="6D0FEACC"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17</w:t>
            </w:r>
            <w:r w:rsidR="0047402F" w:rsidRPr="00511330">
              <w:rPr>
                <w:rFonts w:asciiTheme="majorBidi" w:eastAsia="Calibri" w:hAnsiTheme="majorBidi" w:cstheme="majorBidi"/>
                <w:sz w:val="20"/>
                <w:szCs w:val="20"/>
                <w:lang w:val="en-US"/>
              </w:rPr>
              <w:t>.</w:t>
            </w:r>
          </w:p>
        </w:tc>
        <w:tc>
          <w:tcPr>
            <w:tcW w:w="3127" w:type="dxa"/>
          </w:tcPr>
          <w:p w14:paraId="644166A7"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Poor team member-morals</w:t>
            </w:r>
          </w:p>
        </w:tc>
        <w:tc>
          <w:tcPr>
            <w:tcW w:w="540" w:type="dxa"/>
          </w:tcPr>
          <w:p w14:paraId="644166A8"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18.</w:t>
            </w:r>
          </w:p>
        </w:tc>
        <w:tc>
          <w:tcPr>
            <w:tcW w:w="3713" w:type="dxa"/>
          </w:tcPr>
          <w:p w14:paraId="644166A9"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Maturity level / organization size</w:t>
            </w:r>
          </w:p>
        </w:tc>
      </w:tr>
      <w:tr w:rsidR="008D3598" w:rsidRPr="00511330" w14:paraId="644166AD" w14:textId="77777777" w:rsidTr="00F11D42">
        <w:tc>
          <w:tcPr>
            <w:tcW w:w="468" w:type="dxa"/>
          </w:tcPr>
          <w:p w14:paraId="644166AB" w14:textId="16AF863A"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19</w:t>
            </w:r>
            <w:r w:rsidR="0047402F" w:rsidRPr="00511330">
              <w:rPr>
                <w:rFonts w:asciiTheme="majorBidi" w:eastAsia="Calibri" w:hAnsiTheme="majorBidi" w:cstheme="majorBidi"/>
                <w:sz w:val="20"/>
                <w:szCs w:val="20"/>
                <w:lang w:val="en-US"/>
              </w:rPr>
              <w:t>.</w:t>
            </w:r>
          </w:p>
        </w:tc>
        <w:tc>
          <w:tcPr>
            <w:tcW w:w="7380" w:type="dxa"/>
            <w:gridSpan w:val="3"/>
          </w:tcPr>
          <w:p w14:paraId="644166AC"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Insufficient allocation of resources</w:t>
            </w:r>
          </w:p>
        </w:tc>
      </w:tr>
    </w:tbl>
    <w:p w14:paraId="644166AE" w14:textId="77777777" w:rsidR="008D3598" w:rsidRPr="00511330" w:rsidRDefault="008D3598" w:rsidP="00721566">
      <w:pPr>
        <w:ind w:right="-450"/>
        <w:rPr>
          <w:lang w:val="en-US"/>
        </w:rPr>
      </w:pPr>
    </w:p>
    <w:p w14:paraId="644166AF" w14:textId="274D1E10" w:rsidR="008D3598" w:rsidRPr="00511330" w:rsidRDefault="008D3598" w:rsidP="0047402F">
      <w:pPr>
        <w:pStyle w:val="Caption"/>
        <w:keepNext/>
        <w:spacing w:after="0"/>
        <w:ind w:right="-450"/>
        <w:rPr>
          <w:rFonts w:asciiTheme="majorBidi" w:hAnsiTheme="majorBidi" w:cstheme="majorBidi"/>
          <w:b w:val="0"/>
          <w:bCs w:val="0"/>
          <w:color w:val="auto"/>
          <w:sz w:val="20"/>
          <w:szCs w:val="20"/>
          <w:lang w:val="en-US"/>
        </w:rPr>
      </w:pPr>
      <w:bookmarkStart w:id="782" w:name="_Toc43310903"/>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13</w:t>
      </w:r>
      <w:r w:rsidRPr="00511330">
        <w:rPr>
          <w:rFonts w:asciiTheme="majorBidi" w:hAnsiTheme="majorBidi" w:cstheme="majorBidi"/>
          <w:b w:val="0"/>
          <w:bCs w:val="0"/>
          <w:color w:val="auto"/>
          <w:sz w:val="20"/>
          <w:szCs w:val="20"/>
          <w:lang w:val="en-US"/>
        </w:rPr>
        <w:fldChar w:fldCharType="end"/>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Barriers Reported by Employees</w:t>
      </w:r>
      <w:r w:rsidR="00C9086B" w:rsidRPr="00511330">
        <w:rPr>
          <w:rFonts w:asciiTheme="majorBidi" w:hAnsiTheme="majorBidi" w:cstheme="majorBidi"/>
          <w:b w:val="0"/>
          <w:bCs w:val="0"/>
          <w:i/>
          <w:iCs/>
          <w:color w:val="auto"/>
          <w:sz w:val="20"/>
          <w:szCs w:val="20"/>
          <w:lang w:val="en-US"/>
        </w:rPr>
        <w:t xml:space="preserve"> Perspective</w:t>
      </w:r>
      <w:bookmarkEnd w:id="782"/>
    </w:p>
    <w:tbl>
      <w:tblPr>
        <w:tblStyle w:val="TableGrid1"/>
        <w:tblW w:w="7848" w:type="dxa"/>
        <w:tblInd w:w="-90" w:type="dxa"/>
        <w:tblLayout w:type="fixed"/>
        <w:tblLook w:val="04A0" w:firstRow="1" w:lastRow="0" w:firstColumn="1" w:lastColumn="0" w:noHBand="0" w:noVBand="1"/>
      </w:tblPr>
      <w:tblGrid>
        <w:gridCol w:w="468"/>
        <w:gridCol w:w="3127"/>
        <w:gridCol w:w="540"/>
        <w:gridCol w:w="3713"/>
      </w:tblGrid>
      <w:tr w:rsidR="008D3598" w:rsidRPr="00511330" w14:paraId="644166B1" w14:textId="77777777" w:rsidTr="00ED6132">
        <w:tc>
          <w:tcPr>
            <w:tcW w:w="7848" w:type="dxa"/>
            <w:gridSpan w:val="4"/>
            <w:shd w:val="clear" w:color="auto" w:fill="F2F2F2" w:themeFill="background1" w:themeFillShade="F2"/>
          </w:tcPr>
          <w:p w14:paraId="644166B0" w14:textId="77777777" w:rsidR="008D3598" w:rsidRPr="00511330" w:rsidRDefault="008D3598" w:rsidP="00721566">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CM Barriers from Employees</w:t>
            </w:r>
            <w:r w:rsidRPr="00511330">
              <w:rPr>
                <w:rFonts w:asciiTheme="majorBidi" w:eastAsia="Calibri" w:hAnsiTheme="majorBidi" w:cstheme="majorBidi"/>
                <w:b/>
                <w:bCs/>
                <w:color w:val="000000"/>
                <w:sz w:val="20"/>
                <w:szCs w:val="20"/>
                <w:lang w:val="en-US"/>
              </w:rPr>
              <w:t xml:space="preserve"> </w:t>
            </w:r>
            <w:r w:rsidRPr="00511330">
              <w:rPr>
                <w:rFonts w:asciiTheme="majorBidi" w:eastAsia="Calibri" w:hAnsiTheme="majorBidi" w:cstheme="majorBidi"/>
                <w:b/>
                <w:bCs/>
                <w:sz w:val="20"/>
                <w:szCs w:val="20"/>
                <w:lang w:val="en-US"/>
              </w:rPr>
              <w:t>Perspective</w:t>
            </w:r>
          </w:p>
        </w:tc>
      </w:tr>
      <w:tr w:rsidR="008D3598" w:rsidRPr="00511330" w14:paraId="644166B6" w14:textId="77777777" w:rsidTr="00F11D42">
        <w:tc>
          <w:tcPr>
            <w:tcW w:w="468" w:type="dxa"/>
          </w:tcPr>
          <w:p w14:paraId="644166B2"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w:t>
            </w:r>
          </w:p>
        </w:tc>
        <w:tc>
          <w:tcPr>
            <w:tcW w:w="3127" w:type="dxa"/>
          </w:tcPr>
          <w:p w14:paraId="644166B3" w14:textId="77777777" w:rsidR="008D3598" w:rsidRPr="00511330" w:rsidRDefault="008D3598" w:rsidP="003E346F">
            <w:pPr>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Minute employee involvement </w:t>
            </w:r>
          </w:p>
        </w:tc>
        <w:tc>
          <w:tcPr>
            <w:tcW w:w="540" w:type="dxa"/>
          </w:tcPr>
          <w:p w14:paraId="644166B4"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w:t>
            </w:r>
          </w:p>
        </w:tc>
        <w:tc>
          <w:tcPr>
            <w:tcW w:w="3713" w:type="dxa"/>
          </w:tcPr>
          <w:p w14:paraId="644166B5" w14:textId="77777777" w:rsidR="008D3598" w:rsidRPr="00511330" w:rsidRDefault="008D3598" w:rsidP="003E346F">
            <w:pPr>
              <w:ind w:right="9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unemployment (losing their jobs)</w:t>
            </w:r>
          </w:p>
        </w:tc>
      </w:tr>
      <w:tr w:rsidR="008D3598" w:rsidRPr="00511330" w14:paraId="644166BB" w14:textId="77777777" w:rsidTr="00F11D42">
        <w:tc>
          <w:tcPr>
            <w:tcW w:w="468" w:type="dxa"/>
          </w:tcPr>
          <w:p w14:paraId="644166B7"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w:t>
            </w:r>
          </w:p>
        </w:tc>
        <w:tc>
          <w:tcPr>
            <w:tcW w:w="3127" w:type="dxa"/>
          </w:tcPr>
          <w:p w14:paraId="644166B8" w14:textId="77777777" w:rsidR="008D3598" w:rsidRPr="00511330" w:rsidRDefault="008D3598" w:rsidP="003E346F">
            <w:pPr>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misleading management</w:t>
            </w:r>
          </w:p>
        </w:tc>
        <w:tc>
          <w:tcPr>
            <w:tcW w:w="540" w:type="dxa"/>
          </w:tcPr>
          <w:p w14:paraId="644166B9"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4.</w:t>
            </w:r>
          </w:p>
        </w:tc>
        <w:tc>
          <w:tcPr>
            <w:tcW w:w="3713" w:type="dxa"/>
          </w:tcPr>
          <w:p w14:paraId="644166BA" w14:textId="77777777" w:rsidR="008D3598" w:rsidRPr="00511330" w:rsidRDefault="008D3598" w:rsidP="003E346F">
            <w:pPr>
              <w:ind w:right="9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Wrong perception of budget wastage </w:t>
            </w:r>
          </w:p>
        </w:tc>
      </w:tr>
      <w:tr w:rsidR="008D3598" w:rsidRPr="00511330" w14:paraId="644166C0" w14:textId="77777777" w:rsidTr="00F11D42">
        <w:tc>
          <w:tcPr>
            <w:tcW w:w="468" w:type="dxa"/>
          </w:tcPr>
          <w:p w14:paraId="644166BC"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w:t>
            </w:r>
          </w:p>
        </w:tc>
        <w:tc>
          <w:tcPr>
            <w:tcW w:w="3127" w:type="dxa"/>
          </w:tcPr>
          <w:p w14:paraId="644166BD" w14:textId="77777777" w:rsidR="008D3598" w:rsidRPr="00511330" w:rsidRDefault="008D3598" w:rsidP="003E346F">
            <w:pPr>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Fear of stress and confusion </w:t>
            </w:r>
          </w:p>
        </w:tc>
        <w:tc>
          <w:tcPr>
            <w:tcW w:w="540" w:type="dxa"/>
          </w:tcPr>
          <w:p w14:paraId="644166BE"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w:t>
            </w:r>
          </w:p>
        </w:tc>
        <w:tc>
          <w:tcPr>
            <w:tcW w:w="3713" w:type="dxa"/>
          </w:tcPr>
          <w:p w14:paraId="644166BF" w14:textId="77777777" w:rsidR="008D3598" w:rsidRPr="00511330" w:rsidRDefault="008D3598" w:rsidP="003E346F">
            <w:pPr>
              <w:ind w:right="9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Infective communication strategy</w:t>
            </w:r>
          </w:p>
        </w:tc>
      </w:tr>
      <w:tr w:rsidR="008D3598" w:rsidRPr="00511330" w14:paraId="644166C5" w14:textId="77777777" w:rsidTr="00F11D42">
        <w:tc>
          <w:tcPr>
            <w:tcW w:w="468" w:type="dxa"/>
          </w:tcPr>
          <w:p w14:paraId="644166C1"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7.</w:t>
            </w:r>
          </w:p>
        </w:tc>
        <w:tc>
          <w:tcPr>
            <w:tcW w:w="3127" w:type="dxa"/>
          </w:tcPr>
          <w:p w14:paraId="644166C2" w14:textId="77777777" w:rsidR="008D3598" w:rsidRPr="00511330" w:rsidRDefault="008D3598" w:rsidP="003E346F">
            <w:pPr>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Resistance to change</w:t>
            </w:r>
          </w:p>
        </w:tc>
        <w:tc>
          <w:tcPr>
            <w:tcW w:w="540" w:type="dxa"/>
          </w:tcPr>
          <w:p w14:paraId="644166C3"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8.</w:t>
            </w:r>
          </w:p>
        </w:tc>
        <w:tc>
          <w:tcPr>
            <w:tcW w:w="3713" w:type="dxa"/>
          </w:tcPr>
          <w:p w14:paraId="644166C4" w14:textId="77777777" w:rsidR="008D3598" w:rsidRPr="00511330" w:rsidRDefault="008D3598" w:rsidP="003E346F">
            <w:pPr>
              <w:ind w:right="9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Opposing psychology</w:t>
            </w:r>
          </w:p>
        </w:tc>
      </w:tr>
      <w:tr w:rsidR="008D3598" w:rsidRPr="00511330" w14:paraId="644166CA" w14:textId="77777777" w:rsidTr="00F11D42">
        <w:tc>
          <w:tcPr>
            <w:tcW w:w="468" w:type="dxa"/>
          </w:tcPr>
          <w:p w14:paraId="644166C6"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9.</w:t>
            </w:r>
          </w:p>
        </w:tc>
        <w:tc>
          <w:tcPr>
            <w:tcW w:w="3127" w:type="dxa"/>
          </w:tcPr>
          <w:p w14:paraId="644166C7" w14:textId="77777777" w:rsidR="008D3598" w:rsidRPr="00511330" w:rsidRDefault="008D3598" w:rsidP="003E346F">
            <w:pPr>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Different agenda</w:t>
            </w:r>
          </w:p>
        </w:tc>
        <w:tc>
          <w:tcPr>
            <w:tcW w:w="540" w:type="dxa"/>
          </w:tcPr>
          <w:p w14:paraId="644166C8"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10.</w:t>
            </w:r>
          </w:p>
        </w:tc>
        <w:tc>
          <w:tcPr>
            <w:tcW w:w="3713" w:type="dxa"/>
          </w:tcPr>
          <w:p w14:paraId="644166C9" w14:textId="77777777" w:rsidR="008D3598" w:rsidRPr="00511330" w:rsidRDefault="008D3598" w:rsidP="003E346F">
            <w:pPr>
              <w:ind w:right="9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Complexity of change processes</w:t>
            </w:r>
          </w:p>
        </w:tc>
      </w:tr>
      <w:tr w:rsidR="008D3598" w:rsidRPr="00511330" w14:paraId="644166CF" w14:textId="77777777" w:rsidTr="00F11D42">
        <w:tc>
          <w:tcPr>
            <w:tcW w:w="468" w:type="dxa"/>
          </w:tcPr>
          <w:p w14:paraId="644166CB" w14:textId="66BD2B1F"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11</w:t>
            </w:r>
            <w:r w:rsidR="0047402F" w:rsidRPr="00511330">
              <w:rPr>
                <w:rFonts w:asciiTheme="majorBidi" w:eastAsia="Calibri" w:hAnsiTheme="majorBidi" w:cstheme="majorBidi"/>
                <w:sz w:val="20"/>
                <w:szCs w:val="20"/>
                <w:lang w:val="en-US"/>
              </w:rPr>
              <w:t>.</w:t>
            </w:r>
          </w:p>
        </w:tc>
        <w:tc>
          <w:tcPr>
            <w:tcW w:w="3127" w:type="dxa"/>
          </w:tcPr>
          <w:p w14:paraId="644166CC" w14:textId="77777777" w:rsidR="008D3598" w:rsidRPr="00511330" w:rsidRDefault="008D3598" w:rsidP="003E346F">
            <w:pPr>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Risk of rework</w:t>
            </w:r>
          </w:p>
        </w:tc>
        <w:tc>
          <w:tcPr>
            <w:tcW w:w="540" w:type="dxa"/>
          </w:tcPr>
          <w:p w14:paraId="644166CD"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12.</w:t>
            </w:r>
          </w:p>
        </w:tc>
        <w:tc>
          <w:tcPr>
            <w:tcW w:w="3713" w:type="dxa"/>
          </w:tcPr>
          <w:p w14:paraId="644166CE" w14:textId="77777777" w:rsidR="008D3598" w:rsidRPr="00511330" w:rsidRDefault="008D3598" w:rsidP="003E346F">
            <w:pPr>
              <w:ind w:right="9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poor outcome</w:t>
            </w:r>
          </w:p>
        </w:tc>
      </w:tr>
      <w:tr w:rsidR="008D3598" w:rsidRPr="00511330" w14:paraId="644166D4" w14:textId="77777777" w:rsidTr="00F11D42">
        <w:tc>
          <w:tcPr>
            <w:tcW w:w="468" w:type="dxa"/>
          </w:tcPr>
          <w:p w14:paraId="644166D0" w14:textId="022C2C1E"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13</w:t>
            </w:r>
            <w:r w:rsidR="0047402F" w:rsidRPr="00511330">
              <w:rPr>
                <w:rFonts w:asciiTheme="majorBidi" w:eastAsia="Calibri" w:hAnsiTheme="majorBidi" w:cstheme="majorBidi"/>
                <w:sz w:val="20"/>
                <w:szCs w:val="20"/>
                <w:lang w:val="en-US"/>
              </w:rPr>
              <w:t>.</w:t>
            </w:r>
          </w:p>
        </w:tc>
        <w:tc>
          <w:tcPr>
            <w:tcW w:w="3127" w:type="dxa"/>
          </w:tcPr>
          <w:p w14:paraId="644166D1" w14:textId="77777777" w:rsidR="008D3598" w:rsidRPr="00511330" w:rsidRDefault="008D3598" w:rsidP="003E346F">
            <w:pPr>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Waste of time</w:t>
            </w:r>
          </w:p>
        </w:tc>
        <w:tc>
          <w:tcPr>
            <w:tcW w:w="540" w:type="dxa"/>
          </w:tcPr>
          <w:p w14:paraId="644166D2"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14.</w:t>
            </w:r>
          </w:p>
        </w:tc>
        <w:tc>
          <w:tcPr>
            <w:tcW w:w="3713" w:type="dxa"/>
          </w:tcPr>
          <w:p w14:paraId="644166D3" w14:textId="77777777" w:rsidR="008D3598" w:rsidRPr="00511330" w:rsidRDefault="008D3598" w:rsidP="003E346F">
            <w:pPr>
              <w:ind w:right="9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Lack of proper focus</w:t>
            </w:r>
          </w:p>
        </w:tc>
      </w:tr>
      <w:tr w:rsidR="008D3598" w:rsidRPr="00511330" w14:paraId="644166D9" w14:textId="77777777" w:rsidTr="00F11D42">
        <w:tc>
          <w:tcPr>
            <w:tcW w:w="468" w:type="dxa"/>
          </w:tcPr>
          <w:p w14:paraId="644166D5" w14:textId="73A524EE"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15</w:t>
            </w:r>
            <w:r w:rsidR="0047402F" w:rsidRPr="00511330">
              <w:rPr>
                <w:rFonts w:asciiTheme="majorBidi" w:eastAsia="Calibri" w:hAnsiTheme="majorBidi" w:cstheme="majorBidi"/>
                <w:sz w:val="20"/>
                <w:szCs w:val="20"/>
                <w:lang w:val="en-US"/>
              </w:rPr>
              <w:t>.</w:t>
            </w:r>
          </w:p>
        </w:tc>
        <w:tc>
          <w:tcPr>
            <w:tcW w:w="3127" w:type="dxa"/>
          </w:tcPr>
          <w:p w14:paraId="644166D6" w14:textId="77777777" w:rsidR="008D3598" w:rsidRPr="00511330" w:rsidRDefault="008D3598" w:rsidP="003E346F">
            <w:pPr>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Rumors</w:t>
            </w:r>
          </w:p>
        </w:tc>
        <w:tc>
          <w:tcPr>
            <w:tcW w:w="540" w:type="dxa"/>
          </w:tcPr>
          <w:p w14:paraId="644166D7"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16.</w:t>
            </w:r>
          </w:p>
        </w:tc>
        <w:tc>
          <w:tcPr>
            <w:tcW w:w="3713" w:type="dxa"/>
          </w:tcPr>
          <w:p w14:paraId="644166D8" w14:textId="77777777" w:rsidR="008D3598" w:rsidRPr="00511330" w:rsidRDefault="008D3598" w:rsidP="003E346F">
            <w:pPr>
              <w:ind w:right="9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No clear accountability</w:t>
            </w:r>
          </w:p>
        </w:tc>
      </w:tr>
      <w:tr w:rsidR="008D3598" w:rsidRPr="00511330" w14:paraId="644166DE" w14:textId="77777777" w:rsidTr="00F11D42">
        <w:tc>
          <w:tcPr>
            <w:tcW w:w="468" w:type="dxa"/>
          </w:tcPr>
          <w:p w14:paraId="644166DA" w14:textId="2186BAD9"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17</w:t>
            </w:r>
            <w:r w:rsidR="0047402F" w:rsidRPr="00511330">
              <w:rPr>
                <w:rFonts w:asciiTheme="majorBidi" w:eastAsia="Calibri" w:hAnsiTheme="majorBidi" w:cstheme="majorBidi"/>
                <w:sz w:val="20"/>
                <w:szCs w:val="20"/>
                <w:lang w:val="en-US"/>
              </w:rPr>
              <w:t>.</w:t>
            </w:r>
          </w:p>
        </w:tc>
        <w:tc>
          <w:tcPr>
            <w:tcW w:w="3127" w:type="dxa"/>
          </w:tcPr>
          <w:p w14:paraId="644166DB" w14:textId="77777777" w:rsidR="008D3598" w:rsidRPr="00511330" w:rsidRDefault="008D3598" w:rsidP="003E346F">
            <w:pPr>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Negative past experience</w:t>
            </w:r>
          </w:p>
        </w:tc>
        <w:tc>
          <w:tcPr>
            <w:tcW w:w="540" w:type="dxa"/>
          </w:tcPr>
          <w:p w14:paraId="644166DC"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18.</w:t>
            </w:r>
          </w:p>
        </w:tc>
        <w:tc>
          <w:tcPr>
            <w:tcW w:w="3713" w:type="dxa"/>
          </w:tcPr>
          <w:p w14:paraId="644166DD" w14:textId="77777777" w:rsidR="008D3598" w:rsidRPr="00511330" w:rsidRDefault="008D3598" w:rsidP="003E346F">
            <w:pPr>
              <w:ind w:right="9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Non-flexible rules</w:t>
            </w:r>
          </w:p>
        </w:tc>
      </w:tr>
      <w:tr w:rsidR="008D3598" w:rsidRPr="00511330" w14:paraId="644166E3" w14:textId="77777777" w:rsidTr="00F11D42">
        <w:tc>
          <w:tcPr>
            <w:tcW w:w="468" w:type="dxa"/>
          </w:tcPr>
          <w:p w14:paraId="644166DF" w14:textId="48BACF1A"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19</w:t>
            </w:r>
            <w:r w:rsidR="0047402F" w:rsidRPr="00511330">
              <w:rPr>
                <w:rFonts w:asciiTheme="majorBidi" w:eastAsia="Calibri" w:hAnsiTheme="majorBidi" w:cstheme="majorBidi"/>
                <w:sz w:val="20"/>
                <w:szCs w:val="20"/>
                <w:lang w:val="en-US"/>
              </w:rPr>
              <w:t>.</w:t>
            </w:r>
          </w:p>
        </w:tc>
        <w:tc>
          <w:tcPr>
            <w:tcW w:w="3127" w:type="dxa"/>
          </w:tcPr>
          <w:p w14:paraId="644166E0" w14:textId="77777777" w:rsidR="008D3598" w:rsidRPr="00511330" w:rsidRDefault="008D3598" w:rsidP="003E346F">
            <w:pPr>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Extremism (certain regional/ ethnics parties)</w:t>
            </w:r>
          </w:p>
        </w:tc>
        <w:tc>
          <w:tcPr>
            <w:tcW w:w="540" w:type="dxa"/>
          </w:tcPr>
          <w:p w14:paraId="644166E1"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20.</w:t>
            </w:r>
          </w:p>
        </w:tc>
        <w:tc>
          <w:tcPr>
            <w:tcW w:w="3713" w:type="dxa"/>
          </w:tcPr>
          <w:p w14:paraId="644166E2" w14:textId="77777777" w:rsidR="008D3598" w:rsidRPr="00511330" w:rsidRDefault="008D3598" w:rsidP="003E346F">
            <w:pPr>
              <w:ind w:right="9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Ineffective leadership (style, attitude, skills)</w:t>
            </w:r>
          </w:p>
        </w:tc>
      </w:tr>
      <w:tr w:rsidR="008D3598" w:rsidRPr="00511330" w14:paraId="644166E8" w14:textId="77777777" w:rsidTr="00F11D42">
        <w:tc>
          <w:tcPr>
            <w:tcW w:w="468" w:type="dxa"/>
          </w:tcPr>
          <w:p w14:paraId="644166E4" w14:textId="41A80218"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21</w:t>
            </w:r>
            <w:r w:rsidR="0047402F" w:rsidRPr="00511330">
              <w:rPr>
                <w:rFonts w:asciiTheme="majorBidi" w:eastAsia="Calibri" w:hAnsiTheme="majorBidi" w:cstheme="majorBidi"/>
                <w:sz w:val="20"/>
                <w:szCs w:val="20"/>
                <w:lang w:val="en-US"/>
              </w:rPr>
              <w:t>.</w:t>
            </w:r>
          </w:p>
        </w:tc>
        <w:tc>
          <w:tcPr>
            <w:tcW w:w="3127" w:type="dxa"/>
          </w:tcPr>
          <w:p w14:paraId="644166E5" w14:textId="77777777" w:rsidR="008D3598" w:rsidRPr="00511330" w:rsidRDefault="008D3598" w:rsidP="003E346F">
            <w:pPr>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unexpected obstacles</w:t>
            </w:r>
          </w:p>
        </w:tc>
        <w:tc>
          <w:tcPr>
            <w:tcW w:w="540" w:type="dxa"/>
          </w:tcPr>
          <w:p w14:paraId="644166E6"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22.</w:t>
            </w:r>
          </w:p>
        </w:tc>
        <w:tc>
          <w:tcPr>
            <w:tcW w:w="3713" w:type="dxa"/>
          </w:tcPr>
          <w:p w14:paraId="644166E7" w14:textId="77777777" w:rsidR="008D3598" w:rsidRPr="00511330" w:rsidRDefault="008D3598" w:rsidP="003E346F">
            <w:pPr>
              <w:ind w:right="9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Uncelebrated successes (ignorance)</w:t>
            </w:r>
          </w:p>
        </w:tc>
      </w:tr>
      <w:tr w:rsidR="008D3598" w:rsidRPr="00511330" w14:paraId="644166ED" w14:textId="77777777" w:rsidTr="00F11D42">
        <w:tc>
          <w:tcPr>
            <w:tcW w:w="468" w:type="dxa"/>
          </w:tcPr>
          <w:p w14:paraId="644166E9" w14:textId="656530E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23</w:t>
            </w:r>
            <w:r w:rsidR="0047402F" w:rsidRPr="00511330">
              <w:rPr>
                <w:rFonts w:asciiTheme="majorBidi" w:eastAsia="Calibri" w:hAnsiTheme="majorBidi" w:cstheme="majorBidi"/>
                <w:sz w:val="20"/>
                <w:szCs w:val="20"/>
                <w:lang w:val="en-US"/>
              </w:rPr>
              <w:t>.</w:t>
            </w:r>
          </w:p>
        </w:tc>
        <w:tc>
          <w:tcPr>
            <w:tcW w:w="3127" w:type="dxa"/>
          </w:tcPr>
          <w:p w14:paraId="644166EA" w14:textId="77777777" w:rsidR="008D3598" w:rsidRPr="00511330" w:rsidRDefault="008D3598" w:rsidP="003E346F">
            <w:pPr>
              <w:ind w:right="-18"/>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Unclear objectives</w:t>
            </w:r>
          </w:p>
        </w:tc>
        <w:tc>
          <w:tcPr>
            <w:tcW w:w="540" w:type="dxa"/>
          </w:tcPr>
          <w:p w14:paraId="644166EB"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24.</w:t>
            </w:r>
          </w:p>
        </w:tc>
        <w:tc>
          <w:tcPr>
            <w:tcW w:w="3713" w:type="dxa"/>
          </w:tcPr>
          <w:p w14:paraId="644166EC" w14:textId="77777777" w:rsidR="008D3598" w:rsidRPr="00511330" w:rsidRDefault="008D3598" w:rsidP="003E346F">
            <w:pPr>
              <w:ind w:right="9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Time pressure</w:t>
            </w:r>
          </w:p>
        </w:tc>
      </w:tr>
      <w:tr w:rsidR="008D3598" w:rsidRPr="00511330" w14:paraId="644166F0" w14:textId="77777777" w:rsidTr="00F11D42">
        <w:tc>
          <w:tcPr>
            <w:tcW w:w="468" w:type="dxa"/>
          </w:tcPr>
          <w:p w14:paraId="644166EE" w14:textId="7611F41E"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25</w:t>
            </w:r>
            <w:r w:rsidR="0047402F" w:rsidRPr="00511330">
              <w:rPr>
                <w:rFonts w:asciiTheme="majorBidi" w:eastAsia="Calibri" w:hAnsiTheme="majorBidi" w:cstheme="majorBidi"/>
                <w:sz w:val="20"/>
                <w:szCs w:val="20"/>
                <w:lang w:val="en-US"/>
              </w:rPr>
              <w:t>.</w:t>
            </w:r>
          </w:p>
        </w:tc>
        <w:tc>
          <w:tcPr>
            <w:tcW w:w="7380" w:type="dxa"/>
            <w:gridSpan w:val="3"/>
          </w:tcPr>
          <w:p w14:paraId="644166EF"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Perception of change nature (stereotype)</w:t>
            </w:r>
          </w:p>
        </w:tc>
      </w:tr>
    </w:tbl>
    <w:p w14:paraId="644166F1" w14:textId="77777777" w:rsidR="008D3598" w:rsidRPr="00511330" w:rsidRDefault="008D3598" w:rsidP="00721566">
      <w:pPr>
        <w:ind w:right="-450"/>
        <w:rPr>
          <w:lang w:val="en-US"/>
        </w:rPr>
      </w:pPr>
    </w:p>
    <w:p w14:paraId="644166F2" w14:textId="770CD87D" w:rsidR="008D3598" w:rsidRPr="00511330" w:rsidRDefault="008D3598" w:rsidP="0047402F">
      <w:pPr>
        <w:pStyle w:val="Caption"/>
        <w:keepNext/>
        <w:spacing w:after="0"/>
        <w:ind w:right="-450"/>
        <w:rPr>
          <w:rFonts w:asciiTheme="majorBidi" w:hAnsiTheme="majorBidi" w:cstheme="majorBidi"/>
          <w:b w:val="0"/>
          <w:bCs w:val="0"/>
          <w:color w:val="auto"/>
          <w:sz w:val="20"/>
          <w:szCs w:val="20"/>
          <w:lang w:val="en-US"/>
        </w:rPr>
      </w:pPr>
      <w:bookmarkStart w:id="783" w:name="_Toc43310904"/>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14</w:t>
      </w:r>
      <w:r w:rsidRPr="00511330">
        <w:rPr>
          <w:rFonts w:asciiTheme="majorBidi" w:hAnsiTheme="majorBidi" w:cstheme="majorBidi"/>
          <w:b w:val="0"/>
          <w:bCs w:val="0"/>
          <w:color w:val="auto"/>
          <w:sz w:val="20"/>
          <w:szCs w:val="20"/>
          <w:lang w:val="en-US"/>
        </w:rPr>
        <w:fldChar w:fldCharType="end"/>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Barriers Reported by Government</w:t>
      </w:r>
      <w:r w:rsidR="00C9086B" w:rsidRPr="00511330">
        <w:rPr>
          <w:rFonts w:asciiTheme="majorBidi" w:hAnsiTheme="majorBidi" w:cstheme="majorBidi"/>
          <w:b w:val="0"/>
          <w:bCs w:val="0"/>
          <w:i/>
          <w:iCs/>
          <w:color w:val="auto"/>
          <w:sz w:val="20"/>
          <w:szCs w:val="20"/>
          <w:lang w:val="en-US"/>
        </w:rPr>
        <w:t xml:space="preserve"> Perspective</w:t>
      </w:r>
      <w:bookmarkEnd w:id="783"/>
    </w:p>
    <w:tbl>
      <w:tblPr>
        <w:tblStyle w:val="TableGrid1"/>
        <w:tblW w:w="7848" w:type="dxa"/>
        <w:tblInd w:w="-90" w:type="dxa"/>
        <w:tblLayout w:type="fixed"/>
        <w:tblLook w:val="04A0" w:firstRow="1" w:lastRow="0" w:firstColumn="1" w:lastColumn="0" w:noHBand="0" w:noVBand="1"/>
      </w:tblPr>
      <w:tblGrid>
        <w:gridCol w:w="468"/>
        <w:gridCol w:w="3127"/>
        <w:gridCol w:w="540"/>
        <w:gridCol w:w="3713"/>
      </w:tblGrid>
      <w:tr w:rsidR="008D3598" w:rsidRPr="00511330" w14:paraId="644166F4" w14:textId="77777777" w:rsidTr="00ED6132">
        <w:tc>
          <w:tcPr>
            <w:tcW w:w="7848" w:type="dxa"/>
            <w:gridSpan w:val="4"/>
            <w:shd w:val="clear" w:color="auto" w:fill="F2F2F2" w:themeFill="background1" w:themeFillShade="F2"/>
          </w:tcPr>
          <w:p w14:paraId="644166F3" w14:textId="77777777" w:rsidR="008D3598" w:rsidRPr="00511330" w:rsidRDefault="008D3598" w:rsidP="00721566">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CM Barriers from Governments Perspective</w:t>
            </w:r>
          </w:p>
        </w:tc>
      </w:tr>
      <w:tr w:rsidR="008D3598" w:rsidRPr="00511330" w14:paraId="644166F9" w14:textId="77777777" w:rsidTr="00F11D42">
        <w:tc>
          <w:tcPr>
            <w:tcW w:w="468" w:type="dxa"/>
          </w:tcPr>
          <w:p w14:paraId="644166F5"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w:t>
            </w:r>
          </w:p>
        </w:tc>
        <w:tc>
          <w:tcPr>
            <w:tcW w:w="3127" w:type="dxa"/>
          </w:tcPr>
          <w:p w14:paraId="644166F6" w14:textId="77777777" w:rsidR="008D3598" w:rsidRPr="00511330" w:rsidRDefault="008D3598" w:rsidP="0047402F">
            <w:pPr>
              <w:ind w:right="72"/>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Costs of change </w:t>
            </w:r>
          </w:p>
        </w:tc>
        <w:tc>
          <w:tcPr>
            <w:tcW w:w="540" w:type="dxa"/>
          </w:tcPr>
          <w:p w14:paraId="644166F7"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w:t>
            </w:r>
          </w:p>
        </w:tc>
        <w:tc>
          <w:tcPr>
            <w:tcW w:w="3713" w:type="dxa"/>
          </w:tcPr>
          <w:p w14:paraId="644166F8" w14:textId="77777777" w:rsidR="008D3598" w:rsidRPr="00511330" w:rsidRDefault="008D3598" w:rsidP="003E346F">
            <w:pPr>
              <w:ind w:right="-8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Unclear vision of people</w:t>
            </w:r>
          </w:p>
        </w:tc>
      </w:tr>
      <w:tr w:rsidR="008D3598" w:rsidRPr="00511330" w14:paraId="644166FE" w14:textId="77777777" w:rsidTr="00F11D42">
        <w:tc>
          <w:tcPr>
            <w:tcW w:w="468" w:type="dxa"/>
          </w:tcPr>
          <w:p w14:paraId="644166FA"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w:t>
            </w:r>
          </w:p>
        </w:tc>
        <w:tc>
          <w:tcPr>
            <w:tcW w:w="3127" w:type="dxa"/>
          </w:tcPr>
          <w:p w14:paraId="644166FB" w14:textId="77777777" w:rsidR="008D3598" w:rsidRPr="00511330" w:rsidRDefault="008D3598" w:rsidP="0047402F">
            <w:pPr>
              <w:ind w:right="72"/>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Low return of investment </w:t>
            </w:r>
          </w:p>
        </w:tc>
        <w:tc>
          <w:tcPr>
            <w:tcW w:w="540" w:type="dxa"/>
          </w:tcPr>
          <w:p w14:paraId="644166FC"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4.</w:t>
            </w:r>
          </w:p>
        </w:tc>
        <w:tc>
          <w:tcPr>
            <w:tcW w:w="3713" w:type="dxa"/>
          </w:tcPr>
          <w:p w14:paraId="644166FD" w14:textId="77777777" w:rsidR="008D3598" w:rsidRPr="00511330" w:rsidRDefault="008D3598" w:rsidP="003E346F">
            <w:pPr>
              <w:ind w:right="-8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Resistance to change</w:t>
            </w:r>
          </w:p>
        </w:tc>
      </w:tr>
      <w:tr w:rsidR="008D3598" w:rsidRPr="00511330" w14:paraId="64416703" w14:textId="77777777" w:rsidTr="00F11D42">
        <w:tc>
          <w:tcPr>
            <w:tcW w:w="468" w:type="dxa"/>
          </w:tcPr>
          <w:p w14:paraId="644166FF"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w:t>
            </w:r>
          </w:p>
        </w:tc>
        <w:tc>
          <w:tcPr>
            <w:tcW w:w="3127" w:type="dxa"/>
          </w:tcPr>
          <w:p w14:paraId="64416700" w14:textId="77777777" w:rsidR="008D3598" w:rsidRPr="00511330" w:rsidRDefault="008D3598" w:rsidP="0047402F">
            <w:pPr>
              <w:ind w:right="72"/>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failure</w:t>
            </w:r>
          </w:p>
        </w:tc>
        <w:tc>
          <w:tcPr>
            <w:tcW w:w="540" w:type="dxa"/>
          </w:tcPr>
          <w:p w14:paraId="64416701"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w:t>
            </w:r>
          </w:p>
        </w:tc>
        <w:tc>
          <w:tcPr>
            <w:tcW w:w="3713" w:type="dxa"/>
          </w:tcPr>
          <w:p w14:paraId="64416702" w14:textId="77777777" w:rsidR="008D3598" w:rsidRPr="00511330" w:rsidRDefault="008D3598" w:rsidP="003E346F">
            <w:pPr>
              <w:ind w:right="-8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The pressures of international laws</w:t>
            </w:r>
          </w:p>
        </w:tc>
      </w:tr>
      <w:tr w:rsidR="008D3598" w:rsidRPr="00511330" w14:paraId="64416708" w14:textId="77777777" w:rsidTr="00F11D42">
        <w:tc>
          <w:tcPr>
            <w:tcW w:w="468" w:type="dxa"/>
          </w:tcPr>
          <w:p w14:paraId="64416704"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7.</w:t>
            </w:r>
          </w:p>
        </w:tc>
        <w:tc>
          <w:tcPr>
            <w:tcW w:w="3127" w:type="dxa"/>
          </w:tcPr>
          <w:p w14:paraId="64416705" w14:textId="77777777" w:rsidR="008D3598" w:rsidRPr="00511330" w:rsidRDefault="008D3598" w:rsidP="0047402F">
            <w:pPr>
              <w:ind w:right="72"/>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unseen obstacles</w:t>
            </w:r>
          </w:p>
        </w:tc>
        <w:tc>
          <w:tcPr>
            <w:tcW w:w="540" w:type="dxa"/>
          </w:tcPr>
          <w:p w14:paraId="64416706"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8.</w:t>
            </w:r>
          </w:p>
        </w:tc>
        <w:tc>
          <w:tcPr>
            <w:tcW w:w="3713" w:type="dxa"/>
          </w:tcPr>
          <w:p w14:paraId="64416707" w14:textId="77777777" w:rsidR="008D3598" w:rsidRPr="00511330" w:rsidRDefault="008D3598" w:rsidP="003E346F">
            <w:pPr>
              <w:ind w:right="-8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Poor community awareness</w:t>
            </w:r>
          </w:p>
        </w:tc>
      </w:tr>
      <w:tr w:rsidR="008D3598" w:rsidRPr="00511330" w14:paraId="6441670D" w14:textId="77777777" w:rsidTr="00F11D42">
        <w:tc>
          <w:tcPr>
            <w:tcW w:w="468" w:type="dxa"/>
          </w:tcPr>
          <w:p w14:paraId="64416709"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9.</w:t>
            </w:r>
          </w:p>
        </w:tc>
        <w:tc>
          <w:tcPr>
            <w:tcW w:w="3127" w:type="dxa"/>
          </w:tcPr>
          <w:p w14:paraId="6441670A" w14:textId="77777777" w:rsidR="008D3598" w:rsidRPr="00511330" w:rsidRDefault="008D3598" w:rsidP="0047402F">
            <w:pPr>
              <w:ind w:right="72"/>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Weakness of enablers</w:t>
            </w:r>
          </w:p>
        </w:tc>
        <w:tc>
          <w:tcPr>
            <w:tcW w:w="540" w:type="dxa"/>
          </w:tcPr>
          <w:p w14:paraId="6441670B"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10.</w:t>
            </w:r>
          </w:p>
        </w:tc>
        <w:tc>
          <w:tcPr>
            <w:tcW w:w="3713" w:type="dxa"/>
          </w:tcPr>
          <w:p w14:paraId="6441670C" w14:textId="77777777" w:rsidR="008D3598" w:rsidRPr="00511330" w:rsidRDefault="008D3598" w:rsidP="003E346F">
            <w:pPr>
              <w:ind w:right="-8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High risk of investment</w:t>
            </w:r>
          </w:p>
        </w:tc>
      </w:tr>
      <w:tr w:rsidR="008D3598" w:rsidRPr="00511330" w14:paraId="64416712" w14:textId="77777777" w:rsidTr="00F11D42">
        <w:tc>
          <w:tcPr>
            <w:tcW w:w="468" w:type="dxa"/>
          </w:tcPr>
          <w:p w14:paraId="6441670E"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11</w:t>
            </w:r>
          </w:p>
        </w:tc>
        <w:tc>
          <w:tcPr>
            <w:tcW w:w="3127" w:type="dxa"/>
          </w:tcPr>
          <w:p w14:paraId="6441670F" w14:textId="77777777" w:rsidR="008D3598" w:rsidRPr="00511330" w:rsidRDefault="008D3598" w:rsidP="0047402F">
            <w:pPr>
              <w:ind w:right="72"/>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Capabilities of the manpower</w:t>
            </w:r>
          </w:p>
        </w:tc>
        <w:tc>
          <w:tcPr>
            <w:tcW w:w="540" w:type="dxa"/>
          </w:tcPr>
          <w:p w14:paraId="64416710"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12.</w:t>
            </w:r>
          </w:p>
        </w:tc>
        <w:tc>
          <w:tcPr>
            <w:tcW w:w="3713" w:type="dxa"/>
          </w:tcPr>
          <w:p w14:paraId="64416711" w14:textId="77777777" w:rsidR="008D3598" w:rsidRPr="00511330" w:rsidRDefault="008D3598" w:rsidP="003E346F">
            <w:pPr>
              <w:ind w:right="-8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misused empowerment and budget</w:t>
            </w:r>
          </w:p>
        </w:tc>
      </w:tr>
      <w:tr w:rsidR="008D3598" w:rsidRPr="00511330" w14:paraId="64416717" w14:textId="77777777" w:rsidTr="00F11D42">
        <w:tc>
          <w:tcPr>
            <w:tcW w:w="468" w:type="dxa"/>
          </w:tcPr>
          <w:p w14:paraId="64416713"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13</w:t>
            </w:r>
          </w:p>
        </w:tc>
        <w:tc>
          <w:tcPr>
            <w:tcW w:w="3127" w:type="dxa"/>
          </w:tcPr>
          <w:p w14:paraId="64416714" w14:textId="77777777" w:rsidR="008D3598" w:rsidRPr="00511330" w:rsidRDefault="008D3598" w:rsidP="0047402F">
            <w:pPr>
              <w:ind w:right="72"/>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Poor management</w:t>
            </w:r>
          </w:p>
        </w:tc>
        <w:tc>
          <w:tcPr>
            <w:tcW w:w="540" w:type="dxa"/>
          </w:tcPr>
          <w:p w14:paraId="64416715"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14.</w:t>
            </w:r>
          </w:p>
        </w:tc>
        <w:tc>
          <w:tcPr>
            <w:tcW w:w="3713" w:type="dxa"/>
          </w:tcPr>
          <w:p w14:paraId="64416716" w14:textId="77777777" w:rsidR="008D3598" w:rsidRPr="00511330" w:rsidRDefault="008D3598" w:rsidP="003E346F">
            <w:pPr>
              <w:ind w:right="-8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Lack of an effective communication strategy</w:t>
            </w:r>
          </w:p>
        </w:tc>
      </w:tr>
      <w:tr w:rsidR="008D3598" w:rsidRPr="00511330" w14:paraId="6441671C" w14:textId="77777777" w:rsidTr="00F11D42">
        <w:tc>
          <w:tcPr>
            <w:tcW w:w="468" w:type="dxa"/>
          </w:tcPr>
          <w:p w14:paraId="64416718"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15</w:t>
            </w:r>
          </w:p>
        </w:tc>
        <w:tc>
          <w:tcPr>
            <w:tcW w:w="3127" w:type="dxa"/>
          </w:tcPr>
          <w:p w14:paraId="64416719" w14:textId="77777777" w:rsidR="008D3598" w:rsidRPr="00511330" w:rsidRDefault="008D3598" w:rsidP="0047402F">
            <w:pPr>
              <w:ind w:right="72"/>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Lack of time</w:t>
            </w:r>
          </w:p>
        </w:tc>
        <w:tc>
          <w:tcPr>
            <w:tcW w:w="540" w:type="dxa"/>
          </w:tcPr>
          <w:p w14:paraId="6441671A"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16.</w:t>
            </w:r>
          </w:p>
        </w:tc>
        <w:tc>
          <w:tcPr>
            <w:tcW w:w="3713" w:type="dxa"/>
          </w:tcPr>
          <w:p w14:paraId="6441671B" w14:textId="77777777" w:rsidR="008D3598" w:rsidRPr="00511330" w:rsidRDefault="008D3598" w:rsidP="003E346F">
            <w:pPr>
              <w:ind w:right="-8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Contradicting feedback of people </w:t>
            </w:r>
          </w:p>
        </w:tc>
      </w:tr>
      <w:tr w:rsidR="008D3598" w:rsidRPr="00511330" w14:paraId="64416722" w14:textId="77777777" w:rsidTr="00F11D42">
        <w:tc>
          <w:tcPr>
            <w:tcW w:w="468" w:type="dxa"/>
          </w:tcPr>
          <w:p w14:paraId="6441671D" w14:textId="77777777" w:rsidR="008D3598" w:rsidRPr="00511330" w:rsidRDefault="008D3598" w:rsidP="00721566">
            <w:pPr>
              <w:tabs>
                <w:tab w:val="left" w:pos="510"/>
              </w:tabs>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17</w:t>
            </w:r>
          </w:p>
        </w:tc>
        <w:tc>
          <w:tcPr>
            <w:tcW w:w="3127" w:type="dxa"/>
          </w:tcPr>
          <w:p w14:paraId="6441671E" w14:textId="77777777" w:rsidR="008D3598" w:rsidRPr="00511330" w:rsidRDefault="008D3598" w:rsidP="0047402F">
            <w:pPr>
              <w:ind w:right="72"/>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Global stability (unexpected financial crisis)</w:t>
            </w:r>
          </w:p>
        </w:tc>
        <w:tc>
          <w:tcPr>
            <w:tcW w:w="540" w:type="dxa"/>
          </w:tcPr>
          <w:p w14:paraId="6441671F"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18.</w:t>
            </w:r>
          </w:p>
        </w:tc>
        <w:tc>
          <w:tcPr>
            <w:tcW w:w="3713" w:type="dxa"/>
          </w:tcPr>
          <w:p w14:paraId="64416720" w14:textId="77777777" w:rsidR="008D3598" w:rsidRPr="00511330" w:rsidRDefault="008D3598" w:rsidP="003E346F">
            <w:pPr>
              <w:ind w:right="-8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Appreciation of the community</w:t>
            </w:r>
          </w:p>
          <w:p w14:paraId="64416721" w14:textId="77777777" w:rsidR="008D3598" w:rsidRPr="00511330" w:rsidRDefault="008D3598" w:rsidP="003E346F">
            <w:pPr>
              <w:ind w:right="-85"/>
              <w:jc w:val="both"/>
              <w:rPr>
                <w:rFonts w:asciiTheme="majorBidi" w:eastAsia="Calibri" w:hAnsiTheme="majorBidi" w:cstheme="majorBidi"/>
                <w:sz w:val="20"/>
                <w:szCs w:val="20"/>
                <w:lang w:val="en-US"/>
              </w:rPr>
            </w:pPr>
          </w:p>
        </w:tc>
      </w:tr>
    </w:tbl>
    <w:p w14:paraId="64416724" w14:textId="77777777" w:rsidR="008D3598" w:rsidRPr="00511330" w:rsidRDefault="008D3598" w:rsidP="0047402F">
      <w:pPr>
        <w:spacing w:before="240"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Although the majority of changes approached by organizations are not impervious to difficulties, governments, top management, employees, and customers are well aware of the barriers, and each side attempts to overcome it. The majority of barriers is ascribed to the demands placed by organizations or leaders that choose to exploit personal benefits or underlying targets beyond reality. Therefore, some </w:t>
      </w:r>
      <w:r w:rsidRPr="00511330">
        <w:rPr>
          <w:rFonts w:asciiTheme="majorBidi" w:eastAsia="Calibri" w:hAnsiTheme="majorBidi" w:cstheme="majorBidi"/>
          <w:sz w:val="24"/>
          <w:szCs w:val="24"/>
          <w:lang w:val="en-US"/>
        </w:rPr>
        <w:lastRenderedPageBreak/>
        <w:t>organizations try to cover their leader’s weaknesses by specifying different directions for employees and overcome barriers.</w:t>
      </w:r>
    </w:p>
    <w:p w14:paraId="64416725" w14:textId="59CCB3F3" w:rsidR="008D3598" w:rsidRPr="00511330" w:rsidRDefault="008D3598" w:rsidP="00721566">
      <w:pPr>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In addition, the categories are separated into groups such as A, B, C, and D, as evidenced from Table 4.</w:t>
      </w:r>
      <w:r w:rsidR="00C9086B" w:rsidRPr="00511330">
        <w:rPr>
          <w:rFonts w:asciiTheme="majorBidi" w:eastAsia="Calibri" w:hAnsiTheme="majorBidi" w:cstheme="majorBidi"/>
          <w:sz w:val="24"/>
          <w:szCs w:val="24"/>
          <w:lang w:val="en-US"/>
        </w:rPr>
        <w:t>15</w:t>
      </w:r>
      <w:r w:rsidRPr="00511330">
        <w:rPr>
          <w:rFonts w:asciiTheme="majorBidi" w:eastAsia="Calibri" w:hAnsiTheme="majorBidi" w:cstheme="majorBidi"/>
          <w:sz w:val="24"/>
          <w:szCs w:val="24"/>
          <w:lang w:val="en-US"/>
        </w:rPr>
        <w:t xml:space="preserve">, specifying the core barriers from the categories created. To illustrate, groups E, F, G, H, I, and J are based on the similarities between two stakeholders, whereas groups K, L, M, and N based on the similarities between three stakeholders. Lastly, the group O is premised on the similarities between the four stakeholder’s views, which become rare and highly important. </w:t>
      </w:r>
    </w:p>
    <w:p w14:paraId="64416726" w14:textId="479675F5" w:rsidR="008D3598" w:rsidRPr="00511330" w:rsidRDefault="008D3598" w:rsidP="0047402F">
      <w:pPr>
        <w:pStyle w:val="Caption"/>
        <w:keepNext/>
        <w:spacing w:after="0"/>
        <w:ind w:right="-450"/>
        <w:rPr>
          <w:rFonts w:asciiTheme="majorBidi" w:hAnsiTheme="majorBidi" w:cstheme="majorBidi"/>
          <w:b w:val="0"/>
          <w:bCs w:val="0"/>
          <w:color w:val="auto"/>
          <w:sz w:val="20"/>
          <w:szCs w:val="20"/>
          <w:lang w:val="en-US"/>
        </w:rPr>
      </w:pPr>
      <w:bookmarkStart w:id="784" w:name="_Toc43310905"/>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15</w:t>
      </w:r>
      <w:r w:rsidRPr="00511330">
        <w:rPr>
          <w:rFonts w:asciiTheme="majorBidi" w:hAnsiTheme="majorBidi" w:cstheme="majorBidi"/>
          <w:b w:val="0"/>
          <w:bCs w:val="0"/>
          <w:color w:val="auto"/>
          <w:sz w:val="20"/>
          <w:szCs w:val="20"/>
          <w:lang w:val="en-US"/>
        </w:rPr>
        <w:fldChar w:fldCharType="end"/>
      </w:r>
      <w:r w:rsidR="0047402F"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Commonality in Stakeholders’ Perceptions of CM Barriers</w:t>
      </w:r>
      <w:bookmarkEnd w:id="784"/>
    </w:p>
    <w:tbl>
      <w:tblPr>
        <w:tblW w:w="7740" w:type="dxa"/>
        <w:tblInd w:w="-5" w:type="dxa"/>
        <w:tblBorders>
          <w:top w:val="single" w:sz="4" w:space="0" w:color="auto"/>
          <w:bottom w:val="single" w:sz="4" w:space="0" w:color="auto"/>
        </w:tblBorders>
        <w:tblLayout w:type="fixed"/>
        <w:tblLook w:val="04A0" w:firstRow="1" w:lastRow="0" w:firstColumn="1" w:lastColumn="0" w:noHBand="0" w:noVBand="1"/>
      </w:tblPr>
      <w:tblGrid>
        <w:gridCol w:w="2610"/>
        <w:gridCol w:w="4320"/>
        <w:gridCol w:w="810"/>
      </w:tblGrid>
      <w:tr w:rsidR="008D3598" w:rsidRPr="00511330" w14:paraId="6441672A" w14:textId="77777777" w:rsidTr="0047402F">
        <w:trPr>
          <w:cantSplit/>
          <w:trHeight w:val="152"/>
          <w:tblHeader/>
        </w:trPr>
        <w:tc>
          <w:tcPr>
            <w:tcW w:w="2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4416727" w14:textId="77777777" w:rsidR="008D3598" w:rsidRPr="00511330" w:rsidRDefault="008D3598" w:rsidP="00721566">
            <w:pPr>
              <w:spacing w:after="0" w:line="240" w:lineRule="auto"/>
              <w:ind w:right="-450"/>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Stakeholders</w:t>
            </w:r>
          </w:p>
        </w:tc>
        <w:tc>
          <w:tcPr>
            <w:tcW w:w="43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416728" w14:textId="77777777" w:rsidR="008D3598" w:rsidRPr="00511330" w:rsidRDefault="008D3598" w:rsidP="00721566">
            <w:pPr>
              <w:spacing w:after="0" w:line="240" w:lineRule="auto"/>
              <w:ind w:right="-450"/>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Common Factors</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416729" w14:textId="77777777" w:rsidR="008D3598" w:rsidRPr="00511330" w:rsidRDefault="008D3598" w:rsidP="00721566">
            <w:pPr>
              <w:spacing w:after="0" w:line="240" w:lineRule="auto"/>
              <w:ind w:right="-450"/>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Groups</w:t>
            </w:r>
          </w:p>
        </w:tc>
      </w:tr>
      <w:tr w:rsidR="008D3598" w:rsidRPr="00511330" w14:paraId="6441672F" w14:textId="77777777" w:rsidTr="0047402F">
        <w:trPr>
          <w:trHeight w:val="395"/>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2B"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Employee</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2C" w14:textId="77777777" w:rsidR="008D3598" w:rsidRPr="00511330" w:rsidRDefault="008D3598" w:rsidP="004862F1">
            <w:pPr>
              <w:numPr>
                <w:ilvl w:val="0"/>
                <w:numId w:val="6"/>
              </w:numPr>
              <w:spacing w:after="0" w:line="240" w:lineRule="auto"/>
              <w:ind w:left="162" w:right="5" w:hanging="16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(Stress, unemployment and unexpected obstacles)</w:t>
            </w:r>
          </w:p>
          <w:p w14:paraId="6441672D" w14:textId="77777777" w:rsidR="008D3598" w:rsidRPr="00511330" w:rsidRDefault="008D3598" w:rsidP="004862F1">
            <w:pPr>
              <w:numPr>
                <w:ilvl w:val="0"/>
                <w:numId w:val="6"/>
              </w:numPr>
              <w:spacing w:after="0" w:line="240" w:lineRule="auto"/>
              <w:ind w:left="162" w:right="5" w:hanging="16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Wrong perception</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2E"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A</w:t>
            </w:r>
          </w:p>
        </w:tc>
      </w:tr>
      <w:tr w:rsidR="008D3598" w:rsidRPr="00511330" w14:paraId="64416737" w14:textId="77777777" w:rsidTr="0047402F">
        <w:trPr>
          <w:trHeight w:val="782"/>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30"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Top Management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31"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Insufficient budget and resources</w:t>
            </w:r>
          </w:p>
          <w:p w14:paraId="64416732"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Restricted rules and regulations</w:t>
            </w:r>
          </w:p>
          <w:p w14:paraId="64416733"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Employee resistance</w:t>
            </w:r>
          </w:p>
          <w:p w14:paraId="64416734"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obstacles and failure</w:t>
            </w:r>
          </w:p>
          <w:p w14:paraId="64416735"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Closed and extremism cultures</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36"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B</w:t>
            </w:r>
          </w:p>
        </w:tc>
      </w:tr>
      <w:tr w:rsidR="008D3598" w:rsidRPr="00511330" w14:paraId="6441673D" w14:textId="77777777" w:rsidTr="0047402F">
        <w:trPr>
          <w:trHeight w:val="665"/>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38"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Government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39"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Budget misuse</w:t>
            </w:r>
          </w:p>
          <w:p w14:paraId="6441673A"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Contradicting feedback</w:t>
            </w:r>
          </w:p>
          <w:p w14:paraId="6441673B"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global stability</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3C"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C</w:t>
            </w:r>
          </w:p>
        </w:tc>
      </w:tr>
      <w:tr w:rsidR="008D3598" w:rsidRPr="00511330" w14:paraId="64416743" w14:textId="77777777" w:rsidTr="0047402F">
        <w:trPr>
          <w:trHeight w:val="476"/>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3E"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Customers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3F"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cost implication and hikes</w:t>
            </w:r>
          </w:p>
          <w:p w14:paraId="64416740"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Complexity of new adaptations</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64416741"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D</w:t>
            </w:r>
          </w:p>
          <w:p w14:paraId="64416742"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p>
        </w:tc>
      </w:tr>
      <w:tr w:rsidR="008D3598" w:rsidRPr="00511330" w14:paraId="64416748" w14:textId="77777777" w:rsidTr="0047402F">
        <w:trPr>
          <w:trHeight w:val="449"/>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44"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Employee- Top Management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45"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Time constrain pressure</w:t>
            </w:r>
          </w:p>
          <w:p w14:paraId="64416746"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Poor communication and knowledge sharing</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47"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E</w:t>
            </w:r>
          </w:p>
        </w:tc>
      </w:tr>
      <w:tr w:rsidR="008D3598" w:rsidRPr="00511330" w14:paraId="6441674C" w14:textId="77777777" w:rsidTr="0047402F">
        <w:trPr>
          <w:trHeight w:val="575"/>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49"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Employee- Government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4A"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Leadership capability</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4B"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F</w:t>
            </w:r>
          </w:p>
        </w:tc>
      </w:tr>
      <w:tr w:rsidR="008D3598" w:rsidRPr="00511330" w14:paraId="64416751" w14:textId="77777777" w:rsidTr="0047402F">
        <w:trPr>
          <w:trHeight w:val="359"/>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4D"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Employee- Customers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4E"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Gap of knowledge</w:t>
            </w:r>
          </w:p>
          <w:p w14:paraId="6441674F"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change</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50"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G</w:t>
            </w:r>
          </w:p>
        </w:tc>
      </w:tr>
      <w:tr w:rsidR="008D3598" w:rsidRPr="00511330" w14:paraId="64416756" w14:textId="77777777" w:rsidTr="0047402F">
        <w:trPr>
          <w:trHeight w:val="431"/>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52"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Top Management- Government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53"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Risk of failure</w:t>
            </w:r>
          </w:p>
          <w:p w14:paraId="64416754"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Cost of change</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55"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H</w:t>
            </w:r>
          </w:p>
        </w:tc>
      </w:tr>
      <w:tr w:rsidR="008D3598" w:rsidRPr="00511330" w14:paraId="6441675B" w14:textId="77777777" w:rsidTr="0047402F">
        <w:trPr>
          <w:trHeight w:val="179"/>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57"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Top Management- Customers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58"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opposite outcomes</w:t>
            </w:r>
          </w:p>
          <w:p w14:paraId="64416759"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Cost of change</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5A"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I</w:t>
            </w:r>
          </w:p>
        </w:tc>
      </w:tr>
      <w:tr w:rsidR="008D3598" w:rsidRPr="00511330" w14:paraId="64416760" w14:textId="77777777" w:rsidTr="0047402F">
        <w:trPr>
          <w:trHeight w:val="386"/>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5C"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Government- Customers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5D"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Insufficient communication channels</w:t>
            </w:r>
          </w:p>
          <w:p w14:paraId="6441675E"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global stability</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5F"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J</w:t>
            </w:r>
          </w:p>
        </w:tc>
      </w:tr>
      <w:tr w:rsidR="008D3598" w:rsidRPr="00511330" w14:paraId="64416766" w14:textId="77777777" w:rsidTr="0047402F">
        <w:trPr>
          <w:trHeight w:val="73"/>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61"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Top Management-Employees-Customers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62"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communication failure</w:t>
            </w:r>
          </w:p>
          <w:p w14:paraId="64416763"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Restricted rules and regulation</w:t>
            </w:r>
          </w:p>
          <w:p w14:paraId="64416764"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Adaption of change</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65"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K</w:t>
            </w:r>
          </w:p>
        </w:tc>
      </w:tr>
      <w:tr w:rsidR="008D3598" w:rsidRPr="00511330" w14:paraId="6441676C" w14:textId="77777777" w:rsidTr="0047402F">
        <w:trPr>
          <w:trHeight w:val="575"/>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67"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Top Management -Employees-Government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68"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Poor communication channels</w:t>
            </w:r>
          </w:p>
          <w:p w14:paraId="64416769"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Complexity of the change process</w:t>
            </w:r>
          </w:p>
          <w:p w14:paraId="6441676A"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failure</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6B"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L</w:t>
            </w:r>
          </w:p>
        </w:tc>
      </w:tr>
      <w:tr w:rsidR="008D3598" w:rsidRPr="00511330" w14:paraId="64416770" w14:textId="77777777" w:rsidTr="0047402F">
        <w:trPr>
          <w:trHeight w:val="305"/>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6D" w14:textId="77777777" w:rsidR="008D3598" w:rsidRPr="00511330" w:rsidRDefault="008D3598" w:rsidP="004862F1">
            <w:pPr>
              <w:spacing w:after="0" w:line="240" w:lineRule="auto"/>
              <w:ind w:right="72"/>
              <w:rPr>
                <w:rFonts w:asciiTheme="majorBidi" w:eastAsia="Calibri" w:hAnsiTheme="majorBidi" w:cstheme="majorBidi"/>
                <w:noProof/>
                <w:color w:val="000000"/>
                <w:sz w:val="20"/>
                <w:szCs w:val="20"/>
                <w:lang w:val="en-US"/>
              </w:rPr>
            </w:pPr>
            <w:r w:rsidRPr="00511330">
              <w:rPr>
                <w:rFonts w:asciiTheme="majorBidi" w:eastAsia="Calibri" w:hAnsiTheme="majorBidi" w:cstheme="majorBidi"/>
                <w:color w:val="000000"/>
                <w:sz w:val="20"/>
                <w:szCs w:val="20"/>
                <w:lang w:val="en-US"/>
              </w:rPr>
              <w:t>Top Management -Customers-Gove</w:t>
            </w:r>
            <w:r w:rsidRPr="00511330">
              <w:rPr>
                <w:rFonts w:asciiTheme="majorBidi" w:eastAsia="Calibri" w:hAnsiTheme="majorBidi" w:cstheme="majorBidi"/>
                <w:noProof/>
                <w:color w:val="000000"/>
                <w:sz w:val="20"/>
                <w:szCs w:val="20"/>
                <w:lang w:val="en-US"/>
              </w:rPr>
              <w:t>rnment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6E"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Cost of change</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6F"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M</w:t>
            </w:r>
          </w:p>
        </w:tc>
      </w:tr>
      <w:tr w:rsidR="008D3598" w:rsidRPr="00511330" w14:paraId="64416774" w14:textId="77777777" w:rsidTr="0047402F">
        <w:trPr>
          <w:trHeight w:val="260"/>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71"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lastRenderedPageBreak/>
              <w:t>Employees-Customers-Government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72" w14:textId="77777777" w:rsidR="008D3598" w:rsidRPr="00511330" w:rsidRDefault="008D3598" w:rsidP="004862F1">
            <w:pPr>
              <w:numPr>
                <w:ilvl w:val="0"/>
                <w:numId w:val="6"/>
              </w:numPr>
              <w:spacing w:after="0" w:line="240" w:lineRule="auto"/>
              <w:ind w:left="252" w:right="5" w:hanging="252"/>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Ineffective communication</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73"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N</w:t>
            </w:r>
          </w:p>
        </w:tc>
      </w:tr>
      <w:tr w:rsidR="008D3598" w:rsidRPr="00511330" w14:paraId="64416779" w14:textId="77777777" w:rsidTr="0047402F">
        <w:trPr>
          <w:trHeight w:val="61"/>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16775" w14:textId="77777777" w:rsidR="008D3598" w:rsidRPr="00511330" w:rsidRDefault="008D3598" w:rsidP="004862F1">
            <w:pPr>
              <w:spacing w:after="0" w:line="240" w:lineRule="auto"/>
              <w:ind w:right="72"/>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Top Management -Customers-Employees-Government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76" w14:textId="77777777" w:rsidR="008D3598" w:rsidRPr="00511330" w:rsidRDefault="008D3598" w:rsidP="00721566">
            <w:pPr>
              <w:numPr>
                <w:ilvl w:val="0"/>
                <w:numId w:val="6"/>
              </w:numPr>
              <w:spacing w:after="0" w:line="240" w:lineRule="auto"/>
              <w:ind w:right="-450"/>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w:t>
            </w:r>
          </w:p>
          <w:p w14:paraId="64416777" w14:textId="77777777" w:rsidR="008D3598" w:rsidRPr="00511330" w:rsidRDefault="008D3598" w:rsidP="00721566">
            <w:pPr>
              <w:numPr>
                <w:ilvl w:val="0"/>
                <w:numId w:val="6"/>
              </w:numPr>
              <w:spacing w:after="0" w:line="240" w:lineRule="auto"/>
              <w:ind w:right="-450"/>
              <w:contextualSpacing/>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Complication of change</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778" w14:textId="77777777" w:rsidR="008D3598" w:rsidRPr="00511330" w:rsidRDefault="008D3598" w:rsidP="0047402F">
            <w:pPr>
              <w:spacing w:after="0" w:line="240" w:lineRule="auto"/>
              <w:ind w:left="-108" w:right="-175"/>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color w:val="000000"/>
                <w:sz w:val="20"/>
                <w:szCs w:val="20"/>
                <w:lang w:val="en-US"/>
              </w:rPr>
              <w:t>O</w:t>
            </w:r>
          </w:p>
        </w:tc>
      </w:tr>
    </w:tbl>
    <w:p w14:paraId="6441677B" w14:textId="77777777" w:rsidR="008D3598" w:rsidRPr="00511330" w:rsidRDefault="008D3598" w:rsidP="0047402F">
      <w:pPr>
        <w:spacing w:before="240"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The overall analysis shows a glimpse of common barricading factors. The employees’ group has an erroneous perception that the highest factor that made them fear change in the first place; the perceptions include work stress, unemployment, and unexpected obstacles, all factors that take them away from their comfort zone. Top management indicated common factors of employee resistance, strict rules, and limitations of budget as alongside resources. Meanwhile, governments would have an overlapping barrier factor of budget misuse, contradicting feedback, and global stability. Customers have indicated more common factors of cost and possibility of rapid price hiking.</w:t>
      </w:r>
    </w:p>
    <w:p w14:paraId="6441677C" w14:textId="1D204A5F" w:rsidR="008D3598" w:rsidRPr="00511330" w:rsidRDefault="008D3598" w:rsidP="00721566">
      <w:pPr>
        <w:spacing w:after="20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Table 4.1</w:t>
      </w:r>
      <w:r w:rsidR="00C9086B" w:rsidRPr="00511330">
        <w:rPr>
          <w:rFonts w:asciiTheme="majorBidi" w:eastAsia="Calibri" w:hAnsiTheme="majorBidi" w:cstheme="majorBidi"/>
          <w:sz w:val="24"/>
          <w:szCs w:val="24"/>
          <w:lang w:val="en-US"/>
        </w:rPr>
        <w:t>5</w:t>
      </w:r>
      <w:r w:rsidRPr="00511330">
        <w:rPr>
          <w:rFonts w:asciiTheme="majorBidi" w:eastAsia="Calibri" w:hAnsiTheme="majorBidi" w:cstheme="majorBidi"/>
          <w:sz w:val="24"/>
          <w:szCs w:val="24"/>
          <w:lang w:val="en-US"/>
        </w:rPr>
        <w:t xml:space="preserve"> illustrates that the relationship between governments and customers indicate a common factor of influence: global stability. In addition, the relationship between top management and customers reveal</w:t>
      </w:r>
      <w:r w:rsidR="00DA4BDE" w:rsidRPr="00511330">
        <w:rPr>
          <w:rFonts w:asciiTheme="majorBidi" w:eastAsia="Calibri" w:hAnsiTheme="majorBidi" w:cstheme="majorBidi"/>
          <w:sz w:val="24"/>
          <w:szCs w:val="24"/>
          <w:lang w:val="en-US"/>
        </w:rPr>
        <w:t>s</w:t>
      </w:r>
      <w:r w:rsidRPr="00511330">
        <w:rPr>
          <w:rFonts w:asciiTheme="majorBidi" w:eastAsia="Calibri" w:hAnsiTheme="majorBidi" w:cstheme="majorBidi"/>
          <w:sz w:val="24"/>
          <w:szCs w:val="24"/>
          <w:lang w:val="en-US"/>
        </w:rPr>
        <w:t xml:space="preserve"> a common barrier </w:t>
      </w:r>
      <w:r w:rsidR="00DA4BDE" w:rsidRPr="00511330">
        <w:rPr>
          <w:rFonts w:asciiTheme="majorBidi" w:eastAsia="Calibri" w:hAnsiTheme="majorBidi" w:cstheme="majorBidi"/>
          <w:sz w:val="24"/>
          <w:szCs w:val="24"/>
          <w:lang w:val="en-US"/>
        </w:rPr>
        <w:t>to</w:t>
      </w:r>
      <w:r w:rsidRPr="00511330">
        <w:rPr>
          <w:rFonts w:asciiTheme="majorBidi" w:eastAsia="Calibri" w:hAnsiTheme="majorBidi" w:cstheme="majorBidi"/>
          <w:sz w:val="24"/>
          <w:szCs w:val="24"/>
          <w:lang w:val="en-US"/>
        </w:rPr>
        <w:t xml:space="preserve"> the cost of change and risk of failure. The lack of knowledge and the fear of change has also been emphasized by the relationship observed between employee and customer groups. However, the relationship between the top management, employees, and governments is suggestive of the fact that poor communication and complexity of process are the main common barriers. Lastly, all stakeholder groups (government, top management, employee, and customers) are found to confront the common barrier factors of the fear of global stability and the concomitant complications of change. </w:t>
      </w:r>
    </w:p>
    <w:p w14:paraId="6441677D" w14:textId="77777777" w:rsidR="008D3598" w:rsidRPr="00511330" w:rsidRDefault="008D3598" w:rsidP="00721566">
      <w:pPr>
        <w:spacing w:after="200" w:line="480" w:lineRule="auto"/>
        <w:ind w:right="-450"/>
        <w:jc w:val="both"/>
        <w:rPr>
          <w:rFonts w:asciiTheme="majorBidi" w:eastAsia="Calibri" w:hAnsiTheme="majorBidi" w:cstheme="majorBidi"/>
          <w:sz w:val="24"/>
          <w:szCs w:val="24"/>
          <w:lang w:val="en-US"/>
        </w:rPr>
      </w:pPr>
      <w:r w:rsidRPr="00511330">
        <w:rPr>
          <w:noProof/>
          <w:lang w:val="en-US"/>
        </w:rPr>
        <w:lastRenderedPageBreak/>
        <mc:AlternateContent>
          <mc:Choice Requires="wps">
            <w:drawing>
              <wp:anchor distT="0" distB="0" distL="114300" distR="114300" simplePos="0" relativeHeight="251658240" behindDoc="0" locked="0" layoutInCell="1" allowOverlap="1" wp14:anchorId="64416D46" wp14:editId="64D9BA2D">
                <wp:simplePos x="0" y="0"/>
                <wp:positionH relativeFrom="column">
                  <wp:posOffset>-215265</wp:posOffset>
                </wp:positionH>
                <wp:positionV relativeFrom="paragraph">
                  <wp:posOffset>4577715</wp:posOffset>
                </wp:positionV>
                <wp:extent cx="5089525" cy="635"/>
                <wp:effectExtent l="0" t="0" r="0" b="0"/>
                <wp:wrapThrough wrapText="bothSides">
                  <wp:wrapPolygon edited="0">
                    <wp:start x="0" y="0"/>
                    <wp:lineTo x="0" y="21600"/>
                    <wp:lineTo x="21600" y="21600"/>
                    <wp:lineTo x="21600" y="0"/>
                  </wp:wrapPolygon>
                </wp:wrapThrough>
                <wp:docPr id="5" name="Text Box 5"/>
                <wp:cNvGraphicFramePr/>
                <a:graphic xmlns:a="http://schemas.openxmlformats.org/drawingml/2006/main">
                  <a:graphicData uri="http://schemas.microsoft.com/office/word/2010/wordprocessingShape">
                    <wps:wsp>
                      <wps:cNvSpPr txBox="1"/>
                      <wps:spPr>
                        <a:xfrm>
                          <a:off x="0" y="0"/>
                          <a:ext cx="5089525" cy="635"/>
                        </a:xfrm>
                        <a:prstGeom prst="rect">
                          <a:avLst/>
                        </a:prstGeom>
                        <a:solidFill>
                          <a:prstClr val="white"/>
                        </a:solidFill>
                        <a:ln>
                          <a:noFill/>
                        </a:ln>
                        <a:effectLst/>
                      </wps:spPr>
                      <wps:txbx>
                        <w:txbxContent>
                          <w:p w14:paraId="64416D6E" w14:textId="03D443D5" w:rsidR="008E0079" w:rsidRPr="00593F9F" w:rsidRDefault="008E0079" w:rsidP="008D3598">
                            <w:pPr>
                              <w:pStyle w:val="Caption"/>
                              <w:rPr>
                                <w:rFonts w:asciiTheme="majorBidi" w:eastAsia="Calibri" w:hAnsiTheme="majorBidi" w:cstheme="majorBidi"/>
                                <w:b w:val="0"/>
                                <w:bCs w:val="0"/>
                                <w:noProof/>
                                <w:color w:val="auto"/>
                                <w:sz w:val="20"/>
                                <w:szCs w:val="20"/>
                              </w:rPr>
                            </w:pPr>
                            <w:bookmarkStart w:id="785" w:name="_Toc43311496"/>
                            <w:r w:rsidRPr="007B41A5">
                              <w:rPr>
                                <w:rFonts w:asciiTheme="majorBidi" w:hAnsiTheme="majorBidi" w:cstheme="majorBidi"/>
                                <w:b w:val="0"/>
                                <w:bCs w:val="0"/>
                                <w:i/>
                                <w:iCs/>
                                <w:color w:val="auto"/>
                                <w:sz w:val="20"/>
                                <w:szCs w:val="20"/>
                              </w:rPr>
                              <w:t xml:space="preserve">Figure 4. </w:t>
                            </w:r>
                            <w:r w:rsidRPr="007B41A5">
                              <w:rPr>
                                <w:rFonts w:asciiTheme="majorBidi" w:hAnsiTheme="majorBidi" w:cstheme="majorBidi"/>
                                <w:b w:val="0"/>
                                <w:bCs w:val="0"/>
                                <w:i/>
                                <w:iCs/>
                                <w:color w:val="auto"/>
                                <w:sz w:val="20"/>
                                <w:szCs w:val="20"/>
                              </w:rPr>
                              <w:fldChar w:fldCharType="begin"/>
                            </w:r>
                            <w:r w:rsidRPr="007B41A5">
                              <w:rPr>
                                <w:rFonts w:asciiTheme="majorBidi" w:hAnsiTheme="majorBidi" w:cstheme="majorBidi"/>
                                <w:b w:val="0"/>
                                <w:bCs w:val="0"/>
                                <w:i/>
                                <w:iCs/>
                                <w:color w:val="auto"/>
                                <w:sz w:val="20"/>
                                <w:szCs w:val="20"/>
                              </w:rPr>
                              <w:instrText xml:space="preserve"> SEQ Figure_4. \* ARABIC </w:instrText>
                            </w:r>
                            <w:r w:rsidRPr="007B41A5">
                              <w:rPr>
                                <w:rFonts w:asciiTheme="majorBidi" w:hAnsiTheme="majorBidi" w:cstheme="majorBidi"/>
                                <w:b w:val="0"/>
                                <w:bCs w:val="0"/>
                                <w:i/>
                                <w:iCs/>
                                <w:color w:val="auto"/>
                                <w:sz w:val="20"/>
                                <w:szCs w:val="20"/>
                              </w:rPr>
                              <w:fldChar w:fldCharType="separate"/>
                            </w:r>
                            <w:r>
                              <w:rPr>
                                <w:rFonts w:asciiTheme="majorBidi" w:hAnsiTheme="majorBidi" w:cstheme="majorBidi"/>
                                <w:b w:val="0"/>
                                <w:bCs w:val="0"/>
                                <w:i/>
                                <w:iCs/>
                                <w:noProof/>
                                <w:color w:val="auto"/>
                                <w:sz w:val="20"/>
                                <w:szCs w:val="20"/>
                              </w:rPr>
                              <w:t>1</w:t>
                            </w:r>
                            <w:r w:rsidRPr="007B41A5">
                              <w:rPr>
                                <w:rFonts w:asciiTheme="majorBidi" w:hAnsiTheme="majorBidi" w:cstheme="majorBidi"/>
                                <w:b w:val="0"/>
                                <w:bCs w:val="0"/>
                                <w:i/>
                                <w:iCs/>
                                <w:color w:val="auto"/>
                                <w:sz w:val="20"/>
                                <w:szCs w:val="20"/>
                              </w:rPr>
                              <w:fldChar w:fldCharType="end"/>
                            </w:r>
                            <w:r>
                              <w:rPr>
                                <w:rFonts w:asciiTheme="majorBidi" w:hAnsiTheme="majorBidi" w:cstheme="majorBidi"/>
                                <w:b w:val="0"/>
                                <w:bCs w:val="0"/>
                                <w:i/>
                                <w:iCs/>
                                <w:color w:val="auto"/>
                                <w:sz w:val="20"/>
                                <w:szCs w:val="20"/>
                              </w:rPr>
                              <w:t>:</w:t>
                            </w:r>
                            <w:r w:rsidRPr="00593F9F">
                              <w:rPr>
                                <w:rFonts w:asciiTheme="majorBidi" w:hAnsiTheme="majorBidi" w:cstheme="majorBidi"/>
                                <w:b w:val="0"/>
                                <w:bCs w:val="0"/>
                                <w:color w:val="auto"/>
                                <w:sz w:val="20"/>
                                <w:szCs w:val="20"/>
                              </w:rPr>
                              <w:t xml:space="preserve"> C</w:t>
                            </w:r>
                            <w:r w:rsidRPr="00593F9F">
                              <w:rPr>
                                <w:rFonts w:asciiTheme="majorBidi" w:eastAsia="Calibri" w:hAnsiTheme="majorBidi" w:cstheme="majorBidi"/>
                                <w:b w:val="0"/>
                                <w:bCs w:val="0"/>
                                <w:noProof/>
                                <w:color w:val="auto"/>
                                <w:sz w:val="20"/>
                                <w:szCs w:val="20"/>
                              </w:rPr>
                              <w:t>ommonality</w:t>
                            </w:r>
                            <w:r w:rsidRPr="00593F9F">
                              <w:rPr>
                                <w:rFonts w:asciiTheme="majorBidi" w:eastAsia="Calibri" w:hAnsiTheme="majorBidi" w:cstheme="majorBidi"/>
                                <w:b w:val="0"/>
                                <w:bCs w:val="0"/>
                                <w:color w:val="auto"/>
                                <w:sz w:val="20"/>
                                <w:szCs w:val="20"/>
                              </w:rPr>
                              <w:t xml:space="preserve"> of Stakeholders’ views of CM Motives, Enablers and Barriers</w:t>
                            </w:r>
                            <w:bookmarkEnd w:id="7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64416D46" id="Text Box 5" o:spid="_x0000_s1027" type="#_x0000_t202" style="position:absolute;left:0;text-align:left;margin-left:-16.95pt;margin-top:360.45pt;width:400.75pt;height:.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" stroked="f">
                <v:textbox style="mso-fit-shape-to-text:t" inset="0,0,0,0">
                  <w:txbxContent>
                    <w:p w14:paraId="64416D6E" w14:textId="03D443D5" w:rsidR="008E0079" w:rsidRPr="00593F9F" w:rsidRDefault="008E0079" w:rsidP="008D3598">
                      <w:pPr>
                        <w:pStyle w:val="Caption"/>
                        <w:rPr>
                          <w:rFonts w:asciiTheme="majorBidi" w:eastAsia="Calibri" w:hAnsiTheme="majorBidi" w:cstheme="majorBidi"/>
                          <w:b w:val="0"/>
                          <w:bCs w:val="0"/>
                          <w:noProof/>
                          <w:color w:val="auto"/>
                          <w:sz w:val="20"/>
                          <w:szCs w:val="20"/>
                        </w:rPr>
                      </w:pPr>
                      <w:bookmarkStart w:id="786" w:name="_Toc43311496"/>
                      <w:r w:rsidRPr="007B41A5">
                        <w:rPr>
                          <w:rFonts w:asciiTheme="majorBidi" w:hAnsiTheme="majorBidi" w:cstheme="majorBidi"/>
                          <w:b w:val="0"/>
                          <w:bCs w:val="0"/>
                          <w:i/>
                          <w:iCs/>
                          <w:color w:val="auto"/>
                          <w:sz w:val="20"/>
                          <w:szCs w:val="20"/>
                        </w:rPr>
                        <w:t xml:space="preserve">Figure 4. </w:t>
                      </w:r>
                      <w:r w:rsidRPr="007B41A5">
                        <w:rPr>
                          <w:rFonts w:asciiTheme="majorBidi" w:hAnsiTheme="majorBidi" w:cstheme="majorBidi"/>
                          <w:b w:val="0"/>
                          <w:bCs w:val="0"/>
                          <w:i/>
                          <w:iCs/>
                          <w:color w:val="auto"/>
                          <w:sz w:val="20"/>
                          <w:szCs w:val="20"/>
                        </w:rPr>
                        <w:fldChar w:fldCharType="begin"/>
                      </w:r>
                      <w:r w:rsidRPr="007B41A5">
                        <w:rPr>
                          <w:rFonts w:asciiTheme="majorBidi" w:hAnsiTheme="majorBidi" w:cstheme="majorBidi"/>
                          <w:b w:val="0"/>
                          <w:bCs w:val="0"/>
                          <w:i/>
                          <w:iCs/>
                          <w:color w:val="auto"/>
                          <w:sz w:val="20"/>
                          <w:szCs w:val="20"/>
                        </w:rPr>
                        <w:instrText xml:space="preserve"> SEQ Figure_4. \* ARABIC </w:instrText>
                      </w:r>
                      <w:r w:rsidRPr="007B41A5">
                        <w:rPr>
                          <w:rFonts w:asciiTheme="majorBidi" w:hAnsiTheme="majorBidi" w:cstheme="majorBidi"/>
                          <w:b w:val="0"/>
                          <w:bCs w:val="0"/>
                          <w:i/>
                          <w:iCs/>
                          <w:color w:val="auto"/>
                          <w:sz w:val="20"/>
                          <w:szCs w:val="20"/>
                        </w:rPr>
                        <w:fldChar w:fldCharType="separate"/>
                      </w:r>
                      <w:r>
                        <w:rPr>
                          <w:rFonts w:asciiTheme="majorBidi" w:hAnsiTheme="majorBidi" w:cstheme="majorBidi"/>
                          <w:b w:val="0"/>
                          <w:bCs w:val="0"/>
                          <w:i/>
                          <w:iCs/>
                          <w:noProof/>
                          <w:color w:val="auto"/>
                          <w:sz w:val="20"/>
                          <w:szCs w:val="20"/>
                        </w:rPr>
                        <w:t>1</w:t>
                      </w:r>
                      <w:r w:rsidRPr="007B41A5">
                        <w:rPr>
                          <w:rFonts w:asciiTheme="majorBidi" w:hAnsiTheme="majorBidi" w:cstheme="majorBidi"/>
                          <w:b w:val="0"/>
                          <w:bCs w:val="0"/>
                          <w:i/>
                          <w:iCs/>
                          <w:color w:val="auto"/>
                          <w:sz w:val="20"/>
                          <w:szCs w:val="20"/>
                        </w:rPr>
                        <w:fldChar w:fldCharType="end"/>
                      </w:r>
                      <w:r>
                        <w:rPr>
                          <w:rFonts w:asciiTheme="majorBidi" w:hAnsiTheme="majorBidi" w:cstheme="majorBidi"/>
                          <w:b w:val="0"/>
                          <w:bCs w:val="0"/>
                          <w:i/>
                          <w:iCs/>
                          <w:color w:val="auto"/>
                          <w:sz w:val="20"/>
                          <w:szCs w:val="20"/>
                        </w:rPr>
                        <w:t>:</w:t>
                      </w:r>
                      <w:r w:rsidRPr="00593F9F">
                        <w:rPr>
                          <w:rFonts w:asciiTheme="majorBidi" w:hAnsiTheme="majorBidi" w:cstheme="majorBidi"/>
                          <w:b w:val="0"/>
                          <w:bCs w:val="0"/>
                          <w:color w:val="auto"/>
                          <w:sz w:val="20"/>
                          <w:szCs w:val="20"/>
                        </w:rPr>
                        <w:t xml:space="preserve"> C</w:t>
                      </w:r>
                      <w:r w:rsidRPr="00593F9F">
                        <w:rPr>
                          <w:rFonts w:asciiTheme="majorBidi" w:eastAsia="Calibri" w:hAnsiTheme="majorBidi" w:cstheme="majorBidi"/>
                          <w:b w:val="0"/>
                          <w:bCs w:val="0"/>
                          <w:noProof/>
                          <w:color w:val="auto"/>
                          <w:sz w:val="20"/>
                          <w:szCs w:val="20"/>
                        </w:rPr>
                        <w:t>ommonality</w:t>
                      </w:r>
                      <w:r w:rsidRPr="00593F9F">
                        <w:rPr>
                          <w:rFonts w:asciiTheme="majorBidi" w:eastAsia="Calibri" w:hAnsiTheme="majorBidi" w:cstheme="majorBidi"/>
                          <w:b w:val="0"/>
                          <w:bCs w:val="0"/>
                          <w:color w:val="auto"/>
                          <w:sz w:val="20"/>
                          <w:szCs w:val="20"/>
                        </w:rPr>
                        <w:t xml:space="preserve"> of Stakeholders’ views of CM Motives, Enablers and Barriers</w:t>
                      </w:r>
                      <w:bookmarkEnd w:id="786"/>
                    </w:p>
                  </w:txbxContent>
                </v:textbox>
                <w10:wrap type="through"/>
              </v:shape>
            </w:pict>
          </mc:Fallback>
        </mc:AlternateContent>
      </w:r>
      <w:r w:rsidRPr="00511330">
        <w:rPr>
          <w:rFonts w:asciiTheme="majorBidi" w:eastAsia="Calibri" w:hAnsiTheme="majorBidi" w:cstheme="majorBidi"/>
          <w:noProof/>
          <w:sz w:val="24"/>
          <w:szCs w:val="24"/>
          <w:lang w:val="en-US"/>
        </w:rPr>
        <w:drawing>
          <wp:anchor distT="0" distB="0" distL="114300" distR="114300" simplePos="0" relativeHeight="251652096" behindDoc="1" locked="0" layoutInCell="1" allowOverlap="1" wp14:anchorId="64416D48" wp14:editId="0FC83368">
            <wp:simplePos x="0" y="0"/>
            <wp:positionH relativeFrom="column">
              <wp:posOffset>-215265</wp:posOffset>
            </wp:positionH>
            <wp:positionV relativeFrom="paragraph">
              <wp:posOffset>1491615</wp:posOffset>
            </wp:positionV>
            <wp:extent cx="5089525" cy="3028950"/>
            <wp:effectExtent l="0" t="0" r="0" b="0"/>
            <wp:wrapThrough wrapText="bothSides">
              <wp:wrapPolygon edited="0">
                <wp:start x="0" y="0"/>
                <wp:lineTo x="0" y="21464"/>
                <wp:lineTo x="21506" y="21464"/>
                <wp:lineTo x="21506" y="0"/>
                <wp:lineTo x="0" y="0"/>
              </wp:wrapPolygon>
            </wp:wrapThrough>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89525" cy="3028950"/>
                    </a:xfrm>
                    <a:prstGeom prst="rect">
                      <a:avLst/>
                    </a:prstGeom>
                    <a:noFill/>
                  </pic:spPr>
                </pic:pic>
              </a:graphicData>
            </a:graphic>
            <wp14:sizeRelH relativeFrom="page">
              <wp14:pctWidth>0</wp14:pctWidth>
            </wp14:sizeRelH>
            <wp14:sizeRelV relativeFrom="page">
              <wp14:pctHeight>0</wp14:pctHeight>
            </wp14:sizeRelV>
          </wp:anchor>
        </w:drawing>
      </w:r>
      <w:r w:rsidRPr="00511330">
        <w:rPr>
          <w:rFonts w:asciiTheme="majorBidi" w:eastAsia="Calibri" w:hAnsiTheme="majorBidi" w:cstheme="majorBidi"/>
          <w:sz w:val="24"/>
          <w:szCs w:val="24"/>
          <w:lang w:val="en-US"/>
        </w:rPr>
        <w:t>Figure 4.1 illustrates the commonality in stakeholders’ view of CM motivators, enablers, and barriers. The areas of intersection denote the commonality among the stakeholder groups, with the intersection “O” mirroring the intersection amongst all four stakeholders.</w:t>
      </w:r>
    </w:p>
    <w:p w14:paraId="6441677E" w14:textId="77777777" w:rsidR="008D3598" w:rsidRPr="00511330" w:rsidRDefault="008D3598" w:rsidP="00721566">
      <w:pPr>
        <w:spacing w:after="200" w:line="480" w:lineRule="auto"/>
        <w:ind w:right="-450"/>
        <w:jc w:val="both"/>
        <w:rPr>
          <w:rFonts w:asciiTheme="majorBidi" w:eastAsia="Calibri" w:hAnsiTheme="majorBidi" w:cstheme="majorBidi"/>
          <w:sz w:val="24"/>
          <w:szCs w:val="24"/>
          <w:lang w:val="en-US"/>
        </w:rPr>
      </w:pPr>
    </w:p>
    <w:p w14:paraId="6441677F" w14:textId="3EFE3965" w:rsidR="008D3598" w:rsidRPr="00511330" w:rsidRDefault="008D3598" w:rsidP="00721566">
      <w:pPr>
        <w:spacing w:after="20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The inputs from the participants were scrutinized to address the objective of the main study. Concurrently, similar answers were filtered in order to avoid repetitiveness and duplication of the main theme. Consequently, other answers serving the same meaning and theme objective were merged in order to serve the main theme with other valuable inputs. The themes presented helped underscore the perspective of each organization and employee while supporting the main theme such as managers, skills, or leadership attitude.</w:t>
      </w:r>
    </w:p>
    <w:p w14:paraId="4D334775" w14:textId="673BF241" w:rsidR="0062498A" w:rsidRPr="00511330" w:rsidRDefault="004862F1" w:rsidP="00EC3822">
      <w:pPr>
        <w:pStyle w:val="Heading2"/>
        <w:spacing w:line="480" w:lineRule="auto"/>
        <w:ind w:left="720" w:right="-450" w:hanging="720"/>
        <w:rPr>
          <w:rFonts w:eastAsia="Calibri"/>
          <w:lang w:val="en-US"/>
        </w:rPr>
      </w:pPr>
      <w:bookmarkStart w:id="786" w:name="_Toc43311637"/>
      <w:r w:rsidRPr="00511330">
        <w:rPr>
          <w:rFonts w:eastAsia="Calibri"/>
          <w:lang w:val="en-US"/>
        </w:rPr>
        <w:lastRenderedPageBreak/>
        <w:t>4.2</w:t>
      </w:r>
      <w:r w:rsidR="0062498A" w:rsidRPr="00511330">
        <w:rPr>
          <w:rFonts w:eastAsia="Calibri"/>
          <w:lang w:val="en-US"/>
        </w:rPr>
        <w:t xml:space="preserve">. </w:t>
      </w:r>
      <w:r w:rsidR="003579A2" w:rsidRPr="00511330">
        <w:rPr>
          <w:rFonts w:eastAsia="Calibri"/>
          <w:lang w:val="en-US"/>
        </w:rPr>
        <w:tab/>
      </w:r>
      <w:r w:rsidR="0062498A" w:rsidRPr="00511330">
        <w:rPr>
          <w:rFonts w:eastAsia="Calibri"/>
          <w:lang w:val="en-US"/>
        </w:rPr>
        <w:t>Tests for Assumptions</w:t>
      </w:r>
      <w:bookmarkEnd w:id="786"/>
    </w:p>
    <w:p w14:paraId="43493F07" w14:textId="3F34F62F" w:rsidR="0062498A" w:rsidRPr="00511330" w:rsidRDefault="0062498A" w:rsidP="0062498A">
      <w:pPr>
        <w:spacing w:after="200" w:line="480" w:lineRule="auto"/>
        <w:ind w:right="-450"/>
        <w:jc w:val="both"/>
        <w:rPr>
          <w:rFonts w:asciiTheme="majorBidi" w:eastAsia="Calibri" w:hAnsiTheme="majorBidi" w:cstheme="majorBidi"/>
          <w:b/>
          <w:bCs/>
          <w:sz w:val="24"/>
          <w:szCs w:val="24"/>
          <w:lang w:val="en-US"/>
        </w:rPr>
      </w:pPr>
      <w:r w:rsidRPr="00511330">
        <w:rPr>
          <w:rFonts w:asciiTheme="majorBidi" w:eastAsia="Calibri" w:hAnsiTheme="majorBidi" w:cstheme="majorBidi"/>
          <w:sz w:val="24"/>
          <w:szCs w:val="24"/>
          <w:lang w:val="en-US"/>
        </w:rPr>
        <w:t xml:space="preserve">The data on responses about Motivators, Enablers, and Barriers were investigated for their variance, outliers and normality, through skewness and kurtosis tests. These values were well within the limits recommended in literature skewness &lt; 2; kurtosis &lt; 7 – </w:t>
      </w:r>
      <w:r w:rsidRPr="00511330">
        <w:rPr>
          <w:rFonts w:asciiTheme="majorBidi" w:eastAsia="Calibri" w:hAnsiTheme="majorBidi" w:cstheme="majorBidi"/>
          <w:b/>
          <w:bCs/>
          <w:sz w:val="24"/>
          <w:szCs w:val="24"/>
          <w:lang w:val="en-US"/>
        </w:rPr>
        <w:t xml:space="preserve">(Dubey et al., 2016) </w:t>
      </w:r>
      <w:r w:rsidRPr="00511330">
        <w:rPr>
          <w:rFonts w:asciiTheme="majorBidi" w:eastAsia="Calibri" w:hAnsiTheme="majorBidi" w:cstheme="majorBidi"/>
          <w:sz w:val="24"/>
          <w:szCs w:val="24"/>
          <w:lang w:val="en-US"/>
        </w:rPr>
        <w:t>as shown in Table 4.1</w:t>
      </w:r>
      <w:r w:rsidR="009C045F" w:rsidRPr="00511330">
        <w:rPr>
          <w:rFonts w:asciiTheme="majorBidi" w:eastAsia="Calibri" w:hAnsiTheme="majorBidi" w:cstheme="majorBidi"/>
          <w:sz w:val="24"/>
          <w:szCs w:val="24"/>
          <w:lang w:val="en-US"/>
        </w:rPr>
        <w:t>6</w:t>
      </w:r>
      <w:r w:rsidRPr="00511330">
        <w:rPr>
          <w:rFonts w:asciiTheme="majorBidi" w:eastAsia="Calibri" w:hAnsiTheme="majorBidi" w:cstheme="majorBidi"/>
          <w:sz w:val="24"/>
          <w:szCs w:val="24"/>
          <w:lang w:val="en-US"/>
        </w:rPr>
        <w:t>.</w:t>
      </w:r>
    </w:p>
    <w:p w14:paraId="6C03BC1E" w14:textId="118B2894" w:rsidR="0062498A" w:rsidRPr="00511330" w:rsidRDefault="0062498A" w:rsidP="0047402F">
      <w:pPr>
        <w:pStyle w:val="Caption"/>
        <w:keepNext/>
        <w:spacing w:after="0"/>
        <w:ind w:right="-450"/>
        <w:rPr>
          <w:rFonts w:asciiTheme="majorBidi" w:hAnsiTheme="majorBidi" w:cstheme="majorBidi"/>
          <w:color w:val="auto"/>
          <w:sz w:val="20"/>
          <w:szCs w:val="20"/>
          <w:lang w:val="en-US"/>
        </w:rPr>
      </w:pPr>
      <w:bookmarkStart w:id="787" w:name="_Toc43310906"/>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16</w:t>
      </w:r>
      <w:r w:rsidRPr="00511330">
        <w:rPr>
          <w:rFonts w:asciiTheme="majorBidi" w:hAnsiTheme="majorBidi" w:cstheme="majorBidi"/>
          <w:b w:val="0"/>
          <w:bCs w:val="0"/>
          <w:color w:val="auto"/>
          <w:sz w:val="20"/>
          <w:szCs w:val="20"/>
          <w:lang w:val="en-US"/>
        </w:rPr>
        <w:fldChar w:fldCharType="end"/>
      </w:r>
      <w:r w:rsidR="0047402F" w:rsidRPr="00511330">
        <w:rPr>
          <w:rFonts w:asciiTheme="majorBidi" w:hAnsiTheme="majorBidi" w:cstheme="majorBidi"/>
          <w:b w:val="0"/>
          <w:bCs w:val="0"/>
          <w:noProof/>
          <w:color w:val="auto"/>
          <w:sz w:val="20"/>
          <w:szCs w:val="20"/>
          <w:lang w:val="en-US"/>
        </w:rPr>
        <w:t>:</w:t>
      </w:r>
      <w:r w:rsidRPr="00511330">
        <w:rPr>
          <w:rFonts w:asciiTheme="majorBidi" w:hAnsiTheme="majorBidi" w:cstheme="majorBidi"/>
          <w:noProof/>
          <w:color w:val="auto"/>
          <w:sz w:val="20"/>
          <w:szCs w:val="20"/>
          <w:lang w:val="en-US"/>
        </w:rPr>
        <w:t xml:space="preserve"> </w:t>
      </w:r>
      <w:r w:rsidRPr="00511330">
        <w:rPr>
          <w:rFonts w:asciiTheme="majorBidi" w:hAnsiTheme="majorBidi" w:cstheme="majorBidi"/>
          <w:b w:val="0"/>
          <w:bCs w:val="0"/>
          <w:i/>
          <w:iCs/>
          <w:noProof/>
          <w:color w:val="auto"/>
          <w:sz w:val="20"/>
          <w:szCs w:val="20"/>
          <w:lang w:val="en-US"/>
        </w:rPr>
        <w:t>Test for Skewness and Kurtosis</w:t>
      </w:r>
      <w:bookmarkEnd w:id="787"/>
    </w:p>
    <w:tbl>
      <w:tblPr>
        <w:tblStyle w:val="TableGrid1"/>
        <w:tblW w:w="7830" w:type="dxa"/>
        <w:tblInd w:w="-95" w:type="dxa"/>
        <w:tblLayout w:type="fixed"/>
        <w:tblLook w:val="04A0" w:firstRow="1" w:lastRow="0" w:firstColumn="1" w:lastColumn="0" w:noHBand="0" w:noVBand="1"/>
      </w:tblPr>
      <w:tblGrid>
        <w:gridCol w:w="3420"/>
        <w:gridCol w:w="1463"/>
        <w:gridCol w:w="1350"/>
        <w:gridCol w:w="1597"/>
      </w:tblGrid>
      <w:tr w:rsidR="00FF70CE" w:rsidRPr="00511330" w14:paraId="5BF56A7E" w14:textId="77777777" w:rsidTr="00ED6132">
        <w:tc>
          <w:tcPr>
            <w:tcW w:w="3420" w:type="dxa"/>
            <w:shd w:val="clear" w:color="auto" w:fill="F2F2F2" w:themeFill="background1" w:themeFillShade="F2"/>
            <w:vAlign w:val="center"/>
          </w:tcPr>
          <w:p w14:paraId="6654BD29" w14:textId="77777777" w:rsidR="0062498A" w:rsidRPr="00511330" w:rsidRDefault="0062498A" w:rsidP="00FF70CE">
            <w:pPr>
              <w:ind w:right="5"/>
              <w:jc w:val="center"/>
              <w:rPr>
                <w:rFonts w:asciiTheme="majorBidi" w:eastAsia="Calibri" w:hAnsiTheme="majorBidi" w:cstheme="majorBidi"/>
                <w:sz w:val="20"/>
                <w:szCs w:val="20"/>
                <w:lang w:val="en-US"/>
              </w:rPr>
            </w:pPr>
            <w:r w:rsidRPr="00511330">
              <w:rPr>
                <w:rFonts w:asciiTheme="majorBidi" w:eastAsia="Calibri" w:hAnsiTheme="majorBidi" w:cstheme="majorBidi"/>
                <w:b/>
                <w:bCs/>
                <w:sz w:val="20"/>
                <w:szCs w:val="20"/>
                <w:lang w:val="en-US"/>
              </w:rPr>
              <w:t>Skewness and Kurtosis Test</w:t>
            </w:r>
          </w:p>
        </w:tc>
        <w:tc>
          <w:tcPr>
            <w:tcW w:w="1463" w:type="dxa"/>
            <w:shd w:val="clear" w:color="auto" w:fill="F2F2F2" w:themeFill="background1" w:themeFillShade="F2"/>
            <w:vAlign w:val="center"/>
          </w:tcPr>
          <w:p w14:paraId="5BE9CE3F" w14:textId="77777777" w:rsidR="0062498A" w:rsidRPr="00511330" w:rsidRDefault="0062498A" w:rsidP="00FF70CE">
            <w:pPr>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b/>
                <w:bCs/>
                <w:sz w:val="20"/>
                <w:szCs w:val="20"/>
                <w:lang w:val="en-US"/>
              </w:rPr>
              <w:t>Motivators</w:t>
            </w:r>
          </w:p>
        </w:tc>
        <w:tc>
          <w:tcPr>
            <w:tcW w:w="1350" w:type="dxa"/>
            <w:shd w:val="clear" w:color="auto" w:fill="F2F2F2" w:themeFill="background1" w:themeFillShade="F2"/>
            <w:vAlign w:val="center"/>
          </w:tcPr>
          <w:p w14:paraId="339A267F" w14:textId="77777777" w:rsidR="0062498A" w:rsidRPr="00511330" w:rsidRDefault="0062498A" w:rsidP="00FF70CE">
            <w:pPr>
              <w:ind w:right="-175"/>
              <w:jc w:val="center"/>
              <w:rPr>
                <w:rFonts w:asciiTheme="majorBidi" w:eastAsia="Calibri" w:hAnsiTheme="majorBidi" w:cstheme="majorBidi"/>
                <w:sz w:val="20"/>
                <w:szCs w:val="20"/>
                <w:lang w:val="en-US"/>
              </w:rPr>
            </w:pPr>
            <w:r w:rsidRPr="00511330">
              <w:rPr>
                <w:rFonts w:asciiTheme="majorBidi" w:eastAsia="Calibri" w:hAnsiTheme="majorBidi" w:cstheme="majorBidi"/>
                <w:b/>
                <w:bCs/>
                <w:sz w:val="20"/>
                <w:szCs w:val="20"/>
                <w:lang w:val="en-US"/>
              </w:rPr>
              <w:t>Enablers</w:t>
            </w:r>
          </w:p>
        </w:tc>
        <w:tc>
          <w:tcPr>
            <w:tcW w:w="1597" w:type="dxa"/>
            <w:shd w:val="clear" w:color="auto" w:fill="F2F2F2" w:themeFill="background1" w:themeFillShade="F2"/>
            <w:vAlign w:val="center"/>
          </w:tcPr>
          <w:p w14:paraId="3BC3A749" w14:textId="77777777" w:rsidR="0062498A" w:rsidRPr="00511330" w:rsidRDefault="0062498A" w:rsidP="00FF70CE">
            <w:pPr>
              <w:ind w:right="-85"/>
              <w:jc w:val="center"/>
              <w:rPr>
                <w:rFonts w:asciiTheme="majorBidi" w:eastAsia="Calibri" w:hAnsiTheme="majorBidi" w:cstheme="majorBidi"/>
                <w:sz w:val="20"/>
                <w:szCs w:val="20"/>
                <w:lang w:val="en-US"/>
              </w:rPr>
            </w:pPr>
            <w:r w:rsidRPr="00511330">
              <w:rPr>
                <w:rFonts w:asciiTheme="majorBidi" w:eastAsia="Calibri" w:hAnsiTheme="majorBidi" w:cstheme="majorBidi"/>
                <w:b/>
                <w:bCs/>
                <w:sz w:val="20"/>
                <w:szCs w:val="20"/>
                <w:lang w:val="en-US"/>
              </w:rPr>
              <w:t>Barriers</w:t>
            </w:r>
          </w:p>
        </w:tc>
      </w:tr>
      <w:tr w:rsidR="00FF70CE" w:rsidRPr="00511330" w14:paraId="606545BE" w14:textId="77777777" w:rsidTr="00ED6132">
        <w:trPr>
          <w:trHeight w:val="116"/>
        </w:trPr>
        <w:tc>
          <w:tcPr>
            <w:tcW w:w="3420" w:type="dxa"/>
            <w:shd w:val="clear" w:color="auto" w:fill="auto"/>
            <w:vAlign w:val="center"/>
          </w:tcPr>
          <w:p w14:paraId="71034ED8" w14:textId="77777777" w:rsidR="0062498A" w:rsidRPr="00511330" w:rsidRDefault="0062498A" w:rsidP="0062498A">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Skewness</w:t>
            </w:r>
          </w:p>
        </w:tc>
        <w:tc>
          <w:tcPr>
            <w:tcW w:w="1463" w:type="dxa"/>
            <w:shd w:val="clear" w:color="auto" w:fill="auto"/>
            <w:vAlign w:val="center"/>
          </w:tcPr>
          <w:p w14:paraId="26F4A3F7" w14:textId="77777777" w:rsidR="0062498A" w:rsidRPr="00511330" w:rsidRDefault="0062498A" w:rsidP="00FF70CE">
            <w:pPr>
              <w:ind w:right="-175"/>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-1.070</w:t>
            </w:r>
          </w:p>
        </w:tc>
        <w:tc>
          <w:tcPr>
            <w:tcW w:w="1350" w:type="dxa"/>
            <w:shd w:val="clear" w:color="auto" w:fill="auto"/>
            <w:vAlign w:val="center"/>
          </w:tcPr>
          <w:p w14:paraId="1242F900" w14:textId="77777777" w:rsidR="0062498A" w:rsidRPr="00511330" w:rsidRDefault="0062498A" w:rsidP="00FF70CE">
            <w:pPr>
              <w:ind w:right="-175"/>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-.183</w:t>
            </w:r>
          </w:p>
        </w:tc>
        <w:tc>
          <w:tcPr>
            <w:tcW w:w="1597" w:type="dxa"/>
            <w:shd w:val="clear" w:color="auto" w:fill="auto"/>
            <w:vAlign w:val="center"/>
          </w:tcPr>
          <w:p w14:paraId="2E57264E" w14:textId="77777777" w:rsidR="0062498A" w:rsidRPr="00511330" w:rsidRDefault="0062498A" w:rsidP="00FF70CE">
            <w:pPr>
              <w:ind w:right="-85"/>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-1.069</w:t>
            </w:r>
          </w:p>
        </w:tc>
      </w:tr>
      <w:tr w:rsidR="00FF70CE" w:rsidRPr="00511330" w14:paraId="514157AF" w14:textId="77777777" w:rsidTr="00ED6132">
        <w:trPr>
          <w:trHeight w:val="70"/>
        </w:trPr>
        <w:tc>
          <w:tcPr>
            <w:tcW w:w="3420" w:type="dxa"/>
            <w:shd w:val="clear" w:color="auto" w:fill="auto"/>
            <w:vAlign w:val="center"/>
          </w:tcPr>
          <w:p w14:paraId="283167D6" w14:textId="77777777" w:rsidR="0062498A" w:rsidRPr="00511330" w:rsidRDefault="0062498A" w:rsidP="0062498A">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Std. error of skewness</w:t>
            </w:r>
          </w:p>
        </w:tc>
        <w:tc>
          <w:tcPr>
            <w:tcW w:w="1463" w:type="dxa"/>
            <w:shd w:val="clear" w:color="auto" w:fill="auto"/>
            <w:vAlign w:val="center"/>
          </w:tcPr>
          <w:p w14:paraId="0A69401B" w14:textId="77777777" w:rsidR="0062498A" w:rsidRPr="00511330" w:rsidRDefault="0062498A" w:rsidP="00FF70CE">
            <w:pPr>
              <w:ind w:right="-175"/>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.130</w:t>
            </w:r>
          </w:p>
        </w:tc>
        <w:tc>
          <w:tcPr>
            <w:tcW w:w="1350" w:type="dxa"/>
            <w:shd w:val="clear" w:color="auto" w:fill="auto"/>
            <w:vAlign w:val="center"/>
          </w:tcPr>
          <w:p w14:paraId="02CD0A9A" w14:textId="77777777" w:rsidR="0062498A" w:rsidRPr="00511330" w:rsidRDefault="0062498A" w:rsidP="00FF70CE">
            <w:pPr>
              <w:ind w:right="-175"/>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.130</w:t>
            </w:r>
          </w:p>
        </w:tc>
        <w:tc>
          <w:tcPr>
            <w:tcW w:w="1597" w:type="dxa"/>
            <w:shd w:val="clear" w:color="auto" w:fill="auto"/>
            <w:vAlign w:val="center"/>
          </w:tcPr>
          <w:p w14:paraId="0F1C71AB" w14:textId="77777777" w:rsidR="0062498A" w:rsidRPr="00511330" w:rsidRDefault="0062498A" w:rsidP="00FF70CE">
            <w:pPr>
              <w:ind w:right="-85"/>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.130</w:t>
            </w:r>
          </w:p>
        </w:tc>
      </w:tr>
      <w:tr w:rsidR="00FF70CE" w:rsidRPr="00511330" w14:paraId="6629EB23" w14:textId="77777777" w:rsidTr="00ED6132">
        <w:trPr>
          <w:trHeight w:val="80"/>
        </w:trPr>
        <w:tc>
          <w:tcPr>
            <w:tcW w:w="3420" w:type="dxa"/>
            <w:shd w:val="clear" w:color="auto" w:fill="auto"/>
            <w:vAlign w:val="center"/>
          </w:tcPr>
          <w:p w14:paraId="52CDA5A5" w14:textId="77777777" w:rsidR="0062498A" w:rsidRPr="00511330" w:rsidRDefault="0062498A" w:rsidP="0062498A">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Kurtosis</w:t>
            </w:r>
          </w:p>
        </w:tc>
        <w:tc>
          <w:tcPr>
            <w:tcW w:w="1463" w:type="dxa"/>
            <w:shd w:val="clear" w:color="auto" w:fill="auto"/>
            <w:vAlign w:val="center"/>
          </w:tcPr>
          <w:p w14:paraId="36589950" w14:textId="77777777" w:rsidR="0062498A" w:rsidRPr="00511330" w:rsidRDefault="0062498A" w:rsidP="00FF70CE">
            <w:pPr>
              <w:ind w:right="-175"/>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.118</w:t>
            </w:r>
          </w:p>
        </w:tc>
        <w:tc>
          <w:tcPr>
            <w:tcW w:w="1350" w:type="dxa"/>
            <w:shd w:val="clear" w:color="auto" w:fill="auto"/>
            <w:vAlign w:val="center"/>
          </w:tcPr>
          <w:p w14:paraId="7FFE5AE4" w14:textId="77777777" w:rsidR="0062498A" w:rsidRPr="00511330" w:rsidRDefault="0062498A" w:rsidP="00FF70CE">
            <w:pPr>
              <w:ind w:right="-175"/>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-1.317</w:t>
            </w:r>
          </w:p>
        </w:tc>
        <w:tc>
          <w:tcPr>
            <w:tcW w:w="1597" w:type="dxa"/>
            <w:shd w:val="clear" w:color="auto" w:fill="auto"/>
            <w:vAlign w:val="center"/>
          </w:tcPr>
          <w:p w14:paraId="5BF1CBF2" w14:textId="77777777" w:rsidR="0062498A" w:rsidRPr="00511330" w:rsidRDefault="0062498A" w:rsidP="00FF70CE">
            <w:pPr>
              <w:ind w:right="-85"/>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2.325</w:t>
            </w:r>
          </w:p>
        </w:tc>
      </w:tr>
      <w:tr w:rsidR="00FF70CE" w:rsidRPr="00511330" w14:paraId="7761A79B" w14:textId="77777777" w:rsidTr="00ED6132">
        <w:trPr>
          <w:trHeight w:val="251"/>
        </w:trPr>
        <w:tc>
          <w:tcPr>
            <w:tcW w:w="3420" w:type="dxa"/>
            <w:shd w:val="clear" w:color="auto" w:fill="auto"/>
            <w:vAlign w:val="center"/>
          </w:tcPr>
          <w:p w14:paraId="712E90F4" w14:textId="77777777" w:rsidR="0062498A" w:rsidRPr="00511330" w:rsidRDefault="0062498A" w:rsidP="0062498A">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Std. error of kurtosis</w:t>
            </w:r>
          </w:p>
        </w:tc>
        <w:tc>
          <w:tcPr>
            <w:tcW w:w="1463" w:type="dxa"/>
            <w:shd w:val="clear" w:color="auto" w:fill="auto"/>
            <w:vAlign w:val="center"/>
          </w:tcPr>
          <w:p w14:paraId="227BC86B" w14:textId="77777777" w:rsidR="0062498A" w:rsidRPr="00511330" w:rsidRDefault="0062498A" w:rsidP="00FF70CE">
            <w:pPr>
              <w:ind w:right="-175"/>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.259</w:t>
            </w:r>
          </w:p>
        </w:tc>
        <w:tc>
          <w:tcPr>
            <w:tcW w:w="1350" w:type="dxa"/>
            <w:shd w:val="clear" w:color="auto" w:fill="auto"/>
            <w:vAlign w:val="center"/>
          </w:tcPr>
          <w:p w14:paraId="01C47A61" w14:textId="77777777" w:rsidR="0062498A" w:rsidRPr="00511330" w:rsidRDefault="0062498A" w:rsidP="00FF70CE">
            <w:pPr>
              <w:ind w:right="-175"/>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.259</w:t>
            </w:r>
          </w:p>
        </w:tc>
        <w:tc>
          <w:tcPr>
            <w:tcW w:w="1597" w:type="dxa"/>
            <w:shd w:val="clear" w:color="auto" w:fill="auto"/>
            <w:vAlign w:val="center"/>
          </w:tcPr>
          <w:p w14:paraId="699795FB" w14:textId="77777777" w:rsidR="0062498A" w:rsidRPr="00511330" w:rsidRDefault="0062498A" w:rsidP="00FF70CE">
            <w:pPr>
              <w:ind w:right="-85"/>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.259</w:t>
            </w:r>
          </w:p>
        </w:tc>
      </w:tr>
    </w:tbl>
    <w:p w14:paraId="3DA9044C" w14:textId="77777777" w:rsidR="003F0551" w:rsidRPr="00511330" w:rsidRDefault="003F0551" w:rsidP="00721566">
      <w:pPr>
        <w:keepNext/>
        <w:keepLines/>
        <w:spacing w:before="200" w:after="0" w:line="360" w:lineRule="auto"/>
        <w:ind w:right="-450"/>
        <w:outlineLvl w:val="1"/>
        <w:rPr>
          <w:rFonts w:asciiTheme="majorBidi" w:eastAsiaTheme="majorEastAsia" w:hAnsiTheme="majorBidi" w:cstheme="majorBidi"/>
          <w:b/>
          <w:bCs/>
          <w:vanish/>
          <w:sz w:val="28"/>
          <w:szCs w:val="26"/>
          <w:lang w:val="en-US"/>
        </w:rPr>
      </w:pPr>
      <w:bookmarkStart w:id="788" w:name="_Toc32090379"/>
      <w:bookmarkStart w:id="789" w:name="_Toc32090709"/>
      <w:bookmarkStart w:id="790" w:name="_Toc32091625"/>
      <w:bookmarkStart w:id="791" w:name="_Toc32090380"/>
      <w:bookmarkStart w:id="792" w:name="_Toc32090710"/>
      <w:bookmarkStart w:id="793" w:name="_Toc32091626"/>
      <w:bookmarkStart w:id="794" w:name="_Toc32090381"/>
      <w:bookmarkStart w:id="795" w:name="_Toc32090711"/>
      <w:bookmarkStart w:id="796" w:name="_Toc32091627"/>
      <w:bookmarkStart w:id="797" w:name="_Toc32090384"/>
      <w:bookmarkStart w:id="798" w:name="_Toc32090714"/>
      <w:bookmarkStart w:id="799" w:name="_Toc32091630"/>
      <w:bookmarkEnd w:id="788"/>
      <w:bookmarkEnd w:id="789"/>
      <w:bookmarkEnd w:id="790"/>
      <w:bookmarkEnd w:id="791"/>
      <w:bookmarkEnd w:id="792"/>
      <w:bookmarkEnd w:id="793"/>
      <w:bookmarkEnd w:id="794"/>
      <w:bookmarkEnd w:id="795"/>
      <w:bookmarkEnd w:id="796"/>
      <w:bookmarkEnd w:id="797"/>
      <w:bookmarkEnd w:id="798"/>
      <w:bookmarkEnd w:id="799"/>
    </w:p>
    <w:p w14:paraId="64416781" w14:textId="536004A7" w:rsidR="008D3598" w:rsidRPr="00511330" w:rsidRDefault="008D3598" w:rsidP="00EC3822">
      <w:pPr>
        <w:pStyle w:val="Heading2"/>
        <w:spacing w:line="480" w:lineRule="auto"/>
        <w:ind w:left="540" w:right="-450" w:hanging="540"/>
        <w:rPr>
          <w:lang w:val="en-US"/>
        </w:rPr>
      </w:pPr>
      <w:bookmarkStart w:id="800" w:name="_Toc43311638"/>
      <w:r w:rsidRPr="00511330">
        <w:rPr>
          <w:lang w:val="en-US"/>
        </w:rPr>
        <w:t xml:space="preserve">4.3. </w:t>
      </w:r>
      <w:r w:rsidR="00EC3822" w:rsidRPr="00511330">
        <w:rPr>
          <w:lang w:val="en-US"/>
        </w:rPr>
        <w:tab/>
      </w:r>
      <w:r w:rsidRPr="00511330">
        <w:rPr>
          <w:lang w:val="en-US"/>
        </w:rPr>
        <w:t>Quantitative Analysis of Motivators</w:t>
      </w:r>
      <w:bookmarkStart w:id="801" w:name="_Toc32090386"/>
      <w:bookmarkStart w:id="802" w:name="_Toc32090716"/>
      <w:bookmarkStart w:id="803" w:name="_Toc32091632"/>
      <w:bookmarkStart w:id="804" w:name="_Toc32090392"/>
      <w:bookmarkStart w:id="805" w:name="_Toc32090722"/>
      <w:bookmarkStart w:id="806" w:name="_Toc32091638"/>
      <w:bookmarkEnd w:id="800"/>
      <w:bookmarkEnd w:id="801"/>
      <w:bookmarkEnd w:id="802"/>
      <w:bookmarkEnd w:id="803"/>
      <w:bookmarkEnd w:id="804"/>
      <w:bookmarkEnd w:id="805"/>
      <w:bookmarkEnd w:id="806"/>
    </w:p>
    <w:p w14:paraId="64416782" w14:textId="4C34EC2A" w:rsidR="008D3598" w:rsidRPr="00511330" w:rsidRDefault="008D3598" w:rsidP="00721566">
      <w:pPr>
        <w:pStyle w:val="Heading3"/>
        <w:spacing w:after="240"/>
        <w:ind w:left="720" w:right="-450" w:hanging="720"/>
        <w:rPr>
          <w:rFonts w:eastAsia="Calibri"/>
          <w:lang w:val="en-US"/>
        </w:rPr>
      </w:pPr>
      <w:bookmarkStart w:id="807" w:name="_Toc43311639"/>
      <w:r w:rsidRPr="00511330">
        <w:rPr>
          <w:lang w:val="en-US"/>
        </w:rPr>
        <w:t xml:space="preserve">4.3.1. </w:t>
      </w:r>
      <w:r w:rsidR="00EC3822" w:rsidRPr="00511330">
        <w:rPr>
          <w:lang w:val="en-US"/>
        </w:rPr>
        <w:tab/>
      </w:r>
      <w:r w:rsidRPr="00511330">
        <w:rPr>
          <w:lang w:val="en-US"/>
        </w:rPr>
        <w:t>Explanatory Factor Analysis (EFA) Results</w:t>
      </w:r>
      <w:bookmarkEnd w:id="807"/>
    </w:p>
    <w:p w14:paraId="64416783" w14:textId="1816B7BF" w:rsidR="008D3598" w:rsidRPr="00511330" w:rsidRDefault="008D3598" w:rsidP="00721566">
      <w:pPr>
        <w:spacing w:after="0" w:line="480" w:lineRule="auto"/>
        <w:ind w:right="-450"/>
        <w:jc w:val="both"/>
        <w:rPr>
          <w:rFonts w:asciiTheme="majorBidi" w:eastAsia="Calibri" w:hAnsiTheme="majorBidi" w:cstheme="majorBidi"/>
          <w:kern w:val="16"/>
          <w:sz w:val="24"/>
          <w:szCs w:val="24"/>
          <w:lang w:val="en-US"/>
        </w:rPr>
      </w:pPr>
      <w:r w:rsidRPr="00511330">
        <w:rPr>
          <w:rFonts w:asciiTheme="majorBidi" w:eastAsia="Calibri" w:hAnsiTheme="majorBidi" w:cstheme="majorBidi"/>
          <w:kern w:val="16"/>
          <w:sz w:val="24"/>
          <w:szCs w:val="24"/>
          <w:lang w:val="en-US"/>
        </w:rPr>
        <w:t xml:space="preserve">This analysis involved top management, employees </w:t>
      </w:r>
      <w:r w:rsidRPr="00511330">
        <w:rPr>
          <w:rFonts w:asciiTheme="majorBidi" w:eastAsia="Calibri" w:hAnsiTheme="majorBidi" w:cstheme="majorBidi"/>
          <w:noProof/>
          <w:kern w:val="16"/>
          <w:sz w:val="24"/>
          <w:szCs w:val="24"/>
          <w:lang w:val="en-US"/>
        </w:rPr>
        <w:t>and</w:t>
      </w:r>
      <w:r w:rsidRPr="00511330">
        <w:rPr>
          <w:rFonts w:asciiTheme="majorBidi" w:eastAsia="Calibri" w:hAnsiTheme="majorBidi" w:cstheme="majorBidi"/>
          <w:kern w:val="16"/>
          <w:sz w:val="24"/>
          <w:szCs w:val="24"/>
          <w:lang w:val="en-US"/>
        </w:rPr>
        <w:t xml:space="preserve"> customers in the energy sectors organization</w:t>
      </w:r>
      <w:r w:rsidR="003F0551" w:rsidRPr="00511330">
        <w:rPr>
          <w:rFonts w:asciiTheme="majorBidi" w:eastAsia="Calibri" w:hAnsiTheme="majorBidi" w:cstheme="majorBidi"/>
          <w:kern w:val="16"/>
          <w:sz w:val="24"/>
          <w:szCs w:val="24"/>
          <w:lang w:val="en-US"/>
        </w:rPr>
        <w:t>s</w:t>
      </w:r>
      <w:r w:rsidRPr="00511330">
        <w:rPr>
          <w:rFonts w:asciiTheme="majorBidi" w:eastAsia="Calibri" w:hAnsiTheme="majorBidi" w:cstheme="majorBidi"/>
          <w:kern w:val="16"/>
          <w:sz w:val="24"/>
          <w:szCs w:val="24"/>
          <w:lang w:val="en-US"/>
        </w:rPr>
        <w:t xml:space="preserve">. Prior to the analysis, several tests were conducted in order to determine the suitability of the data. Several conditions must be met prior to testing whether the items are suitable to run the analysis. The test includes </w:t>
      </w:r>
      <w:r w:rsidRPr="00511330">
        <w:rPr>
          <w:rFonts w:asciiTheme="majorBidi" w:eastAsia="Calibri" w:hAnsiTheme="majorBidi" w:cstheme="majorBidi"/>
          <w:noProof/>
          <w:kern w:val="16"/>
          <w:sz w:val="24"/>
          <w:szCs w:val="24"/>
          <w:lang w:val="en-US"/>
        </w:rPr>
        <w:t>Kaiser</w:t>
      </w:r>
      <w:r w:rsidRPr="00511330">
        <w:rPr>
          <w:rFonts w:asciiTheme="majorBidi" w:eastAsia="Calibri" w:hAnsiTheme="majorBidi" w:cstheme="majorBidi"/>
          <w:kern w:val="16"/>
          <w:sz w:val="24"/>
          <w:szCs w:val="24"/>
          <w:lang w:val="en-US"/>
        </w:rPr>
        <w:t xml:space="preserve">–Meyer–Olkin (KMO) </w:t>
      </w:r>
      <w:r w:rsidRPr="00511330">
        <w:rPr>
          <w:rFonts w:asciiTheme="majorBidi" w:eastAsia="Calibri" w:hAnsiTheme="majorBidi" w:cstheme="majorBidi"/>
          <w:noProof/>
          <w:kern w:val="16"/>
          <w:sz w:val="24"/>
          <w:szCs w:val="24"/>
          <w:lang w:val="en-US"/>
        </w:rPr>
        <w:t>Test</w:t>
      </w:r>
      <w:r w:rsidRPr="00511330">
        <w:rPr>
          <w:rFonts w:asciiTheme="majorBidi" w:eastAsia="Calibri" w:hAnsiTheme="majorBidi" w:cstheme="majorBidi"/>
          <w:kern w:val="16"/>
          <w:sz w:val="24"/>
          <w:szCs w:val="24"/>
          <w:lang w:val="en-US"/>
        </w:rPr>
        <w:t xml:space="preserve"> and Bartlett’s Test of Sphericity. The results are shown in Table 4.17</w:t>
      </w:r>
      <w:r w:rsidRPr="00511330">
        <w:rPr>
          <w:rFonts w:asciiTheme="majorBidi" w:eastAsia="Calibri" w:hAnsiTheme="majorBidi" w:cstheme="majorBidi"/>
          <w:b/>
          <w:bCs/>
          <w:kern w:val="16"/>
          <w:sz w:val="24"/>
          <w:szCs w:val="24"/>
          <w:lang w:val="en-US"/>
        </w:rPr>
        <w:t>.</w:t>
      </w:r>
    </w:p>
    <w:p w14:paraId="64416784" w14:textId="3065D1C3" w:rsidR="008D3598" w:rsidRPr="00511330" w:rsidRDefault="008D3598" w:rsidP="0047402F">
      <w:pPr>
        <w:pStyle w:val="Caption"/>
        <w:keepNext/>
        <w:spacing w:after="0"/>
        <w:ind w:right="-450"/>
        <w:rPr>
          <w:rFonts w:asciiTheme="majorBidi" w:hAnsiTheme="majorBidi" w:cstheme="majorBidi"/>
          <w:b w:val="0"/>
          <w:bCs w:val="0"/>
          <w:color w:val="auto"/>
          <w:sz w:val="20"/>
          <w:szCs w:val="20"/>
          <w:lang w:val="en-US"/>
        </w:rPr>
      </w:pPr>
      <w:bookmarkStart w:id="808" w:name="_Toc43310907"/>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17</w:t>
      </w:r>
      <w:r w:rsidRPr="00511330">
        <w:rPr>
          <w:rFonts w:asciiTheme="majorBidi" w:hAnsiTheme="majorBidi" w:cstheme="majorBidi"/>
          <w:b w:val="0"/>
          <w:bCs w:val="0"/>
          <w:color w:val="auto"/>
          <w:sz w:val="20"/>
          <w:szCs w:val="20"/>
          <w:lang w:val="en-US"/>
        </w:rPr>
        <w:fldChar w:fldCharType="end"/>
      </w:r>
      <w:r w:rsidR="0047402F" w:rsidRPr="00511330">
        <w:rPr>
          <w:rFonts w:asciiTheme="majorBidi" w:hAnsiTheme="majorBidi" w:cstheme="majorBidi"/>
          <w:b w:val="0"/>
          <w:bCs w:val="0"/>
          <w:noProof/>
          <w:color w:val="auto"/>
          <w:sz w:val="20"/>
          <w:szCs w:val="20"/>
          <w:lang w:val="en-US"/>
        </w:rPr>
        <w:t>:</w:t>
      </w:r>
      <w:r w:rsidRPr="00511330">
        <w:rPr>
          <w:rFonts w:asciiTheme="majorBidi" w:hAnsiTheme="majorBidi" w:cstheme="majorBidi"/>
          <w:b w:val="0"/>
          <w:bCs w:val="0"/>
          <w:noProof/>
          <w:color w:val="auto"/>
          <w:sz w:val="20"/>
          <w:szCs w:val="20"/>
          <w:lang w:val="en-US"/>
        </w:rPr>
        <w:t xml:space="preserve"> </w:t>
      </w:r>
      <w:r w:rsidRPr="00511330">
        <w:rPr>
          <w:rFonts w:asciiTheme="majorBidi" w:hAnsiTheme="majorBidi" w:cstheme="majorBidi"/>
          <w:b w:val="0"/>
          <w:bCs w:val="0"/>
          <w:i/>
          <w:iCs/>
          <w:noProof/>
          <w:color w:val="auto"/>
          <w:sz w:val="20"/>
          <w:szCs w:val="20"/>
          <w:lang w:val="en-US"/>
        </w:rPr>
        <w:t>KMO Test and Bartlett’s Test for Change Motives</w:t>
      </w:r>
      <w:bookmarkEnd w:id="808"/>
    </w:p>
    <w:tbl>
      <w:tblPr>
        <w:tblStyle w:val="TableGrid1"/>
        <w:tblW w:w="75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150"/>
        <w:gridCol w:w="2721"/>
        <w:gridCol w:w="1710"/>
      </w:tblGrid>
      <w:tr w:rsidR="008D3598" w:rsidRPr="00511330" w14:paraId="64416788" w14:textId="77777777" w:rsidTr="0047402F">
        <w:tc>
          <w:tcPr>
            <w:tcW w:w="3150" w:type="dxa"/>
            <w:vMerge w:val="restart"/>
            <w:shd w:val="clear" w:color="auto" w:fill="F2F2F2" w:themeFill="background1" w:themeFillShade="F2"/>
            <w:vAlign w:val="center"/>
          </w:tcPr>
          <w:p w14:paraId="64416785" w14:textId="77777777" w:rsidR="008D3598" w:rsidRPr="00511330" w:rsidRDefault="008D3598" w:rsidP="00721566">
            <w:pPr>
              <w:spacing w:line="480" w:lineRule="auto"/>
              <w:ind w:right="-450"/>
              <w:jc w:val="both"/>
              <w:rPr>
                <w:rFonts w:asciiTheme="majorBidi" w:eastAsia="Calibri" w:hAnsiTheme="majorBidi" w:cstheme="majorBidi"/>
                <w:color w:val="FF0000"/>
                <w:sz w:val="20"/>
                <w:szCs w:val="20"/>
                <w:lang w:val="en-US"/>
              </w:rPr>
            </w:pPr>
            <w:r w:rsidRPr="00511330">
              <w:rPr>
                <w:rFonts w:asciiTheme="majorBidi" w:eastAsia="Calibri" w:hAnsiTheme="majorBidi" w:cstheme="majorBidi"/>
                <w:sz w:val="20"/>
                <w:szCs w:val="20"/>
                <w:lang w:val="en-US"/>
              </w:rPr>
              <w:t>Bartlett’s Test of Sphericity</w:t>
            </w:r>
          </w:p>
        </w:tc>
        <w:tc>
          <w:tcPr>
            <w:tcW w:w="2721" w:type="dxa"/>
          </w:tcPr>
          <w:p w14:paraId="64416786"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KMO</w:t>
            </w:r>
          </w:p>
        </w:tc>
        <w:tc>
          <w:tcPr>
            <w:tcW w:w="1710" w:type="dxa"/>
          </w:tcPr>
          <w:p w14:paraId="64416787"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0.949</w:t>
            </w:r>
          </w:p>
        </w:tc>
      </w:tr>
      <w:tr w:rsidR="008D3598" w:rsidRPr="00511330" w14:paraId="6441678C" w14:textId="77777777" w:rsidTr="0047402F">
        <w:tc>
          <w:tcPr>
            <w:tcW w:w="3150" w:type="dxa"/>
            <w:vMerge/>
            <w:shd w:val="clear" w:color="auto" w:fill="F2F2F2" w:themeFill="background1" w:themeFillShade="F2"/>
            <w:vAlign w:val="center"/>
          </w:tcPr>
          <w:p w14:paraId="64416789" w14:textId="77777777" w:rsidR="008D3598" w:rsidRPr="00511330" w:rsidRDefault="008D3598" w:rsidP="00721566">
            <w:pPr>
              <w:spacing w:line="480" w:lineRule="auto"/>
              <w:ind w:right="-450"/>
              <w:jc w:val="both"/>
              <w:rPr>
                <w:rFonts w:asciiTheme="majorBidi" w:eastAsia="Calibri" w:hAnsiTheme="majorBidi" w:cstheme="majorBidi"/>
                <w:color w:val="FF0000"/>
                <w:sz w:val="20"/>
                <w:szCs w:val="20"/>
                <w:lang w:val="en-US"/>
              </w:rPr>
            </w:pPr>
          </w:p>
        </w:tc>
        <w:tc>
          <w:tcPr>
            <w:tcW w:w="2721" w:type="dxa"/>
          </w:tcPr>
          <w:p w14:paraId="6441678A"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Approx. </w:t>
            </w:r>
            <w:r w:rsidRPr="00511330">
              <w:rPr>
                <w:rFonts w:asciiTheme="majorBidi" w:eastAsia="Calibri" w:hAnsiTheme="majorBidi" w:cstheme="majorBidi"/>
                <w:noProof/>
                <w:sz w:val="20"/>
                <w:szCs w:val="20"/>
                <w:lang w:val="en-US"/>
              </w:rPr>
              <w:t>Chi Square</w:t>
            </w:r>
          </w:p>
        </w:tc>
        <w:tc>
          <w:tcPr>
            <w:tcW w:w="1710" w:type="dxa"/>
          </w:tcPr>
          <w:p w14:paraId="6441678B"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6804.675</w:t>
            </w:r>
          </w:p>
        </w:tc>
      </w:tr>
      <w:tr w:rsidR="008D3598" w:rsidRPr="00511330" w14:paraId="64416790" w14:textId="77777777" w:rsidTr="0047402F">
        <w:tc>
          <w:tcPr>
            <w:tcW w:w="3150" w:type="dxa"/>
            <w:vMerge/>
            <w:shd w:val="clear" w:color="auto" w:fill="F2F2F2" w:themeFill="background1" w:themeFillShade="F2"/>
          </w:tcPr>
          <w:p w14:paraId="6441678D" w14:textId="77777777" w:rsidR="008D3598" w:rsidRPr="00511330" w:rsidRDefault="008D3598" w:rsidP="00721566">
            <w:pPr>
              <w:spacing w:line="480" w:lineRule="auto"/>
              <w:ind w:right="-450"/>
              <w:jc w:val="both"/>
              <w:rPr>
                <w:rFonts w:asciiTheme="majorBidi" w:eastAsia="Calibri" w:hAnsiTheme="majorBidi" w:cstheme="majorBidi"/>
                <w:color w:val="FF0000"/>
                <w:sz w:val="20"/>
                <w:szCs w:val="20"/>
                <w:lang w:val="en-US"/>
              </w:rPr>
            </w:pPr>
          </w:p>
        </w:tc>
        <w:tc>
          <w:tcPr>
            <w:tcW w:w="2721" w:type="dxa"/>
          </w:tcPr>
          <w:p w14:paraId="6441678E"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Df</w:t>
            </w:r>
          </w:p>
        </w:tc>
        <w:tc>
          <w:tcPr>
            <w:tcW w:w="1710" w:type="dxa"/>
          </w:tcPr>
          <w:p w14:paraId="6441678F"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325</w:t>
            </w:r>
          </w:p>
        </w:tc>
      </w:tr>
      <w:tr w:rsidR="008D3598" w:rsidRPr="00511330" w14:paraId="64416794" w14:textId="77777777" w:rsidTr="0047402F">
        <w:trPr>
          <w:trHeight w:val="297"/>
        </w:trPr>
        <w:tc>
          <w:tcPr>
            <w:tcW w:w="3150" w:type="dxa"/>
            <w:vMerge/>
            <w:shd w:val="clear" w:color="auto" w:fill="F2F2F2" w:themeFill="background1" w:themeFillShade="F2"/>
          </w:tcPr>
          <w:p w14:paraId="64416791" w14:textId="77777777" w:rsidR="008D3598" w:rsidRPr="00511330" w:rsidRDefault="008D3598" w:rsidP="00721566">
            <w:pPr>
              <w:spacing w:line="480" w:lineRule="auto"/>
              <w:ind w:right="-450"/>
              <w:jc w:val="both"/>
              <w:rPr>
                <w:rFonts w:asciiTheme="majorBidi" w:eastAsia="Calibri" w:hAnsiTheme="majorBidi" w:cstheme="majorBidi"/>
                <w:color w:val="FF0000"/>
                <w:sz w:val="20"/>
                <w:szCs w:val="20"/>
                <w:lang w:val="en-US"/>
              </w:rPr>
            </w:pPr>
          </w:p>
        </w:tc>
        <w:tc>
          <w:tcPr>
            <w:tcW w:w="2721" w:type="dxa"/>
          </w:tcPr>
          <w:p w14:paraId="64416792"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Sig</w:t>
            </w:r>
          </w:p>
        </w:tc>
        <w:tc>
          <w:tcPr>
            <w:tcW w:w="1710" w:type="dxa"/>
          </w:tcPr>
          <w:p w14:paraId="64416793"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0.000</w:t>
            </w:r>
          </w:p>
        </w:tc>
      </w:tr>
    </w:tbl>
    <w:p w14:paraId="64416795" w14:textId="77777777" w:rsidR="008D3598" w:rsidRPr="00511330" w:rsidRDefault="008D3598" w:rsidP="00721566">
      <w:pPr>
        <w:spacing w:after="0" w:line="480" w:lineRule="auto"/>
        <w:ind w:right="-450"/>
        <w:jc w:val="both"/>
        <w:rPr>
          <w:rFonts w:asciiTheme="majorBidi" w:eastAsia="Calibri" w:hAnsiTheme="majorBidi" w:cstheme="majorBidi"/>
          <w:sz w:val="12"/>
          <w:szCs w:val="12"/>
          <w:lang w:val="en-US"/>
        </w:rPr>
      </w:pPr>
    </w:p>
    <w:p w14:paraId="64416796" w14:textId="77777777" w:rsidR="008D3598" w:rsidRPr="00511330" w:rsidRDefault="008D3598" w:rsidP="00721566">
      <w:pPr>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The Kaiser–Meyer–Olkin Test (KMO &gt; 0.50) shows that these items are suitable for the factors’ analysis performed and do not show any serious multicollinearity problems in the data. Bartlett’s Test of Sphericity (Sig. &lt; 0.05) shows that the correlation between the items is sufficient to run the factors analysis. After </w:t>
      </w:r>
      <w:r w:rsidRPr="00511330">
        <w:rPr>
          <w:rFonts w:asciiTheme="majorBidi" w:eastAsia="Calibri" w:hAnsiTheme="majorBidi" w:cstheme="majorBidi"/>
          <w:sz w:val="24"/>
          <w:szCs w:val="24"/>
          <w:lang w:val="en-US"/>
        </w:rPr>
        <w:lastRenderedPageBreak/>
        <w:t xml:space="preserve">performing both tests, EFA was used with the principal component analysis extraction method and Varimax rotation on the 25-item instrument. The number of factors to retain was based on a combination of methods (e.g. eigenvalue &gt; 1.0, scree plot) as well as the theoretical salience of the rotated factors. Items should preferably load greater than 0.40 on the relevant factors and less than 0.40 on all other factors (Stevens, 2012). All the 25-item instrument of change management motivators accounted for 63 </w:t>
      </w:r>
      <w:r w:rsidRPr="00511330">
        <w:rPr>
          <w:rFonts w:asciiTheme="majorBidi" w:eastAsia="Calibri" w:hAnsiTheme="majorBidi" w:cstheme="majorBidi"/>
          <w:noProof/>
          <w:sz w:val="24"/>
          <w:szCs w:val="24"/>
          <w:lang w:val="en-US"/>
        </w:rPr>
        <w:t>percent</w:t>
      </w:r>
      <w:r w:rsidRPr="00511330">
        <w:rPr>
          <w:rFonts w:asciiTheme="majorBidi" w:eastAsia="Calibri" w:hAnsiTheme="majorBidi" w:cstheme="majorBidi"/>
          <w:sz w:val="24"/>
          <w:szCs w:val="24"/>
          <w:lang w:val="en-US"/>
        </w:rPr>
        <w:t xml:space="preserve"> of the variance in responses. The factors pattern and items loadings are presented in the following Rotated-Component-Matrix (Table 4.18). </w:t>
      </w:r>
    </w:p>
    <w:p w14:paraId="64416797" w14:textId="5ACCEAF3" w:rsidR="008D3598" w:rsidRPr="00511330" w:rsidRDefault="008D3598" w:rsidP="00FF70CE">
      <w:pPr>
        <w:pStyle w:val="Caption"/>
        <w:keepNext/>
        <w:spacing w:after="0"/>
        <w:ind w:right="-450"/>
        <w:rPr>
          <w:rFonts w:asciiTheme="majorBidi" w:hAnsiTheme="majorBidi" w:cstheme="majorBidi"/>
          <w:b w:val="0"/>
          <w:bCs w:val="0"/>
          <w:color w:val="auto"/>
          <w:sz w:val="20"/>
          <w:szCs w:val="20"/>
          <w:lang w:val="en-US"/>
        </w:rPr>
      </w:pPr>
      <w:bookmarkStart w:id="809" w:name="_Toc43310908"/>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18</w:t>
      </w:r>
      <w:r w:rsidRPr="00511330">
        <w:rPr>
          <w:rFonts w:asciiTheme="majorBidi" w:hAnsiTheme="majorBidi" w:cstheme="majorBidi"/>
          <w:b w:val="0"/>
          <w:bCs w:val="0"/>
          <w:color w:val="auto"/>
          <w:sz w:val="20"/>
          <w:szCs w:val="20"/>
          <w:lang w:val="en-US"/>
        </w:rPr>
        <w:fldChar w:fldCharType="end"/>
      </w:r>
      <w:r w:rsidR="00DD53F4"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Rotated Component Matrix of Items on three Key Motives Factors</w:t>
      </w:r>
      <w:bookmarkEnd w:id="809"/>
    </w:p>
    <w:tbl>
      <w:tblPr>
        <w:tblStyle w:val="TableGrid1"/>
        <w:tblW w:w="7740" w:type="dxa"/>
        <w:tblInd w:w="-5" w:type="dxa"/>
        <w:tblLayout w:type="fixed"/>
        <w:tblLook w:val="04A0" w:firstRow="1" w:lastRow="0" w:firstColumn="1" w:lastColumn="0" w:noHBand="0" w:noVBand="1"/>
      </w:tblPr>
      <w:tblGrid>
        <w:gridCol w:w="630"/>
        <w:gridCol w:w="4500"/>
        <w:gridCol w:w="870"/>
        <w:gridCol w:w="870"/>
        <w:gridCol w:w="870"/>
      </w:tblGrid>
      <w:tr w:rsidR="008D3598" w:rsidRPr="00511330" w14:paraId="6441679D" w14:textId="77777777" w:rsidTr="00DD53F4">
        <w:trPr>
          <w:trHeight w:val="188"/>
        </w:trPr>
        <w:tc>
          <w:tcPr>
            <w:tcW w:w="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16798" w14:textId="77777777" w:rsidR="008D3598" w:rsidRPr="00511330" w:rsidRDefault="008D3598" w:rsidP="00DD53F4">
            <w:pPr>
              <w:ind w:left="-135" w:right="-226"/>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Items</w:t>
            </w:r>
          </w:p>
        </w:tc>
        <w:tc>
          <w:tcPr>
            <w:tcW w:w="45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16799" w14:textId="77777777" w:rsidR="008D3598" w:rsidRPr="00511330" w:rsidRDefault="008D3598" w:rsidP="00FF70CE">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Discretion</w:t>
            </w:r>
          </w:p>
        </w:tc>
        <w:tc>
          <w:tcPr>
            <w:tcW w:w="8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1679A" w14:textId="77777777" w:rsidR="008D3598" w:rsidRPr="00511330" w:rsidRDefault="008D3598" w:rsidP="00FF70CE">
            <w:pPr>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AVFS</w:t>
            </w:r>
          </w:p>
        </w:tc>
        <w:tc>
          <w:tcPr>
            <w:tcW w:w="8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1679B" w14:textId="77777777" w:rsidR="008D3598" w:rsidRPr="00511330" w:rsidRDefault="008D3598" w:rsidP="00FF70CE">
            <w:pPr>
              <w:tabs>
                <w:tab w:val="left" w:pos="1422"/>
              </w:tabs>
              <w:ind w:right="-450" w:hanging="311"/>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TEFV</w:t>
            </w:r>
          </w:p>
        </w:tc>
        <w:tc>
          <w:tcPr>
            <w:tcW w:w="8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1679C" w14:textId="77777777" w:rsidR="008D3598" w:rsidRPr="00511330" w:rsidRDefault="008D3598" w:rsidP="00FF70CE">
            <w:pPr>
              <w:tabs>
                <w:tab w:val="left" w:pos="1422"/>
              </w:tabs>
              <w:ind w:left="-41" w:right="-378" w:hanging="337"/>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APCS</w:t>
            </w:r>
          </w:p>
        </w:tc>
      </w:tr>
      <w:tr w:rsidR="008D3598" w:rsidRPr="00511330" w14:paraId="644167A3" w14:textId="77777777" w:rsidTr="00DD53F4">
        <w:tc>
          <w:tcPr>
            <w:tcW w:w="630" w:type="dxa"/>
            <w:tcBorders>
              <w:top w:val="single" w:sz="4" w:space="0" w:color="auto"/>
              <w:left w:val="single" w:sz="4" w:space="0" w:color="auto"/>
              <w:bottom w:val="single" w:sz="4" w:space="0" w:color="auto"/>
              <w:right w:val="single" w:sz="4" w:space="0" w:color="auto"/>
            </w:tcBorders>
          </w:tcPr>
          <w:p w14:paraId="6441679E"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M1</w:t>
            </w:r>
          </w:p>
        </w:tc>
        <w:tc>
          <w:tcPr>
            <w:tcW w:w="4500" w:type="dxa"/>
            <w:tcBorders>
              <w:top w:val="single" w:sz="4" w:space="0" w:color="auto"/>
              <w:left w:val="single" w:sz="4" w:space="0" w:color="auto"/>
              <w:bottom w:val="single" w:sz="4" w:space="0" w:color="auto"/>
              <w:right w:val="single" w:sz="4" w:space="0" w:color="auto"/>
            </w:tcBorders>
          </w:tcPr>
          <w:p w14:paraId="6441679F" w14:textId="77777777" w:rsidR="008D3598" w:rsidRPr="00511330" w:rsidRDefault="008D3598" w:rsidP="00DD53F4">
            <w:pPr>
              <w:ind w:right="-10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Product ease of use (available, sustainable, accountable, accessible and flexible)</w:t>
            </w:r>
          </w:p>
        </w:tc>
        <w:tc>
          <w:tcPr>
            <w:tcW w:w="870" w:type="dxa"/>
            <w:tcBorders>
              <w:top w:val="single" w:sz="4" w:space="0" w:color="auto"/>
              <w:left w:val="single" w:sz="4" w:space="0" w:color="auto"/>
              <w:bottom w:val="single" w:sz="4" w:space="0" w:color="auto"/>
              <w:right w:val="single" w:sz="4" w:space="0" w:color="auto"/>
            </w:tcBorders>
          </w:tcPr>
          <w:p w14:paraId="644167A0" w14:textId="77777777" w:rsidR="008D3598" w:rsidRPr="00511330" w:rsidRDefault="008D3598" w:rsidP="004862F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0.711</w:t>
            </w:r>
          </w:p>
        </w:tc>
        <w:tc>
          <w:tcPr>
            <w:tcW w:w="870" w:type="dxa"/>
            <w:tcBorders>
              <w:top w:val="single" w:sz="4" w:space="0" w:color="auto"/>
              <w:left w:val="single" w:sz="4" w:space="0" w:color="auto"/>
              <w:bottom w:val="single" w:sz="4" w:space="0" w:color="auto"/>
              <w:right w:val="single" w:sz="4" w:space="0" w:color="auto"/>
            </w:tcBorders>
          </w:tcPr>
          <w:p w14:paraId="644167A1"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A2"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A9" w14:textId="77777777" w:rsidTr="00DD53F4">
        <w:tc>
          <w:tcPr>
            <w:tcW w:w="630" w:type="dxa"/>
            <w:tcBorders>
              <w:top w:val="single" w:sz="4" w:space="0" w:color="auto"/>
              <w:left w:val="single" w:sz="4" w:space="0" w:color="auto"/>
              <w:bottom w:val="single" w:sz="4" w:space="0" w:color="auto"/>
              <w:right w:val="single" w:sz="4" w:space="0" w:color="auto"/>
            </w:tcBorders>
          </w:tcPr>
          <w:p w14:paraId="644167A4"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M2</w:t>
            </w:r>
          </w:p>
        </w:tc>
        <w:tc>
          <w:tcPr>
            <w:tcW w:w="4500" w:type="dxa"/>
            <w:tcBorders>
              <w:top w:val="single" w:sz="4" w:space="0" w:color="auto"/>
              <w:left w:val="single" w:sz="4" w:space="0" w:color="auto"/>
              <w:bottom w:val="single" w:sz="4" w:space="0" w:color="auto"/>
              <w:right w:val="single" w:sz="4" w:space="0" w:color="auto"/>
            </w:tcBorders>
          </w:tcPr>
          <w:p w14:paraId="644167A5"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People happiness and better lifestyle</w:t>
            </w:r>
          </w:p>
        </w:tc>
        <w:tc>
          <w:tcPr>
            <w:tcW w:w="870" w:type="dxa"/>
            <w:tcBorders>
              <w:top w:val="single" w:sz="4" w:space="0" w:color="auto"/>
              <w:left w:val="single" w:sz="4" w:space="0" w:color="auto"/>
              <w:bottom w:val="single" w:sz="4" w:space="0" w:color="auto"/>
              <w:right w:val="single" w:sz="4" w:space="0" w:color="auto"/>
            </w:tcBorders>
          </w:tcPr>
          <w:p w14:paraId="644167A6" w14:textId="77777777" w:rsidR="008D3598" w:rsidRPr="00511330" w:rsidRDefault="008D3598" w:rsidP="004862F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0.664</w:t>
            </w:r>
          </w:p>
        </w:tc>
        <w:tc>
          <w:tcPr>
            <w:tcW w:w="870" w:type="dxa"/>
            <w:tcBorders>
              <w:top w:val="single" w:sz="4" w:space="0" w:color="auto"/>
              <w:left w:val="single" w:sz="4" w:space="0" w:color="auto"/>
              <w:bottom w:val="single" w:sz="4" w:space="0" w:color="auto"/>
              <w:right w:val="single" w:sz="4" w:space="0" w:color="auto"/>
            </w:tcBorders>
          </w:tcPr>
          <w:p w14:paraId="644167A7"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A8"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AF" w14:textId="77777777" w:rsidTr="00DD53F4">
        <w:tc>
          <w:tcPr>
            <w:tcW w:w="630" w:type="dxa"/>
            <w:tcBorders>
              <w:top w:val="single" w:sz="4" w:space="0" w:color="auto"/>
              <w:left w:val="single" w:sz="4" w:space="0" w:color="auto"/>
              <w:bottom w:val="single" w:sz="4" w:space="0" w:color="auto"/>
              <w:right w:val="single" w:sz="4" w:space="0" w:color="auto"/>
            </w:tcBorders>
          </w:tcPr>
          <w:p w14:paraId="644167AA"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M3</w:t>
            </w:r>
          </w:p>
        </w:tc>
        <w:tc>
          <w:tcPr>
            <w:tcW w:w="4500" w:type="dxa"/>
            <w:tcBorders>
              <w:top w:val="single" w:sz="4" w:space="0" w:color="auto"/>
              <w:left w:val="single" w:sz="4" w:space="0" w:color="auto"/>
              <w:bottom w:val="single" w:sz="4" w:space="0" w:color="auto"/>
              <w:right w:val="single" w:sz="4" w:space="0" w:color="auto"/>
            </w:tcBorders>
          </w:tcPr>
          <w:p w14:paraId="644167AB"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Better achievement of result</w:t>
            </w:r>
          </w:p>
        </w:tc>
        <w:tc>
          <w:tcPr>
            <w:tcW w:w="870" w:type="dxa"/>
            <w:tcBorders>
              <w:top w:val="single" w:sz="4" w:space="0" w:color="auto"/>
              <w:left w:val="single" w:sz="4" w:space="0" w:color="auto"/>
              <w:bottom w:val="single" w:sz="4" w:space="0" w:color="auto"/>
              <w:right w:val="single" w:sz="4" w:space="0" w:color="auto"/>
            </w:tcBorders>
          </w:tcPr>
          <w:p w14:paraId="644167AC" w14:textId="77777777" w:rsidR="008D3598" w:rsidRPr="00511330" w:rsidRDefault="008D3598" w:rsidP="004862F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0.777</w:t>
            </w:r>
          </w:p>
        </w:tc>
        <w:tc>
          <w:tcPr>
            <w:tcW w:w="870" w:type="dxa"/>
            <w:tcBorders>
              <w:top w:val="single" w:sz="4" w:space="0" w:color="auto"/>
              <w:left w:val="single" w:sz="4" w:space="0" w:color="auto"/>
              <w:bottom w:val="single" w:sz="4" w:space="0" w:color="auto"/>
              <w:right w:val="single" w:sz="4" w:space="0" w:color="auto"/>
            </w:tcBorders>
          </w:tcPr>
          <w:p w14:paraId="644167AD"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AE"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B5" w14:textId="77777777" w:rsidTr="00DD53F4">
        <w:tc>
          <w:tcPr>
            <w:tcW w:w="630" w:type="dxa"/>
            <w:tcBorders>
              <w:top w:val="single" w:sz="4" w:space="0" w:color="auto"/>
              <w:left w:val="single" w:sz="4" w:space="0" w:color="auto"/>
              <w:bottom w:val="single" w:sz="4" w:space="0" w:color="auto"/>
              <w:right w:val="single" w:sz="4" w:space="0" w:color="auto"/>
            </w:tcBorders>
          </w:tcPr>
          <w:p w14:paraId="644167B0"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M4</w:t>
            </w:r>
          </w:p>
        </w:tc>
        <w:tc>
          <w:tcPr>
            <w:tcW w:w="4500" w:type="dxa"/>
            <w:tcBorders>
              <w:top w:val="single" w:sz="4" w:space="0" w:color="auto"/>
              <w:left w:val="single" w:sz="4" w:space="0" w:color="auto"/>
              <w:bottom w:val="single" w:sz="4" w:space="0" w:color="auto"/>
              <w:right w:val="single" w:sz="4" w:space="0" w:color="auto"/>
            </w:tcBorders>
          </w:tcPr>
          <w:p w14:paraId="644167B1"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Sustainable Development</w:t>
            </w:r>
          </w:p>
        </w:tc>
        <w:tc>
          <w:tcPr>
            <w:tcW w:w="870" w:type="dxa"/>
            <w:tcBorders>
              <w:top w:val="single" w:sz="4" w:space="0" w:color="auto"/>
              <w:left w:val="single" w:sz="4" w:space="0" w:color="auto"/>
              <w:bottom w:val="single" w:sz="4" w:space="0" w:color="auto"/>
              <w:right w:val="single" w:sz="4" w:space="0" w:color="auto"/>
            </w:tcBorders>
          </w:tcPr>
          <w:p w14:paraId="644167B2" w14:textId="77777777" w:rsidR="008D3598" w:rsidRPr="00511330" w:rsidRDefault="008D3598" w:rsidP="004862F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0.634</w:t>
            </w:r>
          </w:p>
        </w:tc>
        <w:tc>
          <w:tcPr>
            <w:tcW w:w="870" w:type="dxa"/>
            <w:tcBorders>
              <w:top w:val="single" w:sz="4" w:space="0" w:color="auto"/>
              <w:left w:val="single" w:sz="4" w:space="0" w:color="auto"/>
              <w:bottom w:val="single" w:sz="4" w:space="0" w:color="auto"/>
              <w:right w:val="single" w:sz="4" w:space="0" w:color="auto"/>
            </w:tcBorders>
          </w:tcPr>
          <w:p w14:paraId="644167B3"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B4"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BB" w14:textId="77777777" w:rsidTr="00DD53F4">
        <w:tc>
          <w:tcPr>
            <w:tcW w:w="630" w:type="dxa"/>
            <w:tcBorders>
              <w:top w:val="single" w:sz="4" w:space="0" w:color="auto"/>
              <w:left w:val="single" w:sz="4" w:space="0" w:color="auto"/>
              <w:bottom w:val="single" w:sz="4" w:space="0" w:color="auto"/>
              <w:right w:val="single" w:sz="4" w:space="0" w:color="auto"/>
            </w:tcBorders>
          </w:tcPr>
          <w:p w14:paraId="644167B6"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M5</w:t>
            </w:r>
          </w:p>
        </w:tc>
        <w:tc>
          <w:tcPr>
            <w:tcW w:w="4500" w:type="dxa"/>
            <w:tcBorders>
              <w:top w:val="single" w:sz="4" w:space="0" w:color="auto"/>
              <w:left w:val="single" w:sz="4" w:space="0" w:color="auto"/>
              <w:bottom w:val="single" w:sz="4" w:space="0" w:color="auto"/>
              <w:right w:val="single" w:sz="4" w:space="0" w:color="auto"/>
            </w:tcBorders>
          </w:tcPr>
          <w:p w14:paraId="644167B7"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Better resources utilization and planning </w:t>
            </w:r>
          </w:p>
        </w:tc>
        <w:tc>
          <w:tcPr>
            <w:tcW w:w="870" w:type="dxa"/>
            <w:tcBorders>
              <w:top w:val="single" w:sz="4" w:space="0" w:color="auto"/>
              <w:left w:val="single" w:sz="4" w:space="0" w:color="auto"/>
              <w:bottom w:val="single" w:sz="4" w:space="0" w:color="auto"/>
              <w:right w:val="single" w:sz="4" w:space="0" w:color="auto"/>
            </w:tcBorders>
          </w:tcPr>
          <w:p w14:paraId="644167B8" w14:textId="77777777" w:rsidR="008D3598" w:rsidRPr="00511330" w:rsidRDefault="008D3598" w:rsidP="004862F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0.638</w:t>
            </w:r>
          </w:p>
        </w:tc>
        <w:tc>
          <w:tcPr>
            <w:tcW w:w="870" w:type="dxa"/>
            <w:tcBorders>
              <w:top w:val="single" w:sz="4" w:space="0" w:color="auto"/>
              <w:left w:val="single" w:sz="4" w:space="0" w:color="auto"/>
              <w:bottom w:val="single" w:sz="4" w:space="0" w:color="auto"/>
              <w:right w:val="single" w:sz="4" w:space="0" w:color="auto"/>
            </w:tcBorders>
          </w:tcPr>
          <w:p w14:paraId="644167B9"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BA"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C1" w14:textId="77777777" w:rsidTr="00DD53F4">
        <w:tc>
          <w:tcPr>
            <w:tcW w:w="630" w:type="dxa"/>
            <w:tcBorders>
              <w:top w:val="single" w:sz="4" w:space="0" w:color="auto"/>
              <w:left w:val="single" w:sz="4" w:space="0" w:color="auto"/>
              <w:bottom w:val="single" w:sz="4" w:space="0" w:color="auto"/>
              <w:right w:val="single" w:sz="4" w:space="0" w:color="auto"/>
            </w:tcBorders>
          </w:tcPr>
          <w:p w14:paraId="644167BC"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M6</w:t>
            </w:r>
          </w:p>
        </w:tc>
        <w:tc>
          <w:tcPr>
            <w:tcW w:w="4500" w:type="dxa"/>
            <w:tcBorders>
              <w:top w:val="single" w:sz="4" w:space="0" w:color="auto"/>
              <w:left w:val="single" w:sz="4" w:space="0" w:color="auto"/>
              <w:bottom w:val="single" w:sz="4" w:space="0" w:color="auto"/>
              <w:right w:val="single" w:sz="4" w:space="0" w:color="auto"/>
            </w:tcBorders>
          </w:tcPr>
          <w:p w14:paraId="644167BD"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Elimination of complexity </w:t>
            </w:r>
          </w:p>
        </w:tc>
        <w:tc>
          <w:tcPr>
            <w:tcW w:w="870" w:type="dxa"/>
            <w:tcBorders>
              <w:top w:val="single" w:sz="4" w:space="0" w:color="auto"/>
              <w:left w:val="single" w:sz="4" w:space="0" w:color="auto"/>
              <w:bottom w:val="single" w:sz="4" w:space="0" w:color="auto"/>
              <w:right w:val="single" w:sz="4" w:space="0" w:color="auto"/>
            </w:tcBorders>
          </w:tcPr>
          <w:p w14:paraId="644167BE" w14:textId="77777777" w:rsidR="008D3598" w:rsidRPr="00511330" w:rsidRDefault="008D3598" w:rsidP="004862F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0.703</w:t>
            </w:r>
          </w:p>
        </w:tc>
        <w:tc>
          <w:tcPr>
            <w:tcW w:w="870" w:type="dxa"/>
            <w:tcBorders>
              <w:top w:val="single" w:sz="4" w:space="0" w:color="auto"/>
              <w:left w:val="single" w:sz="4" w:space="0" w:color="auto"/>
              <w:bottom w:val="single" w:sz="4" w:space="0" w:color="auto"/>
              <w:right w:val="single" w:sz="4" w:space="0" w:color="auto"/>
            </w:tcBorders>
          </w:tcPr>
          <w:p w14:paraId="644167BF"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C0"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C7" w14:textId="77777777" w:rsidTr="00DD53F4">
        <w:tc>
          <w:tcPr>
            <w:tcW w:w="630" w:type="dxa"/>
            <w:tcBorders>
              <w:top w:val="single" w:sz="4" w:space="0" w:color="auto"/>
              <w:left w:val="single" w:sz="4" w:space="0" w:color="auto"/>
              <w:bottom w:val="single" w:sz="4" w:space="0" w:color="auto"/>
              <w:right w:val="single" w:sz="4" w:space="0" w:color="auto"/>
            </w:tcBorders>
          </w:tcPr>
          <w:p w14:paraId="644167C2"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M7</w:t>
            </w:r>
          </w:p>
        </w:tc>
        <w:tc>
          <w:tcPr>
            <w:tcW w:w="4500" w:type="dxa"/>
            <w:tcBorders>
              <w:top w:val="single" w:sz="4" w:space="0" w:color="auto"/>
              <w:left w:val="single" w:sz="4" w:space="0" w:color="auto"/>
              <w:bottom w:val="single" w:sz="4" w:space="0" w:color="auto"/>
              <w:right w:val="single" w:sz="4" w:space="0" w:color="auto"/>
            </w:tcBorders>
          </w:tcPr>
          <w:p w14:paraId="644167C3"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Maximization of project ROI</w:t>
            </w:r>
          </w:p>
        </w:tc>
        <w:tc>
          <w:tcPr>
            <w:tcW w:w="870" w:type="dxa"/>
            <w:tcBorders>
              <w:top w:val="single" w:sz="4" w:space="0" w:color="auto"/>
              <w:left w:val="single" w:sz="4" w:space="0" w:color="auto"/>
              <w:bottom w:val="single" w:sz="4" w:space="0" w:color="auto"/>
              <w:right w:val="single" w:sz="4" w:space="0" w:color="auto"/>
            </w:tcBorders>
          </w:tcPr>
          <w:p w14:paraId="644167C4" w14:textId="77777777" w:rsidR="008D3598" w:rsidRPr="00511330" w:rsidRDefault="008D3598" w:rsidP="004862F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0.665</w:t>
            </w:r>
          </w:p>
        </w:tc>
        <w:tc>
          <w:tcPr>
            <w:tcW w:w="870" w:type="dxa"/>
            <w:tcBorders>
              <w:top w:val="single" w:sz="4" w:space="0" w:color="auto"/>
              <w:left w:val="single" w:sz="4" w:space="0" w:color="auto"/>
              <w:bottom w:val="single" w:sz="4" w:space="0" w:color="auto"/>
              <w:right w:val="single" w:sz="4" w:space="0" w:color="auto"/>
            </w:tcBorders>
          </w:tcPr>
          <w:p w14:paraId="644167C5"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C6"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CD" w14:textId="77777777" w:rsidTr="00DD53F4">
        <w:tc>
          <w:tcPr>
            <w:tcW w:w="630" w:type="dxa"/>
            <w:tcBorders>
              <w:top w:val="single" w:sz="4" w:space="0" w:color="auto"/>
              <w:left w:val="single" w:sz="4" w:space="0" w:color="auto"/>
              <w:bottom w:val="single" w:sz="4" w:space="0" w:color="auto"/>
              <w:right w:val="single" w:sz="4" w:space="0" w:color="auto"/>
            </w:tcBorders>
          </w:tcPr>
          <w:p w14:paraId="644167C8"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M8</w:t>
            </w:r>
          </w:p>
        </w:tc>
        <w:tc>
          <w:tcPr>
            <w:tcW w:w="4500" w:type="dxa"/>
            <w:tcBorders>
              <w:top w:val="single" w:sz="4" w:space="0" w:color="auto"/>
              <w:left w:val="single" w:sz="4" w:space="0" w:color="auto"/>
              <w:bottom w:val="single" w:sz="4" w:space="0" w:color="auto"/>
              <w:right w:val="single" w:sz="4" w:space="0" w:color="auto"/>
            </w:tcBorders>
          </w:tcPr>
          <w:p w14:paraId="644167C9"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Fairness and equity </w:t>
            </w:r>
          </w:p>
        </w:tc>
        <w:tc>
          <w:tcPr>
            <w:tcW w:w="870" w:type="dxa"/>
            <w:tcBorders>
              <w:top w:val="single" w:sz="4" w:space="0" w:color="auto"/>
              <w:left w:val="single" w:sz="4" w:space="0" w:color="auto"/>
              <w:bottom w:val="single" w:sz="4" w:space="0" w:color="auto"/>
              <w:right w:val="single" w:sz="4" w:space="0" w:color="auto"/>
            </w:tcBorders>
          </w:tcPr>
          <w:p w14:paraId="644167CA" w14:textId="77777777" w:rsidR="008D3598" w:rsidRPr="00511330" w:rsidRDefault="008D3598" w:rsidP="004862F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0.611</w:t>
            </w:r>
          </w:p>
        </w:tc>
        <w:tc>
          <w:tcPr>
            <w:tcW w:w="870" w:type="dxa"/>
            <w:tcBorders>
              <w:top w:val="single" w:sz="4" w:space="0" w:color="auto"/>
              <w:left w:val="single" w:sz="4" w:space="0" w:color="auto"/>
              <w:bottom w:val="single" w:sz="4" w:space="0" w:color="auto"/>
              <w:right w:val="single" w:sz="4" w:space="0" w:color="auto"/>
            </w:tcBorders>
          </w:tcPr>
          <w:p w14:paraId="644167CB"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CC"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D3" w14:textId="77777777" w:rsidTr="00DD53F4">
        <w:tc>
          <w:tcPr>
            <w:tcW w:w="630" w:type="dxa"/>
            <w:tcBorders>
              <w:top w:val="single" w:sz="4" w:space="0" w:color="auto"/>
              <w:left w:val="single" w:sz="4" w:space="0" w:color="auto"/>
              <w:bottom w:val="single" w:sz="4" w:space="0" w:color="auto"/>
              <w:right w:val="single" w:sz="4" w:space="0" w:color="auto"/>
            </w:tcBorders>
          </w:tcPr>
          <w:p w14:paraId="644167CE"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M12</w:t>
            </w:r>
          </w:p>
        </w:tc>
        <w:tc>
          <w:tcPr>
            <w:tcW w:w="4500" w:type="dxa"/>
            <w:tcBorders>
              <w:top w:val="single" w:sz="4" w:space="0" w:color="auto"/>
              <w:left w:val="single" w:sz="4" w:space="0" w:color="auto"/>
              <w:bottom w:val="single" w:sz="4" w:space="0" w:color="auto"/>
              <w:right w:val="single" w:sz="4" w:space="0" w:color="auto"/>
            </w:tcBorders>
          </w:tcPr>
          <w:p w14:paraId="644167CF"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Contributing in cost reduction </w:t>
            </w:r>
          </w:p>
        </w:tc>
        <w:tc>
          <w:tcPr>
            <w:tcW w:w="870" w:type="dxa"/>
            <w:tcBorders>
              <w:top w:val="single" w:sz="4" w:space="0" w:color="auto"/>
              <w:left w:val="single" w:sz="4" w:space="0" w:color="auto"/>
              <w:bottom w:val="single" w:sz="4" w:space="0" w:color="auto"/>
              <w:right w:val="single" w:sz="4" w:space="0" w:color="auto"/>
            </w:tcBorders>
          </w:tcPr>
          <w:p w14:paraId="644167D0" w14:textId="77777777" w:rsidR="008D3598" w:rsidRPr="00511330" w:rsidRDefault="008D3598" w:rsidP="004862F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0.747</w:t>
            </w:r>
          </w:p>
        </w:tc>
        <w:tc>
          <w:tcPr>
            <w:tcW w:w="870" w:type="dxa"/>
            <w:tcBorders>
              <w:top w:val="single" w:sz="4" w:space="0" w:color="auto"/>
              <w:left w:val="single" w:sz="4" w:space="0" w:color="auto"/>
              <w:bottom w:val="single" w:sz="4" w:space="0" w:color="auto"/>
              <w:right w:val="single" w:sz="4" w:space="0" w:color="auto"/>
            </w:tcBorders>
          </w:tcPr>
          <w:p w14:paraId="644167D1"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D2"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D9" w14:textId="77777777" w:rsidTr="00DD53F4">
        <w:tc>
          <w:tcPr>
            <w:tcW w:w="630" w:type="dxa"/>
            <w:tcBorders>
              <w:top w:val="single" w:sz="4" w:space="0" w:color="auto"/>
              <w:left w:val="single" w:sz="4" w:space="0" w:color="auto"/>
              <w:bottom w:val="single" w:sz="4" w:space="0" w:color="auto"/>
              <w:right w:val="single" w:sz="4" w:space="0" w:color="auto"/>
            </w:tcBorders>
          </w:tcPr>
          <w:p w14:paraId="644167D4"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M13</w:t>
            </w:r>
          </w:p>
        </w:tc>
        <w:tc>
          <w:tcPr>
            <w:tcW w:w="4500" w:type="dxa"/>
            <w:tcBorders>
              <w:top w:val="single" w:sz="4" w:space="0" w:color="auto"/>
              <w:left w:val="single" w:sz="4" w:space="0" w:color="auto"/>
              <w:bottom w:val="single" w:sz="4" w:space="0" w:color="auto"/>
              <w:right w:val="single" w:sz="4" w:space="0" w:color="auto"/>
            </w:tcBorders>
          </w:tcPr>
          <w:p w14:paraId="644167D5"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International competition and high reputation </w:t>
            </w:r>
          </w:p>
        </w:tc>
        <w:tc>
          <w:tcPr>
            <w:tcW w:w="870" w:type="dxa"/>
            <w:tcBorders>
              <w:top w:val="single" w:sz="4" w:space="0" w:color="auto"/>
              <w:left w:val="single" w:sz="4" w:space="0" w:color="auto"/>
              <w:bottom w:val="single" w:sz="4" w:space="0" w:color="auto"/>
              <w:right w:val="single" w:sz="4" w:space="0" w:color="auto"/>
            </w:tcBorders>
          </w:tcPr>
          <w:p w14:paraId="644167D6" w14:textId="77777777" w:rsidR="008D3598" w:rsidRPr="00511330" w:rsidRDefault="008D3598" w:rsidP="004862F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0.508</w:t>
            </w:r>
          </w:p>
        </w:tc>
        <w:tc>
          <w:tcPr>
            <w:tcW w:w="870" w:type="dxa"/>
            <w:tcBorders>
              <w:top w:val="single" w:sz="4" w:space="0" w:color="auto"/>
              <w:left w:val="single" w:sz="4" w:space="0" w:color="auto"/>
              <w:bottom w:val="single" w:sz="4" w:space="0" w:color="auto"/>
              <w:right w:val="single" w:sz="4" w:space="0" w:color="auto"/>
            </w:tcBorders>
          </w:tcPr>
          <w:p w14:paraId="644167D7"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D8"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DF" w14:textId="77777777" w:rsidTr="00DD53F4">
        <w:tc>
          <w:tcPr>
            <w:tcW w:w="630" w:type="dxa"/>
            <w:tcBorders>
              <w:top w:val="single" w:sz="4" w:space="0" w:color="auto"/>
              <w:left w:val="single" w:sz="4" w:space="0" w:color="auto"/>
              <w:bottom w:val="single" w:sz="4" w:space="0" w:color="auto"/>
              <w:right w:val="single" w:sz="4" w:space="0" w:color="auto"/>
            </w:tcBorders>
          </w:tcPr>
          <w:p w14:paraId="644167DA"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M11</w:t>
            </w:r>
          </w:p>
        </w:tc>
        <w:tc>
          <w:tcPr>
            <w:tcW w:w="4500" w:type="dxa"/>
            <w:tcBorders>
              <w:top w:val="single" w:sz="4" w:space="0" w:color="auto"/>
              <w:left w:val="single" w:sz="4" w:space="0" w:color="auto"/>
              <w:bottom w:val="single" w:sz="4" w:space="0" w:color="auto"/>
              <w:right w:val="single" w:sz="4" w:space="0" w:color="auto"/>
            </w:tcBorders>
          </w:tcPr>
          <w:p w14:paraId="644167DB"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Contributing to environmental protection </w:t>
            </w:r>
          </w:p>
        </w:tc>
        <w:tc>
          <w:tcPr>
            <w:tcW w:w="870" w:type="dxa"/>
            <w:tcBorders>
              <w:top w:val="single" w:sz="4" w:space="0" w:color="auto"/>
              <w:left w:val="single" w:sz="4" w:space="0" w:color="auto"/>
              <w:bottom w:val="single" w:sz="4" w:space="0" w:color="auto"/>
              <w:right w:val="single" w:sz="4" w:space="0" w:color="auto"/>
            </w:tcBorders>
          </w:tcPr>
          <w:p w14:paraId="644167DC"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DD" w14:textId="77777777" w:rsidR="008D3598" w:rsidRPr="00511330" w:rsidRDefault="008D3598" w:rsidP="004862F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0.462</w:t>
            </w:r>
          </w:p>
        </w:tc>
        <w:tc>
          <w:tcPr>
            <w:tcW w:w="870" w:type="dxa"/>
            <w:tcBorders>
              <w:top w:val="single" w:sz="4" w:space="0" w:color="auto"/>
              <w:left w:val="single" w:sz="4" w:space="0" w:color="auto"/>
              <w:bottom w:val="single" w:sz="4" w:space="0" w:color="auto"/>
              <w:right w:val="single" w:sz="4" w:space="0" w:color="auto"/>
            </w:tcBorders>
          </w:tcPr>
          <w:p w14:paraId="644167DE"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E5" w14:textId="77777777" w:rsidTr="00DD53F4">
        <w:tc>
          <w:tcPr>
            <w:tcW w:w="630" w:type="dxa"/>
            <w:tcBorders>
              <w:top w:val="single" w:sz="4" w:space="0" w:color="auto"/>
              <w:left w:val="single" w:sz="4" w:space="0" w:color="auto"/>
              <w:bottom w:val="single" w:sz="4" w:space="0" w:color="auto"/>
              <w:right w:val="single" w:sz="4" w:space="0" w:color="auto"/>
            </w:tcBorders>
          </w:tcPr>
          <w:p w14:paraId="644167E0"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M15</w:t>
            </w:r>
          </w:p>
        </w:tc>
        <w:tc>
          <w:tcPr>
            <w:tcW w:w="4500" w:type="dxa"/>
            <w:tcBorders>
              <w:top w:val="single" w:sz="4" w:space="0" w:color="auto"/>
              <w:left w:val="single" w:sz="4" w:space="0" w:color="auto"/>
              <w:bottom w:val="single" w:sz="4" w:space="0" w:color="auto"/>
              <w:right w:val="single" w:sz="4" w:space="0" w:color="auto"/>
            </w:tcBorders>
          </w:tcPr>
          <w:p w14:paraId="644167E1"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Coping with global development </w:t>
            </w:r>
          </w:p>
        </w:tc>
        <w:tc>
          <w:tcPr>
            <w:tcW w:w="870" w:type="dxa"/>
            <w:tcBorders>
              <w:top w:val="single" w:sz="4" w:space="0" w:color="auto"/>
              <w:left w:val="single" w:sz="4" w:space="0" w:color="auto"/>
              <w:bottom w:val="single" w:sz="4" w:space="0" w:color="auto"/>
              <w:right w:val="single" w:sz="4" w:space="0" w:color="auto"/>
            </w:tcBorders>
          </w:tcPr>
          <w:p w14:paraId="644167E2"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E3" w14:textId="77777777" w:rsidR="008D3598" w:rsidRPr="00511330" w:rsidRDefault="008D3598" w:rsidP="004862F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0.527</w:t>
            </w:r>
          </w:p>
        </w:tc>
        <w:tc>
          <w:tcPr>
            <w:tcW w:w="870" w:type="dxa"/>
            <w:tcBorders>
              <w:top w:val="single" w:sz="4" w:space="0" w:color="auto"/>
              <w:left w:val="single" w:sz="4" w:space="0" w:color="auto"/>
              <w:bottom w:val="single" w:sz="4" w:space="0" w:color="auto"/>
              <w:right w:val="single" w:sz="4" w:space="0" w:color="auto"/>
            </w:tcBorders>
          </w:tcPr>
          <w:p w14:paraId="644167E4"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EB" w14:textId="77777777" w:rsidTr="00DD53F4">
        <w:tc>
          <w:tcPr>
            <w:tcW w:w="630" w:type="dxa"/>
            <w:tcBorders>
              <w:top w:val="single" w:sz="4" w:space="0" w:color="auto"/>
              <w:left w:val="single" w:sz="4" w:space="0" w:color="auto"/>
              <w:bottom w:val="single" w:sz="4" w:space="0" w:color="auto"/>
              <w:right w:val="single" w:sz="4" w:space="0" w:color="auto"/>
            </w:tcBorders>
          </w:tcPr>
          <w:p w14:paraId="644167E6"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M16</w:t>
            </w:r>
          </w:p>
        </w:tc>
        <w:tc>
          <w:tcPr>
            <w:tcW w:w="4500" w:type="dxa"/>
            <w:tcBorders>
              <w:top w:val="single" w:sz="4" w:space="0" w:color="auto"/>
              <w:left w:val="single" w:sz="4" w:space="0" w:color="auto"/>
              <w:bottom w:val="single" w:sz="4" w:space="0" w:color="auto"/>
              <w:right w:val="single" w:sz="4" w:space="0" w:color="auto"/>
            </w:tcBorders>
          </w:tcPr>
          <w:p w14:paraId="644167E7" w14:textId="3B42D716"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Positioning </w:t>
            </w:r>
            <w:r w:rsidR="009E623D" w:rsidRPr="00511330">
              <w:rPr>
                <w:rFonts w:asciiTheme="majorBidi" w:eastAsia="Calibri" w:hAnsiTheme="majorBidi" w:cstheme="majorBidi"/>
                <w:sz w:val="20"/>
                <w:szCs w:val="20"/>
                <w:lang w:val="en-US"/>
              </w:rPr>
              <w:t xml:space="preserve">the </w:t>
            </w:r>
            <w:r w:rsidRPr="00511330">
              <w:rPr>
                <w:rFonts w:asciiTheme="majorBidi" w:eastAsia="Calibri" w:hAnsiTheme="majorBidi" w:cstheme="majorBidi"/>
                <w:sz w:val="20"/>
                <w:szCs w:val="20"/>
                <w:lang w:val="en-US"/>
              </w:rPr>
              <w:t>UAE as hub for renewable energy</w:t>
            </w:r>
          </w:p>
        </w:tc>
        <w:tc>
          <w:tcPr>
            <w:tcW w:w="870" w:type="dxa"/>
            <w:tcBorders>
              <w:top w:val="single" w:sz="4" w:space="0" w:color="auto"/>
              <w:left w:val="single" w:sz="4" w:space="0" w:color="auto"/>
              <w:bottom w:val="single" w:sz="4" w:space="0" w:color="auto"/>
              <w:right w:val="single" w:sz="4" w:space="0" w:color="auto"/>
            </w:tcBorders>
          </w:tcPr>
          <w:p w14:paraId="644167E8"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E9" w14:textId="77777777" w:rsidR="008D3598" w:rsidRPr="00511330" w:rsidRDefault="008D3598" w:rsidP="004862F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0.671</w:t>
            </w:r>
          </w:p>
        </w:tc>
        <w:tc>
          <w:tcPr>
            <w:tcW w:w="870" w:type="dxa"/>
            <w:tcBorders>
              <w:top w:val="single" w:sz="4" w:space="0" w:color="auto"/>
              <w:left w:val="single" w:sz="4" w:space="0" w:color="auto"/>
              <w:bottom w:val="single" w:sz="4" w:space="0" w:color="auto"/>
              <w:right w:val="single" w:sz="4" w:space="0" w:color="auto"/>
            </w:tcBorders>
          </w:tcPr>
          <w:p w14:paraId="644167EA"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F1" w14:textId="77777777" w:rsidTr="00DD53F4">
        <w:tc>
          <w:tcPr>
            <w:tcW w:w="630" w:type="dxa"/>
            <w:tcBorders>
              <w:top w:val="single" w:sz="4" w:space="0" w:color="auto"/>
              <w:left w:val="single" w:sz="4" w:space="0" w:color="auto"/>
              <w:bottom w:val="single" w:sz="4" w:space="0" w:color="auto"/>
              <w:right w:val="single" w:sz="4" w:space="0" w:color="auto"/>
            </w:tcBorders>
          </w:tcPr>
          <w:p w14:paraId="644167EC"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M17</w:t>
            </w:r>
          </w:p>
        </w:tc>
        <w:tc>
          <w:tcPr>
            <w:tcW w:w="4500" w:type="dxa"/>
            <w:tcBorders>
              <w:top w:val="single" w:sz="4" w:space="0" w:color="auto"/>
              <w:left w:val="single" w:sz="4" w:space="0" w:color="auto"/>
              <w:bottom w:val="single" w:sz="4" w:space="0" w:color="auto"/>
              <w:right w:val="single" w:sz="4" w:space="0" w:color="auto"/>
            </w:tcBorders>
          </w:tcPr>
          <w:p w14:paraId="644167ED"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Trusting government vision and direction </w:t>
            </w:r>
          </w:p>
        </w:tc>
        <w:tc>
          <w:tcPr>
            <w:tcW w:w="870" w:type="dxa"/>
            <w:tcBorders>
              <w:top w:val="single" w:sz="4" w:space="0" w:color="auto"/>
              <w:left w:val="single" w:sz="4" w:space="0" w:color="auto"/>
              <w:bottom w:val="single" w:sz="4" w:space="0" w:color="auto"/>
              <w:right w:val="single" w:sz="4" w:space="0" w:color="auto"/>
            </w:tcBorders>
          </w:tcPr>
          <w:p w14:paraId="644167EE"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EF" w14:textId="77777777" w:rsidR="008D3598" w:rsidRPr="00511330" w:rsidRDefault="008D3598" w:rsidP="004862F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0.711</w:t>
            </w:r>
          </w:p>
        </w:tc>
        <w:tc>
          <w:tcPr>
            <w:tcW w:w="870" w:type="dxa"/>
            <w:tcBorders>
              <w:top w:val="single" w:sz="4" w:space="0" w:color="auto"/>
              <w:left w:val="single" w:sz="4" w:space="0" w:color="auto"/>
              <w:bottom w:val="single" w:sz="4" w:space="0" w:color="auto"/>
              <w:right w:val="single" w:sz="4" w:space="0" w:color="auto"/>
            </w:tcBorders>
          </w:tcPr>
          <w:p w14:paraId="644167F0"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F7" w14:textId="77777777" w:rsidTr="00DD53F4">
        <w:tc>
          <w:tcPr>
            <w:tcW w:w="630" w:type="dxa"/>
            <w:tcBorders>
              <w:top w:val="single" w:sz="4" w:space="0" w:color="auto"/>
              <w:left w:val="single" w:sz="4" w:space="0" w:color="auto"/>
              <w:bottom w:val="single" w:sz="4" w:space="0" w:color="auto"/>
              <w:right w:val="single" w:sz="4" w:space="0" w:color="auto"/>
            </w:tcBorders>
          </w:tcPr>
          <w:p w14:paraId="644167F2"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M18</w:t>
            </w:r>
          </w:p>
        </w:tc>
        <w:tc>
          <w:tcPr>
            <w:tcW w:w="4500" w:type="dxa"/>
            <w:tcBorders>
              <w:top w:val="single" w:sz="4" w:space="0" w:color="auto"/>
              <w:left w:val="single" w:sz="4" w:space="0" w:color="auto"/>
              <w:bottom w:val="single" w:sz="4" w:space="0" w:color="auto"/>
              <w:right w:val="single" w:sz="4" w:space="0" w:color="auto"/>
            </w:tcBorders>
          </w:tcPr>
          <w:p w14:paraId="644167F3"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Supporting demand of energy consumption </w:t>
            </w:r>
          </w:p>
        </w:tc>
        <w:tc>
          <w:tcPr>
            <w:tcW w:w="870" w:type="dxa"/>
            <w:tcBorders>
              <w:top w:val="single" w:sz="4" w:space="0" w:color="auto"/>
              <w:left w:val="single" w:sz="4" w:space="0" w:color="auto"/>
              <w:bottom w:val="single" w:sz="4" w:space="0" w:color="auto"/>
              <w:right w:val="single" w:sz="4" w:space="0" w:color="auto"/>
            </w:tcBorders>
          </w:tcPr>
          <w:p w14:paraId="644167F4"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F5" w14:textId="77777777" w:rsidR="008D3598" w:rsidRPr="00511330" w:rsidRDefault="008D3598" w:rsidP="004862F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0.766</w:t>
            </w:r>
          </w:p>
        </w:tc>
        <w:tc>
          <w:tcPr>
            <w:tcW w:w="870" w:type="dxa"/>
            <w:tcBorders>
              <w:top w:val="single" w:sz="4" w:space="0" w:color="auto"/>
              <w:left w:val="single" w:sz="4" w:space="0" w:color="auto"/>
              <w:bottom w:val="single" w:sz="4" w:space="0" w:color="auto"/>
              <w:right w:val="single" w:sz="4" w:space="0" w:color="auto"/>
            </w:tcBorders>
          </w:tcPr>
          <w:p w14:paraId="644167F6"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7FD" w14:textId="77777777" w:rsidTr="00DD53F4">
        <w:tc>
          <w:tcPr>
            <w:tcW w:w="630" w:type="dxa"/>
            <w:tcBorders>
              <w:top w:val="single" w:sz="4" w:space="0" w:color="auto"/>
              <w:left w:val="single" w:sz="4" w:space="0" w:color="auto"/>
              <w:bottom w:val="single" w:sz="4" w:space="0" w:color="auto"/>
              <w:right w:val="single" w:sz="4" w:space="0" w:color="auto"/>
            </w:tcBorders>
          </w:tcPr>
          <w:p w14:paraId="644167F8"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M19</w:t>
            </w:r>
          </w:p>
        </w:tc>
        <w:tc>
          <w:tcPr>
            <w:tcW w:w="4500" w:type="dxa"/>
            <w:tcBorders>
              <w:top w:val="single" w:sz="4" w:space="0" w:color="auto"/>
              <w:left w:val="single" w:sz="4" w:space="0" w:color="auto"/>
              <w:bottom w:val="single" w:sz="4" w:space="0" w:color="auto"/>
              <w:right w:val="single" w:sz="4" w:space="0" w:color="auto"/>
            </w:tcBorders>
          </w:tcPr>
          <w:p w14:paraId="644167F9"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Assure leverage supply and independence</w:t>
            </w:r>
          </w:p>
        </w:tc>
        <w:tc>
          <w:tcPr>
            <w:tcW w:w="870" w:type="dxa"/>
            <w:tcBorders>
              <w:top w:val="single" w:sz="4" w:space="0" w:color="auto"/>
              <w:left w:val="single" w:sz="4" w:space="0" w:color="auto"/>
              <w:bottom w:val="single" w:sz="4" w:space="0" w:color="auto"/>
              <w:right w:val="single" w:sz="4" w:space="0" w:color="auto"/>
            </w:tcBorders>
          </w:tcPr>
          <w:p w14:paraId="644167FA"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7FB" w14:textId="77777777" w:rsidR="008D3598" w:rsidRPr="00511330" w:rsidRDefault="008D3598" w:rsidP="004862F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0.777</w:t>
            </w:r>
          </w:p>
        </w:tc>
        <w:tc>
          <w:tcPr>
            <w:tcW w:w="870" w:type="dxa"/>
            <w:tcBorders>
              <w:top w:val="single" w:sz="4" w:space="0" w:color="auto"/>
              <w:left w:val="single" w:sz="4" w:space="0" w:color="auto"/>
              <w:bottom w:val="single" w:sz="4" w:space="0" w:color="auto"/>
              <w:right w:val="single" w:sz="4" w:space="0" w:color="auto"/>
            </w:tcBorders>
          </w:tcPr>
          <w:p w14:paraId="644167FC"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803" w14:textId="77777777" w:rsidTr="00DD53F4">
        <w:tc>
          <w:tcPr>
            <w:tcW w:w="630" w:type="dxa"/>
            <w:tcBorders>
              <w:top w:val="single" w:sz="4" w:space="0" w:color="auto"/>
              <w:left w:val="single" w:sz="4" w:space="0" w:color="auto"/>
              <w:bottom w:val="single" w:sz="4" w:space="0" w:color="auto"/>
              <w:right w:val="single" w:sz="4" w:space="0" w:color="auto"/>
            </w:tcBorders>
          </w:tcPr>
          <w:p w14:paraId="644167FE"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M20</w:t>
            </w:r>
          </w:p>
        </w:tc>
        <w:tc>
          <w:tcPr>
            <w:tcW w:w="4500" w:type="dxa"/>
            <w:tcBorders>
              <w:top w:val="single" w:sz="4" w:space="0" w:color="auto"/>
              <w:left w:val="single" w:sz="4" w:space="0" w:color="auto"/>
              <w:bottom w:val="single" w:sz="4" w:space="0" w:color="auto"/>
              <w:right w:val="single" w:sz="4" w:space="0" w:color="auto"/>
            </w:tcBorders>
          </w:tcPr>
          <w:p w14:paraId="644167FF"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Leadership trust and supports</w:t>
            </w:r>
          </w:p>
        </w:tc>
        <w:tc>
          <w:tcPr>
            <w:tcW w:w="870" w:type="dxa"/>
            <w:tcBorders>
              <w:top w:val="single" w:sz="4" w:space="0" w:color="auto"/>
              <w:left w:val="single" w:sz="4" w:space="0" w:color="auto"/>
              <w:bottom w:val="single" w:sz="4" w:space="0" w:color="auto"/>
              <w:right w:val="single" w:sz="4" w:space="0" w:color="auto"/>
            </w:tcBorders>
          </w:tcPr>
          <w:p w14:paraId="64416800"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801" w14:textId="77777777" w:rsidR="008D3598" w:rsidRPr="00511330" w:rsidRDefault="008D3598" w:rsidP="004862F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0.653</w:t>
            </w:r>
          </w:p>
        </w:tc>
        <w:tc>
          <w:tcPr>
            <w:tcW w:w="870" w:type="dxa"/>
            <w:tcBorders>
              <w:top w:val="single" w:sz="4" w:space="0" w:color="auto"/>
              <w:left w:val="single" w:sz="4" w:space="0" w:color="auto"/>
              <w:bottom w:val="single" w:sz="4" w:space="0" w:color="auto"/>
              <w:right w:val="single" w:sz="4" w:space="0" w:color="auto"/>
            </w:tcBorders>
          </w:tcPr>
          <w:p w14:paraId="64416802"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809" w14:textId="77777777" w:rsidTr="00DD53F4">
        <w:tc>
          <w:tcPr>
            <w:tcW w:w="630" w:type="dxa"/>
            <w:tcBorders>
              <w:top w:val="single" w:sz="4" w:space="0" w:color="auto"/>
              <w:left w:val="single" w:sz="4" w:space="0" w:color="auto"/>
              <w:bottom w:val="single" w:sz="4" w:space="0" w:color="auto"/>
              <w:right w:val="single" w:sz="4" w:space="0" w:color="auto"/>
            </w:tcBorders>
          </w:tcPr>
          <w:p w14:paraId="64416804"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M23</w:t>
            </w:r>
          </w:p>
        </w:tc>
        <w:tc>
          <w:tcPr>
            <w:tcW w:w="4500" w:type="dxa"/>
            <w:tcBorders>
              <w:top w:val="single" w:sz="4" w:space="0" w:color="auto"/>
              <w:left w:val="single" w:sz="4" w:space="0" w:color="auto"/>
              <w:bottom w:val="single" w:sz="4" w:space="0" w:color="auto"/>
              <w:right w:val="single" w:sz="4" w:space="0" w:color="auto"/>
            </w:tcBorders>
          </w:tcPr>
          <w:p w14:paraId="64416805"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Confront with market continued evolvement</w:t>
            </w:r>
          </w:p>
        </w:tc>
        <w:tc>
          <w:tcPr>
            <w:tcW w:w="870" w:type="dxa"/>
            <w:tcBorders>
              <w:top w:val="single" w:sz="4" w:space="0" w:color="auto"/>
              <w:left w:val="single" w:sz="4" w:space="0" w:color="auto"/>
              <w:bottom w:val="single" w:sz="4" w:space="0" w:color="auto"/>
              <w:right w:val="single" w:sz="4" w:space="0" w:color="auto"/>
            </w:tcBorders>
          </w:tcPr>
          <w:p w14:paraId="64416806"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807" w14:textId="77777777" w:rsidR="008D3598" w:rsidRPr="00511330" w:rsidRDefault="008D3598" w:rsidP="004862F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0.546</w:t>
            </w:r>
          </w:p>
        </w:tc>
        <w:tc>
          <w:tcPr>
            <w:tcW w:w="870" w:type="dxa"/>
            <w:tcBorders>
              <w:top w:val="single" w:sz="4" w:space="0" w:color="auto"/>
              <w:left w:val="single" w:sz="4" w:space="0" w:color="auto"/>
              <w:bottom w:val="single" w:sz="4" w:space="0" w:color="auto"/>
              <w:right w:val="single" w:sz="4" w:space="0" w:color="auto"/>
            </w:tcBorders>
          </w:tcPr>
          <w:p w14:paraId="64416808"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80F" w14:textId="77777777" w:rsidTr="00DD53F4">
        <w:tc>
          <w:tcPr>
            <w:tcW w:w="630" w:type="dxa"/>
            <w:tcBorders>
              <w:top w:val="single" w:sz="4" w:space="0" w:color="auto"/>
              <w:left w:val="single" w:sz="4" w:space="0" w:color="auto"/>
              <w:bottom w:val="single" w:sz="4" w:space="0" w:color="auto"/>
              <w:right w:val="single" w:sz="4" w:space="0" w:color="auto"/>
            </w:tcBorders>
          </w:tcPr>
          <w:p w14:paraId="6441680A"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M24</w:t>
            </w:r>
          </w:p>
        </w:tc>
        <w:tc>
          <w:tcPr>
            <w:tcW w:w="4500" w:type="dxa"/>
            <w:tcBorders>
              <w:top w:val="single" w:sz="4" w:space="0" w:color="auto"/>
              <w:left w:val="single" w:sz="4" w:space="0" w:color="auto"/>
              <w:bottom w:val="single" w:sz="4" w:space="0" w:color="auto"/>
              <w:right w:val="single" w:sz="4" w:space="0" w:color="auto"/>
            </w:tcBorders>
          </w:tcPr>
          <w:p w14:paraId="6441680B"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Readiness to future energy requirements</w:t>
            </w:r>
          </w:p>
        </w:tc>
        <w:tc>
          <w:tcPr>
            <w:tcW w:w="870" w:type="dxa"/>
            <w:tcBorders>
              <w:top w:val="single" w:sz="4" w:space="0" w:color="auto"/>
              <w:left w:val="single" w:sz="4" w:space="0" w:color="auto"/>
              <w:bottom w:val="single" w:sz="4" w:space="0" w:color="auto"/>
              <w:right w:val="single" w:sz="4" w:space="0" w:color="auto"/>
            </w:tcBorders>
          </w:tcPr>
          <w:p w14:paraId="6441680C"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80D" w14:textId="77777777" w:rsidR="008D3598" w:rsidRPr="00511330" w:rsidRDefault="008D3598" w:rsidP="004862F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0.662</w:t>
            </w:r>
          </w:p>
        </w:tc>
        <w:tc>
          <w:tcPr>
            <w:tcW w:w="870" w:type="dxa"/>
            <w:tcBorders>
              <w:top w:val="single" w:sz="4" w:space="0" w:color="auto"/>
              <w:left w:val="single" w:sz="4" w:space="0" w:color="auto"/>
              <w:bottom w:val="single" w:sz="4" w:space="0" w:color="auto"/>
              <w:right w:val="single" w:sz="4" w:space="0" w:color="auto"/>
            </w:tcBorders>
          </w:tcPr>
          <w:p w14:paraId="6441680E"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815" w14:textId="77777777" w:rsidTr="00DD53F4">
        <w:tc>
          <w:tcPr>
            <w:tcW w:w="630" w:type="dxa"/>
            <w:tcBorders>
              <w:top w:val="single" w:sz="4" w:space="0" w:color="auto"/>
              <w:left w:val="single" w:sz="4" w:space="0" w:color="auto"/>
              <w:bottom w:val="single" w:sz="4" w:space="0" w:color="auto"/>
              <w:right w:val="single" w:sz="4" w:space="0" w:color="auto"/>
            </w:tcBorders>
          </w:tcPr>
          <w:p w14:paraId="64416810"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M26</w:t>
            </w:r>
          </w:p>
        </w:tc>
        <w:tc>
          <w:tcPr>
            <w:tcW w:w="4500" w:type="dxa"/>
            <w:tcBorders>
              <w:top w:val="single" w:sz="4" w:space="0" w:color="auto"/>
              <w:left w:val="single" w:sz="4" w:space="0" w:color="auto"/>
              <w:bottom w:val="single" w:sz="4" w:space="0" w:color="auto"/>
              <w:right w:val="single" w:sz="4" w:space="0" w:color="auto"/>
            </w:tcBorders>
          </w:tcPr>
          <w:p w14:paraId="64416811"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Conserving environment for future generation</w:t>
            </w:r>
          </w:p>
        </w:tc>
        <w:tc>
          <w:tcPr>
            <w:tcW w:w="870" w:type="dxa"/>
            <w:tcBorders>
              <w:top w:val="single" w:sz="4" w:space="0" w:color="auto"/>
              <w:left w:val="single" w:sz="4" w:space="0" w:color="auto"/>
              <w:bottom w:val="single" w:sz="4" w:space="0" w:color="auto"/>
              <w:right w:val="single" w:sz="4" w:space="0" w:color="auto"/>
            </w:tcBorders>
          </w:tcPr>
          <w:p w14:paraId="64416812"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813" w14:textId="77777777" w:rsidR="008D3598" w:rsidRPr="00511330" w:rsidRDefault="008D3598" w:rsidP="004862F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0.528</w:t>
            </w:r>
          </w:p>
        </w:tc>
        <w:tc>
          <w:tcPr>
            <w:tcW w:w="870" w:type="dxa"/>
            <w:tcBorders>
              <w:top w:val="single" w:sz="4" w:space="0" w:color="auto"/>
              <w:left w:val="single" w:sz="4" w:space="0" w:color="auto"/>
              <w:bottom w:val="single" w:sz="4" w:space="0" w:color="auto"/>
              <w:right w:val="single" w:sz="4" w:space="0" w:color="auto"/>
            </w:tcBorders>
          </w:tcPr>
          <w:p w14:paraId="64416814"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p>
        </w:tc>
      </w:tr>
      <w:tr w:rsidR="008D3598" w:rsidRPr="00511330" w14:paraId="6441681B" w14:textId="77777777" w:rsidTr="00DD53F4">
        <w:tc>
          <w:tcPr>
            <w:tcW w:w="630" w:type="dxa"/>
            <w:tcBorders>
              <w:top w:val="single" w:sz="4" w:space="0" w:color="auto"/>
              <w:left w:val="single" w:sz="4" w:space="0" w:color="auto"/>
              <w:bottom w:val="single" w:sz="4" w:space="0" w:color="auto"/>
              <w:right w:val="single" w:sz="4" w:space="0" w:color="auto"/>
            </w:tcBorders>
          </w:tcPr>
          <w:p w14:paraId="64416816"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M9</w:t>
            </w:r>
          </w:p>
        </w:tc>
        <w:tc>
          <w:tcPr>
            <w:tcW w:w="4500" w:type="dxa"/>
            <w:tcBorders>
              <w:top w:val="single" w:sz="4" w:space="0" w:color="auto"/>
              <w:left w:val="single" w:sz="4" w:space="0" w:color="auto"/>
              <w:bottom w:val="single" w:sz="4" w:space="0" w:color="auto"/>
              <w:right w:val="single" w:sz="4" w:space="0" w:color="auto"/>
            </w:tcBorders>
          </w:tcPr>
          <w:p w14:paraId="64416817"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Achieving global qualifications and rewards</w:t>
            </w:r>
          </w:p>
        </w:tc>
        <w:tc>
          <w:tcPr>
            <w:tcW w:w="870" w:type="dxa"/>
            <w:tcBorders>
              <w:top w:val="single" w:sz="4" w:space="0" w:color="auto"/>
              <w:left w:val="single" w:sz="4" w:space="0" w:color="auto"/>
              <w:bottom w:val="single" w:sz="4" w:space="0" w:color="auto"/>
              <w:right w:val="single" w:sz="4" w:space="0" w:color="auto"/>
            </w:tcBorders>
            <w:vAlign w:val="center"/>
          </w:tcPr>
          <w:p w14:paraId="64416818"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819"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vAlign w:val="center"/>
          </w:tcPr>
          <w:p w14:paraId="6441681A"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0.686</w:t>
            </w:r>
          </w:p>
        </w:tc>
      </w:tr>
      <w:tr w:rsidR="008D3598" w:rsidRPr="00511330" w14:paraId="64416821" w14:textId="77777777" w:rsidTr="00DD53F4">
        <w:tc>
          <w:tcPr>
            <w:tcW w:w="630" w:type="dxa"/>
            <w:tcBorders>
              <w:top w:val="single" w:sz="4" w:space="0" w:color="auto"/>
              <w:left w:val="single" w:sz="4" w:space="0" w:color="auto"/>
              <w:bottom w:val="single" w:sz="4" w:space="0" w:color="auto"/>
              <w:right w:val="single" w:sz="4" w:space="0" w:color="auto"/>
            </w:tcBorders>
          </w:tcPr>
          <w:p w14:paraId="6441681C"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M10</w:t>
            </w:r>
          </w:p>
        </w:tc>
        <w:tc>
          <w:tcPr>
            <w:tcW w:w="4500" w:type="dxa"/>
            <w:tcBorders>
              <w:top w:val="single" w:sz="4" w:space="0" w:color="auto"/>
              <w:left w:val="single" w:sz="4" w:space="0" w:color="auto"/>
              <w:bottom w:val="single" w:sz="4" w:space="0" w:color="auto"/>
              <w:right w:val="single" w:sz="4" w:space="0" w:color="auto"/>
            </w:tcBorders>
          </w:tcPr>
          <w:p w14:paraId="6441681D"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Applying health and safety requirements</w:t>
            </w:r>
          </w:p>
        </w:tc>
        <w:tc>
          <w:tcPr>
            <w:tcW w:w="870" w:type="dxa"/>
            <w:tcBorders>
              <w:top w:val="single" w:sz="4" w:space="0" w:color="auto"/>
              <w:left w:val="single" w:sz="4" w:space="0" w:color="auto"/>
              <w:bottom w:val="single" w:sz="4" w:space="0" w:color="auto"/>
              <w:right w:val="single" w:sz="4" w:space="0" w:color="auto"/>
            </w:tcBorders>
            <w:vAlign w:val="center"/>
          </w:tcPr>
          <w:p w14:paraId="6441681E"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81F"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vAlign w:val="center"/>
          </w:tcPr>
          <w:p w14:paraId="64416820"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0.504</w:t>
            </w:r>
          </w:p>
        </w:tc>
      </w:tr>
      <w:tr w:rsidR="008D3598" w:rsidRPr="00511330" w14:paraId="64416827" w14:textId="77777777" w:rsidTr="00DD53F4">
        <w:tc>
          <w:tcPr>
            <w:tcW w:w="630" w:type="dxa"/>
            <w:tcBorders>
              <w:top w:val="single" w:sz="4" w:space="0" w:color="auto"/>
              <w:left w:val="single" w:sz="4" w:space="0" w:color="auto"/>
              <w:bottom w:val="single" w:sz="4" w:space="0" w:color="auto"/>
              <w:right w:val="single" w:sz="4" w:space="0" w:color="auto"/>
            </w:tcBorders>
          </w:tcPr>
          <w:p w14:paraId="64416822"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M14</w:t>
            </w:r>
          </w:p>
        </w:tc>
        <w:tc>
          <w:tcPr>
            <w:tcW w:w="4500" w:type="dxa"/>
            <w:tcBorders>
              <w:top w:val="single" w:sz="4" w:space="0" w:color="auto"/>
              <w:left w:val="single" w:sz="4" w:space="0" w:color="auto"/>
              <w:bottom w:val="single" w:sz="4" w:space="0" w:color="auto"/>
              <w:right w:val="single" w:sz="4" w:space="0" w:color="auto"/>
            </w:tcBorders>
          </w:tcPr>
          <w:p w14:paraId="64416823"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Aligning with international laws and decrees </w:t>
            </w:r>
          </w:p>
        </w:tc>
        <w:tc>
          <w:tcPr>
            <w:tcW w:w="870" w:type="dxa"/>
            <w:tcBorders>
              <w:top w:val="single" w:sz="4" w:space="0" w:color="auto"/>
              <w:left w:val="single" w:sz="4" w:space="0" w:color="auto"/>
              <w:bottom w:val="single" w:sz="4" w:space="0" w:color="auto"/>
              <w:right w:val="single" w:sz="4" w:space="0" w:color="auto"/>
            </w:tcBorders>
            <w:vAlign w:val="center"/>
          </w:tcPr>
          <w:p w14:paraId="64416824"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825"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vAlign w:val="center"/>
          </w:tcPr>
          <w:p w14:paraId="64416826"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0.588</w:t>
            </w:r>
          </w:p>
        </w:tc>
      </w:tr>
      <w:tr w:rsidR="008D3598" w:rsidRPr="00511330" w14:paraId="6441682D" w14:textId="77777777" w:rsidTr="00DD53F4">
        <w:tc>
          <w:tcPr>
            <w:tcW w:w="630" w:type="dxa"/>
            <w:tcBorders>
              <w:top w:val="single" w:sz="4" w:space="0" w:color="auto"/>
              <w:left w:val="single" w:sz="4" w:space="0" w:color="auto"/>
              <w:bottom w:val="single" w:sz="4" w:space="0" w:color="auto"/>
              <w:right w:val="single" w:sz="4" w:space="0" w:color="auto"/>
            </w:tcBorders>
          </w:tcPr>
          <w:p w14:paraId="64416828"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M21</w:t>
            </w:r>
          </w:p>
        </w:tc>
        <w:tc>
          <w:tcPr>
            <w:tcW w:w="4500" w:type="dxa"/>
            <w:tcBorders>
              <w:top w:val="single" w:sz="4" w:space="0" w:color="auto"/>
              <w:left w:val="single" w:sz="4" w:space="0" w:color="auto"/>
              <w:bottom w:val="single" w:sz="4" w:space="0" w:color="auto"/>
              <w:right w:val="single" w:sz="4" w:space="0" w:color="auto"/>
            </w:tcBorders>
          </w:tcPr>
          <w:p w14:paraId="64416829"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Enhancing the capabilities &amp; competencies</w:t>
            </w:r>
          </w:p>
        </w:tc>
        <w:tc>
          <w:tcPr>
            <w:tcW w:w="870" w:type="dxa"/>
            <w:tcBorders>
              <w:top w:val="single" w:sz="4" w:space="0" w:color="auto"/>
              <w:left w:val="single" w:sz="4" w:space="0" w:color="auto"/>
              <w:bottom w:val="single" w:sz="4" w:space="0" w:color="auto"/>
              <w:right w:val="single" w:sz="4" w:space="0" w:color="auto"/>
            </w:tcBorders>
            <w:vAlign w:val="center"/>
          </w:tcPr>
          <w:p w14:paraId="6441682A"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82B"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vAlign w:val="center"/>
          </w:tcPr>
          <w:p w14:paraId="6441682C"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0.659</w:t>
            </w:r>
          </w:p>
        </w:tc>
      </w:tr>
      <w:tr w:rsidR="008D3598" w:rsidRPr="00511330" w14:paraId="64416833" w14:textId="77777777" w:rsidTr="00DD53F4">
        <w:tc>
          <w:tcPr>
            <w:tcW w:w="630" w:type="dxa"/>
            <w:tcBorders>
              <w:top w:val="single" w:sz="4" w:space="0" w:color="auto"/>
              <w:left w:val="single" w:sz="4" w:space="0" w:color="auto"/>
              <w:bottom w:val="single" w:sz="4" w:space="0" w:color="auto"/>
              <w:right w:val="single" w:sz="4" w:space="0" w:color="auto"/>
            </w:tcBorders>
          </w:tcPr>
          <w:p w14:paraId="6441682E"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M22</w:t>
            </w:r>
          </w:p>
        </w:tc>
        <w:tc>
          <w:tcPr>
            <w:tcW w:w="4500" w:type="dxa"/>
            <w:tcBorders>
              <w:top w:val="single" w:sz="4" w:space="0" w:color="auto"/>
              <w:left w:val="single" w:sz="4" w:space="0" w:color="auto"/>
              <w:bottom w:val="single" w:sz="4" w:space="0" w:color="auto"/>
              <w:right w:val="single" w:sz="4" w:space="0" w:color="auto"/>
            </w:tcBorders>
          </w:tcPr>
          <w:p w14:paraId="6441682F"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Better work environment</w:t>
            </w:r>
          </w:p>
        </w:tc>
        <w:tc>
          <w:tcPr>
            <w:tcW w:w="870" w:type="dxa"/>
            <w:tcBorders>
              <w:top w:val="single" w:sz="4" w:space="0" w:color="auto"/>
              <w:left w:val="single" w:sz="4" w:space="0" w:color="auto"/>
              <w:bottom w:val="single" w:sz="4" w:space="0" w:color="auto"/>
              <w:right w:val="single" w:sz="4" w:space="0" w:color="auto"/>
            </w:tcBorders>
            <w:vAlign w:val="center"/>
          </w:tcPr>
          <w:p w14:paraId="64416830"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831"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vAlign w:val="center"/>
          </w:tcPr>
          <w:p w14:paraId="64416832"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0.781</w:t>
            </w:r>
          </w:p>
        </w:tc>
      </w:tr>
      <w:tr w:rsidR="008D3598" w:rsidRPr="00511330" w14:paraId="64416839" w14:textId="77777777" w:rsidTr="00DD53F4">
        <w:trPr>
          <w:trHeight w:val="215"/>
        </w:trPr>
        <w:tc>
          <w:tcPr>
            <w:tcW w:w="630" w:type="dxa"/>
            <w:tcBorders>
              <w:top w:val="single" w:sz="4" w:space="0" w:color="auto"/>
              <w:left w:val="single" w:sz="4" w:space="0" w:color="auto"/>
              <w:bottom w:val="single" w:sz="4" w:space="0" w:color="auto"/>
              <w:right w:val="single" w:sz="4" w:space="0" w:color="auto"/>
            </w:tcBorders>
          </w:tcPr>
          <w:p w14:paraId="64416834"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M25</w:t>
            </w:r>
          </w:p>
        </w:tc>
        <w:tc>
          <w:tcPr>
            <w:tcW w:w="4500" w:type="dxa"/>
            <w:tcBorders>
              <w:top w:val="single" w:sz="4" w:space="0" w:color="auto"/>
              <w:left w:val="single" w:sz="4" w:space="0" w:color="auto"/>
              <w:bottom w:val="single" w:sz="4" w:space="0" w:color="auto"/>
              <w:right w:val="single" w:sz="4" w:space="0" w:color="auto"/>
            </w:tcBorders>
          </w:tcPr>
          <w:p w14:paraId="64416835" w14:textId="77777777" w:rsidR="008D3598" w:rsidRPr="00511330" w:rsidRDefault="008D3598" w:rsidP="00DD53F4">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Opportunity for learning</w:t>
            </w:r>
          </w:p>
        </w:tc>
        <w:tc>
          <w:tcPr>
            <w:tcW w:w="870" w:type="dxa"/>
            <w:tcBorders>
              <w:top w:val="single" w:sz="4" w:space="0" w:color="auto"/>
              <w:left w:val="single" w:sz="4" w:space="0" w:color="auto"/>
              <w:bottom w:val="single" w:sz="4" w:space="0" w:color="auto"/>
              <w:right w:val="single" w:sz="4" w:space="0" w:color="auto"/>
            </w:tcBorders>
            <w:vAlign w:val="center"/>
          </w:tcPr>
          <w:p w14:paraId="64416836" w14:textId="77777777" w:rsidR="008D3598" w:rsidRPr="00511330" w:rsidRDefault="008D3598" w:rsidP="004862F1">
            <w:pPr>
              <w:ind w:right="-450" w:hanging="40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tcPr>
          <w:p w14:paraId="64416837" w14:textId="77777777" w:rsidR="008D3598" w:rsidRPr="00511330" w:rsidRDefault="008D3598" w:rsidP="004862F1">
            <w:pPr>
              <w:ind w:right="-450" w:hanging="311"/>
              <w:jc w:val="center"/>
              <w:rPr>
                <w:rFonts w:asciiTheme="majorBidi" w:eastAsia="Calibri" w:hAnsiTheme="majorBidi" w:cstheme="majorBidi"/>
                <w:sz w:val="20"/>
                <w:szCs w:val="20"/>
                <w:lang w:val="en-US"/>
              </w:rPr>
            </w:pPr>
          </w:p>
        </w:tc>
        <w:tc>
          <w:tcPr>
            <w:tcW w:w="870" w:type="dxa"/>
            <w:tcBorders>
              <w:top w:val="single" w:sz="4" w:space="0" w:color="auto"/>
              <w:left w:val="single" w:sz="4" w:space="0" w:color="auto"/>
              <w:bottom w:val="single" w:sz="4" w:space="0" w:color="auto"/>
              <w:right w:val="single" w:sz="4" w:space="0" w:color="auto"/>
            </w:tcBorders>
            <w:vAlign w:val="center"/>
          </w:tcPr>
          <w:p w14:paraId="64416838" w14:textId="77777777" w:rsidR="008D3598" w:rsidRPr="00511330" w:rsidRDefault="008D3598" w:rsidP="004862F1">
            <w:pPr>
              <w:ind w:left="-41" w:right="-378" w:hanging="33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0.734</w:t>
            </w:r>
          </w:p>
        </w:tc>
      </w:tr>
      <w:tr w:rsidR="008D3598" w:rsidRPr="00511330" w14:paraId="6441683E" w14:textId="77777777" w:rsidTr="00DD53F4">
        <w:tc>
          <w:tcPr>
            <w:tcW w:w="5130" w:type="dxa"/>
            <w:gridSpan w:val="2"/>
            <w:tcBorders>
              <w:top w:val="single" w:sz="4" w:space="0" w:color="auto"/>
              <w:left w:val="single" w:sz="4" w:space="0" w:color="auto"/>
              <w:bottom w:val="single" w:sz="4" w:space="0" w:color="auto"/>
              <w:right w:val="single" w:sz="4" w:space="0" w:color="auto"/>
            </w:tcBorders>
          </w:tcPr>
          <w:p w14:paraId="6441683A" w14:textId="77777777" w:rsidR="008D3598" w:rsidRPr="00511330" w:rsidRDefault="008D3598" w:rsidP="00721566">
            <w:pPr>
              <w:ind w:right="-450"/>
              <w:jc w:val="both"/>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Average variance extracted (percentage).</w:t>
            </w:r>
          </w:p>
        </w:tc>
        <w:tc>
          <w:tcPr>
            <w:tcW w:w="870" w:type="dxa"/>
            <w:tcBorders>
              <w:top w:val="single" w:sz="4" w:space="0" w:color="auto"/>
              <w:left w:val="single" w:sz="4" w:space="0" w:color="auto"/>
              <w:bottom w:val="single" w:sz="4" w:space="0" w:color="auto"/>
              <w:right w:val="single" w:sz="4" w:space="0" w:color="auto"/>
            </w:tcBorders>
            <w:shd w:val="clear" w:color="auto" w:fill="auto"/>
          </w:tcPr>
          <w:p w14:paraId="6441683B" w14:textId="77777777" w:rsidR="008D3598" w:rsidRPr="00511330" w:rsidRDefault="008D3598" w:rsidP="004862F1">
            <w:pPr>
              <w:ind w:right="-450" w:hanging="401"/>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22.371</w:t>
            </w:r>
          </w:p>
        </w:tc>
        <w:tc>
          <w:tcPr>
            <w:tcW w:w="870" w:type="dxa"/>
            <w:tcBorders>
              <w:top w:val="single" w:sz="4" w:space="0" w:color="auto"/>
              <w:left w:val="single" w:sz="4" w:space="0" w:color="auto"/>
              <w:bottom w:val="single" w:sz="4" w:space="0" w:color="auto"/>
              <w:right w:val="single" w:sz="4" w:space="0" w:color="auto"/>
            </w:tcBorders>
            <w:shd w:val="clear" w:color="auto" w:fill="auto"/>
          </w:tcPr>
          <w:p w14:paraId="6441683C" w14:textId="77777777" w:rsidR="008D3598" w:rsidRPr="00511330" w:rsidRDefault="008D3598" w:rsidP="004862F1">
            <w:pPr>
              <w:ind w:right="-450" w:hanging="311"/>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22.243</w:t>
            </w:r>
          </w:p>
        </w:tc>
        <w:tc>
          <w:tcPr>
            <w:tcW w:w="870" w:type="dxa"/>
            <w:tcBorders>
              <w:top w:val="single" w:sz="4" w:space="0" w:color="auto"/>
              <w:left w:val="single" w:sz="4" w:space="0" w:color="auto"/>
              <w:bottom w:val="single" w:sz="4" w:space="0" w:color="auto"/>
              <w:right w:val="single" w:sz="4" w:space="0" w:color="auto"/>
            </w:tcBorders>
            <w:shd w:val="clear" w:color="auto" w:fill="auto"/>
          </w:tcPr>
          <w:p w14:paraId="6441683D" w14:textId="77777777" w:rsidR="008D3598" w:rsidRPr="00511330" w:rsidRDefault="008D3598" w:rsidP="004862F1">
            <w:pPr>
              <w:ind w:left="-41" w:right="-378" w:hanging="337"/>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18.200</w:t>
            </w:r>
          </w:p>
        </w:tc>
      </w:tr>
      <w:tr w:rsidR="008D3598" w:rsidRPr="00511330" w14:paraId="64416843" w14:textId="77777777" w:rsidTr="00DD53F4">
        <w:tc>
          <w:tcPr>
            <w:tcW w:w="5130" w:type="dxa"/>
            <w:gridSpan w:val="2"/>
            <w:tcBorders>
              <w:top w:val="single" w:sz="4" w:space="0" w:color="auto"/>
              <w:left w:val="single" w:sz="4" w:space="0" w:color="auto"/>
              <w:bottom w:val="single" w:sz="4" w:space="0" w:color="auto"/>
              <w:right w:val="single" w:sz="4" w:space="0" w:color="auto"/>
            </w:tcBorders>
          </w:tcPr>
          <w:p w14:paraId="6441683F" w14:textId="77777777" w:rsidR="008D3598" w:rsidRPr="00511330" w:rsidRDefault="008D3598" w:rsidP="003F0551">
            <w:pPr>
              <w:ind w:right="-450"/>
              <w:jc w:val="both"/>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Construct reliability</w:t>
            </w:r>
          </w:p>
        </w:tc>
        <w:tc>
          <w:tcPr>
            <w:tcW w:w="870" w:type="dxa"/>
            <w:tcBorders>
              <w:top w:val="single" w:sz="4" w:space="0" w:color="auto"/>
              <w:left w:val="single" w:sz="4" w:space="0" w:color="auto"/>
              <w:bottom w:val="single" w:sz="4" w:space="0" w:color="auto"/>
              <w:right w:val="single" w:sz="4" w:space="0" w:color="auto"/>
            </w:tcBorders>
            <w:vAlign w:val="bottom"/>
          </w:tcPr>
          <w:p w14:paraId="64416840" w14:textId="77777777" w:rsidR="008D3598" w:rsidRPr="00511330" w:rsidRDefault="008D3598" w:rsidP="003F0551">
            <w:pPr>
              <w:ind w:right="-450" w:hanging="401"/>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0.915</w:t>
            </w:r>
          </w:p>
        </w:tc>
        <w:tc>
          <w:tcPr>
            <w:tcW w:w="870" w:type="dxa"/>
            <w:tcBorders>
              <w:top w:val="single" w:sz="4" w:space="0" w:color="auto"/>
              <w:left w:val="single" w:sz="4" w:space="0" w:color="auto"/>
              <w:bottom w:val="single" w:sz="4" w:space="0" w:color="auto"/>
              <w:right w:val="single" w:sz="4" w:space="0" w:color="auto"/>
            </w:tcBorders>
            <w:vAlign w:val="bottom"/>
          </w:tcPr>
          <w:p w14:paraId="64416841" w14:textId="77777777" w:rsidR="008D3598" w:rsidRPr="00511330" w:rsidRDefault="008D3598" w:rsidP="003F0551">
            <w:pPr>
              <w:ind w:right="-450" w:hanging="311"/>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0.929</w:t>
            </w:r>
          </w:p>
        </w:tc>
        <w:tc>
          <w:tcPr>
            <w:tcW w:w="870" w:type="dxa"/>
            <w:tcBorders>
              <w:top w:val="single" w:sz="4" w:space="0" w:color="auto"/>
              <w:left w:val="single" w:sz="4" w:space="0" w:color="auto"/>
              <w:bottom w:val="single" w:sz="4" w:space="0" w:color="auto"/>
              <w:right w:val="single" w:sz="4" w:space="0" w:color="auto"/>
            </w:tcBorders>
            <w:vAlign w:val="bottom"/>
          </w:tcPr>
          <w:p w14:paraId="64416842" w14:textId="77777777" w:rsidR="008D3598" w:rsidRPr="00511330" w:rsidRDefault="008D3598" w:rsidP="003F0551">
            <w:pPr>
              <w:ind w:left="-41" w:right="-378" w:hanging="337"/>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0.867</w:t>
            </w:r>
          </w:p>
        </w:tc>
      </w:tr>
    </w:tbl>
    <w:p w14:paraId="64416844" w14:textId="77777777" w:rsidR="008D3598" w:rsidRPr="00511330" w:rsidRDefault="008D3598" w:rsidP="00DD53F4">
      <w:pPr>
        <w:spacing w:after="0" w:line="240" w:lineRule="auto"/>
        <w:ind w:right="4"/>
        <w:jc w:val="both"/>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 xml:space="preserve">Note. AVFS = </w:t>
      </w:r>
      <w:r w:rsidRPr="00511330">
        <w:rPr>
          <w:rFonts w:asciiTheme="majorBidi" w:eastAsia="Calibri" w:hAnsiTheme="majorBidi" w:cstheme="majorBidi"/>
          <w:sz w:val="20"/>
          <w:szCs w:val="20"/>
          <w:lang w:val="en-US" w:bidi="ar-AE"/>
        </w:rPr>
        <w:t>Affiliate viability, Feasibility &amp; satisfactory</w:t>
      </w:r>
      <w:r w:rsidRPr="00511330">
        <w:rPr>
          <w:rFonts w:asciiTheme="majorBidi" w:eastAsia="Calibri" w:hAnsiTheme="majorBidi" w:cstheme="majorBidi"/>
          <w:b/>
          <w:bCs/>
          <w:sz w:val="20"/>
          <w:szCs w:val="20"/>
          <w:lang w:val="en-US" w:bidi="ar-AE"/>
        </w:rPr>
        <w:t xml:space="preserve">; TEFV = </w:t>
      </w:r>
      <w:r w:rsidRPr="00511330">
        <w:rPr>
          <w:rFonts w:asciiTheme="majorBidi" w:eastAsia="Calibri" w:hAnsiTheme="majorBidi" w:cstheme="majorBidi"/>
          <w:sz w:val="20"/>
          <w:szCs w:val="20"/>
          <w:lang w:val="en-US" w:bidi="ar-AE"/>
        </w:rPr>
        <w:t>Trust and evolving with future visions</w:t>
      </w:r>
      <w:r w:rsidRPr="00511330">
        <w:rPr>
          <w:rFonts w:asciiTheme="majorBidi" w:eastAsia="Calibri" w:hAnsiTheme="majorBidi" w:cstheme="majorBidi"/>
          <w:b/>
          <w:bCs/>
          <w:sz w:val="20"/>
          <w:szCs w:val="20"/>
          <w:lang w:val="en-US" w:bidi="ar-AE"/>
        </w:rPr>
        <w:t xml:space="preserve"> and APCS=</w:t>
      </w:r>
      <w:r w:rsidRPr="00511330">
        <w:rPr>
          <w:rFonts w:asciiTheme="majorBidi" w:eastAsia="Calibri" w:hAnsiTheme="majorBidi" w:cstheme="majorBidi"/>
          <w:sz w:val="20"/>
          <w:szCs w:val="20"/>
          <w:lang w:val="en-US"/>
        </w:rPr>
        <w:t xml:space="preserve"> </w:t>
      </w:r>
      <w:r w:rsidRPr="00511330">
        <w:rPr>
          <w:rFonts w:asciiTheme="majorBidi" w:eastAsia="Calibri" w:hAnsiTheme="majorBidi" w:cstheme="majorBidi"/>
          <w:sz w:val="20"/>
          <w:szCs w:val="20"/>
          <w:lang w:val="en-US" w:bidi="ar-AE"/>
        </w:rPr>
        <w:t>Aligning Perpetual Change &amp; Sustainability</w:t>
      </w:r>
      <w:r w:rsidRPr="00511330">
        <w:rPr>
          <w:rFonts w:asciiTheme="majorBidi" w:eastAsia="Calibri" w:hAnsiTheme="majorBidi" w:cstheme="majorBidi"/>
          <w:b/>
          <w:bCs/>
          <w:sz w:val="20"/>
          <w:szCs w:val="20"/>
          <w:lang w:val="en-US" w:bidi="ar-AE"/>
        </w:rPr>
        <w:t>.</w:t>
      </w:r>
    </w:p>
    <w:p w14:paraId="64416845" w14:textId="77777777" w:rsidR="008D3598" w:rsidRPr="00511330" w:rsidRDefault="008D3598" w:rsidP="00721566">
      <w:pPr>
        <w:spacing w:after="0" w:line="480" w:lineRule="auto"/>
        <w:ind w:right="-450"/>
        <w:jc w:val="both"/>
        <w:rPr>
          <w:rFonts w:asciiTheme="majorBidi" w:eastAsia="Calibri" w:hAnsiTheme="majorBidi" w:cstheme="majorBidi"/>
          <w:sz w:val="24"/>
          <w:szCs w:val="24"/>
          <w:lang w:val="en-US"/>
        </w:rPr>
      </w:pPr>
    </w:p>
    <w:p w14:paraId="64416846" w14:textId="77777777" w:rsidR="008D3598" w:rsidRPr="00511330" w:rsidRDefault="008D3598" w:rsidP="00721566">
      <w:pPr>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lastRenderedPageBreak/>
        <w:t xml:space="preserve">The next step is to examine the content of questions that load highly on the same factors to try to identify common themes. The questions that load highly on Factor 1 seem to relate to different aspects of Affiliate viability, Feasibility and satisfactory; therefore, we label this Affiliate viability, Feasibility and satisfactory. This factor consists of ten items and accounts for 22.371 percent of the variance. Similarly, the questions that load highly on Factor 2 all seem to relate to Trust and evolving with future visions. Therefore, we label this factor as Trust and evolving with future visions. This factor consists of ten items and accounts for 22.243 </w:t>
      </w:r>
      <w:r w:rsidRPr="00511330">
        <w:rPr>
          <w:rFonts w:asciiTheme="majorBidi" w:eastAsia="Calibri" w:hAnsiTheme="majorBidi" w:cstheme="majorBidi"/>
          <w:noProof/>
          <w:sz w:val="24"/>
          <w:szCs w:val="24"/>
          <w:lang w:val="en-US"/>
        </w:rPr>
        <w:t>percent</w:t>
      </w:r>
      <w:r w:rsidRPr="00511330">
        <w:rPr>
          <w:rFonts w:asciiTheme="majorBidi" w:eastAsia="Calibri" w:hAnsiTheme="majorBidi" w:cstheme="majorBidi"/>
          <w:sz w:val="24"/>
          <w:szCs w:val="24"/>
          <w:lang w:val="en-US"/>
        </w:rPr>
        <w:t xml:space="preserve"> of the variance. Finally, the third questions that load highly on Factor 3 seem to relate to different aspects of aligning perpetual change and Sustainability; hence, we label these factors aligning perpetual change and Sustainability. This factor consists of six items and accounts for 18.200 </w:t>
      </w:r>
      <w:r w:rsidRPr="00511330">
        <w:rPr>
          <w:rFonts w:asciiTheme="majorBidi" w:eastAsia="Calibri" w:hAnsiTheme="majorBidi" w:cstheme="majorBidi"/>
          <w:noProof/>
          <w:sz w:val="24"/>
          <w:szCs w:val="24"/>
          <w:lang w:val="en-US"/>
        </w:rPr>
        <w:t>percent</w:t>
      </w:r>
      <w:r w:rsidRPr="00511330">
        <w:rPr>
          <w:rFonts w:asciiTheme="majorBidi" w:eastAsia="Calibri" w:hAnsiTheme="majorBidi" w:cstheme="majorBidi"/>
          <w:sz w:val="24"/>
          <w:szCs w:val="24"/>
          <w:lang w:val="en-US"/>
        </w:rPr>
        <w:t xml:space="preserve"> of the variance. </w:t>
      </w:r>
      <w:bookmarkStart w:id="810" w:name="_Toc32090394"/>
      <w:bookmarkStart w:id="811" w:name="_Toc32090724"/>
      <w:bookmarkStart w:id="812" w:name="_Toc32091640"/>
      <w:bookmarkStart w:id="813" w:name="_Toc32090395"/>
      <w:bookmarkStart w:id="814" w:name="_Toc32090725"/>
      <w:bookmarkStart w:id="815" w:name="_Toc32091641"/>
      <w:bookmarkStart w:id="816" w:name="_Toc32090396"/>
      <w:bookmarkStart w:id="817" w:name="_Toc32090726"/>
      <w:bookmarkStart w:id="818" w:name="_Toc32091642"/>
      <w:bookmarkStart w:id="819" w:name="_Toc32090397"/>
      <w:bookmarkStart w:id="820" w:name="_Toc32090727"/>
      <w:bookmarkStart w:id="821" w:name="_Toc32091643"/>
      <w:bookmarkStart w:id="822" w:name="_Toc32090398"/>
      <w:bookmarkStart w:id="823" w:name="_Toc32090728"/>
      <w:bookmarkStart w:id="824" w:name="_Toc32091644"/>
      <w:bookmarkStart w:id="825" w:name="_Toc32090399"/>
      <w:bookmarkStart w:id="826" w:name="_Toc32090729"/>
      <w:bookmarkStart w:id="827" w:name="_Toc32091645"/>
      <w:bookmarkStart w:id="828" w:name="_Toc32090400"/>
      <w:bookmarkStart w:id="829" w:name="_Toc32090730"/>
      <w:bookmarkStart w:id="830" w:name="_Toc32091646"/>
      <w:bookmarkStart w:id="831" w:name="_Toc32090401"/>
      <w:bookmarkStart w:id="832" w:name="_Toc32090731"/>
      <w:bookmarkStart w:id="833" w:name="_Toc32091647"/>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14:paraId="64416847" w14:textId="2554F6FA" w:rsidR="008D3598" w:rsidRPr="00511330" w:rsidRDefault="008D3598" w:rsidP="00721566">
      <w:pPr>
        <w:pStyle w:val="Heading3"/>
        <w:spacing w:after="240"/>
        <w:ind w:left="720" w:right="-450" w:hanging="720"/>
        <w:rPr>
          <w:rFonts w:eastAsia="Calibri"/>
          <w:lang w:val="en-US" w:bidi="ar-AE"/>
        </w:rPr>
      </w:pPr>
      <w:bookmarkStart w:id="834" w:name="_Toc43311640"/>
      <w:r w:rsidRPr="00511330">
        <w:rPr>
          <w:rFonts w:eastAsia="Calibri"/>
          <w:lang w:val="en-US" w:bidi="ar-AE"/>
        </w:rPr>
        <w:t xml:space="preserve">4.3.2. </w:t>
      </w:r>
      <w:r w:rsidR="00EC3822" w:rsidRPr="00511330">
        <w:rPr>
          <w:rFonts w:eastAsia="Calibri"/>
          <w:lang w:val="en-US" w:bidi="ar-AE"/>
        </w:rPr>
        <w:tab/>
      </w:r>
      <w:r w:rsidRPr="00511330">
        <w:rPr>
          <w:rFonts w:eastAsia="Calibri"/>
          <w:lang w:val="en-US" w:bidi="ar-AE"/>
        </w:rPr>
        <w:t>Internal consistency and content validity</w:t>
      </w:r>
      <w:bookmarkEnd w:id="834"/>
    </w:p>
    <w:p w14:paraId="64416848" w14:textId="4C452816" w:rsidR="008D3598" w:rsidRPr="00511330" w:rsidRDefault="008D3598" w:rsidP="00FF70CE">
      <w:pPr>
        <w:autoSpaceDE w:val="0"/>
        <w:autoSpaceDN w:val="0"/>
        <w:adjustRightInd w:val="0"/>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The degree of consistency of responses over a construct is referred to as its reliability. The reliability coefficient, Cronbach’s </w:t>
      </w:r>
      <w:r w:rsidR="00FF70CE" w:rsidRPr="00511330">
        <w:rPr>
          <w:rFonts w:asciiTheme="majorBidi" w:eastAsia="Calibri" w:hAnsiTheme="majorBidi" w:cstheme="majorBidi"/>
          <w:sz w:val="24"/>
          <w:szCs w:val="24"/>
          <w:lang w:val="en-US"/>
        </w:rPr>
        <w:t>α</w:t>
      </w:r>
      <w:r w:rsidRPr="00511330">
        <w:rPr>
          <w:rFonts w:asciiTheme="majorBidi" w:eastAsia="Calibri" w:hAnsiTheme="majorBidi" w:cstheme="majorBidi"/>
          <w:sz w:val="24"/>
          <w:szCs w:val="24"/>
          <w:lang w:val="en-US"/>
        </w:rPr>
        <w:t xml:space="preserve">, is generally used for this test. As shown in Table 4.18, the Cronbach’s </w:t>
      </w:r>
      <w:r w:rsidR="00FF70CE" w:rsidRPr="00511330">
        <w:rPr>
          <w:rFonts w:asciiTheme="majorBidi" w:eastAsia="Calibri" w:hAnsiTheme="majorBidi" w:cstheme="majorBidi"/>
          <w:sz w:val="24"/>
          <w:szCs w:val="24"/>
          <w:lang w:val="en-US"/>
        </w:rPr>
        <w:t>α</w:t>
      </w:r>
      <w:r w:rsidRPr="00511330">
        <w:rPr>
          <w:rFonts w:asciiTheme="majorBidi" w:eastAsia="Calibri" w:hAnsiTheme="majorBidi" w:cstheme="majorBidi"/>
          <w:sz w:val="24"/>
          <w:szCs w:val="24"/>
          <w:lang w:val="en-US"/>
        </w:rPr>
        <w:t xml:space="preserve"> for the three latent constructs of change management motivators range between (0.867 to 0.929). These results show that the suggested constructs exhibit good psychometric properties.</w:t>
      </w:r>
    </w:p>
    <w:p w14:paraId="64416849" w14:textId="77777777" w:rsidR="008D3598" w:rsidRPr="00511330" w:rsidRDefault="008D3598" w:rsidP="00721566">
      <w:pPr>
        <w:autoSpaceDE w:val="0"/>
        <w:autoSpaceDN w:val="0"/>
        <w:adjustRightInd w:val="0"/>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Convergent validity: Convergent validity can be evaluated using the Bentler– Bonett’s Normed Fit Index (NFI). This index provides the degree to which the different approaches to measuring a construct generate the same results (Ahire et al., 1996). According to a generally accepted principle, the NFI values of 0.90 or above are considered as a satisfactory fit index (Bentler, 1992). As shown in Table 4.19, the items in each construct converge well for further analysis.</w:t>
      </w:r>
    </w:p>
    <w:p w14:paraId="6441684B" w14:textId="5F5C5403" w:rsidR="008D3598" w:rsidRPr="00511330" w:rsidRDefault="008D3598" w:rsidP="00311B4C">
      <w:pPr>
        <w:pStyle w:val="Caption"/>
        <w:keepNext/>
        <w:spacing w:after="0"/>
        <w:ind w:right="-450"/>
        <w:rPr>
          <w:rFonts w:asciiTheme="majorBidi" w:hAnsiTheme="majorBidi" w:cstheme="majorBidi"/>
          <w:b w:val="0"/>
          <w:bCs w:val="0"/>
          <w:color w:val="auto"/>
          <w:sz w:val="20"/>
          <w:szCs w:val="20"/>
          <w:lang w:val="en-US"/>
        </w:rPr>
      </w:pPr>
      <w:bookmarkStart w:id="835" w:name="_Toc43310909"/>
      <w:r w:rsidRPr="00511330">
        <w:rPr>
          <w:rFonts w:asciiTheme="majorBidi" w:hAnsiTheme="majorBidi" w:cstheme="majorBidi"/>
          <w:b w:val="0"/>
          <w:bCs w:val="0"/>
          <w:color w:val="auto"/>
          <w:sz w:val="20"/>
          <w:szCs w:val="20"/>
          <w:lang w:val="en-US"/>
        </w:rPr>
        <w:lastRenderedPageBreak/>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19</w:t>
      </w:r>
      <w:r w:rsidRPr="00511330">
        <w:rPr>
          <w:rFonts w:asciiTheme="majorBidi" w:hAnsiTheme="majorBidi" w:cstheme="majorBidi"/>
          <w:b w:val="0"/>
          <w:bCs w:val="0"/>
          <w:color w:val="auto"/>
          <w:sz w:val="20"/>
          <w:szCs w:val="20"/>
          <w:lang w:val="en-US"/>
        </w:rPr>
        <w:fldChar w:fldCharType="end"/>
      </w:r>
      <w:r w:rsidR="00AF5C7A" w:rsidRPr="00511330">
        <w:rPr>
          <w:rFonts w:asciiTheme="majorBidi" w:hAnsiTheme="majorBidi" w:cstheme="majorBidi"/>
          <w:b w:val="0"/>
          <w:bCs w:val="0"/>
          <w:noProof/>
          <w:color w:val="auto"/>
          <w:sz w:val="20"/>
          <w:szCs w:val="20"/>
          <w:lang w:val="en-US"/>
        </w:rPr>
        <w:t>:</w:t>
      </w:r>
      <w:r w:rsidRPr="00511330">
        <w:rPr>
          <w:rFonts w:asciiTheme="majorBidi" w:hAnsiTheme="majorBidi" w:cstheme="majorBidi"/>
          <w:b w:val="0"/>
          <w:bCs w:val="0"/>
          <w:noProof/>
          <w:color w:val="auto"/>
          <w:sz w:val="20"/>
          <w:szCs w:val="20"/>
          <w:lang w:val="en-US"/>
        </w:rPr>
        <w:t xml:space="preserve"> </w:t>
      </w:r>
      <w:r w:rsidRPr="00511330">
        <w:rPr>
          <w:rFonts w:asciiTheme="majorBidi" w:hAnsiTheme="majorBidi" w:cstheme="majorBidi"/>
          <w:b w:val="0"/>
          <w:bCs w:val="0"/>
          <w:i/>
          <w:iCs/>
          <w:noProof/>
          <w:color w:val="auto"/>
          <w:sz w:val="20"/>
          <w:szCs w:val="20"/>
          <w:lang w:val="en-US"/>
        </w:rPr>
        <w:t>Convergent Validity Analysis Results for CM Motives</w:t>
      </w:r>
      <w:bookmarkEnd w:id="835"/>
    </w:p>
    <w:tbl>
      <w:tblPr>
        <w:tblStyle w:val="TableGrid1"/>
        <w:tblW w:w="78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70"/>
        <w:gridCol w:w="2160"/>
        <w:gridCol w:w="2700"/>
      </w:tblGrid>
      <w:tr w:rsidR="008D3598" w:rsidRPr="00511330" w14:paraId="64416851" w14:textId="77777777" w:rsidTr="00311B4C">
        <w:tc>
          <w:tcPr>
            <w:tcW w:w="2970" w:type="dxa"/>
            <w:shd w:val="clear" w:color="auto" w:fill="F2F2F2" w:themeFill="background1" w:themeFillShade="F2"/>
            <w:vAlign w:val="center"/>
          </w:tcPr>
          <w:p w14:paraId="6441684D" w14:textId="73096E53" w:rsidR="008D3598" w:rsidRPr="00511330" w:rsidRDefault="008D3598" w:rsidP="00311B4C">
            <w:pPr>
              <w:autoSpaceDE w:val="0"/>
              <w:autoSpaceDN w:val="0"/>
              <w:adjustRightInd w:val="0"/>
              <w:ind w:right="-450"/>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Factors/constructs</w:t>
            </w:r>
          </w:p>
        </w:tc>
        <w:tc>
          <w:tcPr>
            <w:tcW w:w="2160" w:type="dxa"/>
            <w:shd w:val="clear" w:color="auto" w:fill="F2F2F2" w:themeFill="background1" w:themeFillShade="F2"/>
            <w:vAlign w:val="center"/>
          </w:tcPr>
          <w:p w14:paraId="6441684E" w14:textId="77777777" w:rsidR="008D3598" w:rsidRPr="00511330" w:rsidRDefault="008D3598" w:rsidP="00FF70CE">
            <w:pPr>
              <w:autoSpaceDE w:val="0"/>
              <w:autoSpaceDN w:val="0"/>
              <w:adjustRightInd w:val="0"/>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Convergent validity</w:t>
            </w:r>
          </w:p>
          <w:p w14:paraId="6441684F" w14:textId="77777777" w:rsidR="008D3598" w:rsidRPr="00511330" w:rsidRDefault="008D3598" w:rsidP="00FF70CE">
            <w:pPr>
              <w:autoSpaceDE w:val="0"/>
              <w:autoSpaceDN w:val="0"/>
              <w:adjustRightInd w:val="0"/>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Bentler–Bonett NFI</w:t>
            </w:r>
          </w:p>
        </w:tc>
        <w:tc>
          <w:tcPr>
            <w:tcW w:w="2700" w:type="dxa"/>
            <w:shd w:val="clear" w:color="auto" w:fill="F2F2F2" w:themeFill="background1" w:themeFillShade="F2"/>
            <w:vAlign w:val="center"/>
          </w:tcPr>
          <w:p w14:paraId="64416850" w14:textId="77777777" w:rsidR="008D3598" w:rsidRPr="00511330" w:rsidRDefault="008D3598" w:rsidP="00FF70CE">
            <w:pPr>
              <w:autoSpaceDE w:val="0"/>
              <w:autoSpaceDN w:val="0"/>
              <w:adjustRightInd w:val="0"/>
              <w:ind w:right="-8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Discriminant validity Factor Cronbach’s α –Average correlation between factors</w:t>
            </w:r>
          </w:p>
        </w:tc>
      </w:tr>
      <w:tr w:rsidR="008D3598" w:rsidRPr="00511330" w14:paraId="64416855" w14:textId="77777777" w:rsidTr="00311B4C">
        <w:tc>
          <w:tcPr>
            <w:tcW w:w="2970" w:type="dxa"/>
          </w:tcPr>
          <w:p w14:paraId="64416852" w14:textId="77777777" w:rsidR="008D3598" w:rsidRPr="00511330" w:rsidRDefault="008D3598" w:rsidP="000E2E80">
            <w:pPr>
              <w:autoSpaceDE w:val="0"/>
              <w:autoSpaceDN w:val="0"/>
              <w:adjustRightInd w:val="0"/>
              <w:ind w:right="93"/>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Affiliate viability, Feasibility and satisfactory</w:t>
            </w:r>
          </w:p>
        </w:tc>
        <w:tc>
          <w:tcPr>
            <w:tcW w:w="2160" w:type="dxa"/>
            <w:vAlign w:val="center"/>
          </w:tcPr>
          <w:p w14:paraId="64416853" w14:textId="77777777" w:rsidR="008D3598" w:rsidRPr="00511330" w:rsidRDefault="008D3598" w:rsidP="00FF70CE">
            <w:pPr>
              <w:autoSpaceDE w:val="0"/>
              <w:autoSpaceDN w:val="0"/>
              <w:adjustRightInd w:val="0"/>
              <w:ind w:right="-8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0.904</w:t>
            </w:r>
          </w:p>
        </w:tc>
        <w:tc>
          <w:tcPr>
            <w:tcW w:w="2700" w:type="dxa"/>
            <w:vAlign w:val="center"/>
          </w:tcPr>
          <w:p w14:paraId="64416854" w14:textId="77777777" w:rsidR="008D3598" w:rsidRPr="00511330" w:rsidRDefault="008D3598" w:rsidP="00FF70CE">
            <w:pPr>
              <w:autoSpaceDE w:val="0"/>
              <w:autoSpaceDN w:val="0"/>
              <w:adjustRightInd w:val="0"/>
              <w:ind w:right="-8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0.529558</w:t>
            </w:r>
          </w:p>
        </w:tc>
      </w:tr>
      <w:tr w:rsidR="008D3598" w:rsidRPr="00511330" w14:paraId="64416859" w14:textId="77777777" w:rsidTr="00311B4C">
        <w:tc>
          <w:tcPr>
            <w:tcW w:w="2970" w:type="dxa"/>
          </w:tcPr>
          <w:p w14:paraId="64416856" w14:textId="77777777" w:rsidR="008D3598" w:rsidRPr="00511330" w:rsidRDefault="008D3598" w:rsidP="000E2E80">
            <w:pPr>
              <w:autoSpaceDE w:val="0"/>
              <w:autoSpaceDN w:val="0"/>
              <w:adjustRightInd w:val="0"/>
              <w:ind w:right="93"/>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Trust and evolving with future visions</w:t>
            </w:r>
          </w:p>
        </w:tc>
        <w:tc>
          <w:tcPr>
            <w:tcW w:w="2160" w:type="dxa"/>
            <w:vAlign w:val="center"/>
          </w:tcPr>
          <w:p w14:paraId="64416857" w14:textId="77777777" w:rsidR="008D3598" w:rsidRPr="00511330" w:rsidRDefault="008D3598" w:rsidP="00FF70CE">
            <w:pPr>
              <w:autoSpaceDE w:val="0"/>
              <w:autoSpaceDN w:val="0"/>
              <w:adjustRightInd w:val="0"/>
              <w:ind w:right="-8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0.905</w:t>
            </w:r>
          </w:p>
        </w:tc>
        <w:tc>
          <w:tcPr>
            <w:tcW w:w="2700" w:type="dxa"/>
            <w:vAlign w:val="center"/>
          </w:tcPr>
          <w:p w14:paraId="64416858" w14:textId="77777777" w:rsidR="008D3598" w:rsidRPr="00511330" w:rsidRDefault="008D3598" w:rsidP="00FF70CE">
            <w:pPr>
              <w:autoSpaceDE w:val="0"/>
              <w:autoSpaceDN w:val="0"/>
              <w:adjustRightInd w:val="0"/>
              <w:ind w:right="-8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0.58395</w:t>
            </w:r>
          </w:p>
        </w:tc>
      </w:tr>
      <w:tr w:rsidR="008D3598" w:rsidRPr="00511330" w14:paraId="6441685D" w14:textId="77777777" w:rsidTr="00311B4C">
        <w:tc>
          <w:tcPr>
            <w:tcW w:w="2970" w:type="dxa"/>
          </w:tcPr>
          <w:p w14:paraId="6441685A" w14:textId="77777777" w:rsidR="008D3598" w:rsidRPr="00511330" w:rsidRDefault="008D3598" w:rsidP="000E2E80">
            <w:pPr>
              <w:autoSpaceDE w:val="0"/>
              <w:autoSpaceDN w:val="0"/>
              <w:adjustRightInd w:val="0"/>
              <w:ind w:right="93"/>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Aligning perpetual change and Sustainability</w:t>
            </w:r>
          </w:p>
        </w:tc>
        <w:tc>
          <w:tcPr>
            <w:tcW w:w="2160" w:type="dxa"/>
            <w:vAlign w:val="center"/>
          </w:tcPr>
          <w:p w14:paraId="6441685B" w14:textId="77777777" w:rsidR="008D3598" w:rsidRPr="00511330" w:rsidRDefault="008D3598" w:rsidP="00FF70CE">
            <w:pPr>
              <w:autoSpaceDE w:val="0"/>
              <w:autoSpaceDN w:val="0"/>
              <w:adjustRightInd w:val="0"/>
              <w:ind w:right="-8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0.951</w:t>
            </w:r>
          </w:p>
        </w:tc>
        <w:tc>
          <w:tcPr>
            <w:tcW w:w="2700" w:type="dxa"/>
            <w:vAlign w:val="center"/>
          </w:tcPr>
          <w:p w14:paraId="6441685C" w14:textId="77777777" w:rsidR="008D3598" w:rsidRPr="00511330" w:rsidRDefault="008D3598" w:rsidP="00FF70CE">
            <w:pPr>
              <w:autoSpaceDE w:val="0"/>
              <w:autoSpaceDN w:val="0"/>
              <w:adjustRightInd w:val="0"/>
              <w:ind w:right="-87"/>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sz w:val="20"/>
                <w:szCs w:val="20"/>
                <w:lang w:val="en-US"/>
              </w:rPr>
              <w:t>0.577406</w:t>
            </w:r>
          </w:p>
        </w:tc>
      </w:tr>
    </w:tbl>
    <w:p w14:paraId="6441685F" w14:textId="2594DDAF" w:rsidR="008D3598" w:rsidRPr="00511330" w:rsidRDefault="008D3598" w:rsidP="00E23F07">
      <w:pPr>
        <w:autoSpaceDE w:val="0"/>
        <w:autoSpaceDN w:val="0"/>
        <w:adjustRightInd w:val="0"/>
        <w:spacing w:before="240"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b/>
          <w:bCs/>
          <w:sz w:val="24"/>
          <w:szCs w:val="24"/>
          <w:lang w:val="en-US"/>
        </w:rPr>
        <w:t xml:space="preserve">Discriminant validity: </w:t>
      </w:r>
      <w:r w:rsidRPr="00511330">
        <w:rPr>
          <w:rFonts w:asciiTheme="majorBidi" w:eastAsia="Calibri" w:hAnsiTheme="majorBidi" w:cstheme="majorBidi"/>
          <w:sz w:val="24"/>
          <w:szCs w:val="24"/>
          <w:lang w:val="en-US"/>
        </w:rPr>
        <w:t xml:space="preserve">Discriminant validity refers to the degree to which different latent constructs and their indicators can be distinguished from the other constructs and their indicators (Bagozzi et al., 1991). In order to calculate the discriminant validity, we compare Cronbach’s </w:t>
      </w:r>
      <w:r w:rsidR="00FF70CE" w:rsidRPr="00511330">
        <w:rPr>
          <w:rFonts w:asciiTheme="majorBidi" w:eastAsia="Calibri" w:hAnsiTheme="majorBidi" w:cstheme="majorBidi"/>
          <w:sz w:val="24"/>
          <w:szCs w:val="24"/>
          <w:lang w:val="en-US"/>
        </w:rPr>
        <w:t>α</w:t>
      </w:r>
      <w:r w:rsidRPr="00511330">
        <w:rPr>
          <w:rFonts w:asciiTheme="majorBidi" w:eastAsia="Calibri" w:hAnsiTheme="majorBidi" w:cstheme="majorBidi"/>
          <w:sz w:val="24"/>
          <w:szCs w:val="24"/>
          <w:lang w:val="en-US"/>
        </w:rPr>
        <w:t xml:space="preserve"> of a latent construct to its mean correlations with other latent constructs. A </w:t>
      </w:r>
      <w:r w:rsidRPr="00511330">
        <w:rPr>
          <w:rFonts w:asciiTheme="majorBidi" w:eastAsia="Calibri" w:hAnsiTheme="majorBidi" w:cstheme="majorBidi"/>
          <w:noProof/>
          <w:sz w:val="24"/>
          <w:szCs w:val="24"/>
          <w:lang w:val="en-US"/>
        </w:rPr>
        <w:t>significance</w:t>
      </w:r>
      <w:r w:rsidRPr="00511330">
        <w:rPr>
          <w:rFonts w:asciiTheme="majorBidi" w:eastAsia="Calibri" w:hAnsiTheme="majorBidi" w:cstheme="majorBidi"/>
          <w:sz w:val="24"/>
          <w:szCs w:val="24"/>
          <w:lang w:val="en-US"/>
        </w:rPr>
        <w:t xml:space="preserve"> difference between these two measures is an indicator of discriminant validity (Ghiselli et al., 1981). As shown by the values </w:t>
      </w:r>
      <w:r w:rsidRPr="00511330">
        <w:rPr>
          <w:rFonts w:asciiTheme="majorBidi" w:eastAsia="Calibri" w:hAnsiTheme="majorBidi" w:cstheme="majorBidi"/>
          <w:noProof/>
          <w:sz w:val="24"/>
          <w:szCs w:val="24"/>
          <w:lang w:val="en-US"/>
        </w:rPr>
        <w:t>in</w:t>
      </w:r>
      <w:r w:rsidRPr="00511330">
        <w:rPr>
          <w:rFonts w:asciiTheme="majorBidi" w:eastAsia="Calibri" w:hAnsiTheme="majorBidi" w:cstheme="majorBidi"/>
          <w:sz w:val="24"/>
          <w:szCs w:val="24"/>
          <w:lang w:val="en-US"/>
        </w:rPr>
        <w:t xml:space="preserve"> Table 4.19, the three constructs are conceptually distinct.</w:t>
      </w:r>
      <w:bookmarkStart w:id="836" w:name="_Toc32090403"/>
      <w:bookmarkStart w:id="837" w:name="_Toc32090733"/>
      <w:bookmarkStart w:id="838" w:name="_Toc32091649"/>
      <w:bookmarkStart w:id="839" w:name="_Toc32090404"/>
      <w:bookmarkStart w:id="840" w:name="_Toc32090734"/>
      <w:bookmarkStart w:id="841" w:name="_Toc32091650"/>
      <w:bookmarkStart w:id="842" w:name="_Toc32090405"/>
      <w:bookmarkStart w:id="843" w:name="_Toc32090735"/>
      <w:bookmarkStart w:id="844" w:name="_Toc32091651"/>
      <w:bookmarkStart w:id="845" w:name="_Toc32090406"/>
      <w:bookmarkStart w:id="846" w:name="_Toc32090736"/>
      <w:bookmarkStart w:id="847" w:name="_Toc32091652"/>
      <w:bookmarkStart w:id="848" w:name="_Toc32090407"/>
      <w:bookmarkStart w:id="849" w:name="_Toc32090737"/>
      <w:bookmarkStart w:id="850" w:name="_Toc32091653"/>
      <w:bookmarkStart w:id="851" w:name="_Toc32090408"/>
      <w:bookmarkStart w:id="852" w:name="_Toc32090738"/>
      <w:bookmarkStart w:id="853" w:name="_Toc32091654"/>
      <w:bookmarkStart w:id="854" w:name="_Toc32090409"/>
      <w:bookmarkStart w:id="855" w:name="_Toc32090739"/>
      <w:bookmarkStart w:id="856" w:name="_Toc32091655"/>
      <w:bookmarkStart w:id="857" w:name="_Toc32090410"/>
      <w:bookmarkStart w:id="858" w:name="_Toc32090740"/>
      <w:bookmarkStart w:id="859" w:name="_Toc32091656"/>
      <w:bookmarkStart w:id="860" w:name="_Toc32090411"/>
      <w:bookmarkStart w:id="861" w:name="_Toc32090741"/>
      <w:bookmarkStart w:id="862" w:name="_Toc32091657"/>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14:paraId="64416860" w14:textId="4793A7FE" w:rsidR="008D3598" w:rsidRPr="00511330" w:rsidRDefault="008D3598" w:rsidP="00721566">
      <w:pPr>
        <w:pStyle w:val="Heading3"/>
        <w:spacing w:after="240"/>
        <w:ind w:left="720" w:right="-450" w:hanging="720"/>
        <w:rPr>
          <w:rFonts w:eastAsia="Calibri"/>
          <w:szCs w:val="24"/>
          <w:lang w:val="en-US" w:bidi="ar-AE"/>
        </w:rPr>
      </w:pPr>
      <w:bookmarkStart w:id="863" w:name="_Toc43311641"/>
      <w:r w:rsidRPr="00511330">
        <w:rPr>
          <w:rFonts w:eastAsia="Calibri"/>
          <w:szCs w:val="24"/>
          <w:lang w:val="en-US" w:bidi="ar-AE"/>
        </w:rPr>
        <w:t xml:space="preserve">4.3.3. </w:t>
      </w:r>
      <w:r w:rsidR="00EC3822" w:rsidRPr="00511330">
        <w:rPr>
          <w:rFonts w:eastAsia="Calibri"/>
          <w:szCs w:val="24"/>
          <w:lang w:val="en-US" w:bidi="ar-AE"/>
        </w:rPr>
        <w:tab/>
      </w:r>
      <w:r w:rsidRPr="00511330">
        <w:rPr>
          <w:rFonts w:eastAsia="Calibri"/>
          <w:szCs w:val="24"/>
          <w:lang w:val="en-US" w:bidi="ar-AE"/>
        </w:rPr>
        <w:t>Confirmatory factor analysis (CFA)</w:t>
      </w:r>
      <w:bookmarkEnd w:id="863"/>
    </w:p>
    <w:p w14:paraId="64416861" w14:textId="19232BE1" w:rsidR="008D3598" w:rsidRPr="00511330" w:rsidRDefault="008D3598" w:rsidP="00721566">
      <w:pPr>
        <w:autoSpaceDE w:val="0"/>
        <w:autoSpaceDN w:val="0"/>
        <w:adjustRightInd w:val="0"/>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The exploratory factors analysis in this </w:t>
      </w:r>
      <w:r w:rsidR="00BC0A03" w:rsidRPr="00511330">
        <w:rPr>
          <w:rFonts w:asciiTheme="majorBidi" w:eastAsia="Calibri" w:hAnsiTheme="majorBidi" w:cstheme="majorBidi"/>
          <w:sz w:val="24"/>
          <w:szCs w:val="24"/>
          <w:lang w:val="en-US"/>
        </w:rPr>
        <w:t>study</w:t>
      </w:r>
      <w:r w:rsidRPr="00511330">
        <w:rPr>
          <w:rFonts w:asciiTheme="majorBidi" w:eastAsia="Calibri" w:hAnsiTheme="majorBidi" w:cstheme="majorBidi"/>
          <w:sz w:val="24"/>
          <w:szCs w:val="24"/>
          <w:lang w:val="en-US"/>
        </w:rPr>
        <w:t xml:space="preserve"> has identified Affiliate viability, Feasibility and satisfactory, Trust and evolving with future visions, and aligning perpetual change and Sustainability as a priori factors for the motivators of successful change management implementation in energy sector industry. In the first-order model, identified Affiliate viability, Feasibility and satisfactory, Trust and evolving with future visions, and aligning perpetual change and Sustainability, are correlated measurement factors for motivators to successful change management practice implementation.  Alternatively, motivators to successful change management practice implementation may be operationalized as a second-order model, where the three factors are governed by a </w:t>
      </w:r>
      <w:r w:rsidRPr="00511330">
        <w:rPr>
          <w:rFonts w:asciiTheme="majorBidi" w:eastAsia="Calibri" w:hAnsiTheme="majorBidi" w:cstheme="majorBidi"/>
          <w:noProof/>
          <w:sz w:val="24"/>
          <w:szCs w:val="24"/>
          <w:lang w:val="en-US"/>
        </w:rPr>
        <w:t>higher order</w:t>
      </w:r>
      <w:r w:rsidRPr="00511330">
        <w:rPr>
          <w:rFonts w:asciiTheme="majorBidi" w:eastAsia="Calibri" w:hAnsiTheme="majorBidi" w:cstheme="majorBidi"/>
          <w:sz w:val="24"/>
          <w:szCs w:val="24"/>
          <w:lang w:val="en-US"/>
        </w:rPr>
        <w:t xml:space="preserve"> factors, i.e. change management motivators. </w:t>
      </w:r>
      <w:bookmarkStart w:id="864" w:name="_Toc32090413"/>
      <w:bookmarkStart w:id="865" w:name="_Toc32090743"/>
      <w:bookmarkStart w:id="866" w:name="_Toc32091659"/>
      <w:bookmarkStart w:id="867" w:name="_Toc32090414"/>
      <w:bookmarkStart w:id="868" w:name="_Toc32090744"/>
      <w:bookmarkStart w:id="869" w:name="_Toc32091660"/>
      <w:bookmarkStart w:id="870" w:name="_Toc32090415"/>
      <w:bookmarkStart w:id="871" w:name="_Toc32090745"/>
      <w:bookmarkStart w:id="872" w:name="_Toc32091661"/>
      <w:bookmarkStart w:id="873" w:name="_Toc32090416"/>
      <w:bookmarkStart w:id="874" w:name="_Toc32090746"/>
      <w:bookmarkStart w:id="875" w:name="_Toc32091662"/>
      <w:bookmarkStart w:id="876" w:name="_Toc32090417"/>
      <w:bookmarkStart w:id="877" w:name="_Toc32090747"/>
      <w:bookmarkStart w:id="878" w:name="_Toc32091663"/>
      <w:bookmarkStart w:id="879" w:name="_Toc32090418"/>
      <w:bookmarkStart w:id="880" w:name="_Toc32090748"/>
      <w:bookmarkStart w:id="881" w:name="_Toc32091664"/>
      <w:bookmarkStart w:id="882" w:name="_Toc32090419"/>
      <w:bookmarkStart w:id="883" w:name="_Toc32090749"/>
      <w:bookmarkStart w:id="884" w:name="_Toc32091665"/>
      <w:bookmarkStart w:id="885" w:name="_Toc32090420"/>
      <w:bookmarkStart w:id="886" w:name="_Toc32090750"/>
      <w:bookmarkStart w:id="887" w:name="_Toc32091666"/>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14:paraId="64416862" w14:textId="06A08695" w:rsidR="008D3598" w:rsidRPr="00511330" w:rsidRDefault="008D3598" w:rsidP="008F2D48">
      <w:pPr>
        <w:pStyle w:val="Heading3"/>
        <w:spacing w:after="100" w:afterAutospacing="1"/>
      </w:pPr>
      <w:bookmarkStart w:id="888" w:name="_Toc32090421"/>
      <w:bookmarkStart w:id="889" w:name="_Toc32090751"/>
      <w:bookmarkStart w:id="890" w:name="_Toc32091667"/>
      <w:bookmarkStart w:id="891" w:name="_Toc32090422"/>
      <w:bookmarkStart w:id="892" w:name="_Toc32090752"/>
      <w:bookmarkStart w:id="893" w:name="_Toc32091668"/>
      <w:bookmarkStart w:id="894" w:name="_Toc43311642"/>
      <w:bookmarkEnd w:id="888"/>
      <w:bookmarkEnd w:id="889"/>
      <w:bookmarkEnd w:id="890"/>
      <w:bookmarkEnd w:id="891"/>
      <w:bookmarkEnd w:id="892"/>
      <w:bookmarkEnd w:id="893"/>
      <w:r w:rsidRPr="00511330">
        <w:lastRenderedPageBreak/>
        <w:t xml:space="preserve">4.3.4. </w:t>
      </w:r>
      <w:r w:rsidR="00EC3822" w:rsidRPr="00511330">
        <w:tab/>
      </w:r>
      <w:r w:rsidRPr="00511330">
        <w:t>Measurement Model for Motivators (First-Order CFA Model)</w:t>
      </w:r>
      <w:bookmarkEnd w:id="894"/>
    </w:p>
    <w:p w14:paraId="466F503A" w14:textId="77777777" w:rsidR="00590C9D" w:rsidRPr="00511330" w:rsidRDefault="00590C9D" w:rsidP="008F2D48">
      <w:pPr>
        <w:keepNext/>
        <w:keepLines/>
        <w:tabs>
          <w:tab w:val="left" w:pos="900"/>
        </w:tabs>
        <w:spacing w:before="200" w:after="100" w:afterAutospacing="1" w:line="360" w:lineRule="auto"/>
        <w:ind w:left="720" w:right="-450" w:hanging="720"/>
        <w:outlineLvl w:val="2"/>
        <w:rPr>
          <w:rFonts w:asciiTheme="majorBidi" w:eastAsia="Calibri" w:hAnsiTheme="majorBidi" w:cstheme="majorBidi"/>
          <w:b/>
          <w:bCs/>
          <w:vanish/>
          <w:sz w:val="24"/>
          <w:lang w:val="en-US"/>
        </w:rPr>
      </w:pPr>
    </w:p>
    <w:p w14:paraId="64416863" w14:textId="2A63730C" w:rsidR="008D3598" w:rsidRPr="00511330" w:rsidRDefault="008D3598" w:rsidP="009E623D">
      <w:pPr>
        <w:autoSpaceDE w:val="0"/>
        <w:autoSpaceDN w:val="0"/>
        <w:adjustRightInd w:val="0"/>
        <w:spacing w:after="100" w:afterAutospacing="1"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The first-order model for testing the motivators of change management Figure 4.2 implies that Affiliate viability; Feasibility and satisfactory, Trust and evolving with future visions, and aligning perpetual change and Sustainability are correlated but not governed by a common latent factor. Although x 2 is significant (p = 0.000), other fit indices shown in Figure 4.2 acceptably support the first-order model for motivators to successful change management implementation in an energy sector industry in </w:t>
      </w:r>
      <w:r w:rsidR="009E623D" w:rsidRPr="00511330">
        <w:rPr>
          <w:rFonts w:asciiTheme="majorBidi" w:eastAsia="Calibri" w:hAnsiTheme="majorBidi" w:cstheme="majorBidi"/>
          <w:sz w:val="24"/>
          <w:szCs w:val="24"/>
          <w:lang w:val="en-US"/>
        </w:rPr>
        <w:t xml:space="preserve">the </w:t>
      </w:r>
      <w:r w:rsidRPr="00511330">
        <w:rPr>
          <w:rFonts w:asciiTheme="majorBidi" w:eastAsia="Calibri" w:hAnsiTheme="majorBidi" w:cstheme="majorBidi"/>
          <w:sz w:val="24"/>
          <w:szCs w:val="24"/>
          <w:lang w:val="en-US"/>
        </w:rPr>
        <w:t xml:space="preserve">UAE. As can be seen from the values in Table 4.20, the model shows </w:t>
      </w:r>
      <w:r w:rsidR="00BF3E70" w:rsidRPr="00511330">
        <w:rPr>
          <w:rFonts w:asciiTheme="majorBidi" w:eastAsia="Calibri" w:hAnsiTheme="majorBidi" w:cstheme="majorBidi"/>
          <w:sz w:val="24"/>
          <w:szCs w:val="24"/>
          <w:lang w:val="en-US"/>
        </w:rPr>
        <w:t>goodness-of-fit indices.</w:t>
      </w:r>
      <w:r w:rsidRPr="00511330">
        <w:rPr>
          <w:rFonts w:asciiTheme="majorBidi" w:eastAsia="Calibri" w:hAnsiTheme="majorBidi" w:cstheme="majorBidi"/>
          <w:sz w:val="24"/>
          <w:szCs w:val="24"/>
          <w:lang w:val="en-US"/>
        </w:rPr>
        <w:t xml:space="preserve"> </w:t>
      </w:r>
    </w:p>
    <w:p w14:paraId="64416864" w14:textId="288B869D" w:rsidR="008D3598" w:rsidRPr="00511330" w:rsidRDefault="008D3598" w:rsidP="00E23F07">
      <w:pPr>
        <w:pStyle w:val="Caption"/>
        <w:keepNext/>
        <w:spacing w:after="0"/>
        <w:ind w:right="-450"/>
        <w:rPr>
          <w:rFonts w:asciiTheme="majorBidi" w:hAnsiTheme="majorBidi" w:cstheme="majorBidi"/>
          <w:b w:val="0"/>
          <w:bCs w:val="0"/>
          <w:color w:val="auto"/>
          <w:sz w:val="20"/>
          <w:szCs w:val="20"/>
          <w:lang w:val="en-US"/>
        </w:rPr>
      </w:pPr>
      <w:bookmarkStart w:id="895" w:name="_Toc43310910"/>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20</w:t>
      </w:r>
      <w:r w:rsidRPr="00511330">
        <w:rPr>
          <w:rFonts w:asciiTheme="majorBidi" w:hAnsiTheme="majorBidi" w:cstheme="majorBidi"/>
          <w:b w:val="0"/>
          <w:bCs w:val="0"/>
          <w:color w:val="auto"/>
          <w:sz w:val="20"/>
          <w:szCs w:val="20"/>
          <w:lang w:val="en-US"/>
        </w:rPr>
        <w:fldChar w:fldCharType="end"/>
      </w:r>
      <w:r w:rsidR="00E23F07"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Goodness-of-Fit Indices the 1st-Order Model on Motives</w:t>
      </w:r>
      <w:bookmarkEnd w:id="895"/>
    </w:p>
    <w:tbl>
      <w:tblPr>
        <w:tblStyle w:val="TableGrid1"/>
        <w:tblW w:w="7920" w:type="dxa"/>
        <w:tblInd w:w="-5" w:type="dxa"/>
        <w:tblLook w:val="04A0" w:firstRow="1" w:lastRow="0" w:firstColumn="1" w:lastColumn="0" w:noHBand="0" w:noVBand="1"/>
      </w:tblPr>
      <w:tblGrid>
        <w:gridCol w:w="1275"/>
        <w:gridCol w:w="1845"/>
        <w:gridCol w:w="4800"/>
      </w:tblGrid>
      <w:tr w:rsidR="008D3598" w:rsidRPr="00511330" w14:paraId="64416868" w14:textId="77777777" w:rsidTr="000106F4">
        <w:trPr>
          <w:trHeight w:val="332"/>
        </w:trPr>
        <w:tc>
          <w:tcPr>
            <w:tcW w:w="1275" w:type="dxa"/>
            <w:shd w:val="clear" w:color="auto" w:fill="F2F2F2" w:themeFill="background1" w:themeFillShade="F2"/>
          </w:tcPr>
          <w:p w14:paraId="64416865" w14:textId="77777777" w:rsidR="008D3598" w:rsidRPr="00511330" w:rsidRDefault="008D3598" w:rsidP="00721566">
            <w:pPr>
              <w:ind w:right="-450"/>
              <w:jc w:val="both"/>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Model</w:t>
            </w:r>
          </w:p>
        </w:tc>
        <w:tc>
          <w:tcPr>
            <w:tcW w:w="1845" w:type="dxa"/>
            <w:shd w:val="clear" w:color="auto" w:fill="F2F2F2" w:themeFill="background1" w:themeFillShade="F2"/>
          </w:tcPr>
          <w:p w14:paraId="64416866" w14:textId="77777777" w:rsidR="008D3598" w:rsidRPr="00511330" w:rsidRDefault="008D3598" w:rsidP="00721566">
            <w:pPr>
              <w:ind w:right="-450"/>
              <w:jc w:val="both"/>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Obtained Value</w:t>
            </w:r>
          </w:p>
        </w:tc>
        <w:tc>
          <w:tcPr>
            <w:tcW w:w="4800" w:type="dxa"/>
            <w:shd w:val="clear" w:color="auto" w:fill="F2F2F2" w:themeFill="background1" w:themeFillShade="F2"/>
          </w:tcPr>
          <w:p w14:paraId="64416867" w14:textId="77777777" w:rsidR="008D3598" w:rsidRPr="00511330" w:rsidRDefault="008D3598" w:rsidP="00721566">
            <w:pPr>
              <w:ind w:right="-450"/>
              <w:jc w:val="both"/>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Recommended Values</w:t>
            </w:r>
          </w:p>
        </w:tc>
      </w:tr>
      <w:tr w:rsidR="008D3598" w:rsidRPr="00511330" w14:paraId="6441686C" w14:textId="77777777" w:rsidTr="000106F4">
        <w:trPr>
          <w:trHeight w:val="368"/>
        </w:trPr>
        <w:tc>
          <w:tcPr>
            <w:tcW w:w="1275" w:type="dxa"/>
            <w:vAlign w:val="center"/>
          </w:tcPr>
          <w:p w14:paraId="64416869" w14:textId="77777777" w:rsidR="008D3598" w:rsidRPr="00511330" w:rsidRDefault="008D3598" w:rsidP="000106F4">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χ2/df</w:t>
            </w:r>
          </w:p>
        </w:tc>
        <w:tc>
          <w:tcPr>
            <w:tcW w:w="1845" w:type="dxa"/>
            <w:vAlign w:val="center"/>
          </w:tcPr>
          <w:p w14:paraId="6441686A" w14:textId="77777777" w:rsidR="008D3598" w:rsidRPr="00511330" w:rsidRDefault="008D3598" w:rsidP="000106F4">
            <w:pPr>
              <w:ind w:right="-135"/>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2.910</w:t>
            </w:r>
          </w:p>
        </w:tc>
        <w:tc>
          <w:tcPr>
            <w:tcW w:w="4800" w:type="dxa"/>
            <w:vAlign w:val="center"/>
          </w:tcPr>
          <w:p w14:paraId="6441686B" w14:textId="77777777" w:rsidR="008D3598" w:rsidRPr="00511330" w:rsidRDefault="008D3598" w:rsidP="000106F4">
            <w:pPr>
              <w:ind w:right="-104"/>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&lt; 3 (Kline, 2011)</w:t>
            </w:r>
          </w:p>
        </w:tc>
      </w:tr>
      <w:tr w:rsidR="008D3598" w:rsidRPr="00511330" w14:paraId="64416870" w14:textId="77777777" w:rsidTr="000106F4">
        <w:trPr>
          <w:trHeight w:val="224"/>
        </w:trPr>
        <w:tc>
          <w:tcPr>
            <w:tcW w:w="1275" w:type="dxa"/>
            <w:vAlign w:val="center"/>
          </w:tcPr>
          <w:p w14:paraId="6441686D" w14:textId="77777777" w:rsidR="008D3598" w:rsidRPr="00511330" w:rsidRDefault="008D3598" w:rsidP="000106F4">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GFI</w:t>
            </w:r>
          </w:p>
        </w:tc>
        <w:tc>
          <w:tcPr>
            <w:tcW w:w="1845" w:type="dxa"/>
            <w:vAlign w:val="center"/>
          </w:tcPr>
          <w:p w14:paraId="6441686E" w14:textId="77777777" w:rsidR="008D3598" w:rsidRPr="00511330" w:rsidRDefault="008D3598" w:rsidP="000106F4">
            <w:pPr>
              <w:ind w:right="-135"/>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.864</w:t>
            </w:r>
          </w:p>
        </w:tc>
        <w:tc>
          <w:tcPr>
            <w:tcW w:w="4800" w:type="dxa"/>
            <w:vAlign w:val="center"/>
          </w:tcPr>
          <w:p w14:paraId="6441686F" w14:textId="77777777" w:rsidR="008D3598" w:rsidRPr="00511330" w:rsidRDefault="008D3598" w:rsidP="000106F4">
            <w:pPr>
              <w:ind w:right="-104"/>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0.90–1.0 (Hoyle, 2000; Kline, 2005)</w:t>
            </w:r>
          </w:p>
        </w:tc>
      </w:tr>
      <w:tr w:rsidR="008D3598" w:rsidRPr="00511330" w14:paraId="64416874" w14:textId="77777777" w:rsidTr="000106F4">
        <w:trPr>
          <w:trHeight w:val="341"/>
        </w:trPr>
        <w:tc>
          <w:tcPr>
            <w:tcW w:w="1275" w:type="dxa"/>
            <w:vAlign w:val="center"/>
          </w:tcPr>
          <w:p w14:paraId="64416871" w14:textId="77777777" w:rsidR="008D3598" w:rsidRPr="00511330" w:rsidRDefault="008D3598" w:rsidP="000106F4">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RMSEA</w:t>
            </w:r>
          </w:p>
        </w:tc>
        <w:tc>
          <w:tcPr>
            <w:tcW w:w="1845" w:type="dxa"/>
            <w:vAlign w:val="center"/>
          </w:tcPr>
          <w:p w14:paraId="64416872" w14:textId="77777777" w:rsidR="008D3598" w:rsidRPr="00511330" w:rsidRDefault="008D3598" w:rsidP="000106F4">
            <w:pPr>
              <w:ind w:right="-135"/>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0.74</w:t>
            </w:r>
          </w:p>
        </w:tc>
        <w:tc>
          <w:tcPr>
            <w:tcW w:w="4800" w:type="dxa"/>
            <w:vAlign w:val="center"/>
          </w:tcPr>
          <w:p w14:paraId="64416873" w14:textId="6A7DF2AA" w:rsidR="008D3598" w:rsidRPr="00511330" w:rsidRDefault="008D3598" w:rsidP="000106F4">
            <w:pPr>
              <w:ind w:right="-104"/>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 xml:space="preserve">&lt; 0.08 (Hu </w:t>
            </w:r>
            <w:r w:rsidR="00715A2C" w:rsidRPr="00511330">
              <w:rPr>
                <w:rFonts w:asciiTheme="majorBidi" w:eastAsia="Calibri" w:hAnsiTheme="majorBidi" w:cstheme="majorBidi"/>
                <w:sz w:val="20"/>
                <w:szCs w:val="20"/>
                <w:lang w:val="en-US" w:bidi="ar-AE"/>
              </w:rPr>
              <w:t>and</w:t>
            </w:r>
            <w:r w:rsidRPr="00511330">
              <w:rPr>
                <w:rFonts w:asciiTheme="majorBidi" w:eastAsia="Calibri" w:hAnsiTheme="majorBidi" w:cstheme="majorBidi"/>
                <w:sz w:val="20"/>
                <w:szCs w:val="20"/>
                <w:lang w:val="en-US" w:bidi="ar-AE"/>
              </w:rPr>
              <w:t xml:space="preserve"> Bentler, 1999)</w:t>
            </w:r>
          </w:p>
        </w:tc>
      </w:tr>
      <w:tr w:rsidR="008D3598" w:rsidRPr="00511330" w14:paraId="64416878" w14:textId="77777777" w:rsidTr="000106F4">
        <w:trPr>
          <w:trHeight w:val="350"/>
        </w:trPr>
        <w:tc>
          <w:tcPr>
            <w:tcW w:w="1275" w:type="dxa"/>
            <w:vAlign w:val="center"/>
          </w:tcPr>
          <w:p w14:paraId="64416875" w14:textId="77777777" w:rsidR="008D3598" w:rsidRPr="00511330" w:rsidRDefault="008D3598" w:rsidP="000106F4">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NFI</w:t>
            </w:r>
          </w:p>
        </w:tc>
        <w:tc>
          <w:tcPr>
            <w:tcW w:w="1845" w:type="dxa"/>
            <w:vAlign w:val="center"/>
          </w:tcPr>
          <w:p w14:paraId="64416876" w14:textId="77777777" w:rsidR="008D3598" w:rsidRPr="00511330" w:rsidRDefault="008D3598" w:rsidP="000106F4">
            <w:pPr>
              <w:ind w:right="-135"/>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.893</w:t>
            </w:r>
          </w:p>
        </w:tc>
        <w:tc>
          <w:tcPr>
            <w:tcW w:w="4800" w:type="dxa"/>
            <w:vAlign w:val="center"/>
          </w:tcPr>
          <w:p w14:paraId="64416877" w14:textId="77777777" w:rsidR="008D3598" w:rsidRPr="00511330" w:rsidRDefault="008D3598" w:rsidP="000106F4">
            <w:pPr>
              <w:ind w:right="-104"/>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0.95–1.0 (Miles, 2007; Thompson, 2004)</w:t>
            </w:r>
          </w:p>
        </w:tc>
      </w:tr>
      <w:tr w:rsidR="008D3598" w:rsidRPr="00511330" w14:paraId="6441687C" w14:textId="77777777" w:rsidTr="000106F4">
        <w:trPr>
          <w:trHeight w:val="350"/>
        </w:trPr>
        <w:tc>
          <w:tcPr>
            <w:tcW w:w="1275" w:type="dxa"/>
            <w:vAlign w:val="center"/>
          </w:tcPr>
          <w:p w14:paraId="64416879" w14:textId="77777777" w:rsidR="008D3598" w:rsidRPr="00511330" w:rsidRDefault="008D3598" w:rsidP="000106F4">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TLI</w:t>
            </w:r>
          </w:p>
        </w:tc>
        <w:tc>
          <w:tcPr>
            <w:tcW w:w="1845" w:type="dxa"/>
            <w:vAlign w:val="center"/>
          </w:tcPr>
          <w:p w14:paraId="6441687A" w14:textId="77777777" w:rsidR="008D3598" w:rsidRPr="00511330" w:rsidRDefault="008D3598" w:rsidP="000106F4">
            <w:pPr>
              <w:ind w:right="-135"/>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.907</w:t>
            </w:r>
          </w:p>
        </w:tc>
        <w:tc>
          <w:tcPr>
            <w:tcW w:w="4800" w:type="dxa"/>
            <w:vAlign w:val="center"/>
          </w:tcPr>
          <w:p w14:paraId="6441687B" w14:textId="77777777" w:rsidR="008D3598" w:rsidRPr="00511330" w:rsidRDefault="008D3598" w:rsidP="000106F4">
            <w:pPr>
              <w:ind w:right="-104"/>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0.95–1.0 (Miles, 2007; Thompson, 2004)</w:t>
            </w:r>
          </w:p>
        </w:tc>
      </w:tr>
      <w:tr w:rsidR="008D3598" w:rsidRPr="00511330" w14:paraId="64416880" w14:textId="77777777" w:rsidTr="000106F4">
        <w:tc>
          <w:tcPr>
            <w:tcW w:w="1275" w:type="dxa"/>
            <w:vAlign w:val="center"/>
          </w:tcPr>
          <w:p w14:paraId="6441687D" w14:textId="77777777" w:rsidR="008D3598" w:rsidRPr="00511330" w:rsidRDefault="008D3598" w:rsidP="000106F4">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CFI</w:t>
            </w:r>
          </w:p>
        </w:tc>
        <w:tc>
          <w:tcPr>
            <w:tcW w:w="1845" w:type="dxa"/>
            <w:vAlign w:val="center"/>
          </w:tcPr>
          <w:p w14:paraId="6441687E" w14:textId="77777777" w:rsidR="008D3598" w:rsidRPr="00511330" w:rsidRDefault="008D3598" w:rsidP="000106F4">
            <w:pPr>
              <w:ind w:right="-135"/>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.927</w:t>
            </w:r>
          </w:p>
        </w:tc>
        <w:tc>
          <w:tcPr>
            <w:tcW w:w="4800" w:type="dxa"/>
            <w:vAlign w:val="center"/>
          </w:tcPr>
          <w:p w14:paraId="6441687F" w14:textId="77777777" w:rsidR="008D3598" w:rsidRPr="00511330" w:rsidRDefault="008D3598" w:rsidP="000106F4">
            <w:pPr>
              <w:ind w:right="-104"/>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&gt; 0.90 (Kline, 2011)</w:t>
            </w:r>
          </w:p>
        </w:tc>
      </w:tr>
    </w:tbl>
    <w:p w14:paraId="64416881" w14:textId="77777777" w:rsidR="008D3598" w:rsidRPr="00511330" w:rsidRDefault="008D3598" w:rsidP="00721566">
      <w:pPr>
        <w:spacing w:after="0" w:line="240" w:lineRule="auto"/>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b/>
          <w:bCs/>
          <w:sz w:val="20"/>
          <w:szCs w:val="20"/>
          <w:lang w:val="en-US" w:bidi="ar-AE"/>
        </w:rPr>
        <w:t>Note</w:t>
      </w:r>
      <w:r w:rsidRPr="00511330">
        <w:rPr>
          <w:rFonts w:asciiTheme="majorBidi" w:eastAsia="Calibri" w:hAnsiTheme="majorBidi" w:cstheme="majorBidi"/>
          <w:sz w:val="20"/>
          <w:szCs w:val="20"/>
          <w:lang w:val="en-US" w:bidi="ar-AE"/>
        </w:rPr>
        <w:t xml:space="preserve">. </w:t>
      </w:r>
      <w:r w:rsidRPr="00511330">
        <w:rPr>
          <w:rFonts w:asciiTheme="majorBidi" w:eastAsia="Calibri" w:hAnsiTheme="majorBidi" w:cstheme="majorBidi"/>
          <w:b/>
          <w:bCs/>
          <w:sz w:val="20"/>
          <w:szCs w:val="20"/>
          <w:lang w:val="en-US" w:bidi="ar-AE"/>
        </w:rPr>
        <w:t>χ2/df</w:t>
      </w:r>
      <w:r w:rsidRPr="00511330">
        <w:rPr>
          <w:rFonts w:asciiTheme="majorBidi" w:eastAsia="Calibri" w:hAnsiTheme="majorBidi" w:cstheme="majorBidi"/>
          <w:sz w:val="20"/>
          <w:szCs w:val="20"/>
          <w:lang w:val="en-US" w:bidi="ar-AE"/>
        </w:rPr>
        <w:t xml:space="preserve"> = normed chi-square statistic; </w:t>
      </w:r>
      <w:r w:rsidRPr="00511330">
        <w:rPr>
          <w:rFonts w:asciiTheme="majorBidi" w:eastAsia="Calibri" w:hAnsiTheme="majorBidi" w:cstheme="majorBidi"/>
          <w:b/>
          <w:bCs/>
          <w:sz w:val="20"/>
          <w:szCs w:val="20"/>
          <w:lang w:val="en-US" w:bidi="ar-AE"/>
        </w:rPr>
        <w:t xml:space="preserve">GFI </w:t>
      </w:r>
      <w:r w:rsidRPr="00511330">
        <w:rPr>
          <w:rFonts w:asciiTheme="majorBidi" w:eastAsia="Calibri" w:hAnsiTheme="majorBidi" w:cstheme="majorBidi"/>
          <w:sz w:val="20"/>
          <w:szCs w:val="20"/>
          <w:lang w:val="en-US" w:bidi="ar-AE"/>
        </w:rPr>
        <w:t xml:space="preserve">= goodness-of-fit index; </w:t>
      </w:r>
      <w:r w:rsidRPr="00511330">
        <w:rPr>
          <w:rFonts w:asciiTheme="majorBidi" w:eastAsia="Calibri" w:hAnsiTheme="majorBidi" w:cstheme="majorBidi"/>
          <w:b/>
          <w:bCs/>
          <w:sz w:val="20"/>
          <w:szCs w:val="20"/>
          <w:lang w:val="en-US" w:bidi="ar-AE"/>
        </w:rPr>
        <w:t>RMSEA</w:t>
      </w:r>
      <w:r w:rsidRPr="00511330">
        <w:rPr>
          <w:rFonts w:asciiTheme="majorBidi" w:eastAsia="Calibri" w:hAnsiTheme="majorBidi" w:cstheme="majorBidi"/>
          <w:sz w:val="20"/>
          <w:szCs w:val="20"/>
          <w:lang w:val="en-US" w:bidi="ar-AE"/>
        </w:rPr>
        <w:t xml:space="preserve"> = root mean square error of approximation; </w:t>
      </w:r>
      <w:r w:rsidRPr="00511330">
        <w:rPr>
          <w:rFonts w:asciiTheme="majorBidi" w:eastAsia="Calibri" w:hAnsiTheme="majorBidi" w:cstheme="majorBidi"/>
          <w:b/>
          <w:bCs/>
          <w:sz w:val="20"/>
          <w:szCs w:val="20"/>
          <w:lang w:val="en-US" w:bidi="ar-AE"/>
        </w:rPr>
        <w:t xml:space="preserve">NFI </w:t>
      </w:r>
      <w:r w:rsidRPr="00511330">
        <w:rPr>
          <w:rFonts w:asciiTheme="majorBidi" w:eastAsia="Calibri" w:hAnsiTheme="majorBidi" w:cstheme="majorBidi"/>
          <w:sz w:val="20"/>
          <w:szCs w:val="20"/>
          <w:lang w:val="en-US" w:bidi="ar-AE"/>
        </w:rPr>
        <w:t xml:space="preserve">= normed fit index; </w:t>
      </w:r>
      <w:r w:rsidRPr="00511330">
        <w:rPr>
          <w:rFonts w:asciiTheme="majorBidi" w:eastAsia="Calibri" w:hAnsiTheme="majorBidi" w:cstheme="majorBidi"/>
          <w:b/>
          <w:bCs/>
          <w:sz w:val="20"/>
          <w:szCs w:val="20"/>
          <w:lang w:val="en-US" w:bidi="ar-AE"/>
        </w:rPr>
        <w:t xml:space="preserve">TLI </w:t>
      </w:r>
      <w:r w:rsidRPr="00511330">
        <w:rPr>
          <w:rFonts w:asciiTheme="majorBidi" w:eastAsia="Calibri" w:hAnsiTheme="majorBidi" w:cstheme="majorBidi"/>
          <w:sz w:val="20"/>
          <w:szCs w:val="20"/>
          <w:lang w:val="en-US" w:bidi="ar-AE"/>
        </w:rPr>
        <w:t>= Tucker–</w:t>
      </w:r>
      <w:r w:rsidRPr="00511330">
        <w:rPr>
          <w:rFonts w:asciiTheme="majorBidi" w:eastAsia="Calibri" w:hAnsiTheme="majorBidi" w:cstheme="majorBidi"/>
          <w:color w:val="000000" w:themeColor="text1"/>
          <w:sz w:val="20"/>
          <w:szCs w:val="20"/>
          <w:lang w:val="en-US" w:bidi="ar-AE"/>
        </w:rPr>
        <w:t>Lewis</w:t>
      </w:r>
      <w:r w:rsidRPr="00511330">
        <w:rPr>
          <w:rFonts w:asciiTheme="majorBidi" w:eastAsia="Calibri" w:hAnsiTheme="majorBidi" w:cstheme="majorBidi"/>
          <w:sz w:val="20"/>
          <w:szCs w:val="20"/>
          <w:lang w:val="en-US" w:bidi="ar-AE"/>
        </w:rPr>
        <w:t xml:space="preserve"> index, </w:t>
      </w:r>
      <w:r w:rsidRPr="00511330">
        <w:rPr>
          <w:rFonts w:asciiTheme="majorBidi" w:eastAsia="Calibri" w:hAnsiTheme="majorBidi" w:cstheme="majorBidi"/>
          <w:b/>
          <w:bCs/>
          <w:sz w:val="20"/>
          <w:szCs w:val="20"/>
          <w:lang w:val="en-US" w:bidi="ar-AE"/>
        </w:rPr>
        <w:t xml:space="preserve">CFI </w:t>
      </w:r>
      <w:r w:rsidRPr="00511330">
        <w:rPr>
          <w:rFonts w:asciiTheme="majorBidi" w:eastAsia="Calibri" w:hAnsiTheme="majorBidi" w:cstheme="majorBidi"/>
          <w:sz w:val="20"/>
          <w:szCs w:val="20"/>
          <w:lang w:val="en-US" w:bidi="ar-AE"/>
        </w:rPr>
        <w:t>= comparative fit index.</w:t>
      </w:r>
    </w:p>
    <w:p w14:paraId="64416882" w14:textId="77777777" w:rsidR="008D3598" w:rsidRPr="00511330" w:rsidRDefault="008D3598" w:rsidP="00721566">
      <w:pPr>
        <w:autoSpaceDE w:val="0"/>
        <w:autoSpaceDN w:val="0"/>
        <w:adjustRightInd w:val="0"/>
        <w:spacing w:after="0" w:line="480" w:lineRule="auto"/>
        <w:ind w:right="-450"/>
        <w:jc w:val="both"/>
        <w:rPr>
          <w:rFonts w:asciiTheme="majorBidi" w:eastAsia="Calibri" w:hAnsiTheme="majorBidi" w:cstheme="majorBidi"/>
          <w:sz w:val="24"/>
          <w:szCs w:val="24"/>
          <w:lang w:val="en-US"/>
        </w:rPr>
      </w:pPr>
    </w:p>
    <w:p w14:paraId="64416883" w14:textId="7C57EB7A" w:rsidR="008D3598" w:rsidRPr="00511330" w:rsidRDefault="003F0551" w:rsidP="00721566">
      <w:pPr>
        <w:autoSpaceDE w:val="0"/>
        <w:autoSpaceDN w:val="0"/>
        <w:adjustRightInd w:val="0"/>
        <w:spacing w:after="0" w:line="240" w:lineRule="auto"/>
        <w:ind w:right="-450"/>
        <w:jc w:val="center"/>
        <w:rPr>
          <w:rFonts w:asciiTheme="majorBidi" w:eastAsia="Calibri" w:hAnsiTheme="majorBidi" w:cstheme="majorBidi"/>
          <w:sz w:val="24"/>
          <w:szCs w:val="24"/>
          <w:lang w:val="en-US"/>
        </w:rPr>
      </w:pPr>
      <w:r w:rsidRPr="00511330">
        <w:rPr>
          <w:rFonts w:asciiTheme="majorBidi" w:eastAsia="Calibri" w:hAnsiTheme="majorBidi" w:cstheme="majorBidi"/>
          <w:noProof/>
          <w:sz w:val="24"/>
          <w:szCs w:val="24"/>
          <w:lang w:val="en-US"/>
        </w:rPr>
        <w:lastRenderedPageBreak/>
        <w:drawing>
          <wp:anchor distT="0" distB="0" distL="114300" distR="114300" simplePos="0" relativeHeight="251653120" behindDoc="0" locked="0" layoutInCell="1" allowOverlap="1" wp14:anchorId="64416D4C" wp14:editId="7DDCD278">
            <wp:simplePos x="0" y="0"/>
            <wp:positionH relativeFrom="column">
              <wp:posOffset>-60960</wp:posOffset>
            </wp:positionH>
            <wp:positionV relativeFrom="paragraph">
              <wp:posOffset>0</wp:posOffset>
            </wp:positionV>
            <wp:extent cx="4813935" cy="7776845"/>
            <wp:effectExtent l="0" t="0" r="571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813935" cy="7776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1330">
        <w:rPr>
          <w:noProof/>
          <w:lang w:val="en-US"/>
        </w:rPr>
        <mc:AlternateContent>
          <mc:Choice Requires="wps">
            <w:drawing>
              <wp:anchor distT="0" distB="0" distL="114300" distR="114300" simplePos="0" relativeHeight="251665408" behindDoc="0" locked="0" layoutInCell="1" allowOverlap="1" wp14:anchorId="64416D4A" wp14:editId="53F1A161">
                <wp:simplePos x="0" y="0"/>
                <wp:positionH relativeFrom="column">
                  <wp:posOffset>-695193</wp:posOffset>
                </wp:positionH>
                <wp:positionV relativeFrom="paragraph">
                  <wp:posOffset>7341585</wp:posOffset>
                </wp:positionV>
                <wp:extent cx="4813935" cy="635"/>
                <wp:effectExtent l="0" t="0" r="5715" b="9525"/>
                <wp:wrapNone/>
                <wp:docPr id="6" name="Text Box 6"/>
                <wp:cNvGraphicFramePr/>
                <a:graphic xmlns:a="http://schemas.openxmlformats.org/drawingml/2006/main">
                  <a:graphicData uri="http://schemas.microsoft.com/office/word/2010/wordprocessingShape">
                    <wps:wsp>
                      <wps:cNvSpPr txBox="1"/>
                      <wps:spPr>
                        <a:xfrm>
                          <a:off x="0" y="0"/>
                          <a:ext cx="4813935" cy="635"/>
                        </a:xfrm>
                        <a:prstGeom prst="rect">
                          <a:avLst/>
                        </a:prstGeom>
                        <a:solidFill>
                          <a:prstClr val="white"/>
                        </a:solidFill>
                        <a:ln>
                          <a:noFill/>
                        </a:ln>
                        <a:effectLst/>
                      </wps:spPr>
                      <wps:txbx>
                        <w:txbxContent>
                          <w:p w14:paraId="64416D6F" w14:textId="3D92F7DD" w:rsidR="008E0079" w:rsidRPr="00BF50DE" w:rsidRDefault="008E0079" w:rsidP="008D3598">
                            <w:pPr>
                              <w:pStyle w:val="Caption"/>
                              <w:rPr>
                                <w:rFonts w:asciiTheme="majorBidi" w:eastAsia="Calibri" w:hAnsiTheme="majorBidi" w:cstheme="majorBidi"/>
                                <w:b w:val="0"/>
                                <w:bCs w:val="0"/>
                                <w:noProof/>
                                <w:color w:val="auto"/>
                                <w:sz w:val="20"/>
                                <w:szCs w:val="20"/>
                              </w:rPr>
                            </w:pPr>
                            <w:bookmarkStart w:id="896" w:name="_Toc43311497"/>
                            <w:r w:rsidRPr="007B41A5">
                              <w:rPr>
                                <w:rFonts w:asciiTheme="majorBidi" w:hAnsiTheme="majorBidi" w:cstheme="majorBidi"/>
                                <w:b w:val="0"/>
                                <w:bCs w:val="0"/>
                                <w:i/>
                                <w:iCs/>
                                <w:color w:val="auto"/>
                                <w:sz w:val="20"/>
                                <w:szCs w:val="20"/>
                              </w:rPr>
                              <w:t xml:space="preserve">Figure 4. </w:t>
                            </w:r>
                            <w:r w:rsidRPr="007B41A5">
                              <w:rPr>
                                <w:rFonts w:asciiTheme="majorBidi" w:hAnsiTheme="majorBidi" w:cstheme="majorBidi"/>
                                <w:b w:val="0"/>
                                <w:bCs w:val="0"/>
                                <w:i/>
                                <w:iCs/>
                                <w:color w:val="auto"/>
                                <w:sz w:val="20"/>
                                <w:szCs w:val="20"/>
                              </w:rPr>
                              <w:fldChar w:fldCharType="begin"/>
                            </w:r>
                            <w:r w:rsidRPr="007B41A5">
                              <w:rPr>
                                <w:rFonts w:asciiTheme="majorBidi" w:hAnsiTheme="majorBidi" w:cstheme="majorBidi"/>
                                <w:b w:val="0"/>
                                <w:bCs w:val="0"/>
                                <w:i/>
                                <w:iCs/>
                                <w:color w:val="auto"/>
                                <w:sz w:val="20"/>
                                <w:szCs w:val="20"/>
                              </w:rPr>
                              <w:instrText xml:space="preserve"> SEQ Figure_4. \* ARABIC </w:instrText>
                            </w:r>
                            <w:r w:rsidRPr="007B41A5">
                              <w:rPr>
                                <w:rFonts w:asciiTheme="majorBidi" w:hAnsiTheme="majorBidi" w:cstheme="majorBidi"/>
                                <w:b w:val="0"/>
                                <w:bCs w:val="0"/>
                                <w:i/>
                                <w:iCs/>
                                <w:color w:val="auto"/>
                                <w:sz w:val="20"/>
                                <w:szCs w:val="20"/>
                              </w:rPr>
                              <w:fldChar w:fldCharType="separate"/>
                            </w:r>
                            <w:r>
                              <w:rPr>
                                <w:rFonts w:asciiTheme="majorBidi" w:hAnsiTheme="majorBidi" w:cstheme="majorBidi"/>
                                <w:b w:val="0"/>
                                <w:bCs w:val="0"/>
                                <w:i/>
                                <w:iCs/>
                                <w:noProof/>
                                <w:color w:val="auto"/>
                                <w:sz w:val="20"/>
                                <w:szCs w:val="20"/>
                              </w:rPr>
                              <w:t>2</w:t>
                            </w:r>
                            <w:r w:rsidRPr="007B41A5">
                              <w:rPr>
                                <w:rFonts w:asciiTheme="majorBidi" w:hAnsiTheme="majorBidi" w:cstheme="majorBidi"/>
                                <w:b w:val="0"/>
                                <w:bCs w:val="0"/>
                                <w:i/>
                                <w:iCs/>
                                <w:color w:val="auto"/>
                                <w:sz w:val="20"/>
                                <w:szCs w:val="20"/>
                              </w:rPr>
                              <w:fldChar w:fldCharType="end"/>
                            </w:r>
                            <w:r>
                              <w:rPr>
                                <w:rFonts w:asciiTheme="majorBidi" w:hAnsiTheme="majorBidi" w:cstheme="majorBidi"/>
                                <w:b w:val="0"/>
                                <w:bCs w:val="0"/>
                                <w:i/>
                                <w:iCs/>
                                <w:noProof/>
                                <w:color w:val="auto"/>
                                <w:sz w:val="20"/>
                                <w:szCs w:val="20"/>
                                <w:lang w:val="en-US"/>
                              </w:rPr>
                              <w:t>:</w:t>
                            </w:r>
                            <w:r w:rsidRPr="00BF50DE">
                              <w:rPr>
                                <w:rFonts w:asciiTheme="majorBidi" w:hAnsiTheme="majorBidi" w:cstheme="majorBidi"/>
                                <w:b w:val="0"/>
                                <w:bCs w:val="0"/>
                                <w:noProof/>
                                <w:color w:val="auto"/>
                                <w:sz w:val="20"/>
                                <w:szCs w:val="20"/>
                                <w:lang w:val="en-US"/>
                              </w:rPr>
                              <w:t xml:space="preserve"> </w:t>
                            </w:r>
                            <w:r>
                              <w:rPr>
                                <w:rFonts w:asciiTheme="majorBidi" w:hAnsiTheme="majorBidi" w:cstheme="majorBidi"/>
                                <w:b w:val="0"/>
                                <w:bCs w:val="0"/>
                                <w:noProof/>
                                <w:color w:val="auto"/>
                                <w:sz w:val="20"/>
                                <w:szCs w:val="20"/>
                                <w:lang w:val="en-US"/>
                              </w:rPr>
                              <w:t>S</w:t>
                            </w:r>
                            <w:r w:rsidRPr="00BF50DE">
                              <w:rPr>
                                <w:rFonts w:asciiTheme="majorBidi" w:hAnsiTheme="majorBidi" w:cstheme="majorBidi"/>
                                <w:b w:val="0"/>
                                <w:bCs w:val="0"/>
                                <w:noProof/>
                                <w:color w:val="auto"/>
                                <w:sz w:val="20"/>
                                <w:szCs w:val="20"/>
                                <w:lang w:val="en-US"/>
                              </w:rPr>
                              <w:t>tructural models from the first-order CFA on Motives</w:t>
                            </w:r>
                            <w:bookmarkEnd w:id="8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64416D4A" id="Text Box 6" o:spid="_x0000_s1028" type="#_x0000_t202" style="position:absolute;left:0;text-align:left;margin-left:-54.75pt;margin-top:578.1pt;width:379.0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" stroked="f">
                <v:textbox style="mso-fit-shape-to-text:t" inset="0,0,0,0">
                  <w:txbxContent>
                    <w:p w14:paraId="64416D6F" w14:textId="3D92F7DD" w:rsidR="008E0079" w:rsidRPr="00BF50DE" w:rsidRDefault="008E0079" w:rsidP="008D3598">
                      <w:pPr>
                        <w:pStyle w:val="Caption"/>
                        <w:rPr>
                          <w:rFonts w:asciiTheme="majorBidi" w:eastAsia="Calibri" w:hAnsiTheme="majorBidi" w:cstheme="majorBidi"/>
                          <w:b w:val="0"/>
                          <w:bCs w:val="0"/>
                          <w:noProof/>
                          <w:color w:val="auto"/>
                          <w:sz w:val="20"/>
                          <w:szCs w:val="20"/>
                        </w:rPr>
                      </w:pPr>
                      <w:bookmarkStart w:id="898" w:name="_Toc43311497"/>
                      <w:r w:rsidRPr="007B41A5">
                        <w:rPr>
                          <w:rFonts w:asciiTheme="majorBidi" w:hAnsiTheme="majorBidi" w:cstheme="majorBidi"/>
                          <w:b w:val="0"/>
                          <w:bCs w:val="0"/>
                          <w:i/>
                          <w:iCs/>
                          <w:color w:val="auto"/>
                          <w:sz w:val="20"/>
                          <w:szCs w:val="20"/>
                        </w:rPr>
                        <w:t xml:space="preserve">Figure 4. </w:t>
                      </w:r>
                      <w:r w:rsidRPr="007B41A5">
                        <w:rPr>
                          <w:rFonts w:asciiTheme="majorBidi" w:hAnsiTheme="majorBidi" w:cstheme="majorBidi"/>
                          <w:b w:val="0"/>
                          <w:bCs w:val="0"/>
                          <w:i/>
                          <w:iCs/>
                          <w:color w:val="auto"/>
                          <w:sz w:val="20"/>
                          <w:szCs w:val="20"/>
                        </w:rPr>
                        <w:fldChar w:fldCharType="begin"/>
                      </w:r>
                      <w:r w:rsidRPr="007B41A5">
                        <w:rPr>
                          <w:rFonts w:asciiTheme="majorBidi" w:hAnsiTheme="majorBidi" w:cstheme="majorBidi"/>
                          <w:b w:val="0"/>
                          <w:bCs w:val="0"/>
                          <w:i/>
                          <w:iCs/>
                          <w:color w:val="auto"/>
                          <w:sz w:val="20"/>
                          <w:szCs w:val="20"/>
                        </w:rPr>
                        <w:instrText xml:space="preserve"> SEQ Figure_4. \* ARABIC </w:instrText>
                      </w:r>
                      <w:r w:rsidRPr="007B41A5">
                        <w:rPr>
                          <w:rFonts w:asciiTheme="majorBidi" w:hAnsiTheme="majorBidi" w:cstheme="majorBidi"/>
                          <w:b w:val="0"/>
                          <w:bCs w:val="0"/>
                          <w:i/>
                          <w:iCs/>
                          <w:color w:val="auto"/>
                          <w:sz w:val="20"/>
                          <w:szCs w:val="20"/>
                        </w:rPr>
                        <w:fldChar w:fldCharType="separate"/>
                      </w:r>
                      <w:r>
                        <w:rPr>
                          <w:rFonts w:asciiTheme="majorBidi" w:hAnsiTheme="majorBidi" w:cstheme="majorBidi"/>
                          <w:b w:val="0"/>
                          <w:bCs w:val="0"/>
                          <w:i/>
                          <w:iCs/>
                          <w:noProof/>
                          <w:color w:val="auto"/>
                          <w:sz w:val="20"/>
                          <w:szCs w:val="20"/>
                        </w:rPr>
                        <w:t>2</w:t>
                      </w:r>
                      <w:r w:rsidRPr="007B41A5">
                        <w:rPr>
                          <w:rFonts w:asciiTheme="majorBidi" w:hAnsiTheme="majorBidi" w:cstheme="majorBidi"/>
                          <w:b w:val="0"/>
                          <w:bCs w:val="0"/>
                          <w:i/>
                          <w:iCs/>
                          <w:color w:val="auto"/>
                          <w:sz w:val="20"/>
                          <w:szCs w:val="20"/>
                        </w:rPr>
                        <w:fldChar w:fldCharType="end"/>
                      </w:r>
                      <w:r>
                        <w:rPr>
                          <w:rFonts w:asciiTheme="majorBidi" w:hAnsiTheme="majorBidi" w:cstheme="majorBidi"/>
                          <w:b w:val="0"/>
                          <w:bCs w:val="0"/>
                          <w:i/>
                          <w:iCs/>
                          <w:noProof/>
                          <w:color w:val="auto"/>
                          <w:sz w:val="20"/>
                          <w:szCs w:val="20"/>
                          <w:lang w:val="en-US"/>
                        </w:rPr>
                        <w:t>:</w:t>
                      </w:r>
                      <w:r w:rsidRPr="00BF50DE">
                        <w:rPr>
                          <w:rFonts w:asciiTheme="majorBidi" w:hAnsiTheme="majorBidi" w:cstheme="majorBidi"/>
                          <w:b w:val="0"/>
                          <w:bCs w:val="0"/>
                          <w:noProof/>
                          <w:color w:val="auto"/>
                          <w:sz w:val="20"/>
                          <w:szCs w:val="20"/>
                          <w:lang w:val="en-US"/>
                        </w:rPr>
                        <w:t xml:space="preserve"> </w:t>
                      </w:r>
                      <w:r>
                        <w:rPr>
                          <w:rFonts w:asciiTheme="majorBidi" w:hAnsiTheme="majorBidi" w:cstheme="majorBidi"/>
                          <w:b w:val="0"/>
                          <w:bCs w:val="0"/>
                          <w:noProof/>
                          <w:color w:val="auto"/>
                          <w:sz w:val="20"/>
                          <w:szCs w:val="20"/>
                          <w:lang w:val="en-US"/>
                        </w:rPr>
                        <w:t>S</w:t>
                      </w:r>
                      <w:r w:rsidRPr="00BF50DE">
                        <w:rPr>
                          <w:rFonts w:asciiTheme="majorBidi" w:hAnsiTheme="majorBidi" w:cstheme="majorBidi"/>
                          <w:b w:val="0"/>
                          <w:bCs w:val="0"/>
                          <w:noProof/>
                          <w:color w:val="auto"/>
                          <w:sz w:val="20"/>
                          <w:szCs w:val="20"/>
                          <w:lang w:val="en-US"/>
                        </w:rPr>
                        <w:t>tructural models from the first-order CFA on Motives</w:t>
                      </w:r>
                      <w:bookmarkEnd w:id="898"/>
                    </w:p>
                  </w:txbxContent>
                </v:textbox>
              </v:shape>
            </w:pict>
          </mc:Fallback>
        </mc:AlternateContent>
      </w:r>
    </w:p>
    <w:p w14:paraId="64416884" w14:textId="5EEEED3A" w:rsidR="008D3598" w:rsidRPr="00511330" w:rsidRDefault="008D3598" w:rsidP="00721566">
      <w:pPr>
        <w:autoSpaceDE w:val="0"/>
        <w:autoSpaceDN w:val="0"/>
        <w:adjustRightInd w:val="0"/>
        <w:spacing w:after="0" w:line="240" w:lineRule="auto"/>
        <w:ind w:right="-450"/>
        <w:jc w:val="center"/>
        <w:rPr>
          <w:rFonts w:asciiTheme="majorBidi" w:eastAsia="Calibri" w:hAnsiTheme="majorBidi" w:cstheme="majorBidi"/>
          <w:sz w:val="24"/>
          <w:szCs w:val="24"/>
          <w:lang w:val="en-US"/>
        </w:rPr>
      </w:pPr>
    </w:p>
    <w:p w14:paraId="64416885" w14:textId="77777777" w:rsidR="008D3598" w:rsidRPr="00511330" w:rsidRDefault="008D3598" w:rsidP="00721566">
      <w:pPr>
        <w:autoSpaceDE w:val="0"/>
        <w:autoSpaceDN w:val="0"/>
        <w:adjustRightInd w:val="0"/>
        <w:spacing w:after="0" w:line="480" w:lineRule="auto"/>
        <w:ind w:right="-450"/>
        <w:jc w:val="center"/>
        <w:rPr>
          <w:rFonts w:asciiTheme="majorBidi" w:eastAsia="Calibri" w:hAnsiTheme="majorBidi" w:cstheme="majorBidi"/>
          <w:b/>
          <w:bCs/>
          <w:i/>
          <w:iCs/>
          <w:sz w:val="24"/>
          <w:szCs w:val="24"/>
          <w:lang w:val="en-US"/>
        </w:rPr>
      </w:pPr>
    </w:p>
    <w:p w14:paraId="64416887" w14:textId="77777777" w:rsidR="008D3598" w:rsidRPr="00511330" w:rsidRDefault="008D3598" w:rsidP="00565846">
      <w:pPr>
        <w:keepNext/>
        <w:keepLines/>
        <w:spacing w:before="200" w:after="240" w:line="360" w:lineRule="auto"/>
        <w:ind w:left="720" w:right="-450" w:hanging="720"/>
        <w:outlineLvl w:val="2"/>
        <w:rPr>
          <w:rFonts w:asciiTheme="majorBidi" w:eastAsia="Calibri" w:hAnsiTheme="majorBidi" w:cstheme="majorBidi"/>
          <w:b/>
          <w:bCs/>
          <w:vanish/>
          <w:sz w:val="24"/>
          <w:lang w:val="en-US"/>
        </w:rPr>
      </w:pPr>
    </w:p>
    <w:p w14:paraId="64416888" w14:textId="77777777" w:rsidR="008D3598" w:rsidRPr="00511330" w:rsidRDefault="008D3598" w:rsidP="00721566">
      <w:pPr>
        <w:pStyle w:val="Heading3"/>
        <w:numPr>
          <w:ilvl w:val="2"/>
          <w:numId w:val="15"/>
        </w:numPr>
        <w:spacing w:after="240"/>
        <w:ind w:left="720" w:right="-450"/>
        <w:rPr>
          <w:rFonts w:eastAsia="Calibri"/>
          <w:lang w:val="en-US"/>
        </w:rPr>
      </w:pPr>
      <w:bookmarkStart w:id="897" w:name="_Toc43311643"/>
      <w:r w:rsidRPr="00511330">
        <w:rPr>
          <w:rFonts w:eastAsia="Calibri"/>
          <w:lang w:val="en-US"/>
        </w:rPr>
        <w:t>Structural Model for Motivators (Second-Order CFA Model)</w:t>
      </w:r>
      <w:bookmarkEnd w:id="897"/>
    </w:p>
    <w:p w14:paraId="64416889" w14:textId="44416568" w:rsidR="008D3598" w:rsidRPr="00511330" w:rsidRDefault="008D3598" w:rsidP="009E623D">
      <w:pPr>
        <w:autoSpaceDE w:val="0"/>
        <w:autoSpaceDN w:val="0"/>
        <w:adjustRightInd w:val="0"/>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The test of the second-order model Figure 4.3 implies that a higher-order latent factors, i.e. the overall trait of change management motivators, governs the correlations Affiliate viability, Feasibility and satisfactory, Trust and evolving with future visions, and aligning perpetual change and Sustainability. The second-order model also produces </w:t>
      </w:r>
      <w:r w:rsidRPr="00511330">
        <w:rPr>
          <w:rFonts w:asciiTheme="majorBidi" w:eastAsia="Calibri" w:hAnsiTheme="majorBidi" w:cstheme="majorBidi"/>
          <w:noProof/>
          <w:sz w:val="24"/>
          <w:szCs w:val="24"/>
          <w:lang w:val="en-US"/>
        </w:rPr>
        <w:t>an acceptable</w:t>
      </w:r>
      <w:r w:rsidRPr="00511330">
        <w:rPr>
          <w:rFonts w:asciiTheme="majorBidi" w:eastAsia="Calibri" w:hAnsiTheme="majorBidi" w:cstheme="majorBidi"/>
          <w:sz w:val="24"/>
          <w:szCs w:val="24"/>
          <w:lang w:val="en-US"/>
        </w:rPr>
        <w:t xml:space="preserve"> goodness of fit. An examination of the second-order model of the motivators shows the significance of the coefficient estimates of Affiliate viability, Feasibility and satisfactory, Trust and evolving with future visions, and aligning perpetual change and sustainability, which describe the relationships or paths of the three factors on the higher-order. The highest and the lowest impact of motivators appears to be from engagement and support and both alignment of strategy as well as resources and capabilities. As evidenced in the values in Table 4.21, the model shows </w:t>
      </w:r>
      <w:r w:rsidR="00BF3E70" w:rsidRPr="00511330">
        <w:rPr>
          <w:rFonts w:asciiTheme="majorBidi" w:eastAsia="Calibri" w:hAnsiTheme="majorBidi" w:cstheme="majorBidi"/>
          <w:sz w:val="24"/>
          <w:szCs w:val="24"/>
          <w:lang w:val="en-US"/>
        </w:rPr>
        <w:t>goodness-of-fit indices</w:t>
      </w:r>
      <w:r w:rsidRPr="00511330">
        <w:rPr>
          <w:rFonts w:asciiTheme="majorBidi" w:eastAsia="Calibri" w:hAnsiTheme="majorBidi" w:cstheme="majorBidi"/>
          <w:sz w:val="24"/>
          <w:szCs w:val="24"/>
          <w:lang w:val="en-US"/>
        </w:rPr>
        <w:t>. In addition, Table 4.22</w:t>
      </w:r>
      <w:r w:rsidRPr="00511330">
        <w:rPr>
          <w:rFonts w:asciiTheme="majorBidi" w:eastAsia="Calibri" w:hAnsiTheme="majorBidi" w:cstheme="majorBidi"/>
          <w:b/>
          <w:bCs/>
          <w:sz w:val="24"/>
          <w:szCs w:val="24"/>
          <w:lang w:val="en-US"/>
        </w:rPr>
        <w:t xml:space="preserve"> </w:t>
      </w:r>
      <w:r w:rsidRPr="00511330">
        <w:rPr>
          <w:rFonts w:asciiTheme="majorBidi" w:eastAsia="Calibri" w:hAnsiTheme="majorBidi" w:cstheme="majorBidi"/>
          <w:sz w:val="24"/>
          <w:szCs w:val="24"/>
          <w:lang w:val="en-US"/>
        </w:rPr>
        <w:t>shows the validity and reliability of the three motives constructs.</w:t>
      </w:r>
    </w:p>
    <w:p w14:paraId="6441688A" w14:textId="6DCAAE0E" w:rsidR="008D3598" w:rsidRPr="00511330" w:rsidRDefault="008D3598" w:rsidP="00803587">
      <w:pPr>
        <w:pStyle w:val="Caption"/>
        <w:keepNext/>
        <w:spacing w:after="0"/>
        <w:ind w:right="-450"/>
        <w:rPr>
          <w:rFonts w:asciiTheme="majorBidi" w:hAnsiTheme="majorBidi" w:cstheme="majorBidi"/>
          <w:b w:val="0"/>
          <w:bCs w:val="0"/>
          <w:color w:val="auto"/>
          <w:sz w:val="20"/>
          <w:szCs w:val="20"/>
          <w:lang w:val="en-US"/>
        </w:rPr>
      </w:pPr>
      <w:bookmarkStart w:id="898" w:name="_Toc43310911"/>
      <w:r w:rsidRPr="00511330">
        <w:rPr>
          <w:rFonts w:asciiTheme="majorBidi" w:hAnsiTheme="majorBidi" w:cstheme="majorBidi"/>
          <w:b w:val="0"/>
          <w:bCs w:val="0"/>
          <w:i/>
          <w:iCs/>
          <w:color w:val="auto"/>
          <w:sz w:val="20"/>
          <w:szCs w:val="20"/>
          <w:lang w:val="en-US"/>
        </w:rPr>
        <w:t xml:space="preserve">Table 4. </w:t>
      </w:r>
      <w:r w:rsidRPr="00511330">
        <w:rPr>
          <w:rFonts w:asciiTheme="majorBidi" w:hAnsiTheme="majorBidi" w:cstheme="majorBidi"/>
          <w:b w:val="0"/>
          <w:bCs w:val="0"/>
          <w:i/>
          <w:iCs/>
          <w:color w:val="auto"/>
          <w:sz w:val="20"/>
          <w:szCs w:val="20"/>
          <w:lang w:val="en-US"/>
        </w:rPr>
        <w:fldChar w:fldCharType="begin"/>
      </w:r>
      <w:r w:rsidRPr="00511330">
        <w:rPr>
          <w:rFonts w:asciiTheme="majorBidi" w:hAnsiTheme="majorBidi" w:cstheme="majorBidi"/>
          <w:b w:val="0"/>
          <w:bCs w:val="0"/>
          <w:i/>
          <w:iCs/>
          <w:color w:val="auto"/>
          <w:sz w:val="20"/>
          <w:szCs w:val="20"/>
          <w:lang w:val="en-US"/>
        </w:rPr>
        <w:instrText xml:space="preserve"> SEQ Table_4. \* ARABIC </w:instrText>
      </w:r>
      <w:r w:rsidRPr="00511330">
        <w:rPr>
          <w:rFonts w:asciiTheme="majorBidi" w:hAnsiTheme="majorBidi" w:cstheme="majorBidi"/>
          <w:b w:val="0"/>
          <w:bCs w:val="0"/>
          <w:i/>
          <w:iCs/>
          <w:color w:val="auto"/>
          <w:sz w:val="20"/>
          <w:szCs w:val="20"/>
          <w:lang w:val="en-US"/>
        </w:rPr>
        <w:fldChar w:fldCharType="separate"/>
      </w:r>
      <w:r w:rsidR="0033045F" w:rsidRPr="00511330">
        <w:rPr>
          <w:rFonts w:asciiTheme="majorBidi" w:hAnsiTheme="majorBidi" w:cstheme="majorBidi"/>
          <w:b w:val="0"/>
          <w:bCs w:val="0"/>
          <w:i/>
          <w:iCs/>
          <w:noProof/>
          <w:color w:val="auto"/>
          <w:sz w:val="20"/>
          <w:szCs w:val="20"/>
          <w:lang w:val="en-US"/>
        </w:rPr>
        <w:t>21</w:t>
      </w:r>
      <w:r w:rsidRPr="00511330">
        <w:rPr>
          <w:rFonts w:asciiTheme="majorBidi" w:hAnsiTheme="majorBidi" w:cstheme="majorBidi"/>
          <w:b w:val="0"/>
          <w:bCs w:val="0"/>
          <w:i/>
          <w:iCs/>
          <w:color w:val="auto"/>
          <w:sz w:val="20"/>
          <w:szCs w:val="20"/>
          <w:lang w:val="en-US"/>
        </w:rPr>
        <w:fldChar w:fldCharType="end"/>
      </w:r>
      <w:r w:rsidR="00803587"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Goodness-of-Fit Indices the 2nd-Order Model on Motives</w:t>
      </w:r>
      <w:bookmarkEnd w:id="898"/>
    </w:p>
    <w:tbl>
      <w:tblPr>
        <w:tblStyle w:val="TableGrid1"/>
        <w:tblW w:w="7987" w:type="dxa"/>
        <w:tblInd w:w="18" w:type="dxa"/>
        <w:tblLook w:val="04A0" w:firstRow="1" w:lastRow="0" w:firstColumn="1" w:lastColumn="0" w:noHBand="0" w:noVBand="1"/>
      </w:tblPr>
      <w:tblGrid>
        <w:gridCol w:w="1247"/>
        <w:gridCol w:w="2015"/>
        <w:gridCol w:w="4725"/>
      </w:tblGrid>
      <w:tr w:rsidR="008D3598" w:rsidRPr="00511330" w14:paraId="6441688E" w14:textId="77777777" w:rsidTr="00803587">
        <w:trPr>
          <w:trHeight w:val="323"/>
        </w:trPr>
        <w:tc>
          <w:tcPr>
            <w:tcW w:w="1247" w:type="dxa"/>
            <w:shd w:val="clear" w:color="auto" w:fill="F2F2F2" w:themeFill="background1" w:themeFillShade="F2"/>
            <w:vAlign w:val="center"/>
          </w:tcPr>
          <w:p w14:paraId="6441688B" w14:textId="77777777" w:rsidR="008D3598" w:rsidRPr="00511330" w:rsidRDefault="008D3598" w:rsidP="00803587">
            <w:pPr>
              <w:ind w:right="-450"/>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Model</w:t>
            </w:r>
          </w:p>
        </w:tc>
        <w:tc>
          <w:tcPr>
            <w:tcW w:w="2015" w:type="dxa"/>
            <w:shd w:val="clear" w:color="auto" w:fill="F2F2F2" w:themeFill="background1" w:themeFillShade="F2"/>
            <w:vAlign w:val="center"/>
          </w:tcPr>
          <w:p w14:paraId="6441688C" w14:textId="77777777" w:rsidR="008D3598" w:rsidRPr="00511330" w:rsidRDefault="008D3598" w:rsidP="00803587">
            <w:pPr>
              <w:ind w:right="-60"/>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Obtained Value</w:t>
            </w:r>
          </w:p>
        </w:tc>
        <w:tc>
          <w:tcPr>
            <w:tcW w:w="4725" w:type="dxa"/>
            <w:shd w:val="clear" w:color="auto" w:fill="F2F2F2" w:themeFill="background1" w:themeFillShade="F2"/>
            <w:vAlign w:val="center"/>
          </w:tcPr>
          <w:p w14:paraId="6441688D" w14:textId="77777777" w:rsidR="008D3598" w:rsidRPr="00511330" w:rsidRDefault="008D3598" w:rsidP="00803587">
            <w:pPr>
              <w:ind w:right="-450"/>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Recommended Values</w:t>
            </w:r>
          </w:p>
        </w:tc>
      </w:tr>
      <w:tr w:rsidR="008D3598" w:rsidRPr="00511330" w14:paraId="64416892" w14:textId="77777777" w:rsidTr="00803587">
        <w:trPr>
          <w:trHeight w:val="377"/>
        </w:trPr>
        <w:tc>
          <w:tcPr>
            <w:tcW w:w="1247" w:type="dxa"/>
            <w:vAlign w:val="center"/>
          </w:tcPr>
          <w:p w14:paraId="6441688F" w14:textId="77777777" w:rsidR="008D3598" w:rsidRPr="00511330" w:rsidRDefault="008D3598" w:rsidP="00803587">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χ2/df</w:t>
            </w:r>
          </w:p>
        </w:tc>
        <w:tc>
          <w:tcPr>
            <w:tcW w:w="2015" w:type="dxa"/>
            <w:vAlign w:val="center"/>
          </w:tcPr>
          <w:p w14:paraId="64416890" w14:textId="77777777" w:rsidR="008D3598" w:rsidRPr="00511330" w:rsidRDefault="008D3598" w:rsidP="00803587">
            <w:pPr>
              <w:ind w:left="-119" w:right="-60"/>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2.981</w:t>
            </w:r>
          </w:p>
        </w:tc>
        <w:tc>
          <w:tcPr>
            <w:tcW w:w="4725" w:type="dxa"/>
            <w:vAlign w:val="center"/>
          </w:tcPr>
          <w:p w14:paraId="64416891" w14:textId="77777777" w:rsidR="008D3598" w:rsidRPr="00511330" w:rsidRDefault="008D3598" w:rsidP="00803587">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&lt; 3 (Kline, 2011)</w:t>
            </w:r>
          </w:p>
        </w:tc>
      </w:tr>
      <w:tr w:rsidR="008D3598" w:rsidRPr="00511330" w14:paraId="64416896" w14:textId="77777777" w:rsidTr="00803587">
        <w:trPr>
          <w:trHeight w:val="368"/>
        </w:trPr>
        <w:tc>
          <w:tcPr>
            <w:tcW w:w="1247" w:type="dxa"/>
            <w:vAlign w:val="center"/>
          </w:tcPr>
          <w:p w14:paraId="64416893" w14:textId="77777777" w:rsidR="008D3598" w:rsidRPr="00511330" w:rsidRDefault="008D3598" w:rsidP="00803587">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GFI</w:t>
            </w:r>
          </w:p>
        </w:tc>
        <w:tc>
          <w:tcPr>
            <w:tcW w:w="2015" w:type="dxa"/>
            <w:vAlign w:val="center"/>
          </w:tcPr>
          <w:p w14:paraId="64416894" w14:textId="77777777" w:rsidR="008D3598" w:rsidRPr="00511330" w:rsidRDefault="008D3598" w:rsidP="00803587">
            <w:pPr>
              <w:ind w:left="-119" w:right="-60"/>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.860</w:t>
            </w:r>
          </w:p>
        </w:tc>
        <w:tc>
          <w:tcPr>
            <w:tcW w:w="4725" w:type="dxa"/>
            <w:vAlign w:val="center"/>
          </w:tcPr>
          <w:p w14:paraId="64416895" w14:textId="77777777" w:rsidR="008D3598" w:rsidRPr="00511330" w:rsidRDefault="008D3598" w:rsidP="00803587">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0.90–1.0 (Hoyle, 2000; Kline, 2005)</w:t>
            </w:r>
          </w:p>
        </w:tc>
      </w:tr>
      <w:tr w:rsidR="008D3598" w:rsidRPr="00511330" w14:paraId="6441689A" w14:textId="77777777" w:rsidTr="00803587">
        <w:trPr>
          <w:trHeight w:val="422"/>
        </w:trPr>
        <w:tc>
          <w:tcPr>
            <w:tcW w:w="1247" w:type="dxa"/>
            <w:vAlign w:val="center"/>
          </w:tcPr>
          <w:p w14:paraId="64416897" w14:textId="77777777" w:rsidR="008D3598" w:rsidRPr="00511330" w:rsidRDefault="008D3598" w:rsidP="00803587">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RMSEA</w:t>
            </w:r>
          </w:p>
        </w:tc>
        <w:tc>
          <w:tcPr>
            <w:tcW w:w="2015" w:type="dxa"/>
            <w:vAlign w:val="center"/>
          </w:tcPr>
          <w:p w14:paraId="64416898" w14:textId="77777777" w:rsidR="008D3598" w:rsidRPr="00511330" w:rsidRDefault="008D3598" w:rsidP="00803587">
            <w:pPr>
              <w:ind w:left="-119" w:right="-60"/>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.075</w:t>
            </w:r>
          </w:p>
        </w:tc>
        <w:tc>
          <w:tcPr>
            <w:tcW w:w="4725" w:type="dxa"/>
            <w:vAlign w:val="center"/>
          </w:tcPr>
          <w:p w14:paraId="64416899" w14:textId="54192CC3" w:rsidR="008D3598" w:rsidRPr="00511330" w:rsidRDefault="008D3598" w:rsidP="00803587">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 xml:space="preserve">&lt; 0.08 (Hu </w:t>
            </w:r>
            <w:r w:rsidR="00715A2C" w:rsidRPr="00511330">
              <w:rPr>
                <w:rFonts w:asciiTheme="majorBidi" w:eastAsia="Calibri" w:hAnsiTheme="majorBidi" w:cstheme="majorBidi"/>
                <w:sz w:val="20"/>
                <w:szCs w:val="20"/>
                <w:lang w:val="en-US" w:bidi="ar-AE"/>
              </w:rPr>
              <w:t>and</w:t>
            </w:r>
            <w:r w:rsidRPr="00511330">
              <w:rPr>
                <w:rFonts w:asciiTheme="majorBidi" w:eastAsia="Calibri" w:hAnsiTheme="majorBidi" w:cstheme="majorBidi"/>
                <w:sz w:val="20"/>
                <w:szCs w:val="20"/>
                <w:lang w:val="en-US" w:bidi="ar-AE"/>
              </w:rPr>
              <w:t xml:space="preserve"> Bentler,1999)</w:t>
            </w:r>
          </w:p>
        </w:tc>
      </w:tr>
      <w:tr w:rsidR="008D3598" w:rsidRPr="00511330" w14:paraId="6441689E" w14:textId="77777777" w:rsidTr="00803587">
        <w:trPr>
          <w:trHeight w:val="440"/>
        </w:trPr>
        <w:tc>
          <w:tcPr>
            <w:tcW w:w="1247" w:type="dxa"/>
            <w:vAlign w:val="center"/>
          </w:tcPr>
          <w:p w14:paraId="6441689B" w14:textId="77777777" w:rsidR="008D3598" w:rsidRPr="00511330" w:rsidRDefault="008D3598" w:rsidP="00803587">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NFI</w:t>
            </w:r>
          </w:p>
        </w:tc>
        <w:tc>
          <w:tcPr>
            <w:tcW w:w="2015" w:type="dxa"/>
            <w:vAlign w:val="center"/>
          </w:tcPr>
          <w:p w14:paraId="6441689C" w14:textId="77777777" w:rsidR="008D3598" w:rsidRPr="00511330" w:rsidRDefault="008D3598" w:rsidP="00803587">
            <w:pPr>
              <w:ind w:left="-119" w:right="-60"/>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.889</w:t>
            </w:r>
          </w:p>
        </w:tc>
        <w:tc>
          <w:tcPr>
            <w:tcW w:w="4725" w:type="dxa"/>
            <w:vAlign w:val="center"/>
          </w:tcPr>
          <w:p w14:paraId="6441689D" w14:textId="77777777" w:rsidR="008D3598" w:rsidRPr="00511330" w:rsidRDefault="008D3598" w:rsidP="00803587">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0.95–1.0 (Miles, 2007; Thompson, 2004)</w:t>
            </w:r>
          </w:p>
        </w:tc>
      </w:tr>
      <w:tr w:rsidR="008D3598" w:rsidRPr="00511330" w14:paraId="644168A2" w14:textId="77777777" w:rsidTr="00803587">
        <w:trPr>
          <w:trHeight w:val="395"/>
        </w:trPr>
        <w:tc>
          <w:tcPr>
            <w:tcW w:w="1247" w:type="dxa"/>
            <w:vAlign w:val="center"/>
          </w:tcPr>
          <w:p w14:paraId="6441689F" w14:textId="77777777" w:rsidR="008D3598" w:rsidRPr="00511330" w:rsidRDefault="008D3598" w:rsidP="00803587">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TLI</w:t>
            </w:r>
          </w:p>
        </w:tc>
        <w:tc>
          <w:tcPr>
            <w:tcW w:w="2015" w:type="dxa"/>
            <w:vAlign w:val="center"/>
          </w:tcPr>
          <w:p w14:paraId="644168A0" w14:textId="77777777" w:rsidR="008D3598" w:rsidRPr="00511330" w:rsidRDefault="008D3598" w:rsidP="00803587">
            <w:pPr>
              <w:ind w:left="-119" w:right="-60"/>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.903</w:t>
            </w:r>
          </w:p>
        </w:tc>
        <w:tc>
          <w:tcPr>
            <w:tcW w:w="4725" w:type="dxa"/>
            <w:vAlign w:val="center"/>
          </w:tcPr>
          <w:p w14:paraId="644168A1" w14:textId="77777777" w:rsidR="008D3598" w:rsidRPr="00511330" w:rsidRDefault="008D3598" w:rsidP="00803587">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0.95–1.0 (Miles, 2007; Thompson, 2004)</w:t>
            </w:r>
          </w:p>
        </w:tc>
      </w:tr>
      <w:tr w:rsidR="008D3598" w:rsidRPr="00511330" w14:paraId="644168A6" w14:textId="77777777" w:rsidTr="00803587">
        <w:trPr>
          <w:trHeight w:val="314"/>
        </w:trPr>
        <w:tc>
          <w:tcPr>
            <w:tcW w:w="1247" w:type="dxa"/>
            <w:vAlign w:val="center"/>
          </w:tcPr>
          <w:p w14:paraId="644168A3" w14:textId="77777777" w:rsidR="008D3598" w:rsidRPr="00511330" w:rsidRDefault="008D3598" w:rsidP="00803587">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CFI</w:t>
            </w:r>
          </w:p>
        </w:tc>
        <w:tc>
          <w:tcPr>
            <w:tcW w:w="2015" w:type="dxa"/>
            <w:vAlign w:val="center"/>
          </w:tcPr>
          <w:p w14:paraId="644168A4" w14:textId="77777777" w:rsidR="008D3598" w:rsidRPr="00511330" w:rsidRDefault="008D3598" w:rsidP="00803587">
            <w:pPr>
              <w:ind w:left="-119" w:right="-60"/>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.922</w:t>
            </w:r>
          </w:p>
        </w:tc>
        <w:tc>
          <w:tcPr>
            <w:tcW w:w="4725" w:type="dxa"/>
            <w:vAlign w:val="center"/>
          </w:tcPr>
          <w:p w14:paraId="644168A5" w14:textId="77777777" w:rsidR="008D3598" w:rsidRPr="00511330" w:rsidRDefault="008D3598" w:rsidP="00803587">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&gt; 0.90 (Kline, 2011)</w:t>
            </w:r>
          </w:p>
        </w:tc>
      </w:tr>
    </w:tbl>
    <w:p w14:paraId="644168A7" w14:textId="77777777" w:rsidR="008D3598" w:rsidRPr="00511330" w:rsidRDefault="008D3598" w:rsidP="00721566">
      <w:pPr>
        <w:spacing w:after="0" w:line="240" w:lineRule="auto"/>
        <w:ind w:right="-450"/>
        <w:jc w:val="both"/>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 xml:space="preserve">Note. χ2/df = </w:t>
      </w:r>
      <w:r w:rsidRPr="00511330">
        <w:rPr>
          <w:rFonts w:asciiTheme="majorBidi" w:eastAsia="Calibri" w:hAnsiTheme="majorBidi" w:cstheme="majorBidi"/>
          <w:sz w:val="20"/>
          <w:szCs w:val="20"/>
          <w:lang w:val="en-US" w:bidi="ar-AE"/>
        </w:rPr>
        <w:t>normed chi-square statistic</w:t>
      </w:r>
      <w:r w:rsidRPr="00511330">
        <w:rPr>
          <w:rFonts w:asciiTheme="majorBidi" w:eastAsia="Calibri" w:hAnsiTheme="majorBidi" w:cstheme="majorBidi"/>
          <w:b/>
          <w:bCs/>
          <w:sz w:val="20"/>
          <w:szCs w:val="20"/>
          <w:lang w:val="en-US" w:bidi="ar-AE"/>
        </w:rPr>
        <w:t xml:space="preserve">; GFI = </w:t>
      </w:r>
      <w:r w:rsidRPr="00511330">
        <w:rPr>
          <w:rFonts w:asciiTheme="majorBidi" w:eastAsia="Calibri" w:hAnsiTheme="majorBidi" w:cstheme="majorBidi"/>
          <w:sz w:val="20"/>
          <w:szCs w:val="20"/>
          <w:lang w:val="en-US" w:bidi="ar-AE"/>
        </w:rPr>
        <w:t>goodness-of-fit index</w:t>
      </w:r>
      <w:r w:rsidRPr="00511330">
        <w:rPr>
          <w:rFonts w:asciiTheme="majorBidi" w:eastAsia="Calibri" w:hAnsiTheme="majorBidi" w:cstheme="majorBidi"/>
          <w:b/>
          <w:bCs/>
          <w:sz w:val="20"/>
          <w:szCs w:val="20"/>
          <w:lang w:val="en-US" w:bidi="ar-AE"/>
        </w:rPr>
        <w:t xml:space="preserve">; RMSEA = </w:t>
      </w:r>
      <w:r w:rsidRPr="00511330">
        <w:rPr>
          <w:rFonts w:asciiTheme="majorBidi" w:eastAsia="Calibri" w:hAnsiTheme="majorBidi" w:cstheme="majorBidi"/>
          <w:sz w:val="20"/>
          <w:szCs w:val="20"/>
          <w:lang w:val="en-US" w:bidi="ar-AE"/>
        </w:rPr>
        <w:t>root mean square error of approximation</w:t>
      </w:r>
      <w:r w:rsidRPr="00511330">
        <w:rPr>
          <w:rFonts w:asciiTheme="majorBidi" w:eastAsia="Calibri" w:hAnsiTheme="majorBidi" w:cstheme="majorBidi"/>
          <w:b/>
          <w:bCs/>
          <w:sz w:val="20"/>
          <w:szCs w:val="20"/>
          <w:lang w:val="en-US" w:bidi="ar-AE"/>
        </w:rPr>
        <w:t xml:space="preserve">; NFI = </w:t>
      </w:r>
      <w:r w:rsidRPr="00511330">
        <w:rPr>
          <w:rFonts w:asciiTheme="majorBidi" w:eastAsia="Calibri" w:hAnsiTheme="majorBidi" w:cstheme="majorBidi"/>
          <w:sz w:val="20"/>
          <w:szCs w:val="20"/>
          <w:lang w:val="en-US" w:bidi="ar-AE"/>
        </w:rPr>
        <w:t>normed fit index</w:t>
      </w:r>
      <w:r w:rsidRPr="00511330">
        <w:rPr>
          <w:rFonts w:asciiTheme="majorBidi" w:eastAsia="Calibri" w:hAnsiTheme="majorBidi" w:cstheme="majorBidi"/>
          <w:b/>
          <w:bCs/>
          <w:sz w:val="20"/>
          <w:szCs w:val="20"/>
          <w:lang w:val="en-US" w:bidi="ar-AE"/>
        </w:rPr>
        <w:t xml:space="preserve">; TLI= </w:t>
      </w:r>
      <w:r w:rsidRPr="00511330">
        <w:rPr>
          <w:rFonts w:asciiTheme="majorBidi" w:eastAsia="Calibri" w:hAnsiTheme="majorBidi" w:cstheme="majorBidi"/>
          <w:sz w:val="20"/>
          <w:szCs w:val="20"/>
          <w:lang w:val="en-US" w:bidi="ar-AE"/>
        </w:rPr>
        <w:t>Tucker–Lewis index</w:t>
      </w:r>
      <w:r w:rsidRPr="00511330">
        <w:rPr>
          <w:rFonts w:asciiTheme="majorBidi" w:eastAsia="Calibri" w:hAnsiTheme="majorBidi" w:cstheme="majorBidi"/>
          <w:b/>
          <w:bCs/>
          <w:sz w:val="20"/>
          <w:szCs w:val="20"/>
          <w:lang w:val="en-US" w:bidi="ar-AE"/>
        </w:rPr>
        <w:t xml:space="preserve">; CFI = </w:t>
      </w:r>
      <w:r w:rsidRPr="00511330">
        <w:rPr>
          <w:rFonts w:asciiTheme="majorBidi" w:eastAsia="Calibri" w:hAnsiTheme="majorBidi" w:cstheme="majorBidi"/>
          <w:sz w:val="20"/>
          <w:szCs w:val="20"/>
          <w:lang w:val="en-US" w:bidi="ar-AE"/>
        </w:rPr>
        <w:t>comparative fit index</w:t>
      </w:r>
      <w:r w:rsidRPr="00511330">
        <w:rPr>
          <w:rFonts w:asciiTheme="majorBidi" w:eastAsia="Calibri" w:hAnsiTheme="majorBidi" w:cstheme="majorBidi"/>
          <w:b/>
          <w:bCs/>
          <w:sz w:val="20"/>
          <w:szCs w:val="20"/>
          <w:lang w:val="en-US" w:bidi="ar-AE"/>
        </w:rPr>
        <w:t>.</w:t>
      </w:r>
    </w:p>
    <w:p w14:paraId="644168A8" w14:textId="77777777" w:rsidR="008D3598" w:rsidRPr="00511330" w:rsidRDefault="008D3598" w:rsidP="00721566">
      <w:pPr>
        <w:ind w:right="-450"/>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br w:type="page"/>
      </w:r>
    </w:p>
    <w:p w14:paraId="644168A9" w14:textId="2ED9005D" w:rsidR="008D3598" w:rsidRPr="00511330" w:rsidRDefault="00025EF0" w:rsidP="00721566">
      <w:pPr>
        <w:spacing w:after="0" w:line="240" w:lineRule="auto"/>
        <w:ind w:right="-450"/>
        <w:jc w:val="center"/>
        <w:rPr>
          <w:rFonts w:asciiTheme="majorBidi" w:eastAsia="Calibri" w:hAnsiTheme="majorBidi" w:cstheme="majorBidi"/>
          <w:b/>
          <w:bCs/>
          <w:sz w:val="20"/>
          <w:szCs w:val="20"/>
          <w:lang w:val="en-US" w:bidi="ar-AE"/>
        </w:rPr>
      </w:pPr>
      <w:r w:rsidRPr="00511330">
        <w:rPr>
          <w:noProof/>
          <w:lang w:val="en-US"/>
        </w:rPr>
        <w:lastRenderedPageBreak/>
        <mc:AlternateContent>
          <mc:Choice Requires="wps">
            <w:drawing>
              <wp:anchor distT="0" distB="0" distL="114300" distR="114300" simplePos="0" relativeHeight="251660288" behindDoc="0" locked="0" layoutInCell="1" allowOverlap="1" wp14:anchorId="64416D50" wp14:editId="2146177B">
                <wp:simplePos x="0" y="0"/>
                <wp:positionH relativeFrom="column">
                  <wp:posOffset>-295910</wp:posOffset>
                </wp:positionH>
                <wp:positionV relativeFrom="paragraph">
                  <wp:posOffset>7740650</wp:posOffset>
                </wp:positionV>
                <wp:extent cx="5822950" cy="63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5822950" cy="635"/>
                        </a:xfrm>
                        <a:prstGeom prst="rect">
                          <a:avLst/>
                        </a:prstGeom>
                        <a:solidFill>
                          <a:prstClr val="white"/>
                        </a:solidFill>
                        <a:ln>
                          <a:noFill/>
                        </a:ln>
                        <a:effectLst/>
                      </wps:spPr>
                      <wps:txbx>
                        <w:txbxContent>
                          <w:p w14:paraId="64416D70" w14:textId="6C4B8736" w:rsidR="008E0079" w:rsidRPr="00BF50DE" w:rsidRDefault="008E0079" w:rsidP="008D3598">
                            <w:pPr>
                              <w:pStyle w:val="Caption"/>
                              <w:rPr>
                                <w:rFonts w:asciiTheme="majorBidi" w:eastAsia="Calibri" w:hAnsiTheme="majorBidi" w:cstheme="majorBidi"/>
                                <w:b w:val="0"/>
                                <w:bCs w:val="0"/>
                                <w:noProof/>
                                <w:color w:val="auto"/>
                                <w:sz w:val="20"/>
                                <w:szCs w:val="20"/>
                              </w:rPr>
                            </w:pPr>
                            <w:bookmarkStart w:id="899" w:name="_Toc43311498"/>
                            <w:r w:rsidRPr="007B41A5">
                              <w:rPr>
                                <w:rFonts w:asciiTheme="majorBidi" w:hAnsiTheme="majorBidi" w:cstheme="majorBidi"/>
                                <w:b w:val="0"/>
                                <w:bCs w:val="0"/>
                                <w:i/>
                                <w:iCs/>
                                <w:color w:val="auto"/>
                                <w:sz w:val="20"/>
                                <w:szCs w:val="20"/>
                              </w:rPr>
                              <w:t xml:space="preserve">Figure 4. </w:t>
                            </w:r>
                            <w:r w:rsidRPr="007B41A5">
                              <w:rPr>
                                <w:rFonts w:asciiTheme="majorBidi" w:hAnsiTheme="majorBidi" w:cstheme="majorBidi"/>
                                <w:b w:val="0"/>
                                <w:bCs w:val="0"/>
                                <w:i/>
                                <w:iCs/>
                                <w:color w:val="auto"/>
                                <w:sz w:val="20"/>
                                <w:szCs w:val="20"/>
                              </w:rPr>
                              <w:fldChar w:fldCharType="begin"/>
                            </w:r>
                            <w:r w:rsidRPr="007B41A5">
                              <w:rPr>
                                <w:rFonts w:asciiTheme="majorBidi" w:hAnsiTheme="majorBidi" w:cstheme="majorBidi"/>
                                <w:b w:val="0"/>
                                <w:bCs w:val="0"/>
                                <w:i/>
                                <w:iCs/>
                                <w:color w:val="auto"/>
                                <w:sz w:val="20"/>
                                <w:szCs w:val="20"/>
                              </w:rPr>
                              <w:instrText xml:space="preserve"> SEQ Figure_4. \* ARABIC </w:instrText>
                            </w:r>
                            <w:r w:rsidRPr="007B41A5">
                              <w:rPr>
                                <w:rFonts w:asciiTheme="majorBidi" w:hAnsiTheme="majorBidi" w:cstheme="majorBidi"/>
                                <w:b w:val="0"/>
                                <w:bCs w:val="0"/>
                                <w:i/>
                                <w:iCs/>
                                <w:color w:val="auto"/>
                                <w:sz w:val="20"/>
                                <w:szCs w:val="20"/>
                              </w:rPr>
                              <w:fldChar w:fldCharType="separate"/>
                            </w:r>
                            <w:r>
                              <w:rPr>
                                <w:rFonts w:asciiTheme="majorBidi" w:hAnsiTheme="majorBidi" w:cstheme="majorBidi"/>
                                <w:b w:val="0"/>
                                <w:bCs w:val="0"/>
                                <w:i/>
                                <w:iCs/>
                                <w:noProof/>
                                <w:color w:val="auto"/>
                                <w:sz w:val="20"/>
                                <w:szCs w:val="20"/>
                              </w:rPr>
                              <w:t>3</w:t>
                            </w:r>
                            <w:r w:rsidRPr="007B41A5">
                              <w:rPr>
                                <w:rFonts w:asciiTheme="majorBidi" w:hAnsiTheme="majorBidi" w:cstheme="majorBidi"/>
                                <w:b w:val="0"/>
                                <w:bCs w:val="0"/>
                                <w:i/>
                                <w:iCs/>
                                <w:color w:val="auto"/>
                                <w:sz w:val="20"/>
                                <w:szCs w:val="20"/>
                              </w:rPr>
                              <w:fldChar w:fldCharType="end"/>
                            </w:r>
                            <w:r>
                              <w:rPr>
                                <w:rFonts w:asciiTheme="majorBidi" w:hAnsiTheme="majorBidi" w:cstheme="majorBidi"/>
                                <w:b w:val="0"/>
                                <w:bCs w:val="0"/>
                                <w:i/>
                                <w:iCs/>
                                <w:noProof/>
                                <w:color w:val="auto"/>
                                <w:sz w:val="20"/>
                                <w:szCs w:val="20"/>
                                <w:lang w:val="en-US"/>
                              </w:rPr>
                              <w:t>:</w:t>
                            </w:r>
                            <w:r w:rsidRPr="00BF50DE">
                              <w:rPr>
                                <w:rFonts w:asciiTheme="majorBidi" w:hAnsiTheme="majorBidi" w:cstheme="majorBidi"/>
                                <w:b w:val="0"/>
                                <w:bCs w:val="0"/>
                                <w:noProof/>
                                <w:color w:val="auto"/>
                                <w:sz w:val="20"/>
                                <w:szCs w:val="20"/>
                                <w:lang w:val="en-US"/>
                              </w:rPr>
                              <w:t xml:space="preserve"> </w:t>
                            </w:r>
                            <w:r>
                              <w:rPr>
                                <w:rFonts w:asciiTheme="majorBidi" w:hAnsiTheme="majorBidi" w:cstheme="majorBidi"/>
                                <w:b w:val="0"/>
                                <w:bCs w:val="0"/>
                                <w:noProof/>
                                <w:color w:val="auto"/>
                                <w:sz w:val="20"/>
                                <w:szCs w:val="20"/>
                                <w:lang w:val="en-US"/>
                              </w:rPr>
                              <w:t>S</w:t>
                            </w:r>
                            <w:r w:rsidRPr="00BF50DE">
                              <w:rPr>
                                <w:rFonts w:asciiTheme="majorBidi" w:hAnsiTheme="majorBidi" w:cstheme="majorBidi"/>
                                <w:b w:val="0"/>
                                <w:bCs w:val="0"/>
                                <w:noProof/>
                                <w:color w:val="auto"/>
                                <w:sz w:val="20"/>
                                <w:szCs w:val="20"/>
                                <w:lang w:val="en-US"/>
                              </w:rPr>
                              <w:t>tructural models from the second-order CFA on Motives</w:t>
                            </w:r>
                            <w:bookmarkEnd w:id="8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64416D50" id="Text Box 19" o:spid="_x0000_s1029" type="#_x0000_t202" style="position:absolute;left:0;text-align:left;margin-left:-23.3pt;margin-top:609.5pt;width:458.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" stroked="f">
                <v:textbox style="mso-fit-shape-to-text:t" inset="0,0,0,0">
                  <w:txbxContent>
                    <w:p w14:paraId="64416D70" w14:textId="6C4B8736" w:rsidR="008E0079" w:rsidRPr="00BF50DE" w:rsidRDefault="008E0079" w:rsidP="008D3598">
                      <w:pPr>
                        <w:pStyle w:val="Caption"/>
                        <w:rPr>
                          <w:rFonts w:asciiTheme="majorBidi" w:eastAsia="Calibri" w:hAnsiTheme="majorBidi" w:cstheme="majorBidi"/>
                          <w:b w:val="0"/>
                          <w:bCs w:val="0"/>
                          <w:noProof/>
                          <w:color w:val="auto"/>
                          <w:sz w:val="20"/>
                          <w:szCs w:val="20"/>
                        </w:rPr>
                      </w:pPr>
                      <w:bookmarkStart w:id="902" w:name="_Toc43311498"/>
                      <w:r w:rsidRPr="007B41A5">
                        <w:rPr>
                          <w:rFonts w:asciiTheme="majorBidi" w:hAnsiTheme="majorBidi" w:cstheme="majorBidi"/>
                          <w:b w:val="0"/>
                          <w:bCs w:val="0"/>
                          <w:i/>
                          <w:iCs/>
                          <w:color w:val="auto"/>
                          <w:sz w:val="20"/>
                          <w:szCs w:val="20"/>
                        </w:rPr>
                        <w:t xml:space="preserve">Figure 4. </w:t>
                      </w:r>
                      <w:r w:rsidRPr="007B41A5">
                        <w:rPr>
                          <w:rFonts w:asciiTheme="majorBidi" w:hAnsiTheme="majorBidi" w:cstheme="majorBidi"/>
                          <w:b w:val="0"/>
                          <w:bCs w:val="0"/>
                          <w:i/>
                          <w:iCs/>
                          <w:color w:val="auto"/>
                          <w:sz w:val="20"/>
                          <w:szCs w:val="20"/>
                        </w:rPr>
                        <w:fldChar w:fldCharType="begin"/>
                      </w:r>
                      <w:r w:rsidRPr="007B41A5">
                        <w:rPr>
                          <w:rFonts w:asciiTheme="majorBidi" w:hAnsiTheme="majorBidi" w:cstheme="majorBidi"/>
                          <w:b w:val="0"/>
                          <w:bCs w:val="0"/>
                          <w:i/>
                          <w:iCs/>
                          <w:color w:val="auto"/>
                          <w:sz w:val="20"/>
                          <w:szCs w:val="20"/>
                        </w:rPr>
                        <w:instrText xml:space="preserve"> SEQ Figure_4. \* ARABIC </w:instrText>
                      </w:r>
                      <w:r w:rsidRPr="007B41A5">
                        <w:rPr>
                          <w:rFonts w:asciiTheme="majorBidi" w:hAnsiTheme="majorBidi" w:cstheme="majorBidi"/>
                          <w:b w:val="0"/>
                          <w:bCs w:val="0"/>
                          <w:i/>
                          <w:iCs/>
                          <w:color w:val="auto"/>
                          <w:sz w:val="20"/>
                          <w:szCs w:val="20"/>
                        </w:rPr>
                        <w:fldChar w:fldCharType="separate"/>
                      </w:r>
                      <w:r>
                        <w:rPr>
                          <w:rFonts w:asciiTheme="majorBidi" w:hAnsiTheme="majorBidi" w:cstheme="majorBidi"/>
                          <w:b w:val="0"/>
                          <w:bCs w:val="0"/>
                          <w:i/>
                          <w:iCs/>
                          <w:noProof/>
                          <w:color w:val="auto"/>
                          <w:sz w:val="20"/>
                          <w:szCs w:val="20"/>
                        </w:rPr>
                        <w:t>3</w:t>
                      </w:r>
                      <w:r w:rsidRPr="007B41A5">
                        <w:rPr>
                          <w:rFonts w:asciiTheme="majorBidi" w:hAnsiTheme="majorBidi" w:cstheme="majorBidi"/>
                          <w:b w:val="0"/>
                          <w:bCs w:val="0"/>
                          <w:i/>
                          <w:iCs/>
                          <w:color w:val="auto"/>
                          <w:sz w:val="20"/>
                          <w:szCs w:val="20"/>
                        </w:rPr>
                        <w:fldChar w:fldCharType="end"/>
                      </w:r>
                      <w:r>
                        <w:rPr>
                          <w:rFonts w:asciiTheme="majorBidi" w:hAnsiTheme="majorBidi" w:cstheme="majorBidi"/>
                          <w:b w:val="0"/>
                          <w:bCs w:val="0"/>
                          <w:i/>
                          <w:iCs/>
                          <w:noProof/>
                          <w:color w:val="auto"/>
                          <w:sz w:val="20"/>
                          <w:szCs w:val="20"/>
                          <w:lang w:val="en-US"/>
                        </w:rPr>
                        <w:t>:</w:t>
                      </w:r>
                      <w:r w:rsidRPr="00BF50DE">
                        <w:rPr>
                          <w:rFonts w:asciiTheme="majorBidi" w:hAnsiTheme="majorBidi" w:cstheme="majorBidi"/>
                          <w:b w:val="0"/>
                          <w:bCs w:val="0"/>
                          <w:noProof/>
                          <w:color w:val="auto"/>
                          <w:sz w:val="20"/>
                          <w:szCs w:val="20"/>
                          <w:lang w:val="en-US"/>
                        </w:rPr>
                        <w:t xml:space="preserve"> </w:t>
                      </w:r>
                      <w:r>
                        <w:rPr>
                          <w:rFonts w:asciiTheme="majorBidi" w:hAnsiTheme="majorBidi" w:cstheme="majorBidi"/>
                          <w:b w:val="0"/>
                          <w:bCs w:val="0"/>
                          <w:noProof/>
                          <w:color w:val="auto"/>
                          <w:sz w:val="20"/>
                          <w:szCs w:val="20"/>
                          <w:lang w:val="en-US"/>
                        </w:rPr>
                        <w:t>S</w:t>
                      </w:r>
                      <w:r w:rsidRPr="00BF50DE">
                        <w:rPr>
                          <w:rFonts w:asciiTheme="majorBidi" w:hAnsiTheme="majorBidi" w:cstheme="majorBidi"/>
                          <w:b w:val="0"/>
                          <w:bCs w:val="0"/>
                          <w:noProof/>
                          <w:color w:val="auto"/>
                          <w:sz w:val="20"/>
                          <w:szCs w:val="20"/>
                          <w:lang w:val="en-US"/>
                        </w:rPr>
                        <w:t>tructural models from the second-order CFA on Motives</w:t>
                      </w:r>
                      <w:bookmarkEnd w:id="902"/>
                    </w:p>
                  </w:txbxContent>
                </v:textbox>
                <w10:wrap type="square"/>
              </v:shape>
            </w:pict>
          </mc:Fallback>
        </mc:AlternateContent>
      </w:r>
      <w:r w:rsidR="008D3598" w:rsidRPr="00511330">
        <w:rPr>
          <w:rFonts w:asciiTheme="majorBidi" w:eastAsia="Calibri" w:hAnsiTheme="majorBidi" w:cstheme="majorBidi"/>
          <w:b/>
          <w:bCs/>
          <w:noProof/>
          <w:sz w:val="20"/>
          <w:szCs w:val="20"/>
          <w:lang w:val="en-US"/>
        </w:rPr>
        <w:drawing>
          <wp:inline distT="0" distB="0" distL="0" distR="0" wp14:anchorId="64416D4E" wp14:editId="18FF8A46">
            <wp:extent cx="5893652" cy="7385539"/>
            <wp:effectExtent l="0" t="0" r="0" b="6350"/>
            <wp:docPr id="25" name="Picture 25" descr="C:\Users\mohammed.alhammadi\Downloads\MOTIVES SECOND O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hammed.alhammadi\Downloads\MOTIVES SECOND ORDER.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93652" cy="7385539"/>
                    </a:xfrm>
                    <a:prstGeom prst="rect">
                      <a:avLst/>
                    </a:prstGeom>
                    <a:noFill/>
                    <a:ln>
                      <a:noFill/>
                    </a:ln>
                  </pic:spPr>
                </pic:pic>
              </a:graphicData>
            </a:graphic>
          </wp:inline>
        </w:drawing>
      </w:r>
    </w:p>
    <w:p w14:paraId="2F44EF21" w14:textId="5221C5A8" w:rsidR="00025EF0" w:rsidRPr="00511330" w:rsidRDefault="00025EF0" w:rsidP="00025EF0">
      <w:pPr>
        <w:autoSpaceDE w:val="0"/>
        <w:autoSpaceDN w:val="0"/>
        <w:adjustRightInd w:val="0"/>
        <w:spacing w:after="0" w:line="480" w:lineRule="auto"/>
        <w:ind w:right="-450"/>
        <w:rPr>
          <w:rFonts w:asciiTheme="majorBidi" w:eastAsia="Calibri" w:hAnsiTheme="majorBidi" w:cstheme="majorBidi"/>
          <w:b/>
          <w:bCs/>
          <w:sz w:val="24"/>
          <w:szCs w:val="24"/>
          <w:lang w:val="en-US"/>
        </w:rPr>
      </w:pPr>
    </w:p>
    <w:p w14:paraId="644168AB" w14:textId="58CC40A6" w:rsidR="008D3598" w:rsidRPr="00511330" w:rsidRDefault="008D3598" w:rsidP="00025EF0">
      <w:pPr>
        <w:autoSpaceDE w:val="0"/>
        <w:autoSpaceDN w:val="0"/>
        <w:adjustRightInd w:val="0"/>
        <w:spacing w:after="0" w:line="480" w:lineRule="auto"/>
        <w:ind w:right="-450"/>
        <w:rPr>
          <w:rFonts w:asciiTheme="majorBidi" w:eastAsia="Calibri" w:hAnsiTheme="majorBidi" w:cstheme="majorBidi"/>
          <w:b/>
          <w:bCs/>
          <w:sz w:val="24"/>
          <w:szCs w:val="24"/>
          <w:lang w:val="en-US"/>
        </w:rPr>
      </w:pPr>
    </w:p>
    <w:p w14:paraId="644168AC" w14:textId="0589DE3E" w:rsidR="008D3598" w:rsidRPr="00511330" w:rsidRDefault="008D3598" w:rsidP="00E131E4">
      <w:pPr>
        <w:pStyle w:val="Caption"/>
        <w:keepNext/>
        <w:spacing w:after="0"/>
        <w:ind w:right="-450"/>
        <w:rPr>
          <w:rFonts w:asciiTheme="majorBidi" w:hAnsiTheme="majorBidi" w:cstheme="majorBidi"/>
          <w:b w:val="0"/>
          <w:bCs w:val="0"/>
          <w:color w:val="auto"/>
          <w:sz w:val="20"/>
          <w:szCs w:val="20"/>
          <w:lang w:val="en-US"/>
        </w:rPr>
      </w:pPr>
      <w:bookmarkStart w:id="900" w:name="_Toc43310912"/>
      <w:r w:rsidRPr="00511330">
        <w:rPr>
          <w:rFonts w:asciiTheme="majorBidi" w:hAnsiTheme="majorBidi" w:cstheme="majorBidi"/>
          <w:b w:val="0"/>
          <w:bCs w:val="0"/>
          <w:color w:val="auto"/>
          <w:sz w:val="20"/>
          <w:szCs w:val="20"/>
          <w:lang w:val="en-US"/>
        </w:rPr>
        <w:lastRenderedPageBreak/>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22</w:t>
      </w:r>
      <w:r w:rsidRPr="00511330">
        <w:rPr>
          <w:rFonts w:asciiTheme="majorBidi" w:hAnsiTheme="majorBidi" w:cstheme="majorBidi"/>
          <w:b w:val="0"/>
          <w:bCs w:val="0"/>
          <w:color w:val="auto"/>
          <w:sz w:val="20"/>
          <w:szCs w:val="20"/>
          <w:lang w:val="en-US"/>
        </w:rPr>
        <w:fldChar w:fldCharType="end"/>
      </w:r>
      <w:r w:rsidR="00E131E4" w:rsidRPr="00511330">
        <w:rPr>
          <w:rFonts w:asciiTheme="majorBidi" w:hAnsiTheme="majorBidi" w:cstheme="majorBidi"/>
          <w:b w:val="0"/>
          <w:bCs w:val="0"/>
          <w:noProof/>
          <w:color w:val="auto"/>
          <w:sz w:val="20"/>
          <w:szCs w:val="20"/>
          <w:lang w:val="en-US"/>
        </w:rPr>
        <w:t>:</w:t>
      </w:r>
      <w:r w:rsidRPr="00511330">
        <w:rPr>
          <w:rFonts w:asciiTheme="majorBidi" w:hAnsiTheme="majorBidi" w:cstheme="majorBidi"/>
          <w:b w:val="0"/>
          <w:bCs w:val="0"/>
          <w:noProof/>
          <w:color w:val="auto"/>
          <w:sz w:val="20"/>
          <w:szCs w:val="20"/>
          <w:lang w:val="en-US"/>
        </w:rPr>
        <w:t xml:space="preserve"> </w:t>
      </w:r>
      <w:r w:rsidRPr="00511330">
        <w:rPr>
          <w:rFonts w:asciiTheme="majorBidi" w:hAnsiTheme="majorBidi" w:cstheme="majorBidi"/>
          <w:b w:val="0"/>
          <w:bCs w:val="0"/>
          <w:i/>
          <w:iCs/>
          <w:noProof/>
          <w:color w:val="auto"/>
          <w:sz w:val="20"/>
          <w:szCs w:val="20"/>
          <w:lang w:val="en-US"/>
        </w:rPr>
        <w:t>Validity and Reliability of the Three Motive Constructs</w:t>
      </w:r>
      <w:bookmarkEnd w:id="900"/>
    </w:p>
    <w:tbl>
      <w:tblPr>
        <w:tblStyle w:val="TableGrid"/>
        <w:tblW w:w="7740" w:type="dxa"/>
        <w:tblInd w:w="-5" w:type="dxa"/>
        <w:tblLook w:val="04A0" w:firstRow="1" w:lastRow="0" w:firstColumn="1" w:lastColumn="0" w:noHBand="0" w:noVBand="1"/>
      </w:tblPr>
      <w:tblGrid>
        <w:gridCol w:w="1260"/>
        <w:gridCol w:w="1170"/>
        <w:gridCol w:w="1260"/>
        <w:gridCol w:w="1350"/>
        <w:gridCol w:w="1260"/>
        <w:gridCol w:w="1440"/>
      </w:tblGrid>
      <w:tr w:rsidR="008D3598" w:rsidRPr="00511330" w14:paraId="644168B3" w14:textId="77777777" w:rsidTr="00E131E4">
        <w:tc>
          <w:tcPr>
            <w:tcW w:w="1260" w:type="dxa"/>
            <w:shd w:val="clear" w:color="auto" w:fill="F2F2F2" w:themeFill="background1" w:themeFillShade="F2"/>
            <w:vAlign w:val="center"/>
          </w:tcPr>
          <w:p w14:paraId="644168AD" w14:textId="77777777" w:rsidR="008D3598" w:rsidRPr="00511330" w:rsidRDefault="008D3598" w:rsidP="00162109">
            <w:pPr>
              <w:ind w:right="-450"/>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bidi="ar-AE"/>
              </w:rPr>
              <w:t>Factors</w:t>
            </w:r>
          </w:p>
        </w:tc>
        <w:tc>
          <w:tcPr>
            <w:tcW w:w="1170" w:type="dxa"/>
            <w:shd w:val="clear" w:color="auto" w:fill="F2F2F2" w:themeFill="background1" w:themeFillShade="F2"/>
            <w:vAlign w:val="center"/>
          </w:tcPr>
          <w:p w14:paraId="644168AE" w14:textId="77777777" w:rsidR="008D3598" w:rsidRPr="00511330" w:rsidRDefault="008D3598" w:rsidP="00FF70CE">
            <w:pPr>
              <w:ind w:right="-108"/>
              <w:jc w:val="center"/>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bidi="ar-AE"/>
              </w:rPr>
              <w:t>CR</w:t>
            </w:r>
          </w:p>
        </w:tc>
        <w:tc>
          <w:tcPr>
            <w:tcW w:w="1260" w:type="dxa"/>
            <w:shd w:val="clear" w:color="auto" w:fill="F2F2F2" w:themeFill="background1" w:themeFillShade="F2"/>
            <w:vAlign w:val="center"/>
          </w:tcPr>
          <w:p w14:paraId="644168AF" w14:textId="77777777" w:rsidR="008D3598" w:rsidRPr="00511330" w:rsidRDefault="008D3598" w:rsidP="00FF70CE">
            <w:pPr>
              <w:ind w:right="-18"/>
              <w:jc w:val="center"/>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bidi="ar-AE"/>
              </w:rPr>
              <w:t>AVE</w:t>
            </w:r>
          </w:p>
        </w:tc>
        <w:tc>
          <w:tcPr>
            <w:tcW w:w="1350" w:type="dxa"/>
            <w:shd w:val="clear" w:color="auto" w:fill="F2F2F2" w:themeFill="background1" w:themeFillShade="F2"/>
            <w:vAlign w:val="center"/>
          </w:tcPr>
          <w:p w14:paraId="644168B0" w14:textId="77777777" w:rsidR="008D3598" w:rsidRPr="00511330" w:rsidRDefault="008D3598" w:rsidP="00FF70CE">
            <w:pPr>
              <w:ind w:left="-86" w:right="-7"/>
              <w:jc w:val="center"/>
              <w:rPr>
                <w:rFonts w:asciiTheme="majorBidi" w:hAnsiTheme="majorBidi" w:cstheme="majorBidi"/>
                <w:b/>
                <w:bCs/>
                <w:sz w:val="20"/>
                <w:szCs w:val="20"/>
                <w:lang w:val="en-US"/>
              </w:rPr>
            </w:pPr>
            <w:r w:rsidRPr="00511330">
              <w:rPr>
                <w:rFonts w:asciiTheme="majorBidi" w:hAnsiTheme="majorBidi" w:cstheme="majorBidi"/>
                <w:b/>
                <w:bCs/>
                <w:sz w:val="20"/>
                <w:szCs w:val="20"/>
                <w:lang w:val="en-US"/>
              </w:rPr>
              <w:t>AVFS</w:t>
            </w:r>
          </w:p>
        </w:tc>
        <w:tc>
          <w:tcPr>
            <w:tcW w:w="1260" w:type="dxa"/>
            <w:shd w:val="clear" w:color="auto" w:fill="F2F2F2" w:themeFill="background1" w:themeFillShade="F2"/>
            <w:vAlign w:val="center"/>
          </w:tcPr>
          <w:p w14:paraId="644168B1" w14:textId="77777777" w:rsidR="008D3598" w:rsidRPr="00511330" w:rsidRDefault="008D3598" w:rsidP="00FF70CE">
            <w:pPr>
              <w:tabs>
                <w:tab w:val="left" w:pos="1422"/>
              </w:tabs>
              <w:ind w:left="-86" w:right="-108" w:hanging="18"/>
              <w:jc w:val="center"/>
              <w:rPr>
                <w:rFonts w:asciiTheme="majorBidi" w:hAnsiTheme="majorBidi" w:cstheme="majorBidi"/>
                <w:b/>
                <w:bCs/>
                <w:sz w:val="20"/>
                <w:szCs w:val="20"/>
                <w:lang w:val="en-US"/>
              </w:rPr>
            </w:pPr>
            <w:r w:rsidRPr="00511330">
              <w:rPr>
                <w:rFonts w:asciiTheme="majorBidi" w:hAnsiTheme="majorBidi" w:cstheme="majorBidi"/>
                <w:b/>
                <w:bCs/>
                <w:sz w:val="20"/>
                <w:szCs w:val="20"/>
                <w:lang w:val="en-US"/>
              </w:rPr>
              <w:t>TEFV</w:t>
            </w:r>
          </w:p>
        </w:tc>
        <w:tc>
          <w:tcPr>
            <w:tcW w:w="1440" w:type="dxa"/>
            <w:shd w:val="clear" w:color="auto" w:fill="F2F2F2" w:themeFill="background1" w:themeFillShade="F2"/>
            <w:vAlign w:val="center"/>
          </w:tcPr>
          <w:p w14:paraId="644168B2" w14:textId="77777777" w:rsidR="008D3598" w:rsidRPr="00511330" w:rsidRDefault="008D3598" w:rsidP="00FF70CE">
            <w:pPr>
              <w:tabs>
                <w:tab w:val="left" w:pos="1422"/>
              </w:tabs>
              <w:ind w:left="-86" w:right="-109"/>
              <w:jc w:val="center"/>
              <w:rPr>
                <w:rFonts w:asciiTheme="majorBidi" w:hAnsiTheme="majorBidi" w:cstheme="majorBidi"/>
                <w:b/>
                <w:bCs/>
                <w:sz w:val="20"/>
                <w:szCs w:val="20"/>
                <w:lang w:val="en-US"/>
              </w:rPr>
            </w:pPr>
            <w:r w:rsidRPr="00511330">
              <w:rPr>
                <w:rFonts w:asciiTheme="majorBidi" w:hAnsiTheme="majorBidi" w:cstheme="majorBidi"/>
                <w:b/>
                <w:bCs/>
                <w:sz w:val="20"/>
                <w:szCs w:val="20"/>
                <w:lang w:val="en-US"/>
              </w:rPr>
              <w:t>APCS</w:t>
            </w:r>
          </w:p>
        </w:tc>
      </w:tr>
      <w:tr w:rsidR="008D3598" w:rsidRPr="00511330" w14:paraId="644168BA" w14:textId="77777777" w:rsidTr="00E131E4">
        <w:tc>
          <w:tcPr>
            <w:tcW w:w="1260" w:type="dxa"/>
            <w:shd w:val="clear" w:color="auto" w:fill="auto"/>
            <w:vAlign w:val="center"/>
          </w:tcPr>
          <w:p w14:paraId="644168B4" w14:textId="77777777" w:rsidR="008D3598" w:rsidRPr="00511330" w:rsidRDefault="008D3598" w:rsidP="00162109">
            <w:pPr>
              <w:ind w:right="-450"/>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bidi="ar-AE"/>
              </w:rPr>
              <w:t>AVFS</w:t>
            </w:r>
          </w:p>
        </w:tc>
        <w:tc>
          <w:tcPr>
            <w:tcW w:w="1170" w:type="dxa"/>
            <w:shd w:val="clear" w:color="auto" w:fill="auto"/>
            <w:vAlign w:val="center"/>
          </w:tcPr>
          <w:p w14:paraId="644168B5" w14:textId="77777777" w:rsidR="008D3598" w:rsidRPr="00511330" w:rsidRDefault="008D3598" w:rsidP="00FF70CE">
            <w:pPr>
              <w:ind w:right="-10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.89</w:t>
            </w:r>
          </w:p>
        </w:tc>
        <w:tc>
          <w:tcPr>
            <w:tcW w:w="1260" w:type="dxa"/>
            <w:shd w:val="clear" w:color="auto" w:fill="auto"/>
            <w:vAlign w:val="center"/>
          </w:tcPr>
          <w:p w14:paraId="644168B6" w14:textId="77777777" w:rsidR="008D3598" w:rsidRPr="00511330" w:rsidRDefault="008D3598" w:rsidP="00FF70CE">
            <w:pPr>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.45</w:t>
            </w:r>
          </w:p>
        </w:tc>
        <w:tc>
          <w:tcPr>
            <w:tcW w:w="1350" w:type="dxa"/>
            <w:shd w:val="clear" w:color="auto" w:fill="auto"/>
            <w:vAlign w:val="center"/>
          </w:tcPr>
          <w:p w14:paraId="644168B7" w14:textId="77777777" w:rsidR="008D3598" w:rsidRPr="00511330" w:rsidRDefault="008D3598" w:rsidP="00FF70CE">
            <w:pPr>
              <w:ind w:right="-7"/>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1</w:t>
            </w:r>
          </w:p>
        </w:tc>
        <w:tc>
          <w:tcPr>
            <w:tcW w:w="1260" w:type="dxa"/>
            <w:shd w:val="clear" w:color="auto" w:fill="auto"/>
            <w:vAlign w:val="center"/>
          </w:tcPr>
          <w:p w14:paraId="644168B8" w14:textId="77777777" w:rsidR="008D3598" w:rsidRPr="00511330" w:rsidRDefault="008D3598" w:rsidP="00FF70CE">
            <w:pPr>
              <w:ind w:right="-18"/>
              <w:jc w:val="center"/>
              <w:rPr>
                <w:rFonts w:asciiTheme="majorBidi" w:hAnsiTheme="majorBidi" w:cstheme="majorBidi"/>
                <w:sz w:val="20"/>
                <w:szCs w:val="20"/>
                <w:lang w:val="en-US" w:bidi="ar-AE"/>
              </w:rPr>
            </w:pPr>
          </w:p>
        </w:tc>
        <w:tc>
          <w:tcPr>
            <w:tcW w:w="1440" w:type="dxa"/>
            <w:shd w:val="clear" w:color="auto" w:fill="auto"/>
            <w:vAlign w:val="center"/>
          </w:tcPr>
          <w:p w14:paraId="644168B9" w14:textId="77777777" w:rsidR="008D3598" w:rsidRPr="00511330" w:rsidRDefault="008D3598" w:rsidP="00FF70CE">
            <w:pPr>
              <w:ind w:right="-109"/>
              <w:jc w:val="center"/>
              <w:rPr>
                <w:rFonts w:asciiTheme="majorBidi" w:hAnsiTheme="majorBidi" w:cstheme="majorBidi"/>
                <w:sz w:val="20"/>
                <w:szCs w:val="20"/>
                <w:lang w:val="en-US" w:bidi="ar-AE"/>
              </w:rPr>
            </w:pPr>
          </w:p>
        </w:tc>
      </w:tr>
      <w:tr w:rsidR="008D3598" w:rsidRPr="00511330" w14:paraId="644168C1" w14:textId="77777777" w:rsidTr="00E131E4">
        <w:tc>
          <w:tcPr>
            <w:tcW w:w="1260" w:type="dxa"/>
            <w:shd w:val="clear" w:color="auto" w:fill="auto"/>
            <w:vAlign w:val="center"/>
          </w:tcPr>
          <w:p w14:paraId="644168BB" w14:textId="77777777" w:rsidR="008D3598" w:rsidRPr="00511330" w:rsidRDefault="008D3598" w:rsidP="00162109">
            <w:pPr>
              <w:ind w:right="-450"/>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bidi="ar-AE"/>
              </w:rPr>
              <w:t>TEFV</w:t>
            </w:r>
          </w:p>
        </w:tc>
        <w:tc>
          <w:tcPr>
            <w:tcW w:w="1170" w:type="dxa"/>
            <w:shd w:val="clear" w:color="auto" w:fill="auto"/>
            <w:vAlign w:val="center"/>
          </w:tcPr>
          <w:p w14:paraId="644168BC" w14:textId="77777777" w:rsidR="008D3598" w:rsidRPr="00511330" w:rsidRDefault="008D3598" w:rsidP="00FF70CE">
            <w:pPr>
              <w:ind w:right="-10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.87</w:t>
            </w:r>
          </w:p>
        </w:tc>
        <w:tc>
          <w:tcPr>
            <w:tcW w:w="1260" w:type="dxa"/>
            <w:shd w:val="clear" w:color="auto" w:fill="auto"/>
            <w:vAlign w:val="center"/>
          </w:tcPr>
          <w:p w14:paraId="644168BD" w14:textId="77777777" w:rsidR="008D3598" w:rsidRPr="00511330" w:rsidRDefault="008D3598" w:rsidP="00FF70CE">
            <w:pPr>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.41</w:t>
            </w:r>
          </w:p>
        </w:tc>
        <w:tc>
          <w:tcPr>
            <w:tcW w:w="1350" w:type="dxa"/>
            <w:shd w:val="clear" w:color="auto" w:fill="auto"/>
            <w:vAlign w:val="center"/>
          </w:tcPr>
          <w:p w14:paraId="644168BE" w14:textId="77777777" w:rsidR="008D3598" w:rsidRPr="00511330" w:rsidRDefault="008D3598" w:rsidP="00FF70CE">
            <w:pPr>
              <w:ind w:right="-7"/>
              <w:jc w:val="center"/>
              <w:rPr>
                <w:rFonts w:asciiTheme="majorBidi" w:hAnsiTheme="majorBidi" w:cstheme="majorBidi"/>
                <w:sz w:val="20"/>
                <w:szCs w:val="20"/>
                <w:lang w:val="en-US" w:bidi="ar-AE"/>
              </w:rPr>
            </w:pPr>
            <w:r w:rsidRPr="00511330">
              <w:rPr>
                <w:rFonts w:asciiTheme="majorBidi" w:hAnsiTheme="majorBidi" w:cstheme="majorBidi"/>
                <w:color w:val="000000"/>
                <w:sz w:val="20"/>
                <w:szCs w:val="20"/>
                <w:lang w:val="en-US"/>
              </w:rPr>
              <w:t>.748</w:t>
            </w:r>
            <w:r w:rsidRPr="00511330">
              <w:rPr>
                <w:rFonts w:asciiTheme="majorBidi" w:hAnsiTheme="majorBidi" w:cstheme="majorBidi"/>
                <w:color w:val="000000"/>
                <w:sz w:val="20"/>
                <w:szCs w:val="20"/>
                <w:vertAlign w:val="superscript"/>
                <w:lang w:val="en-US"/>
              </w:rPr>
              <w:t>**</w:t>
            </w:r>
          </w:p>
        </w:tc>
        <w:tc>
          <w:tcPr>
            <w:tcW w:w="1260" w:type="dxa"/>
            <w:shd w:val="clear" w:color="auto" w:fill="auto"/>
            <w:vAlign w:val="center"/>
          </w:tcPr>
          <w:p w14:paraId="644168BF" w14:textId="77777777" w:rsidR="008D3598" w:rsidRPr="00511330" w:rsidRDefault="008D3598" w:rsidP="00FF70CE">
            <w:pPr>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1</w:t>
            </w:r>
          </w:p>
        </w:tc>
        <w:tc>
          <w:tcPr>
            <w:tcW w:w="1440" w:type="dxa"/>
            <w:shd w:val="clear" w:color="auto" w:fill="auto"/>
            <w:vAlign w:val="center"/>
          </w:tcPr>
          <w:p w14:paraId="644168C0" w14:textId="77777777" w:rsidR="008D3598" w:rsidRPr="00511330" w:rsidRDefault="008D3598" w:rsidP="00FF70CE">
            <w:pPr>
              <w:ind w:right="-109"/>
              <w:jc w:val="center"/>
              <w:rPr>
                <w:rFonts w:asciiTheme="majorBidi" w:hAnsiTheme="majorBidi" w:cstheme="majorBidi"/>
                <w:sz w:val="20"/>
                <w:szCs w:val="20"/>
                <w:lang w:val="en-US" w:bidi="ar-AE"/>
              </w:rPr>
            </w:pPr>
          </w:p>
        </w:tc>
      </w:tr>
      <w:tr w:rsidR="008D3598" w:rsidRPr="00511330" w14:paraId="644168C8" w14:textId="77777777" w:rsidTr="00E131E4">
        <w:tc>
          <w:tcPr>
            <w:tcW w:w="1260" w:type="dxa"/>
            <w:shd w:val="clear" w:color="auto" w:fill="auto"/>
            <w:vAlign w:val="center"/>
          </w:tcPr>
          <w:p w14:paraId="644168C2" w14:textId="77777777" w:rsidR="008D3598" w:rsidRPr="00511330" w:rsidRDefault="008D3598" w:rsidP="00162109">
            <w:pPr>
              <w:ind w:right="-450"/>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bidi="ar-AE"/>
              </w:rPr>
              <w:t>APCS</w:t>
            </w:r>
          </w:p>
        </w:tc>
        <w:tc>
          <w:tcPr>
            <w:tcW w:w="1170" w:type="dxa"/>
            <w:shd w:val="clear" w:color="auto" w:fill="auto"/>
            <w:vAlign w:val="center"/>
          </w:tcPr>
          <w:p w14:paraId="644168C3" w14:textId="77777777" w:rsidR="008D3598" w:rsidRPr="00511330" w:rsidRDefault="008D3598" w:rsidP="00FF70CE">
            <w:pPr>
              <w:ind w:right="-10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.82</w:t>
            </w:r>
          </w:p>
        </w:tc>
        <w:tc>
          <w:tcPr>
            <w:tcW w:w="1260" w:type="dxa"/>
            <w:shd w:val="clear" w:color="auto" w:fill="auto"/>
            <w:vAlign w:val="center"/>
          </w:tcPr>
          <w:p w14:paraId="644168C4" w14:textId="77777777" w:rsidR="008D3598" w:rsidRPr="00511330" w:rsidRDefault="008D3598" w:rsidP="00FF70CE">
            <w:pPr>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.44</w:t>
            </w:r>
          </w:p>
        </w:tc>
        <w:tc>
          <w:tcPr>
            <w:tcW w:w="1350" w:type="dxa"/>
            <w:shd w:val="clear" w:color="auto" w:fill="auto"/>
            <w:vAlign w:val="center"/>
          </w:tcPr>
          <w:p w14:paraId="644168C5" w14:textId="77777777" w:rsidR="008D3598" w:rsidRPr="00511330" w:rsidRDefault="008D3598" w:rsidP="00FF70CE">
            <w:pPr>
              <w:ind w:right="-7"/>
              <w:jc w:val="center"/>
              <w:rPr>
                <w:rFonts w:asciiTheme="majorBidi" w:hAnsiTheme="majorBidi" w:cstheme="majorBidi"/>
                <w:sz w:val="20"/>
                <w:szCs w:val="20"/>
                <w:lang w:val="en-US" w:bidi="ar-AE"/>
              </w:rPr>
            </w:pPr>
            <w:r w:rsidRPr="00511330">
              <w:rPr>
                <w:rFonts w:asciiTheme="majorBidi" w:hAnsiTheme="majorBidi" w:cstheme="majorBidi"/>
                <w:color w:val="000000"/>
                <w:sz w:val="20"/>
                <w:szCs w:val="20"/>
                <w:lang w:val="en-US"/>
              </w:rPr>
              <w:t>.631</w:t>
            </w:r>
            <w:r w:rsidRPr="00511330">
              <w:rPr>
                <w:rFonts w:asciiTheme="majorBidi" w:hAnsiTheme="majorBidi" w:cstheme="majorBidi"/>
                <w:color w:val="000000"/>
                <w:sz w:val="20"/>
                <w:szCs w:val="20"/>
                <w:vertAlign w:val="superscript"/>
                <w:lang w:val="en-US"/>
              </w:rPr>
              <w:t>**</w:t>
            </w:r>
          </w:p>
        </w:tc>
        <w:tc>
          <w:tcPr>
            <w:tcW w:w="1260" w:type="dxa"/>
            <w:shd w:val="clear" w:color="auto" w:fill="auto"/>
            <w:vAlign w:val="center"/>
          </w:tcPr>
          <w:p w14:paraId="644168C6" w14:textId="77777777" w:rsidR="008D3598" w:rsidRPr="00511330" w:rsidRDefault="008D3598" w:rsidP="00FF70CE">
            <w:pPr>
              <w:ind w:right="-18"/>
              <w:jc w:val="center"/>
              <w:rPr>
                <w:rFonts w:asciiTheme="majorBidi" w:hAnsiTheme="majorBidi" w:cstheme="majorBidi"/>
                <w:sz w:val="20"/>
                <w:szCs w:val="20"/>
                <w:lang w:val="en-US" w:bidi="ar-AE"/>
              </w:rPr>
            </w:pPr>
            <w:r w:rsidRPr="00511330">
              <w:rPr>
                <w:rFonts w:asciiTheme="majorBidi" w:hAnsiTheme="majorBidi" w:cstheme="majorBidi"/>
                <w:color w:val="000000"/>
                <w:sz w:val="20"/>
                <w:szCs w:val="20"/>
                <w:lang w:val="en-US"/>
              </w:rPr>
              <w:t>.813</w:t>
            </w:r>
            <w:r w:rsidRPr="00511330">
              <w:rPr>
                <w:rFonts w:asciiTheme="majorBidi" w:hAnsiTheme="majorBidi" w:cstheme="majorBidi"/>
                <w:color w:val="000000"/>
                <w:sz w:val="20"/>
                <w:szCs w:val="20"/>
                <w:vertAlign w:val="superscript"/>
                <w:lang w:val="en-US"/>
              </w:rPr>
              <w:t>**</w:t>
            </w:r>
          </w:p>
        </w:tc>
        <w:tc>
          <w:tcPr>
            <w:tcW w:w="1440" w:type="dxa"/>
            <w:shd w:val="clear" w:color="auto" w:fill="auto"/>
            <w:vAlign w:val="center"/>
          </w:tcPr>
          <w:p w14:paraId="644168C7" w14:textId="77777777" w:rsidR="008D3598" w:rsidRPr="00511330" w:rsidRDefault="008D3598" w:rsidP="00FF70CE">
            <w:pPr>
              <w:ind w:right="-109"/>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1</w:t>
            </w:r>
          </w:p>
        </w:tc>
      </w:tr>
    </w:tbl>
    <w:p w14:paraId="644168C9" w14:textId="77777777" w:rsidR="008D3598" w:rsidRPr="00511330" w:rsidRDefault="008D3598" w:rsidP="00E131E4">
      <w:pPr>
        <w:ind w:right="-450"/>
        <w:jc w:val="both"/>
        <w:rPr>
          <w:rFonts w:asciiTheme="majorBidi" w:hAnsiTheme="majorBidi" w:cstheme="majorBidi"/>
          <w:b/>
          <w:bCs/>
          <w:lang w:val="en-US"/>
        </w:rPr>
      </w:pPr>
      <w:r w:rsidRPr="00511330">
        <w:rPr>
          <w:rFonts w:asciiTheme="majorBidi" w:hAnsiTheme="majorBidi" w:cstheme="majorBidi"/>
          <w:color w:val="000000"/>
          <w:sz w:val="18"/>
          <w:szCs w:val="18"/>
          <w:lang w:val="en-US"/>
        </w:rPr>
        <w:t>** Correlation is significant at the 0.01 level (2-tailed).</w:t>
      </w:r>
    </w:p>
    <w:p w14:paraId="644168CA" w14:textId="77777777" w:rsidR="008D3598" w:rsidRPr="00511330" w:rsidRDefault="008D3598" w:rsidP="00E131E4">
      <w:pPr>
        <w:spacing w:after="0" w:line="240" w:lineRule="auto"/>
        <w:ind w:right="-450"/>
        <w:jc w:val="both"/>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 xml:space="preserve">Note. CR = </w:t>
      </w:r>
      <w:r w:rsidRPr="00511330">
        <w:rPr>
          <w:rFonts w:asciiTheme="majorBidi" w:eastAsia="Calibri" w:hAnsiTheme="majorBidi" w:cstheme="majorBidi"/>
          <w:sz w:val="20"/>
          <w:szCs w:val="20"/>
          <w:lang w:val="en-US"/>
        </w:rPr>
        <w:t>composite reliability</w:t>
      </w:r>
      <w:r w:rsidRPr="00511330">
        <w:rPr>
          <w:rFonts w:asciiTheme="majorBidi" w:eastAsia="Calibri" w:hAnsiTheme="majorBidi" w:cstheme="majorBidi"/>
          <w:b/>
          <w:bCs/>
          <w:sz w:val="20"/>
          <w:szCs w:val="20"/>
          <w:lang w:val="en-US"/>
        </w:rPr>
        <w:t xml:space="preserve">; AVE = </w:t>
      </w:r>
      <w:r w:rsidRPr="00511330">
        <w:rPr>
          <w:rFonts w:asciiTheme="majorBidi" w:eastAsia="Calibri" w:hAnsiTheme="majorBidi" w:cstheme="majorBidi"/>
          <w:sz w:val="20"/>
          <w:szCs w:val="20"/>
          <w:lang w:val="en-US"/>
        </w:rPr>
        <w:t>average variance extracted</w:t>
      </w:r>
      <w:r w:rsidRPr="00511330">
        <w:rPr>
          <w:rFonts w:asciiTheme="majorBidi" w:eastAsia="Calibri" w:hAnsiTheme="majorBidi" w:cstheme="majorBidi"/>
          <w:b/>
          <w:bCs/>
          <w:sz w:val="20"/>
          <w:szCs w:val="20"/>
          <w:lang w:val="en-US"/>
        </w:rPr>
        <w:t xml:space="preserve">; </w:t>
      </w:r>
      <w:r w:rsidRPr="00511330">
        <w:rPr>
          <w:rFonts w:asciiTheme="majorBidi" w:eastAsia="Calibri" w:hAnsiTheme="majorBidi" w:cstheme="majorBidi"/>
          <w:b/>
          <w:bCs/>
          <w:sz w:val="20"/>
          <w:szCs w:val="20"/>
          <w:lang w:val="en-US" w:bidi="ar-AE"/>
        </w:rPr>
        <w:t xml:space="preserve">AVFS = </w:t>
      </w:r>
      <w:r w:rsidRPr="00511330">
        <w:rPr>
          <w:rFonts w:asciiTheme="majorBidi" w:eastAsia="Calibri" w:hAnsiTheme="majorBidi" w:cstheme="majorBidi"/>
          <w:sz w:val="20"/>
          <w:szCs w:val="20"/>
          <w:lang w:val="en-US" w:bidi="ar-AE"/>
        </w:rPr>
        <w:t>Affiliate viability, Feasibility &amp; satisfactory</w:t>
      </w:r>
      <w:r w:rsidRPr="00511330">
        <w:rPr>
          <w:rFonts w:asciiTheme="majorBidi" w:eastAsia="Calibri" w:hAnsiTheme="majorBidi" w:cstheme="majorBidi"/>
          <w:b/>
          <w:bCs/>
          <w:sz w:val="20"/>
          <w:szCs w:val="20"/>
          <w:lang w:val="en-US" w:bidi="ar-AE"/>
        </w:rPr>
        <w:t xml:space="preserve">; TEFV = </w:t>
      </w:r>
      <w:r w:rsidRPr="00511330">
        <w:rPr>
          <w:rFonts w:asciiTheme="majorBidi" w:eastAsia="Calibri" w:hAnsiTheme="majorBidi" w:cstheme="majorBidi"/>
          <w:sz w:val="20"/>
          <w:szCs w:val="20"/>
          <w:lang w:val="en-US" w:bidi="ar-AE"/>
        </w:rPr>
        <w:t>Trust and evolving with future visions</w:t>
      </w:r>
      <w:r w:rsidRPr="00511330">
        <w:rPr>
          <w:rFonts w:asciiTheme="majorBidi" w:eastAsia="Calibri" w:hAnsiTheme="majorBidi" w:cstheme="majorBidi"/>
          <w:b/>
          <w:bCs/>
          <w:sz w:val="20"/>
          <w:szCs w:val="20"/>
          <w:lang w:val="en-US" w:bidi="ar-AE"/>
        </w:rPr>
        <w:t xml:space="preserve"> and APCS=</w:t>
      </w:r>
      <w:r w:rsidRPr="00511330">
        <w:rPr>
          <w:rFonts w:asciiTheme="majorBidi" w:eastAsia="Calibri" w:hAnsiTheme="majorBidi" w:cstheme="majorBidi"/>
          <w:sz w:val="20"/>
          <w:szCs w:val="20"/>
          <w:lang w:val="en-US"/>
        </w:rPr>
        <w:t xml:space="preserve"> </w:t>
      </w:r>
      <w:r w:rsidRPr="00511330">
        <w:rPr>
          <w:rFonts w:asciiTheme="majorBidi" w:eastAsia="Calibri" w:hAnsiTheme="majorBidi" w:cstheme="majorBidi"/>
          <w:sz w:val="20"/>
          <w:szCs w:val="20"/>
          <w:lang w:val="en-US" w:bidi="ar-AE"/>
        </w:rPr>
        <w:t>Aligning Perpetual change &amp; Sustainability</w:t>
      </w:r>
      <w:r w:rsidRPr="00511330">
        <w:rPr>
          <w:rFonts w:asciiTheme="majorBidi" w:eastAsia="Calibri" w:hAnsiTheme="majorBidi" w:cstheme="majorBidi"/>
          <w:b/>
          <w:bCs/>
          <w:sz w:val="20"/>
          <w:szCs w:val="20"/>
          <w:lang w:val="en-US"/>
        </w:rPr>
        <w:t>. The italicized values on the diagonal indicate the square roots of the AVE.</w:t>
      </w:r>
    </w:p>
    <w:p w14:paraId="644168CB" w14:textId="77777777" w:rsidR="008D3598" w:rsidRPr="00511330" w:rsidRDefault="008D3598" w:rsidP="00565846">
      <w:pPr>
        <w:keepNext/>
        <w:keepLines/>
        <w:spacing w:before="200" w:after="0" w:line="360" w:lineRule="auto"/>
        <w:ind w:left="720" w:right="-450" w:hanging="720"/>
        <w:outlineLvl w:val="1"/>
        <w:rPr>
          <w:rFonts w:asciiTheme="majorBidi" w:eastAsiaTheme="majorEastAsia" w:hAnsiTheme="majorBidi" w:cstheme="majorBidi"/>
          <w:b/>
          <w:bCs/>
          <w:vanish/>
          <w:sz w:val="28"/>
          <w:szCs w:val="26"/>
          <w:lang w:val="en-US"/>
        </w:rPr>
      </w:pPr>
    </w:p>
    <w:p w14:paraId="644168CC" w14:textId="77777777" w:rsidR="008D3598" w:rsidRPr="00511330" w:rsidRDefault="008D3598" w:rsidP="00721566">
      <w:pPr>
        <w:pStyle w:val="Heading2"/>
        <w:numPr>
          <w:ilvl w:val="1"/>
          <w:numId w:val="15"/>
        </w:numPr>
        <w:ind w:left="540" w:right="-450"/>
        <w:rPr>
          <w:lang w:val="en-US"/>
        </w:rPr>
      </w:pPr>
      <w:bookmarkStart w:id="901" w:name="_Toc43311644"/>
      <w:r w:rsidRPr="00511330">
        <w:rPr>
          <w:lang w:val="en-US"/>
        </w:rPr>
        <w:t>Quantitative Analysis of Enablers</w:t>
      </w:r>
      <w:bookmarkStart w:id="902" w:name="_Toc32090445"/>
      <w:bookmarkStart w:id="903" w:name="_Toc32090774"/>
      <w:bookmarkStart w:id="904" w:name="_Toc32091690"/>
      <w:bookmarkStart w:id="905" w:name="_Toc32090446"/>
      <w:bookmarkStart w:id="906" w:name="_Toc32090775"/>
      <w:bookmarkStart w:id="907" w:name="_Toc32091691"/>
      <w:bookmarkStart w:id="908" w:name="_Toc32090447"/>
      <w:bookmarkStart w:id="909" w:name="_Toc32090776"/>
      <w:bookmarkStart w:id="910" w:name="_Toc32091692"/>
      <w:bookmarkStart w:id="911" w:name="_Toc32090448"/>
      <w:bookmarkStart w:id="912" w:name="_Toc32090777"/>
      <w:bookmarkStart w:id="913" w:name="_Toc32091693"/>
      <w:bookmarkStart w:id="914" w:name="_Toc32090449"/>
      <w:bookmarkStart w:id="915" w:name="_Toc32090778"/>
      <w:bookmarkStart w:id="916" w:name="_Toc32091694"/>
      <w:bookmarkStart w:id="917" w:name="_Toc32090450"/>
      <w:bookmarkStart w:id="918" w:name="_Toc32090779"/>
      <w:bookmarkStart w:id="919" w:name="_Toc32091695"/>
      <w:bookmarkStart w:id="920" w:name="_Toc32090451"/>
      <w:bookmarkStart w:id="921" w:name="_Toc32090780"/>
      <w:bookmarkStart w:id="922" w:name="_Toc32091696"/>
      <w:bookmarkStart w:id="923" w:name="_Toc32090452"/>
      <w:bookmarkStart w:id="924" w:name="_Toc32090781"/>
      <w:bookmarkStart w:id="925" w:name="_Toc32091697"/>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644168CD" w14:textId="77777777" w:rsidR="008D3598" w:rsidRPr="00511330" w:rsidRDefault="008D3598" w:rsidP="00721566">
      <w:pPr>
        <w:pStyle w:val="Heading3"/>
        <w:numPr>
          <w:ilvl w:val="2"/>
          <w:numId w:val="16"/>
        </w:numPr>
        <w:spacing w:line="480" w:lineRule="auto"/>
        <w:ind w:left="720" w:right="-450"/>
        <w:rPr>
          <w:rFonts w:eastAsia="Calibri"/>
          <w:lang w:val="en-US"/>
        </w:rPr>
      </w:pPr>
      <w:bookmarkStart w:id="926" w:name="_Toc43311645"/>
      <w:r w:rsidRPr="00511330">
        <w:rPr>
          <w:lang w:val="en-US"/>
        </w:rPr>
        <w:t>Explanatory Factor Analysis (EFA) Results</w:t>
      </w:r>
      <w:bookmarkEnd w:id="926"/>
    </w:p>
    <w:p w14:paraId="644168CE" w14:textId="0760E25F" w:rsidR="008D3598" w:rsidRPr="00511330" w:rsidRDefault="008D3598" w:rsidP="00721566">
      <w:pPr>
        <w:spacing w:after="0" w:line="480" w:lineRule="auto"/>
        <w:ind w:right="-450"/>
        <w:jc w:val="both"/>
        <w:rPr>
          <w:rFonts w:asciiTheme="majorBidi" w:eastAsia="Calibri" w:hAnsiTheme="majorBidi" w:cstheme="majorBidi"/>
          <w:kern w:val="16"/>
          <w:sz w:val="24"/>
          <w:szCs w:val="24"/>
          <w:lang w:val="en-US"/>
        </w:rPr>
      </w:pPr>
      <w:r w:rsidRPr="00511330">
        <w:rPr>
          <w:rFonts w:asciiTheme="majorBidi" w:eastAsia="Calibri" w:hAnsiTheme="majorBidi" w:cstheme="majorBidi"/>
          <w:kern w:val="16"/>
          <w:sz w:val="24"/>
          <w:szCs w:val="24"/>
          <w:lang w:val="en-US"/>
        </w:rPr>
        <w:t xml:space="preserve">This analysis involved top management, employees </w:t>
      </w:r>
      <w:r w:rsidRPr="00511330">
        <w:rPr>
          <w:rFonts w:asciiTheme="majorBidi" w:eastAsia="Calibri" w:hAnsiTheme="majorBidi" w:cstheme="majorBidi"/>
          <w:noProof/>
          <w:kern w:val="16"/>
          <w:sz w:val="24"/>
          <w:szCs w:val="24"/>
          <w:lang w:val="en-US"/>
        </w:rPr>
        <w:t>and</w:t>
      </w:r>
      <w:r w:rsidRPr="00511330">
        <w:rPr>
          <w:rFonts w:asciiTheme="majorBidi" w:eastAsia="Calibri" w:hAnsiTheme="majorBidi" w:cstheme="majorBidi"/>
          <w:kern w:val="16"/>
          <w:sz w:val="24"/>
          <w:szCs w:val="24"/>
          <w:lang w:val="en-US"/>
        </w:rPr>
        <w:t xml:space="preserve"> customers in the energy sectors organization. Prior to the analysis, several tests were conducted to determine the suitability of the data. Several conditions must be met prior to testing whether the items are suitable to run the analysis. The test includes </w:t>
      </w:r>
      <w:r w:rsidRPr="00511330">
        <w:rPr>
          <w:rFonts w:asciiTheme="majorBidi" w:eastAsia="Calibri" w:hAnsiTheme="majorBidi" w:cstheme="majorBidi"/>
          <w:noProof/>
          <w:kern w:val="16"/>
          <w:sz w:val="24"/>
          <w:szCs w:val="24"/>
          <w:lang w:val="en-US"/>
        </w:rPr>
        <w:t>Kaiser</w:t>
      </w:r>
      <w:r w:rsidRPr="00511330">
        <w:rPr>
          <w:rFonts w:asciiTheme="majorBidi" w:eastAsia="Calibri" w:hAnsiTheme="majorBidi" w:cstheme="majorBidi"/>
          <w:kern w:val="16"/>
          <w:sz w:val="24"/>
          <w:szCs w:val="24"/>
          <w:lang w:val="en-US"/>
        </w:rPr>
        <w:t xml:space="preserve">–Meyer–Olkin (KMO) </w:t>
      </w:r>
      <w:r w:rsidRPr="00511330">
        <w:rPr>
          <w:rFonts w:asciiTheme="majorBidi" w:eastAsia="Calibri" w:hAnsiTheme="majorBidi" w:cstheme="majorBidi"/>
          <w:noProof/>
          <w:kern w:val="16"/>
          <w:sz w:val="24"/>
          <w:szCs w:val="24"/>
          <w:lang w:val="en-US"/>
        </w:rPr>
        <w:t>Test</w:t>
      </w:r>
      <w:r w:rsidRPr="00511330">
        <w:rPr>
          <w:rFonts w:asciiTheme="majorBidi" w:eastAsia="Calibri" w:hAnsiTheme="majorBidi" w:cstheme="majorBidi"/>
          <w:kern w:val="16"/>
          <w:sz w:val="24"/>
          <w:szCs w:val="24"/>
          <w:lang w:val="en-US"/>
        </w:rPr>
        <w:t xml:space="preserve"> and Bartlett’s Test of Sphericity. The results are shown in Table 4.23.</w:t>
      </w:r>
    </w:p>
    <w:p w14:paraId="644168CF" w14:textId="22B1DEAA" w:rsidR="008D3598" w:rsidRPr="00511330" w:rsidRDefault="008D3598" w:rsidP="000E2E80">
      <w:pPr>
        <w:pStyle w:val="Caption"/>
        <w:keepNext/>
        <w:spacing w:after="0"/>
        <w:ind w:right="-450"/>
        <w:rPr>
          <w:rFonts w:asciiTheme="majorBidi" w:hAnsiTheme="majorBidi" w:cstheme="majorBidi"/>
          <w:b w:val="0"/>
          <w:bCs w:val="0"/>
          <w:color w:val="auto"/>
          <w:sz w:val="20"/>
          <w:szCs w:val="20"/>
          <w:lang w:val="en-US"/>
        </w:rPr>
      </w:pPr>
      <w:bookmarkStart w:id="927" w:name="_Toc43310913"/>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23</w:t>
      </w:r>
      <w:r w:rsidRPr="00511330">
        <w:rPr>
          <w:rFonts w:asciiTheme="majorBidi" w:hAnsiTheme="majorBidi" w:cstheme="majorBidi"/>
          <w:b w:val="0"/>
          <w:bCs w:val="0"/>
          <w:color w:val="auto"/>
          <w:sz w:val="20"/>
          <w:szCs w:val="20"/>
          <w:lang w:val="en-US"/>
        </w:rPr>
        <w:fldChar w:fldCharType="end"/>
      </w:r>
      <w:r w:rsidR="00D260CB"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KMO Test and Bartlett’s Test for Change Enablers</w:t>
      </w:r>
      <w:bookmarkEnd w:id="927"/>
    </w:p>
    <w:tbl>
      <w:tblPr>
        <w:tblStyle w:val="TableGrid1"/>
        <w:tblW w:w="78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351"/>
        <w:gridCol w:w="2520"/>
        <w:gridCol w:w="1959"/>
      </w:tblGrid>
      <w:tr w:rsidR="008D3598" w:rsidRPr="00511330" w14:paraId="644168D3" w14:textId="77777777" w:rsidTr="000E2E80">
        <w:tc>
          <w:tcPr>
            <w:tcW w:w="3351" w:type="dxa"/>
            <w:vMerge w:val="restart"/>
            <w:shd w:val="clear" w:color="auto" w:fill="F2F2F2" w:themeFill="background1" w:themeFillShade="F2"/>
            <w:vAlign w:val="center"/>
          </w:tcPr>
          <w:p w14:paraId="644168D0" w14:textId="77777777" w:rsidR="008D3598" w:rsidRPr="00511330" w:rsidRDefault="008D3598" w:rsidP="00721566">
            <w:pPr>
              <w:spacing w:line="480" w:lineRule="auto"/>
              <w:ind w:right="-450"/>
              <w:jc w:val="both"/>
              <w:rPr>
                <w:rFonts w:asciiTheme="majorBidi" w:eastAsia="Calibri" w:hAnsiTheme="majorBidi" w:cstheme="majorBidi"/>
                <w:color w:val="FF0000"/>
                <w:sz w:val="20"/>
                <w:szCs w:val="20"/>
                <w:lang w:val="en-US"/>
              </w:rPr>
            </w:pPr>
            <w:r w:rsidRPr="00511330">
              <w:rPr>
                <w:rFonts w:asciiTheme="majorBidi" w:eastAsia="Calibri" w:hAnsiTheme="majorBidi" w:cstheme="majorBidi"/>
                <w:sz w:val="20"/>
                <w:szCs w:val="20"/>
                <w:lang w:val="en-US"/>
              </w:rPr>
              <w:t>Bartlett’s Test of Sphericity</w:t>
            </w:r>
          </w:p>
        </w:tc>
        <w:tc>
          <w:tcPr>
            <w:tcW w:w="2520" w:type="dxa"/>
            <w:vAlign w:val="center"/>
          </w:tcPr>
          <w:p w14:paraId="644168D1" w14:textId="77777777" w:rsidR="008D3598" w:rsidRPr="00511330" w:rsidRDefault="008D3598" w:rsidP="000E2E80">
            <w:pPr>
              <w:ind w:right="-8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KMO</w:t>
            </w:r>
          </w:p>
        </w:tc>
        <w:tc>
          <w:tcPr>
            <w:tcW w:w="1959" w:type="dxa"/>
            <w:vAlign w:val="center"/>
          </w:tcPr>
          <w:p w14:paraId="644168D2" w14:textId="77777777" w:rsidR="008D3598" w:rsidRPr="00511330" w:rsidRDefault="008D3598" w:rsidP="000E2E80">
            <w:pPr>
              <w:ind w:right="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0.950</w:t>
            </w:r>
          </w:p>
        </w:tc>
      </w:tr>
      <w:tr w:rsidR="008D3598" w:rsidRPr="00511330" w14:paraId="644168D7" w14:textId="77777777" w:rsidTr="000E2E80">
        <w:tc>
          <w:tcPr>
            <w:tcW w:w="3351" w:type="dxa"/>
            <w:vMerge/>
            <w:shd w:val="clear" w:color="auto" w:fill="F2F2F2" w:themeFill="background1" w:themeFillShade="F2"/>
            <w:vAlign w:val="center"/>
          </w:tcPr>
          <w:p w14:paraId="644168D4" w14:textId="77777777" w:rsidR="008D3598" w:rsidRPr="00511330" w:rsidRDefault="008D3598" w:rsidP="00721566">
            <w:pPr>
              <w:spacing w:line="480" w:lineRule="auto"/>
              <w:ind w:right="-450"/>
              <w:jc w:val="both"/>
              <w:rPr>
                <w:rFonts w:asciiTheme="majorBidi" w:eastAsia="Calibri" w:hAnsiTheme="majorBidi" w:cstheme="majorBidi"/>
                <w:color w:val="FF0000"/>
                <w:sz w:val="20"/>
                <w:szCs w:val="20"/>
                <w:lang w:val="en-US"/>
              </w:rPr>
            </w:pPr>
          </w:p>
        </w:tc>
        <w:tc>
          <w:tcPr>
            <w:tcW w:w="2520" w:type="dxa"/>
            <w:vAlign w:val="center"/>
          </w:tcPr>
          <w:p w14:paraId="644168D5" w14:textId="77777777" w:rsidR="008D3598" w:rsidRPr="00511330" w:rsidRDefault="008D3598" w:rsidP="000E2E80">
            <w:pPr>
              <w:ind w:right="-8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Approx. </w:t>
            </w:r>
            <w:r w:rsidRPr="00511330">
              <w:rPr>
                <w:rFonts w:asciiTheme="majorBidi" w:eastAsia="Calibri" w:hAnsiTheme="majorBidi" w:cstheme="majorBidi"/>
                <w:noProof/>
                <w:sz w:val="20"/>
                <w:szCs w:val="20"/>
                <w:lang w:val="en-US"/>
              </w:rPr>
              <w:t>Chi Square</w:t>
            </w:r>
          </w:p>
        </w:tc>
        <w:tc>
          <w:tcPr>
            <w:tcW w:w="1959" w:type="dxa"/>
            <w:vAlign w:val="center"/>
          </w:tcPr>
          <w:p w14:paraId="644168D6" w14:textId="77777777" w:rsidR="008D3598" w:rsidRPr="00511330" w:rsidRDefault="008D3598" w:rsidP="000E2E80">
            <w:pPr>
              <w:ind w:right="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5786.583</w:t>
            </w:r>
          </w:p>
        </w:tc>
      </w:tr>
      <w:tr w:rsidR="008D3598" w:rsidRPr="00511330" w14:paraId="644168DB" w14:textId="77777777" w:rsidTr="000E2E80">
        <w:tc>
          <w:tcPr>
            <w:tcW w:w="3351" w:type="dxa"/>
            <w:vMerge/>
            <w:shd w:val="clear" w:color="auto" w:fill="F2F2F2" w:themeFill="background1" w:themeFillShade="F2"/>
          </w:tcPr>
          <w:p w14:paraId="644168D8" w14:textId="77777777" w:rsidR="008D3598" w:rsidRPr="00511330" w:rsidRDefault="008D3598" w:rsidP="00721566">
            <w:pPr>
              <w:spacing w:line="480" w:lineRule="auto"/>
              <w:ind w:right="-450"/>
              <w:jc w:val="both"/>
              <w:rPr>
                <w:rFonts w:asciiTheme="majorBidi" w:eastAsia="Calibri" w:hAnsiTheme="majorBidi" w:cstheme="majorBidi"/>
                <w:color w:val="FF0000"/>
                <w:sz w:val="20"/>
                <w:szCs w:val="20"/>
                <w:lang w:val="en-US"/>
              </w:rPr>
            </w:pPr>
          </w:p>
        </w:tc>
        <w:tc>
          <w:tcPr>
            <w:tcW w:w="2520" w:type="dxa"/>
            <w:vAlign w:val="center"/>
          </w:tcPr>
          <w:p w14:paraId="644168D9" w14:textId="77777777" w:rsidR="008D3598" w:rsidRPr="00511330" w:rsidRDefault="008D3598" w:rsidP="000E2E80">
            <w:pPr>
              <w:ind w:right="-8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Df</w:t>
            </w:r>
          </w:p>
        </w:tc>
        <w:tc>
          <w:tcPr>
            <w:tcW w:w="1959" w:type="dxa"/>
            <w:vAlign w:val="center"/>
          </w:tcPr>
          <w:p w14:paraId="644168DA" w14:textId="77777777" w:rsidR="008D3598" w:rsidRPr="00511330" w:rsidRDefault="008D3598" w:rsidP="000E2E80">
            <w:pPr>
              <w:ind w:right="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325</w:t>
            </w:r>
          </w:p>
        </w:tc>
      </w:tr>
      <w:tr w:rsidR="008D3598" w:rsidRPr="00511330" w14:paraId="644168DF" w14:textId="77777777" w:rsidTr="000E2E80">
        <w:trPr>
          <w:trHeight w:val="297"/>
        </w:trPr>
        <w:tc>
          <w:tcPr>
            <w:tcW w:w="3351" w:type="dxa"/>
            <w:vMerge/>
            <w:shd w:val="clear" w:color="auto" w:fill="F2F2F2" w:themeFill="background1" w:themeFillShade="F2"/>
          </w:tcPr>
          <w:p w14:paraId="644168DC" w14:textId="77777777" w:rsidR="008D3598" w:rsidRPr="00511330" w:rsidRDefault="008D3598" w:rsidP="00721566">
            <w:pPr>
              <w:spacing w:line="480" w:lineRule="auto"/>
              <w:ind w:right="-450"/>
              <w:jc w:val="both"/>
              <w:rPr>
                <w:rFonts w:asciiTheme="majorBidi" w:eastAsia="Calibri" w:hAnsiTheme="majorBidi" w:cstheme="majorBidi"/>
                <w:color w:val="FF0000"/>
                <w:sz w:val="20"/>
                <w:szCs w:val="20"/>
                <w:lang w:val="en-US"/>
              </w:rPr>
            </w:pPr>
          </w:p>
        </w:tc>
        <w:tc>
          <w:tcPr>
            <w:tcW w:w="2520" w:type="dxa"/>
            <w:vAlign w:val="center"/>
          </w:tcPr>
          <w:p w14:paraId="644168DD" w14:textId="77777777" w:rsidR="008D3598" w:rsidRPr="00511330" w:rsidRDefault="008D3598" w:rsidP="000E2E80">
            <w:pPr>
              <w:ind w:right="-87"/>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Sig</w:t>
            </w:r>
          </w:p>
        </w:tc>
        <w:tc>
          <w:tcPr>
            <w:tcW w:w="1959" w:type="dxa"/>
            <w:vAlign w:val="center"/>
          </w:tcPr>
          <w:p w14:paraId="644168DE" w14:textId="77777777" w:rsidR="008D3598" w:rsidRPr="00511330" w:rsidRDefault="008D3598" w:rsidP="000E2E80">
            <w:pPr>
              <w:ind w:right="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0.000</w:t>
            </w:r>
          </w:p>
        </w:tc>
      </w:tr>
    </w:tbl>
    <w:p w14:paraId="644168E1" w14:textId="77777777" w:rsidR="008D3598" w:rsidRPr="00511330" w:rsidRDefault="008D3598" w:rsidP="000E2E80">
      <w:pPr>
        <w:spacing w:before="240"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The Kaiser–Meyer–Olkin Test (KMO &gt; 0.50) shows that these items are suitable for the factor analysis performed and show no serious multicollinearity problems in the data. Bartlett’s Test of Sphericity (Sig. &lt; 0.05) demonstrates that the correlation between the items is sufficient to run the factor analysis. After the two tests were performed, EFA was used with the principal component analysis extraction method and Varimax rotation on the 26-item instrument. The number of factors to retain was based on a combination of methods (e.g. eigenvalue &gt; 1.0, scree plot) and the theoretical salience of the rotated factors. Items should </w:t>
      </w:r>
      <w:r w:rsidRPr="00511330">
        <w:rPr>
          <w:rFonts w:asciiTheme="majorBidi" w:eastAsia="Calibri" w:hAnsiTheme="majorBidi" w:cstheme="majorBidi"/>
          <w:sz w:val="24"/>
          <w:szCs w:val="24"/>
          <w:lang w:val="en-US"/>
        </w:rPr>
        <w:lastRenderedPageBreak/>
        <w:t xml:space="preserve">preferably load greater than 0.40 on the relevant factor and less than 0.40 on all other factors (Stevens, 2012). All the 23-item instrument of change management enablers accounted for 62,337 </w:t>
      </w:r>
      <w:r w:rsidRPr="00511330">
        <w:rPr>
          <w:rFonts w:asciiTheme="majorBidi" w:eastAsia="Calibri" w:hAnsiTheme="majorBidi" w:cstheme="majorBidi"/>
          <w:noProof/>
          <w:sz w:val="24"/>
          <w:szCs w:val="24"/>
          <w:lang w:val="en-US"/>
        </w:rPr>
        <w:t>percent</w:t>
      </w:r>
      <w:r w:rsidRPr="00511330">
        <w:rPr>
          <w:rFonts w:asciiTheme="majorBidi" w:eastAsia="Calibri" w:hAnsiTheme="majorBidi" w:cstheme="majorBidi"/>
          <w:sz w:val="24"/>
          <w:szCs w:val="24"/>
          <w:lang w:val="en-US"/>
        </w:rPr>
        <w:t xml:space="preserve"> of the variance in responses. The factor pattern and items loadings are presented in the following Rotated-Component-Matrix (Table 4.24). </w:t>
      </w:r>
    </w:p>
    <w:p w14:paraId="644168E2" w14:textId="24663E1F" w:rsidR="008D3598" w:rsidRPr="00511330" w:rsidRDefault="008D3598" w:rsidP="000E2E80">
      <w:pPr>
        <w:pStyle w:val="Caption"/>
        <w:keepNext/>
        <w:spacing w:after="0"/>
        <w:ind w:left="90" w:right="-450"/>
        <w:rPr>
          <w:rFonts w:asciiTheme="majorBidi" w:hAnsiTheme="majorBidi" w:cstheme="majorBidi"/>
          <w:b w:val="0"/>
          <w:bCs w:val="0"/>
          <w:color w:val="auto"/>
          <w:sz w:val="20"/>
          <w:szCs w:val="20"/>
          <w:lang w:val="en-US"/>
        </w:rPr>
      </w:pPr>
      <w:bookmarkStart w:id="928" w:name="_Toc43310914"/>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24</w:t>
      </w:r>
      <w:r w:rsidRPr="00511330">
        <w:rPr>
          <w:rFonts w:asciiTheme="majorBidi" w:hAnsiTheme="majorBidi" w:cstheme="majorBidi"/>
          <w:b w:val="0"/>
          <w:bCs w:val="0"/>
          <w:color w:val="auto"/>
          <w:sz w:val="20"/>
          <w:szCs w:val="20"/>
          <w:lang w:val="en-US"/>
        </w:rPr>
        <w:fldChar w:fldCharType="end"/>
      </w:r>
      <w:r w:rsidR="00997AAC"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Rotated Component Matrix Items on Four Key Enabler Factors</w:t>
      </w:r>
      <w:bookmarkEnd w:id="928"/>
    </w:p>
    <w:tbl>
      <w:tblPr>
        <w:tblStyle w:val="TableGrid1"/>
        <w:tblW w:w="7627" w:type="dxa"/>
        <w:tblInd w:w="108" w:type="dxa"/>
        <w:tblLayout w:type="fixed"/>
        <w:tblLook w:val="04A0" w:firstRow="1" w:lastRow="0" w:firstColumn="1" w:lastColumn="0" w:noHBand="0" w:noVBand="1"/>
      </w:tblPr>
      <w:tblGrid>
        <w:gridCol w:w="787"/>
        <w:gridCol w:w="3240"/>
        <w:gridCol w:w="900"/>
        <w:gridCol w:w="900"/>
        <w:gridCol w:w="900"/>
        <w:gridCol w:w="900"/>
      </w:tblGrid>
      <w:tr w:rsidR="008D3598" w:rsidRPr="00511330" w14:paraId="644168E9" w14:textId="77777777" w:rsidTr="004666D1">
        <w:trPr>
          <w:trHeight w:val="215"/>
        </w:trPr>
        <w:tc>
          <w:tcPr>
            <w:tcW w:w="7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4168E3" w14:textId="77777777" w:rsidR="008D3598" w:rsidRPr="00511330" w:rsidRDefault="008D3598" w:rsidP="00FF70CE">
            <w:pPr>
              <w:ind w:right="-46"/>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Items</w:t>
            </w:r>
          </w:p>
        </w:tc>
        <w:tc>
          <w:tcPr>
            <w:tcW w:w="3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168E4" w14:textId="77777777" w:rsidR="008D3598" w:rsidRPr="00511330" w:rsidRDefault="008D3598" w:rsidP="00721566">
            <w:pPr>
              <w:ind w:right="-450"/>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Discretion</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4168E5" w14:textId="77777777" w:rsidR="008D3598" w:rsidRPr="00511330" w:rsidRDefault="008D3598" w:rsidP="004666D1">
            <w:pPr>
              <w:ind w:right="-450" w:hanging="401"/>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E&amp;S</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4168E6" w14:textId="3A2836FA" w:rsidR="008D3598" w:rsidRPr="00511330" w:rsidRDefault="008D3598" w:rsidP="004666D1">
            <w:pPr>
              <w:ind w:right="-450" w:hanging="311"/>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AS</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4168E7" w14:textId="77777777" w:rsidR="008D3598" w:rsidRPr="00511330" w:rsidRDefault="008D3598" w:rsidP="004666D1">
            <w:pPr>
              <w:ind w:right="-288" w:hanging="401"/>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R&amp;C</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4168E8" w14:textId="77777777" w:rsidR="008D3598" w:rsidRPr="00511330" w:rsidRDefault="008D3598" w:rsidP="004666D1">
            <w:pPr>
              <w:ind w:left="-216" w:right="-288" w:hanging="72"/>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F&amp;F</w:t>
            </w:r>
          </w:p>
        </w:tc>
      </w:tr>
      <w:tr w:rsidR="008D3598" w:rsidRPr="00511330" w14:paraId="644168F0"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8EA"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EN4</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8EB"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Innovative stockholder’s platform interaction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8EC" w14:textId="77777777" w:rsidR="008D3598" w:rsidRPr="00511330" w:rsidRDefault="008D3598" w:rsidP="004666D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0.594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8ED"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8EE"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8EF"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8F7"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8F1"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EN5</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8F2"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Involving the concerns in change process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8F3" w14:textId="77777777" w:rsidR="008D3598" w:rsidRPr="00511330" w:rsidRDefault="008D3598" w:rsidP="004666D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0.678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8F4"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8F5"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8F6"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8FE"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8F8"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EN6</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8F9"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Motivation and rewards system</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8FA" w14:textId="77777777" w:rsidR="008D3598" w:rsidRPr="00511330" w:rsidRDefault="008D3598" w:rsidP="004666D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0.658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8FB"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8FC"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8FD"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05"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8FF"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EN8</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00"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Private/public sector partnership</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01" w14:textId="77777777" w:rsidR="008D3598" w:rsidRPr="00511330" w:rsidRDefault="008D3598" w:rsidP="004666D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0.593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02"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03"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04"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0C"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06"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EN11</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07"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Diverse open culture and attitude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08" w14:textId="77777777" w:rsidR="008D3598" w:rsidRPr="00511330" w:rsidRDefault="008D3598" w:rsidP="004666D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0.592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09"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0A"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0B"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13"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0D"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EN13</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0E"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Legal decrees support and flexibility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0F" w14:textId="77777777" w:rsidR="008D3598" w:rsidRPr="00511330" w:rsidRDefault="008D3598" w:rsidP="004666D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0.495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10"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11"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12"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1A"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14"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EN15</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15"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Supportive structure of processes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16" w14:textId="77777777" w:rsidR="008D3598" w:rsidRPr="00511330" w:rsidRDefault="008D3598" w:rsidP="004666D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0.566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17"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18"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19"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21"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1B"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EN19</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1C"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Dedicated R&amp;D centers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1D" w14:textId="77777777" w:rsidR="008D3598" w:rsidRPr="00511330" w:rsidRDefault="008D3598" w:rsidP="004666D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0.556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1E"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1F"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20"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28"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22"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EN22</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23" w14:textId="77777777" w:rsidR="008D3598" w:rsidRPr="00511330" w:rsidRDefault="008D3598" w:rsidP="00FF70CE">
            <w:pPr>
              <w:ind w:right="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High scenes of loyalty, belonging &amp; citizenship</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24" w14:textId="77777777" w:rsidR="008D3598" w:rsidRPr="00511330" w:rsidRDefault="008D3598" w:rsidP="004666D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0.536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25"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26"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27"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2F"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29"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EN23</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2A" w14:textId="77777777" w:rsidR="008D3598" w:rsidRPr="00511330" w:rsidRDefault="008D3598" w:rsidP="00FF70CE">
            <w:pPr>
              <w:ind w:right="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Dedicated organizational support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2B" w14:textId="77777777" w:rsidR="008D3598" w:rsidRPr="00511330" w:rsidRDefault="008D3598" w:rsidP="004666D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0.547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2C"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2D"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2E"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36"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30"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EN1</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31" w14:textId="77777777" w:rsidR="008D3598" w:rsidRPr="00511330" w:rsidRDefault="008D3598" w:rsidP="00FF70CE">
            <w:pPr>
              <w:ind w:right="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Visioning change direction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32"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33" w14:textId="77777777" w:rsidR="008D3598" w:rsidRPr="00511330" w:rsidRDefault="008D3598" w:rsidP="004666D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0.794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34"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35"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3D"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37"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EN2</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38"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Clear and transparent objectives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39"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3A" w14:textId="77777777" w:rsidR="008D3598" w:rsidRPr="00511330" w:rsidRDefault="008D3598" w:rsidP="004666D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0.809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3B"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3C"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44"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3E"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EN3</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3F"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Planned and gradual implementation approach</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40"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41" w14:textId="77777777" w:rsidR="008D3598" w:rsidRPr="00511330" w:rsidRDefault="008D3598" w:rsidP="004666D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0.718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42"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43"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4B"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45"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EN7</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46"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Peoples’ willingness and enthusiasm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47"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48" w14:textId="77777777" w:rsidR="008D3598" w:rsidRPr="00511330" w:rsidRDefault="008D3598" w:rsidP="004666D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0.483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49"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4A"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52"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4C"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EN21</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4D"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Proper governance system</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4E"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4F" w14:textId="77777777" w:rsidR="008D3598" w:rsidRPr="00511330" w:rsidRDefault="008D3598" w:rsidP="004666D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0.495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50"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51"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59"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53"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EN9</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54"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Government financial support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55"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56"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57" w14:textId="77777777" w:rsidR="008D3598" w:rsidRPr="00511330" w:rsidRDefault="008D3598" w:rsidP="004666D1">
            <w:pPr>
              <w:ind w:right="-288"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0.777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58"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60"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5A"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EN10</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5B"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Availability of resources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5C"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5D"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5E" w14:textId="77777777" w:rsidR="008D3598" w:rsidRPr="00511330" w:rsidRDefault="008D3598" w:rsidP="004666D1">
            <w:pPr>
              <w:ind w:right="-288"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0.566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5F"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67"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61"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EN12</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62"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Sufficient budget allocation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63"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64"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65" w14:textId="77777777" w:rsidR="008D3598" w:rsidRPr="00511330" w:rsidRDefault="008D3598" w:rsidP="004666D1">
            <w:pPr>
              <w:ind w:right="-288"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0.723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66"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6E"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68"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EN14</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69"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Leadership support and capabilities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6A"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6B"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6C" w14:textId="77777777" w:rsidR="008D3598" w:rsidRPr="00511330" w:rsidRDefault="008D3598" w:rsidP="004666D1">
            <w:pPr>
              <w:ind w:right="-288"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0.581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6D"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75"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6F"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EN16</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70"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Extensive communication plan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71"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72"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73" w14:textId="77777777" w:rsidR="008D3598" w:rsidRPr="00511330" w:rsidRDefault="008D3598" w:rsidP="004666D1">
            <w:pPr>
              <w:ind w:right="-288"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0.523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74"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7C"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76"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EN17</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77"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Comprehensive training program</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78"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79"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7A" w14:textId="77777777" w:rsidR="008D3598" w:rsidRPr="00511330" w:rsidRDefault="008D3598" w:rsidP="004666D1">
            <w:pPr>
              <w:ind w:right="-288"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0.563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7B"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83"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7D"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EN18</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7E"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International global partnership</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7F"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80"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81" w14:textId="77777777" w:rsidR="008D3598" w:rsidRPr="00511330" w:rsidRDefault="008D3598" w:rsidP="004666D1">
            <w:pPr>
              <w:ind w:right="-288"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0.429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82"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p>
        </w:tc>
      </w:tr>
      <w:tr w:rsidR="008D3598" w:rsidRPr="00511330" w14:paraId="6441698A"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84"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EN20</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85"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Comfortability and readiness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86"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87"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88"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89"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0.443</w:t>
            </w:r>
          </w:p>
        </w:tc>
      </w:tr>
      <w:tr w:rsidR="008D3598" w:rsidRPr="00511330" w14:paraId="64416991"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8B"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EN24</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8C"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Easy and flexible implementation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8D"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8E"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8F"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90"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0.707</w:t>
            </w:r>
          </w:p>
        </w:tc>
      </w:tr>
      <w:tr w:rsidR="008D3598" w:rsidRPr="00511330" w14:paraId="64416998" w14:textId="77777777" w:rsidTr="004666D1">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92"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EN25</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93" w14:textId="77777777" w:rsidR="008D3598" w:rsidRPr="00511330" w:rsidRDefault="008D3598" w:rsidP="00FF70CE">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Trust on Government direction and visions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94"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95"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96"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97"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0.733</w:t>
            </w:r>
          </w:p>
        </w:tc>
      </w:tr>
      <w:tr w:rsidR="008D3598" w:rsidRPr="00511330" w14:paraId="6441699F" w14:textId="77777777" w:rsidTr="004666D1">
        <w:trPr>
          <w:trHeight w:val="278"/>
        </w:trPr>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4416999" w14:textId="77777777" w:rsidR="008D3598" w:rsidRPr="00511330" w:rsidRDefault="008D3598" w:rsidP="00997AAC">
            <w:pPr>
              <w:ind w:right="-450"/>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EN26</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41699A" w14:textId="0E4313E4" w:rsidR="008D3598" w:rsidRPr="00511330" w:rsidRDefault="008D3598" w:rsidP="00737A1A">
            <w:pPr>
              <w:ind w:right="5"/>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Accuracy /</w:t>
            </w:r>
            <w:r w:rsidR="00737A1A" w:rsidRPr="00511330">
              <w:rPr>
                <w:rFonts w:asciiTheme="majorBidi" w:eastAsia="Calibri" w:hAnsiTheme="majorBidi" w:cstheme="majorBidi"/>
                <w:sz w:val="20"/>
                <w:szCs w:val="20"/>
                <w:lang w:val="en-US"/>
              </w:rPr>
              <w:t xml:space="preserve"> </w:t>
            </w:r>
            <w:r w:rsidRPr="00511330">
              <w:rPr>
                <w:rFonts w:asciiTheme="majorBidi" w:eastAsia="Calibri" w:hAnsiTheme="majorBidi" w:cstheme="majorBidi"/>
                <w:sz w:val="20"/>
                <w:szCs w:val="20"/>
                <w:lang w:val="en-US"/>
              </w:rPr>
              <w:t>precision of targets and outcomes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9B" w14:textId="77777777" w:rsidR="008D3598" w:rsidRPr="00511330" w:rsidRDefault="008D3598" w:rsidP="004666D1">
            <w:pPr>
              <w:ind w:right="-450"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9C" w14:textId="77777777" w:rsidR="008D3598" w:rsidRPr="00511330" w:rsidRDefault="008D3598" w:rsidP="004666D1">
            <w:pPr>
              <w:ind w:right="-450" w:hanging="31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1699D" w14:textId="77777777" w:rsidR="008D3598" w:rsidRPr="00511330" w:rsidRDefault="008D3598" w:rsidP="004666D1">
            <w:pPr>
              <w:ind w:right="-288" w:hanging="401"/>
              <w:jc w:val="center"/>
              <w:rPr>
                <w:rFonts w:asciiTheme="majorBidi" w:eastAsia="Calibri" w:hAnsiTheme="majorBidi" w:cstheme="majorBidi"/>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9E"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0.664</w:t>
            </w:r>
          </w:p>
        </w:tc>
      </w:tr>
      <w:tr w:rsidR="008D3598" w:rsidRPr="00511330" w14:paraId="644169A5" w14:textId="77777777" w:rsidTr="004666D1">
        <w:tc>
          <w:tcPr>
            <w:tcW w:w="40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4169A0"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Average variance extracted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A1" w14:textId="77777777" w:rsidR="008D3598" w:rsidRPr="00511330" w:rsidRDefault="008D3598" w:rsidP="004666D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18.157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A2" w14:textId="77777777" w:rsidR="008D3598" w:rsidRPr="00511330" w:rsidRDefault="008D3598" w:rsidP="004666D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16.16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A3" w14:textId="77777777" w:rsidR="008D3598" w:rsidRPr="00511330" w:rsidRDefault="008D3598" w:rsidP="004666D1">
            <w:pPr>
              <w:ind w:right="-288"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14.639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A4" w14:textId="77777777" w:rsidR="008D3598" w:rsidRPr="00511330" w:rsidRDefault="008D3598" w:rsidP="004666D1">
            <w:pPr>
              <w:ind w:left="-216" w:right="-288" w:hanging="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13.37</w:t>
            </w:r>
          </w:p>
        </w:tc>
      </w:tr>
      <w:tr w:rsidR="008D3598" w:rsidRPr="00511330" w14:paraId="644169AB" w14:textId="77777777" w:rsidTr="004666D1">
        <w:tc>
          <w:tcPr>
            <w:tcW w:w="40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4169A6"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Construct reliability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A7" w14:textId="77777777" w:rsidR="008D3598" w:rsidRPr="00511330" w:rsidRDefault="008D3598" w:rsidP="004666D1">
            <w:pPr>
              <w:ind w:right="-450"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0.879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A8" w14:textId="77777777" w:rsidR="008D3598" w:rsidRPr="00511330" w:rsidRDefault="008D3598" w:rsidP="004666D1">
            <w:pPr>
              <w:ind w:right="-450" w:hanging="31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0.856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A9" w14:textId="77777777" w:rsidR="008D3598" w:rsidRPr="00511330" w:rsidRDefault="008D3598" w:rsidP="004666D1">
            <w:pPr>
              <w:ind w:right="-288" w:hanging="401"/>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0.893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69AA" w14:textId="77777777" w:rsidR="008D3598" w:rsidRPr="00511330" w:rsidRDefault="008D3598" w:rsidP="004666D1">
            <w:pPr>
              <w:ind w:right="-12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0.844</w:t>
            </w:r>
          </w:p>
        </w:tc>
      </w:tr>
    </w:tbl>
    <w:p w14:paraId="644169AC" w14:textId="77777777" w:rsidR="008D3598" w:rsidRPr="00511330" w:rsidRDefault="008D3598" w:rsidP="000E2E80">
      <w:pPr>
        <w:spacing w:after="0" w:line="240" w:lineRule="auto"/>
        <w:ind w:left="90" w:right="-450"/>
        <w:jc w:val="both"/>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 xml:space="preserve">Note. E&amp;S = </w:t>
      </w:r>
      <w:r w:rsidRPr="00511330">
        <w:rPr>
          <w:rFonts w:asciiTheme="majorBidi" w:eastAsia="Calibri" w:hAnsiTheme="majorBidi" w:cstheme="majorBidi"/>
          <w:sz w:val="20"/>
          <w:szCs w:val="20"/>
          <w:lang w:val="en-US" w:bidi="ar-AE"/>
        </w:rPr>
        <w:t>Engagement and support</w:t>
      </w:r>
      <w:r w:rsidRPr="00511330">
        <w:rPr>
          <w:rFonts w:asciiTheme="majorBidi" w:eastAsia="Calibri" w:hAnsiTheme="majorBidi" w:cstheme="majorBidi"/>
          <w:b/>
          <w:bCs/>
          <w:sz w:val="20"/>
          <w:szCs w:val="20"/>
          <w:lang w:val="en-US" w:bidi="ar-AE"/>
        </w:rPr>
        <w:t xml:space="preserve">; AS = </w:t>
      </w:r>
      <w:r w:rsidRPr="00511330">
        <w:rPr>
          <w:rFonts w:asciiTheme="majorBidi" w:eastAsia="Calibri" w:hAnsiTheme="majorBidi" w:cstheme="majorBidi"/>
          <w:sz w:val="20"/>
          <w:szCs w:val="20"/>
          <w:lang w:val="en-US" w:bidi="ar-AE"/>
        </w:rPr>
        <w:t>Alignment of Strategy</w:t>
      </w:r>
      <w:r w:rsidRPr="00511330">
        <w:rPr>
          <w:rFonts w:asciiTheme="majorBidi" w:eastAsia="Calibri" w:hAnsiTheme="majorBidi" w:cstheme="majorBidi"/>
          <w:b/>
          <w:bCs/>
          <w:sz w:val="20"/>
          <w:szCs w:val="20"/>
          <w:lang w:val="en-US" w:bidi="ar-AE"/>
        </w:rPr>
        <w:t>; R&amp;C=</w:t>
      </w:r>
      <w:r w:rsidRPr="00511330">
        <w:rPr>
          <w:rFonts w:asciiTheme="majorBidi" w:eastAsia="Calibri" w:hAnsiTheme="majorBidi" w:cstheme="majorBidi"/>
          <w:sz w:val="20"/>
          <w:szCs w:val="20"/>
          <w:lang w:val="en-US"/>
        </w:rPr>
        <w:t xml:space="preserve"> </w:t>
      </w:r>
      <w:r w:rsidRPr="00511330">
        <w:rPr>
          <w:rFonts w:asciiTheme="majorBidi" w:eastAsia="Calibri" w:hAnsiTheme="majorBidi" w:cstheme="majorBidi"/>
          <w:sz w:val="20"/>
          <w:szCs w:val="20"/>
          <w:lang w:val="en-US" w:bidi="ar-AE"/>
        </w:rPr>
        <w:t>Resources and Capabilities</w:t>
      </w:r>
      <w:r w:rsidRPr="00511330">
        <w:rPr>
          <w:rFonts w:asciiTheme="majorBidi" w:eastAsia="Calibri" w:hAnsiTheme="majorBidi" w:cstheme="majorBidi"/>
          <w:b/>
          <w:bCs/>
          <w:sz w:val="20"/>
          <w:szCs w:val="20"/>
          <w:lang w:val="en-US" w:bidi="ar-AE"/>
        </w:rPr>
        <w:t xml:space="preserve">; F&amp;F= </w:t>
      </w:r>
      <w:r w:rsidRPr="00511330">
        <w:rPr>
          <w:rFonts w:asciiTheme="majorBidi" w:eastAsia="Calibri" w:hAnsiTheme="majorBidi" w:cstheme="majorBidi"/>
          <w:sz w:val="20"/>
          <w:szCs w:val="20"/>
          <w:lang w:val="en-US" w:bidi="ar-AE"/>
        </w:rPr>
        <w:t>Flexibility and Feedback</w:t>
      </w:r>
      <w:r w:rsidRPr="00511330">
        <w:rPr>
          <w:rFonts w:asciiTheme="majorBidi" w:eastAsia="Calibri" w:hAnsiTheme="majorBidi" w:cstheme="majorBidi"/>
          <w:b/>
          <w:bCs/>
          <w:sz w:val="20"/>
          <w:szCs w:val="20"/>
          <w:lang w:val="en-US" w:bidi="ar-AE"/>
        </w:rPr>
        <w:t>.</w:t>
      </w:r>
    </w:p>
    <w:p w14:paraId="644169AE" w14:textId="3E5EC036" w:rsidR="008D3598" w:rsidRPr="00511330" w:rsidRDefault="008D3598" w:rsidP="000E2E80">
      <w:pPr>
        <w:spacing w:before="240"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The next step is to review and scrutinize the content of questions that load highly on the same factor to identify common themes. The questions loading highly on </w:t>
      </w:r>
      <w:r w:rsidRPr="00511330">
        <w:rPr>
          <w:rFonts w:asciiTheme="majorBidi" w:eastAsia="Calibri" w:hAnsiTheme="majorBidi" w:cstheme="majorBidi"/>
          <w:sz w:val="24"/>
          <w:szCs w:val="24"/>
          <w:lang w:val="en-US"/>
        </w:rPr>
        <w:lastRenderedPageBreak/>
        <w:t xml:space="preserve">Factor 1 seem to relate to different aspects of engagement and support; therefore, we label this engagement and support. This factor consists of ten items and accounts for 18.157 percent of the variance. Similarly, the questions that load highly on Factor 2 all seem to relate to </w:t>
      </w:r>
      <w:r w:rsidRPr="00511330">
        <w:rPr>
          <w:rFonts w:asciiTheme="majorBidi" w:eastAsia="Calibri" w:hAnsiTheme="majorBidi" w:cstheme="majorBidi"/>
          <w:noProof/>
          <w:sz w:val="24"/>
          <w:szCs w:val="24"/>
          <w:lang w:val="en-US"/>
        </w:rPr>
        <w:t>alignment</w:t>
      </w:r>
      <w:r w:rsidRPr="00511330">
        <w:rPr>
          <w:rFonts w:asciiTheme="majorBidi" w:eastAsia="Calibri" w:hAnsiTheme="majorBidi" w:cstheme="majorBidi"/>
          <w:sz w:val="24"/>
          <w:szCs w:val="24"/>
          <w:lang w:val="en-US"/>
        </w:rPr>
        <w:t xml:space="preserve"> of strategy. For this reason, we label this factor alignment of strategy. This factor consists of five items and accounts for 16.163 </w:t>
      </w:r>
      <w:r w:rsidRPr="00511330">
        <w:rPr>
          <w:rFonts w:asciiTheme="majorBidi" w:eastAsia="Calibri" w:hAnsiTheme="majorBidi" w:cstheme="majorBidi"/>
          <w:noProof/>
          <w:sz w:val="24"/>
          <w:szCs w:val="24"/>
          <w:lang w:val="en-US"/>
        </w:rPr>
        <w:t>percent</w:t>
      </w:r>
      <w:r w:rsidRPr="00511330">
        <w:rPr>
          <w:rFonts w:asciiTheme="majorBidi" w:eastAsia="Calibri" w:hAnsiTheme="majorBidi" w:cstheme="majorBidi"/>
          <w:sz w:val="24"/>
          <w:szCs w:val="24"/>
          <w:lang w:val="en-US"/>
        </w:rPr>
        <w:t xml:space="preserve"> of the variance. The questions that load highly on Factor 3 seem to relate to different aspects of Financial &amp; Human Capabilities; for this reason, we label this factor resources and capabilities. This factor consists of seven items and accounts for 14.639 </w:t>
      </w:r>
      <w:r w:rsidRPr="00511330">
        <w:rPr>
          <w:rFonts w:asciiTheme="majorBidi" w:eastAsia="Calibri" w:hAnsiTheme="majorBidi" w:cstheme="majorBidi"/>
          <w:noProof/>
          <w:sz w:val="24"/>
          <w:szCs w:val="24"/>
          <w:lang w:val="en-US"/>
        </w:rPr>
        <w:t>percent</w:t>
      </w:r>
      <w:r w:rsidRPr="00511330">
        <w:rPr>
          <w:rFonts w:asciiTheme="majorBidi" w:eastAsia="Calibri" w:hAnsiTheme="majorBidi" w:cstheme="majorBidi"/>
          <w:sz w:val="24"/>
          <w:szCs w:val="24"/>
          <w:lang w:val="en-US"/>
        </w:rPr>
        <w:t xml:space="preserve"> of the variance. Finally, the fourth questions that load highly on Factor 4 contain</w:t>
      </w:r>
      <w:r w:rsidR="00737A1A" w:rsidRPr="00511330">
        <w:rPr>
          <w:rFonts w:asciiTheme="majorBidi" w:eastAsia="Calibri" w:hAnsiTheme="majorBidi" w:cstheme="majorBidi"/>
          <w:sz w:val="24"/>
          <w:szCs w:val="24"/>
          <w:lang w:val="en-US"/>
        </w:rPr>
        <w:t>s</w:t>
      </w:r>
      <w:r w:rsidRPr="00511330">
        <w:rPr>
          <w:rFonts w:asciiTheme="majorBidi" w:eastAsia="Calibri" w:hAnsiTheme="majorBidi" w:cstheme="majorBidi"/>
          <w:sz w:val="24"/>
          <w:szCs w:val="24"/>
          <w:lang w:val="en-US"/>
        </w:rPr>
        <w:t xml:space="preserve"> some component </w:t>
      </w:r>
      <w:r w:rsidRPr="00511330">
        <w:rPr>
          <w:rFonts w:asciiTheme="majorBidi" w:eastAsia="Calibri" w:hAnsiTheme="majorBidi" w:cstheme="majorBidi"/>
          <w:noProof/>
          <w:sz w:val="24"/>
          <w:szCs w:val="24"/>
          <w:lang w:val="en-US"/>
        </w:rPr>
        <w:t>relate</w:t>
      </w:r>
      <w:r w:rsidR="00DA4BDE" w:rsidRPr="00511330">
        <w:rPr>
          <w:rFonts w:asciiTheme="majorBidi" w:eastAsia="Calibri" w:hAnsiTheme="majorBidi" w:cstheme="majorBidi"/>
          <w:noProof/>
          <w:sz w:val="24"/>
          <w:szCs w:val="24"/>
          <w:lang w:val="en-US"/>
        </w:rPr>
        <w:t>s</w:t>
      </w:r>
      <w:r w:rsidRPr="00511330">
        <w:rPr>
          <w:rFonts w:asciiTheme="majorBidi" w:eastAsia="Calibri" w:hAnsiTheme="majorBidi" w:cstheme="majorBidi"/>
          <w:sz w:val="24"/>
          <w:szCs w:val="24"/>
          <w:lang w:val="en-US"/>
        </w:rPr>
        <w:t xml:space="preserve"> to Flexibility and Feedback; therefore, we label this factor Flexibility and Feedback. This factor consists of four items and accounts for 13.378 </w:t>
      </w:r>
      <w:r w:rsidRPr="00511330">
        <w:rPr>
          <w:rFonts w:asciiTheme="majorBidi" w:eastAsia="Calibri" w:hAnsiTheme="majorBidi" w:cstheme="majorBidi"/>
          <w:noProof/>
          <w:sz w:val="24"/>
          <w:szCs w:val="24"/>
          <w:lang w:val="en-US"/>
        </w:rPr>
        <w:t>percent</w:t>
      </w:r>
      <w:r w:rsidRPr="00511330">
        <w:rPr>
          <w:rFonts w:asciiTheme="majorBidi" w:eastAsia="Calibri" w:hAnsiTheme="majorBidi" w:cstheme="majorBidi"/>
          <w:sz w:val="24"/>
          <w:szCs w:val="24"/>
          <w:lang w:val="en-US"/>
        </w:rPr>
        <w:t xml:space="preserve"> of the variance. </w:t>
      </w:r>
      <w:bookmarkStart w:id="929" w:name="_Toc32090454"/>
      <w:bookmarkStart w:id="930" w:name="_Toc32090783"/>
      <w:bookmarkStart w:id="931" w:name="_Toc32091699"/>
      <w:bookmarkStart w:id="932" w:name="_Toc32090455"/>
      <w:bookmarkStart w:id="933" w:name="_Toc32090784"/>
      <w:bookmarkStart w:id="934" w:name="_Toc32091700"/>
      <w:bookmarkStart w:id="935" w:name="_Toc32090456"/>
      <w:bookmarkStart w:id="936" w:name="_Toc32090785"/>
      <w:bookmarkStart w:id="937" w:name="_Toc32091701"/>
      <w:bookmarkStart w:id="938" w:name="_Toc32090457"/>
      <w:bookmarkStart w:id="939" w:name="_Toc32090786"/>
      <w:bookmarkStart w:id="940" w:name="_Toc32091702"/>
      <w:bookmarkStart w:id="941" w:name="_Toc32090458"/>
      <w:bookmarkStart w:id="942" w:name="_Toc32090787"/>
      <w:bookmarkStart w:id="943" w:name="_Toc32091703"/>
      <w:bookmarkStart w:id="944" w:name="_Toc32090459"/>
      <w:bookmarkStart w:id="945" w:name="_Toc32090788"/>
      <w:bookmarkStart w:id="946" w:name="_Toc32091704"/>
      <w:bookmarkStart w:id="947" w:name="_Toc32090460"/>
      <w:bookmarkStart w:id="948" w:name="_Toc32090789"/>
      <w:bookmarkStart w:id="949" w:name="_Toc32091705"/>
      <w:bookmarkStart w:id="950" w:name="_Toc32090461"/>
      <w:bookmarkStart w:id="951" w:name="_Toc32090790"/>
      <w:bookmarkStart w:id="952" w:name="_Toc32091706"/>
      <w:bookmarkStart w:id="953" w:name="_Toc32090462"/>
      <w:bookmarkStart w:id="954" w:name="_Toc32090791"/>
      <w:bookmarkStart w:id="955" w:name="_Toc32091707"/>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14:paraId="644169AF" w14:textId="77777777" w:rsidR="008D3598" w:rsidRPr="00511330" w:rsidRDefault="008D3598" w:rsidP="00721566">
      <w:pPr>
        <w:pStyle w:val="Heading3"/>
        <w:numPr>
          <w:ilvl w:val="2"/>
          <w:numId w:val="16"/>
        </w:numPr>
        <w:spacing w:line="480" w:lineRule="auto"/>
        <w:ind w:left="720" w:right="-450"/>
        <w:rPr>
          <w:rFonts w:eastAsia="Calibri"/>
          <w:lang w:val="en-US"/>
        </w:rPr>
      </w:pPr>
      <w:bookmarkStart w:id="956" w:name="_Toc43311646"/>
      <w:r w:rsidRPr="00511330">
        <w:rPr>
          <w:rFonts w:eastAsia="Calibri"/>
          <w:lang w:val="en-US"/>
        </w:rPr>
        <w:t>Internal consistency and content validity</w:t>
      </w:r>
      <w:bookmarkEnd w:id="956"/>
    </w:p>
    <w:p w14:paraId="644169B0" w14:textId="77777777" w:rsidR="008D3598" w:rsidRPr="00511330" w:rsidRDefault="008D3598" w:rsidP="00721566">
      <w:pPr>
        <w:autoSpaceDE w:val="0"/>
        <w:autoSpaceDN w:val="0"/>
        <w:adjustRightInd w:val="0"/>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The degree of consistency of responses over a construct is referred to as its reliability. The reliability coefficient, Cronbach’s </w:t>
      </w:r>
      <w:r w:rsidRPr="00511330">
        <w:rPr>
          <w:rFonts w:ascii="Symbol" w:hAnsi="Symbol"/>
          <w:lang w:val="en-US"/>
        </w:rPr>
        <w:t></w:t>
      </w:r>
      <w:r w:rsidRPr="00511330">
        <w:rPr>
          <w:rFonts w:asciiTheme="majorBidi" w:eastAsia="Calibri" w:hAnsiTheme="majorBidi" w:cstheme="majorBidi"/>
          <w:sz w:val="24"/>
          <w:szCs w:val="24"/>
          <w:lang w:val="en-US"/>
        </w:rPr>
        <w:t xml:space="preserve">, is generally used for this test. As shown in Table 4.25, the Cronbach’s </w:t>
      </w:r>
      <w:r w:rsidRPr="00511330">
        <w:rPr>
          <w:rFonts w:ascii="Symbol" w:hAnsi="Symbol"/>
          <w:lang w:val="en-US"/>
        </w:rPr>
        <w:t></w:t>
      </w:r>
      <w:r w:rsidRPr="00511330">
        <w:rPr>
          <w:rFonts w:asciiTheme="majorBidi" w:eastAsia="Calibri" w:hAnsiTheme="majorBidi" w:cstheme="majorBidi"/>
          <w:sz w:val="24"/>
          <w:szCs w:val="24"/>
          <w:lang w:val="en-US"/>
        </w:rPr>
        <w:t xml:space="preserve"> for the four latent constructs of change management enablers range between 0.844 and 0.893. These results show that the suggested constructs exhibit good psychometric properties.</w:t>
      </w:r>
    </w:p>
    <w:p w14:paraId="644169B1" w14:textId="77777777" w:rsidR="008D3598" w:rsidRPr="00511330" w:rsidRDefault="008D3598" w:rsidP="00721566">
      <w:pPr>
        <w:autoSpaceDE w:val="0"/>
        <w:autoSpaceDN w:val="0"/>
        <w:adjustRightInd w:val="0"/>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b/>
          <w:bCs/>
          <w:sz w:val="24"/>
          <w:szCs w:val="24"/>
          <w:lang w:val="en-US"/>
        </w:rPr>
        <w:t>Convergent validity:</w:t>
      </w:r>
      <w:r w:rsidRPr="00511330">
        <w:rPr>
          <w:rFonts w:asciiTheme="majorBidi" w:eastAsia="Calibri" w:hAnsiTheme="majorBidi" w:cstheme="majorBidi"/>
          <w:sz w:val="24"/>
          <w:szCs w:val="24"/>
          <w:lang w:val="en-US"/>
        </w:rPr>
        <w:t xml:space="preserve"> Convergent validity can be evaluated using the Bentler– Bonett’s Normed Fit Index (NFI), which provides the degree to which the different approaches to measuring a construct generate the same results (Ahire et al., 1996). As per a generally accepted principle, the NFI values of 0.90 or above are considered as a satisfactory fit index (Bentler, 1992). As shown in Table 4.25, the items in each construct converge well for further analysis.</w:t>
      </w:r>
    </w:p>
    <w:p w14:paraId="644169B2" w14:textId="3665EC8D" w:rsidR="008D3598" w:rsidRPr="00511330" w:rsidRDefault="008D3598" w:rsidP="000E2E80">
      <w:pPr>
        <w:pStyle w:val="Caption"/>
        <w:keepNext/>
        <w:spacing w:after="0"/>
        <w:ind w:right="-450"/>
        <w:rPr>
          <w:rFonts w:asciiTheme="majorBidi" w:hAnsiTheme="majorBidi" w:cstheme="majorBidi"/>
          <w:b w:val="0"/>
          <w:bCs w:val="0"/>
          <w:color w:val="auto"/>
          <w:sz w:val="20"/>
          <w:szCs w:val="20"/>
          <w:lang w:val="en-US"/>
        </w:rPr>
      </w:pPr>
      <w:bookmarkStart w:id="957" w:name="_Toc43310915"/>
      <w:r w:rsidRPr="00511330">
        <w:rPr>
          <w:rFonts w:asciiTheme="majorBidi" w:hAnsiTheme="majorBidi" w:cstheme="majorBidi"/>
          <w:b w:val="0"/>
          <w:bCs w:val="0"/>
          <w:color w:val="auto"/>
          <w:sz w:val="20"/>
          <w:szCs w:val="20"/>
          <w:lang w:val="en-US"/>
        </w:rPr>
        <w:lastRenderedPageBreak/>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25</w:t>
      </w:r>
      <w:r w:rsidRPr="00511330">
        <w:rPr>
          <w:rFonts w:asciiTheme="majorBidi" w:hAnsiTheme="majorBidi" w:cstheme="majorBidi"/>
          <w:b w:val="0"/>
          <w:bCs w:val="0"/>
          <w:color w:val="auto"/>
          <w:sz w:val="20"/>
          <w:szCs w:val="20"/>
          <w:lang w:val="en-US"/>
        </w:rPr>
        <w:fldChar w:fldCharType="end"/>
      </w:r>
      <w:r w:rsidR="00737A1A"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Convergent Validity Analysis Results for CM Enablers</w:t>
      </w:r>
      <w:bookmarkEnd w:id="957"/>
    </w:p>
    <w:tbl>
      <w:tblPr>
        <w:tblStyle w:val="TableGrid1"/>
        <w:tblW w:w="79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00"/>
        <w:gridCol w:w="2160"/>
        <w:gridCol w:w="3060"/>
      </w:tblGrid>
      <w:tr w:rsidR="008D3598" w:rsidRPr="00511330" w14:paraId="644169B7" w14:textId="77777777" w:rsidTr="000E2E80">
        <w:tc>
          <w:tcPr>
            <w:tcW w:w="2700" w:type="dxa"/>
            <w:shd w:val="clear" w:color="auto" w:fill="F2F2F2" w:themeFill="background1" w:themeFillShade="F2"/>
            <w:vAlign w:val="center"/>
          </w:tcPr>
          <w:p w14:paraId="644169B3" w14:textId="77777777" w:rsidR="008D3598" w:rsidRPr="00511330" w:rsidRDefault="008D3598" w:rsidP="00C7351A">
            <w:pPr>
              <w:autoSpaceDE w:val="0"/>
              <w:autoSpaceDN w:val="0"/>
              <w:adjustRightInd w:val="0"/>
              <w:ind w:right="-450"/>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Factors/constructs</w:t>
            </w:r>
          </w:p>
        </w:tc>
        <w:tc>
          <w:tcPr>
            <w:tcW w:w="2160" w:type="dxa"/>
            <w:shd w:val="clear" w:color="auto" w:fill="F2F2F2" w:themeFill="background1" w:themeFillShade="F2"/>
            <w:vAlign w:val="center"/>
          </w:tcPr>
          <w:p w14:paraId="644169B4" w14:textId="77777777" w:rsidR="008D3598" w:rsidRPr="00511330" w:rsidRDefault="008D3598" w:rsidP="00C7351A">
            <w:pPr>
              <w:autoSpaceDE w:val="0"/>
              <w:autoSpaceDN w:val="0"/>
              <w:adjustRightInd w:val="0"/>
              <w:ind w:right="-10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Convergent validity</w:t>
            </w:r>
          </w:p>
          <w:p w14:paraId="644169B5" w14:textId="77777777" w:rsidR="008D3598" w:rsidRPr="00511330" w:rsidRDefault="008D3598" w:rsidP="00C7351A">
            <w:pPr>
              <w:autoSpaceDE w:val="0"/>
              <w:autoSpaceDN w:val="0"/>
              <w:adjustRightInd w:val="0"/>
              <w:ind w:right="-10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Bentler–Bonett NFI</w:t>
            </w:r>
          </w:p>
        </w:tc>
        <w:tc>
          <w:tcPr>
            <w:tcW w:w="3060" w:type="dxa"/>
            <w:shd w:val="clear" w:color="auto" w:fill="F2F2F2" w:themeFill="background1" w:themeFillShade="F2"/>
            <w:vAlign w:val="center"/>
          </w:tcPr>
          <w:p w14:paraId="644169B6" w14:textId="77777777" w:rsidR="008D3598" w:rsidRPr="00511330" w:rsidRDefault="008D3598" w:rsidP="00C7351A">
            <w:pPr>
              <w:autoSpaceDE w:val="0"/>
              <w:autoSpaceDN w:val="0"/>
              <w:adjustRightInd w:val="0"/>
              <w:ind w:right="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Discriminant validity Factor Cronbach’s α –Average correlation between factors</w:t>
            </w:r>
          </w:p>
        </w:tc>
      </w:tr>
      <w:tr w:rsidR="008D3598" w:rsidRPr="00511330" w14:paraId="644169BB" w14:textId="77777777" w:rsidTr="000E2E80">
        <w:tc>
          <w:tcPr>
            <w:tcW w:w="2700" w:type="dxa"/>
          </w:tcPr>
          <w:p w14:paraId="644169B8" w14:textId="77777777" w:rsidR="008D3598" w:rsidRPr="00511330" w:rsidRDefault="008D3598" w:rsidP="00721566">
            <w:pPr>
              <w:autoSpaceDE w:val="0"/>
              <w:autoSpaceDN w:val="0"/>
              <w:adjustRightInd w:val="0"/>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Engagement and support</w:t>
            </w:r>
          </w:p>
        </w:tc>
        <w:tc>
          <w:tcPr>
            <w:tcW w:w="2160" w:type="dxa"/>
            <w:vAlign w:val="bottom"/>
          </w:tcPr>
          <w:p w14:paraId="644169B9" w14:textId="77777777" w:rsidR="008D3598" w:rsidRPr="00511330" w:rsidRDefault="008D3598" w:rsidP="00721566">
            <w:pPr>
              <w:autoSpaceDE w:val="0"/>
              <w:autoSpaceDN w:val="0"/>
              <w:adjustRightInd w:val="0"/>
              <w:ind w:right="-450"/>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0.92</w:t>
            </w:r>
          </w:p>
        </w:tc>
        <w:tc>
          <w:tcPr>
            <w:tcW w:w="3060" w:type="dxa"/>
            <w:vAlign w:val="bottom"/>
          </w:tcPr>
          <w:p w14:paraId="644169BA" w14:textId="77777777" w:rsidR="008D3598" w:rsidRPr="00511330" w:rsidRDefault="008D3598" w:rsidP="00C7351A">
            <w:pPr>
              <w:autoSpaceDE w:val="0"/>
              <w:autoSpaceDN w:val="0"/>
              <w:adjustRightInd w:val="0"/>
              <w:ind w:right="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0.46835</w:t>
            </w:r>
          </w:p>
        </w:tc>
      </w:tr>
      <w:tr w:rsidR="008D3598" w:rsidRPr="00511330" w14:paraId="644169BF" w14:textId="77777777" w:rsidTr="000E2E80">
        <w:tc>
          <w:tcPr>
            <w:tcW w:w="2700" w:type="dxa"/>
          </w:tcPr>
          <w:p w14:paraId="644169BC" w14:textId="77777777" w:rsidR="008D3598" w:rsidRPr="00511330" w:rsidRDefault="008D3598" w:rsidP="00721566">
            <w:pPr>
              <w:autoSpaceDE w:val="0"/>
              <w:autoSpaceDN w:val="0"/>
              <w:adjustRightInd w:val="0"/>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Alignment of strategy</w:t>
            </w:r>
          </w:p>
        </w:tc>
        <w:tc>
          <w:tcPr>
            <w:tcW w:w="2160" w:type="dxa"/>
            <w:vAlign w:val="bottom"/>
          </w:tcPr>
          <w:p w14:paraId="644169BD" w14:textId="77777777" w:rsidR="008D3598" w:rsidRPr="00511330" w:rsidRDefault="008D3598" w:rsidP="00721566">
            <w:pPr>
              <w:autoSpaceDE w:val="0"/>
              <w:autoSpaceDN w:val="0"/>
              <w:adjustRightInd w:val="0"/>
              <w:ind w:right="-450"/>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0.965</w:t>
            </w:r>
          </w:p>
        </w:tc>
        <w:tc>
          <w:tcPr>
            <w:tcW w:w="3060" w:type="dxa"/>
            <w:vAlign w:val="bottom"/>
          </w:tcPr>
          <w:p w14:paraId="644169BE" w14:textId="77777777" w:rsidR="008D3598" w:rsidRPr="00511330" w:rsidRDefault="008D3598" w:rsidP="00C7351A">
            <w:pPr>
              <w:autoSpaceDE w:val="0"/>
              <w:autoSpaceDN w:val="0"/>
              <w:adjustRightInd w:val="0"/>
              <w:ind w:right="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0.520818</w:t>
            </w:r>
          </w:p>
        </w:tc>
      </w:tr>
      <w:tr w:rsidR="008D3598" w:rsidRPr="00511330" w14:paraId="644169C3" w14:textId="77777777" w:rsidTr="000E2E80">
        <w:tc>
          <w:tcPr>
            <w:tcW w:w="2700" w:type="dxa"/>
          </w:tcPr>
          <w:p w14:paraId="644169C0" w14:textId="77777777" w:rsidR="008D3598" w:rsidRPr="00511330" w:rsidRDefault="008D3598" w:rsidP="00721566">
            <w:pPr>
              <w:autoSpaceDE w:val="0"/>
              <w:autoSpaceDN w:val="0"/>
              <w:adjustRightInd w:val="0"/>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Resources and capabilities</w:t>
            </w:r>
          </w:p>
        </w:tc>
        <w:tc>
          <w:tcPr>
            <w:tcW w:w="2160" w:type="dxa"/>
            <w:vAlign w:val="bottom"/>
          </w:tcPr>
          <w:p w14:paraId="644169C1" w14:textId="77777777" w:rsidR="008D3598" w:rsidRPr="00511330" w:rsidRDefault="008D3598" w:rsidP="00721566">
            <w:pPr>
              <w:autoSpaceDE w:val="0"/>
              <w:autoSpaceDN w:val="0"/>
              <w:adjustRightInd w:val="0"/>
              <w:ind w:right="-450"/>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0.966</w:t>
            </w:r>
          </w:p>
        </w:tc>
        <w:tc>
          <w:tcPr>
            <w:tcW w:w="3060" w:type="dxa"/>
            <w:vAlign w:val="bottom"/>
          </w:tcPr>
          <w:p w14:paraId="644169C2" w14:textId="77777777" w:rsidR="008D3598" w:rsidRPr="00511330" w:rsidRDefault="008D3598" w:rsidP="00C7351A">
            <w:pPr>
              <w:autoSpaceDE w:val="0"/>
              <w:autoSpaceDN w:val="0"/>
              <w:adjustRightInd w:val="0"/>
              <w:ind w:right="72"/>
              <w:jc w:val="center"/>
              <w:rPr>
                <w:rFonts w:asciiTheme="majorBidi" w:eastAsia="Calibri" w:hAnsiTheme="majorBidi" w:cstheme="majorBidi"/>
                <w:color w:val="000000"/>
                <w:sz w:val="20"/>
                <w:szCs w:val="20"/>
                <w:lang w:val="en-US"/>
              </w:rPr>
            </w:pPr>
            <w:r w:rsidRPr="00511330">
              <w:rPr>
                <w:rFonts w:asciiTheme="majorBidi" w:eastAsia="Calibri" w:hAnsiTheme="majorBidi" w:cstheme="majorBidi"/>
                <w:sz w:val="20"/>
                <w:szCs w:val="20"/>
                <w:lang w:val="en-US"/>
              </w:rPr>
              <w:t>0.570729</w:t>
            </w:r>
          </w:p>
        </w:tc>
      </w:tr>
      <w:tr w:rsidR="008D3598" w:rsidRPr="00511330" w14:paraId="644169C7" w14:textId="77777777" w:rsidTr="000E2E80">
        <w:tc>
          <w:tcPr>
            <w:tcW w:w="2700" w:type="dxa"/>
          </w:tcPr>
          <w:p w14:paraId="644169C4" w14:textId="77777777" w:rsidR="008D3598" w:rsidRPr="00511330" w:rsidRDefault="008D3598" w:rsidP="00721566">
            <w:pPr>
              <w:autoSpaceDE w:val="0"/>
              <w:autoSpaceDN w:val="0"/>
              <w:adjustRightInd w:val="0"/>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Flexibility and feedback</w:t>
            </w:r>
          </w:p>
        </w:tc>
        <w:tc>
          <w:tcPr>
            <w:tcW w:w="2160" w:type="dxa"/>
            <w:vAlign w:val="bottom"/>
          </w:tcPr>
          <w:p w14:paraId="644169C5" w14:textId="77777777" w:rsidR="008D3598" w:rsidRPr="00511330" w:rsidRDefault="008D3598" w:rsidP="00721566">
            <w:pPr>
              <w:autoSpaceDE w:val="0"/>
              <w:autoSpaceDN w:val="0"/>
              <w:adjustRightInd w:val="0"/>
              <w:ind w:right="-450"/>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0.99</w:t>
            </w:r>
          </w:p>
        </w:tc>
        <w:tc>
          <w:tcPr>
            <w:tcW w:w="3060" w:type="dxa"/>
            <w:vAlign w:val="bottom"/>
          </w:tcPr>
          <w:p w14:paraId="644169C6" w14:textId="77777777" w:rsidR="008D3598" w:rsidRPr="00511330" w:rsidRDefault="008D3598" w:rsidP="00C7351A">
            <w:pPr>
              <w:autoSpaceDE w:val="0"/>
              <w:autoSpaceDN w:val="0"/>
              <w:adjustRightInd w:val="0"/>
              <w:ind w:right="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0.600744</w:t>
            </w:r>
          </w:p>
        </w:tc>
      </w:tr>
    </w:tbl>
    <w:p w14:paraId="644169C9" w14:textId="77777777" w:rsidR="008D3598" w:rsidRPr="00511330" w:rsidRDefault="008D3598" w:rsidP="00737A1A">
      <w:pPr>
        <w:autoSpaceDE w:val="0"/>
        <w:autoSpaceDN w:val="0"/>
        <w:adjustRightInd w:val="0"/>
        <w:spacing w:before="240"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b/>
          <w:bCs/>
          <w:sz w:val="24"/>
          <w:szCs w:val="24"/>
          <w:lang w:val="en-US"/>
        </w:rPr>
        <w:t xml:space="preserve">Discriminant validity: </w:t>
      </w:r>
      <w:r w:rsidRPr="00511330">
        <w:rPr>
          <w:rFonts w:asciiTheme="majorBidi" w:eastAsia="Calibri" w:hAnsiTheme="majorBidi" w:cstheme="majorBidi"/>
          <w:sz w:val="24"/>
          <w:szCs w:val="24"/>
          <w:lang w:val="en-US"/>
        </w:rPr>
        <w:t xml:space="preserve">Discriminant validity denotes the degree to which different latent constructs and their indicators can be distinguished from the other constructs and their indicators (Bagozzi et al., 1991). For calculating the discriminant validity, we compare Cronbach’s </w:t>
      </w:r>
      <w:r w:rsidRPr="00511330">
        <w:rPr>
          <w:rFonts w:ascii="Symbol" w:hAnsi="Symbol"/>
          <w:lang w:val="en-US"/>
        </w:rPr>
        <w:t></w:t>
      </w:r>
      <w:r w:rsidRPr="00511330">
        <w:rPr>
          <w:rFonts w:asciiTheme="majorBidi" w:eastAsia="Calibri" w:hAnsiTheme="majorBidi" w:cstheme="majorBidi"/>
          <w:sz w:val="24"/>
          <w:szCs w:val="24"/>
          <w:lang w:val="en-US"/>
        </w:rPr>
        <w:t xml:space="preserve"> of a latent construct to its mean correlations with other latent constructs. A </w:t>
      </w:r>
      <w:r w:rsidRPr="00511330">
        <w:rPr>
          <w:rFonts w:asciiTheme="majorBidi" w:eastAsia="Calibri" w:hAnsiTheme="majorBidi" w:cstheme="majorBidi"/>
          <w:noProof/>
          <w:sz w:val="24"/>
          <w:szCs w:val="24"/>
          <w:lang w:val="en-US"/>
        </w:rPr>
        <w:t>significant</w:t>
      </w:r>
      <w:r w:rsidRPr="00511330">
        <w:rPr>
          <w:rFonts w:asciiTheme="majorBidi" w:eastAsia="Calibri" w:hAnsiTheme="majorBidi" w:cstheme="majorBidi"/>
          <w:sz w:val="24"/>
          <w:szCs w:val="24"/>
          <w:lang w:val="en-US"/>
        </w:rPr>
        <w:t xml:space="preserve"> difference between these two measures is an indicator of discriminant validity (Ghiselli et al., 1981). As shown by the values </w:t>
      </w:r>
      <w:r w:rsidRPr="00511330">
        <w:rPr>
          <w:rFonts w:asciiTheme="majorBidi" w:eastAsia="Calibri" w:hAnsiTheme="majorBidi" w:cstheme="majorBidi"/>
          <w:noProof/>
          <w:sz w:val="24"/>
          <w:szCs w:val="24"/>
          <w:lang w:val="en-US"/>
        </w:rPr>
        <w:t>in</w:t>
      </w:r>
      <w:r w:rsidRPr="00511330">
        <w:rPr>
          <w:rFonts w:asciiTheme="majorBidi" w:eastAsia="Calibri" w:hAnsiTheme="majorBidi" w:cstheme="majorBidi"/>
          <w:sz w:val="24"/>
          <w:szCs w:val="24"/>
          <w:lang w:val="en-US"/>
        </w:rPr>
        <w:t xml:space="preserve"> Table 4.25, the four constructs are conceptually distinct.</w:t>
      </w:r>
    </w:p>
    <w:p w14:paraId="644169CB" w14:textId="77777777" w:rsidR="008D3598" w:rsidRPr="00511330" w:rsidRDefault="008D3598" w:rsidP="00721566">
      <w:pPr>
        <w:pStyle w:val="Heading3"/>
        <w:numPr>
          <w:ilvl w:val="2"/>
          <w:numId w:val="16"/>
        </w:numPr>
        <w:spacing w:line="480" w:lineRule="auto"/>
        <w:ind w:left="720" w:right="-450"/>
        <w:rPr>
          <w:rFonts w:eastAsia="Calibri"/>
          <w:lang w:val="en-US"/>
        </w:rPr>
      </w:pPr>
      <w:bookmarkStart w:id="958" w:name="_Toc43311647"/>
      <w:r w:rsidRPr="00511330">
        <w:rPr>
          <w:rFonts w:eastAsia="Calibri"/>
          <w:lang w:val="en-US"/>
        </w:rPr>
        <w:t>Confirmatory factor analysis (CFA)</w:t>
      </w:r>
      <w:bookmarkEnd w:id="958"/>
    </w:p>
    <w:p w14:paraId="644169CC" w14:textId="28046815" w:rsidR="008D3598" w:rsidRPr="00511330" w:rsidRDefault="008D3598" w:rsidP="00721566">
      <w:pPr>
        <w:autoSpaceDE w:val="0"/>
        <w:autoSpaceDN w:val="0"/>
        <w:adjustRightInd w:val="0"/>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The exploratory factor analysis in this </w:t>
      </w:r>
      <w:r w:rsidR="00BC0A03" w:rsidRPr="00511330">
        <w:rPr>
          <w:rFonts w:asciiTheme="majorBidi" w:eastAsia="Calibri" w:hAnsiTheme="majorBidi" w:cstheme="majorBidi"/>
          <w:sz w:val="24"/>
          <w:szCs w:val="24"/>
          <w:lang w:val="en-US"/>
        </w:rPr>
        <w:t>study</w:t>
      </w:r>
      <w:r w:rsidRPr="00511330">
        <w:rPr>
          <w:rFonts w:asciiTheme="majorBidi" w:eastAsia="Calibri" w:hAnsiTheme="majorBidi" w:cstheme="majorBidi"/>
          <w:sz w:val="24"/>
          <w:szCs w:val="24"/>
          <w:lang w:val="en-US"/>
        </w:rPr>
        <w:t xml:space="preserve"> has identified engagement and support, alignment of strategy, financial &amp; human capabilities, and flexibility and feedback as a priori factors for the enablers of successful change management implementation in an energy sector industry. In the first-order model, identified engagement and support, alignment of strategy, resources and capabilities, and flexibility and feedback, are identified as correlated measurement factors for enablers to successful change management practice implementation. Alternatively, enablers to successful change management practice implementation may be operationalized as a second-order model, where the four factors are governed by a </w:t>
      </w:r>
      <w:r w:rsidRPr="00511330">
        <w:rPr>
          <w:rFonts w:asciiTheme="majorBidi" w:eastAsia="Calibri" w:hAnsiTheme="majorBidi" w:cstheme="majorBidi"/>
          <w:noProof/>
          <w:sz w:val="24"/>
          <w:szCs w:val="24"/>
          <w:lang w:val="en-US"/>
        </w:rPr>
        <w:t>higher order</w:t>
      </w:r>
      <w:r w:rsidRPr="00511330">
        <w:rPr>
          <w:rFonts w:asciiTheme="majorBidi" w:eastAsia="Calibri" w:hAnsiTheme="majorBidi" w:cstheme="majorBidi"/>
          <w:sz w:val="24"/>
          <w:szCs w:val="24"/>
          <w:lang w:val="en-US"/>
        </w:rPr>
        <w:t xml:space="preserve"> factor, i.e. change management enablers. </w:t>
      </w:r>
    </w:p>
    <w:p w14:paraId="644169CD" w14:textId="77777777" w:rsidR="008D3598" w:rsidRPr="00511330" w:rsidRDefault="008D3598" w:rsidP="00721566">
      <w:pPr>
        <w:pStyle w:val="Heading3"/>
        <w:numPr>
          <w:ilvl w:val="2"/>
          <w:numId w:val="16"/>
        </w:numPr>
        <w:spacing w:line="480" w:lineRule="auto"/>
        <w:ind w:left="720" w:right="-450"/>
        <w:rPr>
          <w:rFonts w:eastAsia="Calibri"/>
          <w:lang w:val="en-US"/>
        </w:rPr>
      </w:pPr>
      <w:bookmarkStart w:id="959" w:name="_Toc43311648"/>
      <w:r w:rsidRPr="00511330">
        <w:rPr>
          <w:rFonts w:eastAsia="Calibri"/>
          <w:lang w:val="en-US"/>
        </w:rPr>
        <w:lastRenderedPageBreak/>
        <w:t>Measurement Model for Enablers (First-Order CFA Model)</w:t>
      </w:r>
      <w:bookmarkEnd w:id="959"/>
    </w:p>
    <w:p w14:paraId="644169CE" w14:textId="1BDC1CA7" w:rsidR="008D3598" w:rsidRPr="00511330" w:rsidRDefault="008D3598" w:rsidP="009E623D">
      <w:pPr>
        <w:autoSpaceDE w:val="0"/>
        <w:autoSpaceDN w:val="0"/>
        <w:adjustRightInd w:val="0"/>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The first- order model for testing the enablers of change management Figure 4.4 implies that engagement and support, alignment of strategy, resources and capabilities, and flexibility and feedback are correlated, but not governed by a common latent factor. Although x 2 is significant (p = 0.000), other fit indices shown in Figure 4.4 acceptably support the first-order model for enablers to successful change management implementation in an energy sector industry in </w:t>
      </w:r>
      <w:r w:rsidR="009E623D" w:rsidRPr="00511330">
        <w:rPr>
          <w:rFonts w:asciiTheme="majorBidi" w:eastAsia="Calibri" w:hAnsiTheme="majorBidi" w:cstheme="majorBidi"/>
          <w:sz w:val="24"/>
          <w:szCs w:val="24"/>
          <w:lang w:val="en-US"/>
        </w:rPr>
        <w:t xml:space="preserve">the </w:t>
      </w:r>
      <w:r w:rsidRPr="00511330">
        <w:rPr>
          <w:rFonts w:asciiTheme="majorBidi" w:eastAsia="Calibri" w:hAnsiTheme="majorBidi" w:cstheme="majorBidi"/>
          <w:sz w:val="24"/>
          <w:szCs w:val="24"/>
          <w:lang w:val="en-US"/>
        </w:rPr>
        <w:t xml:space="preserve">UAE. As can be seen from the values in Table 4.26, the model shows </w:t>
      </w:r>
      <w:r w:rsidR="00BF3E70" w:rsidRPr="00511330">
        <w:rPr>
          <w:rFonts w:asciiTheme="majorBidi" w:eastAsia="Calibri" w:hAnsiTheme="majorBidi" w:cstheme="majorBidi"/>
          <w:sz w:val="24"/>
          <w:szCs w:val="24"/>
          <w:lang w:val="en-US"/>
        </w:rPr>
        <w:t>goodness-of-fit indices.</w:t>
      </w:r>
      <w:r w:rsidRPr="00511330">
        <w:rPr>
          <w:rFonts w:asciiTheme="majorBidi" w:eastAsia="Calibri" w:hAnsiTheme="majorBidi" w:cstheme="majorBidi"/>
          <w:sz w:val="24"/>
          <w:szCs w:val="24"/>
          <w:lang w:val="en-US"/>
        </w:rPr>
        <w:t xml:space="preserve"> </w:t>
      </w:r>
    </w:p>
    <w:p w14:paraId="644169CF" w14:textId="1E3AB3CF" w:rsidR="008D3598" w:rsidRPr="00511330" w:rsidRDefault="008D3598" w:rsidP="00881819">
      <w:pPr>
        <w:pStyle w:val="Caption"/>
        <w:keepNext/>
        <w:spacing w:after="0"/>
        <w:ind w:right="-450"/>
        <w:rPr>
          <w:rFonts w:asciiTheme="majorBidi" w:hAnsiTheme="majorBidi" w:cstheme="majorBidi"/>
          <w:b w:val="0"/>
          <w:bCs w:val="0"/>
          <w:color w:val="auto"/>
          <w:sz w:val="20"/>
          <w:szCs w:val="20"/>
          <w:lang w:val="en-US"/>
        </w:rPr>
      </w:pPr>
      <w:bookmarkStart w:id="960" w:name="_Toc43310916"/>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26</w:t>
      </w:r>
      <w:r w:rsidRPr="00511330">
        <w:rPr>
          <w:rFonts w:asciiTheme="majorBidi" w:hAnsiTheme="majorBidi" w:cstheme="majorBidi"/>
          <w:b w:val="0"/>
          <w:bCs w:val="0"/>
          <w:color w:val="auto"/>
          <w:sz w:val="20"/>
          <w:szCs w:val="20"/>
          <w:lang w:val="en-US"/>
        </w:rPr>
        <w:fldChar w:fldCharType="end"/>
      </w:r>
      <w:r w:rsidR="00737A1A"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Goodness-of-Fit Indices the 1st-Order Model on Enabler</w:t>
      </w:r>
      <w:bookmarkEnd w:id="960"/>
    </w:p>
    <w:tbl>
      <w:tblPr>
        <w:tblStyle w:val="TableGrid1"/>
        <w:tblW w:w="8010" w:type="dxa"/>
        <w:tblInd w:w="-5" w:type="dxa"/>
        <w:tblLook w:val="04A0" w:firstRow="1" w:lastRow="0" w:firstColumn="1" w:lastColumn="0" w:noHBand="0" w:noVBand="1"/>
      </w:tblPr>
      <w:tblGrid>
        <w:gridCol w:w="1275"/>
        <w:gridCol w:w="1845"/>
        <w:gridCol w:w="4890"/>
      </w:tblGrid>
      <w:tr w:rsidR="008D3598" w:rsidRPr="00511330" w14:paraId="644169D3" w14:textId="77777777" w:rsidTr="00881819">
        <w:trPr>
          <w:trHeight w:val="332"/>
        </w:trPr>
        <w:tc>
          <w:tcPr>
            <w:tcW w:w="1275" w:type="dxa"/>
            <w:shd w:val="clear" w:color="auto" w:fill="F2F2F2" w:themeFill="background1" w:themeFillShade="F2"/>
            <w:vAlign w:val="center"/>
          </w:tcPr>
          <w:p w14:paraId="644169D0" w14:textId="77777777" w:rsidR="008D3598" w:rsidRPr="00511330" w:rsidRDefault="008D3598" w:rsidP="00BA6F41">
            <w:pPr>
              <w:ind w:right="-450"/>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Model</w:t>
            </w:r>
          </w:p>
        </w:tc>
        <w:tc>
          <w:tcPr>
            <w:tcW w:w="1845" w:type="dxa"/>
            <w:shd w:val="clear" w:color="auto" w:fill="F2F2F2" w:themeFill="background1" w:themeFillShade="F2"/>
            <w:vAlign w:val="center"/>
          </w:tcPr>
          <w:p w14:paraId="644169D1" w14:textId="77777777" w:rsidR="008D3598" w:rsidRPr="00511330" w:rsidRDefault="008D3598" w:rsidP="00BA6F41">
            <w:pPr>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Obtained Value</w:t>
            </w:r>
          </w:p>
        </w:tc>
        <w:tc>
          <w:tcPr>
            <w:tcW w:w="4890" w:type="dxa"/>
            <w:shd w:val="clear" w:color="auto" w:fill="F2F2F2" w:themeFill="background1" w:themeFillShade="F2"/>
            <w:vAlign w:val="center"/>
          </w:tcPr>
          <w:p w14:paraId="644169D2" w14:textId="77777777" w:rsidR="008D3598" w:rsidRPr="00511330" w:rsidRDefault="008D3598" w:rsidP="00BA6F41">
            <w:pPr>
              <w:ind w:right="-450"/>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Recommended Values</w:t>
            </w:r>
          </w:p>
        </w:tc>
      </w:tr>
      <w:tr w:rsidR="008D3598" w:rsidRPr="00511330" w14:paraId="644169D7" w14:textId="77777777" w:rsidTr="00881819">
        <w:trPr>
          <w:trHeight w:val="368"/>
        </w:trPr>
        <w:tc>
          <w:tcPr>
            <w:tcW w:w="1275" w:type="dxa"/>
            <w:vAlign w:val="center"/>
          </w:tcPr>
          <w:p w14:paraId="644169D4" w14:textId="77777777" w:rsidR="008D3598" w:rsidRPr="00511330" w:rsidRDefault="008D3598" w:rsidP="00BA6F41">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χ2/df</w:t>
            </w:r>
          </w:p>
        </w:tc>
        <w:tc>
          <w:tcPr>
            <w:tcW w:w="1845" w:type="dxa"/>
            <w:vAlign w:val="center"/>
          </w:tcPr>
          <w:p w14:paraId="644169D5" w14:textId="77777777" w:rsidR="008D3598" w:rsidRPr="00511330" w:rsidRDefault="008D3598" w:rsidP="00BA6F41">
            <w:pP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2.486</w:t>
            </w:r>
          </w:p>
        </w:tc>
        <w:tc>
          <w:tcPr>
            <w:tcW w:w="4890" w:type="dxa"/>
            <w:vAlign w:val="center"/>
          </w:tcPr>
          <w:p w14:paraId="644169D6" w14:textId="77777777" w:rsidR="008D3598" w:rsidRPr="00511330" w:rsidRDefault="008D3598" w:rsidP="00BA6F41">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&lt; 3 (Kline, 2011)</w:t>
            </w:r>
          </w:p>
        </w:tc>
      </w:tr>
      <w:tr w:rsidR="008D3598" w:rsidRPr="00511330" w14:paraId="644169DB" w14:textId="77777777" w:rsidTr="00881819">
        <w:trPr>
          <w:trHeight w:val="224"/>
        </w:trPr>
        <w:tc>
          <w:tcPr>
            <w:tcW w:w="1275" w:type="dxa"/>
            <w:vAlign w:val="center"/>
          </w:tcPr>
          <w:p w14:paraId="644169D8" w14:textId="77777777" w:rsidR="008D3598" w:rsidRPr="00511330" w:rsidRDefault="008D3598" w:rsidP="00BA6F41">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GFI</w:t>
            </w:r>
          </w:p>
        </w:tc>
        <w:tc>
          <w:tcPr>
            <w:tcW w:w="1845" w:type="dxa"/>
            <w:vAlign w:val="center"/>
          </w:tcPr>
          <w:p w14:paraId="644169D9" w14:textId="77777777" w:rsidR="008D3598" w:rsidRPr="00511330" w:rsidRDefault="008D3598" w:rsidP="00BA6F41">
            <w:pP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.873</w:t>
            </w:r>
          </w:p>
        </w:tc>
        <w:tc>
          <w:tcPr>
            <w:tcW w:w="4890" w:type="dxa"/>
            <w:vAlign w:val="center"/>
          </w:tcPr>
          <w:p w14:paraId="644169DA" w14:textId="77777777" w:rsidR="008D3598" w:rsidRPr="00511330" w:rsidRDefault="008D3598" w:rsidP="00BA6F41">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0.90–1.0 (Hoyle, 2000; Kline, 2005)</w:t>
            </w:r>
          </w:p>
        </w:tc>
      </w:tr>
      <w:tr w:rsidR="008D3598" w:rsidRPr="00511330" w14:paraId="644169DF" w14:textId="77777777" w:rsidTr="00881819">
        <w:trPr>
          <w:trHeight w:val="341"/>
        </w:trPr>
        <w:tc>
          <w:tcPr>
            <w:tcW w:w="1275" w:type="dxa"/>
            <w:vAlign w:val="center"/>
          </w:tcPr>
          <w:p w14:paraId="644169DC" w14:textId="77777777" w:rsidR="008D3598" w:rsidRPr="00511330" w:rsidRDefault="008D3598" w:rsidP="00BA6F41">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RMSEA</w:t>
            </w:r>
          </w:p>
        </w:tc>
        <w:tc>
          <w:tcPr>
            <w:tcW w:w="1845" w:type="dxa"/>
            <w:vAlign w:val="center"/>
          </w:tcPr>
          <w:p w14:paraId="644169DD" w14:textId="77777777" w:rsidR="008D3598" w:rsidRPr="00511330" w:rsidRDefault="008D3598" w:rsidP="00BA6F41">
            <w:pP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.065</w:t>
            </w:r>
          </w:p>
        </w:tc>
        <w:tc>
          <w:tcPr>
            <w:tcW w:w="4890" w:type="dxa"/>
            <w:vAlign w:val="center"/>
          </w:tcPr>
          <w:p w14:paraId="644169DE" w14:textId="2CADD49B" w:rsidR="008D3598" w:rsidRPr="00511330" w:rsidRDefault="008D3598" w:rsidP="00BA6F41">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 xml:space="preserve">&lt; 0.08 (Hu </w:t>
            </w:r>
            <w:r w:rsidR="00715A2C" w:rsidRPr="00511330">
              <w:rPr>
                <w:rFonts w:asciiTheme="majorBidi" w:eastAsia="Calibri" w:hAnsiTheme="majorBidi" w:cstheme="majorBidi"/>
                <w:sz w:val="20"/>
                <w:szCs w:val="20"/>
                <w:lang w:val="en-US" w:bidi="ar-AE"/>
              </w:rPr>
              <w:t>and</w:t>
            </w:r>
            <w:r w:rsidRPr="00511330">
              <w:rPr>
                <w:rFonts w:asciiTheme="majorBidi" w:eastAsia="Calibri" w:hAnsiTheme="majorBidi" w:cstheme="majorBidi"/>
                <w:sz w:val="20"/>
                <w:szCs w:val="20"/>
                <w:lang w:val="en-US" w:bidi="ar-AE"/>
              </w:rPr>
              <w:t xml:space="preserve"> Bentler, 1999)</w:t>
            </w:r>
          </w:p>
        </w:tc>
      </w:tr>
      <w:tr w:rsidR="008D3598" w:rsidRPr="00511330" w14:paraId="644169E3" w14:textId="77777777" w:rsidTr="00881819">
        <w:trPr>
          <w:trHeight w:val="350"/>
        </w:trPr>
        <w:tc>
          <w:tcPr>
            <w:tcW w:w="1275" w:type="dxa"/>
            <w:vAlign w:val="center"/>
          </w:tcPr>
          <w:p w14:paraId="644169E0" w14:textId="77777777" w:rsidR="008D3598" w:rsidRPr="00511330" w:rsidRDefault="008D3598" w:rsidP="00BA6F41">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NFI</w:t>
            </w:r>
          </w:p>
        </w:tc>
        <w:tc>
          <w:tcPr>
            <w:tcW w:w="1845" w:type="dxa"/>
            <w:vAlign w:val="center"/>
          </w:tcPr>
          <w:p w14:paraId="644169E1" w14:textId="77777777" w:rsidR="008D3598" w:rsidRPr="00511330" w:rsidRDefault="008D3598" w:rsidP="00BA6F41">
            <w:pP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.885</w:t>
            </w:r>
          </w:p>
        </w:tc>
        <w:tc>
          <w:tcPr>
            <w:tcW w:w="4890" w:type="dxa"/>
            <w:vAlign w:val="center"/>
          </w:tcPr>
          <w:p w14:paraId="644169E2" w14:textId="77777777" w:rsidR="008D3598" w:rsidRPr="00511330" w:rsidRDefault="008D3598" w:rsidP="00BA6F41">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0.95–1.0 (Miles, 2007; Thompson, 2004)</w:t>
            </w:r>
          </w:p>
        </w:tc>
      </w:tr>
      <w:tr w:rsidR="008D3598" w:rsidRPr="00511330" w14:paraId="644169E7" w14:textId="77777777" w:rsidTr="00881819">
        <w:trPr>
          <w:trHeight w:val="350"/>
        </w:trPr>
        <w:tc>
          <w:tcPr>
            <w:tcW w:w="1275" w:type="dxa"/>
            <w:vAlign w:val="center"/>
          </w:tcPr>
          <w:p w14:paraId="644169E4" w14:textId="77777777" w:rsidR="008D3598" w:rsidRPr="00511330" w:rsidRDefault="008D3598" w:rsidP="00BA6F41">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TLI</w:t>
            </w:r>
          </w:p>
        </w:tc>
        <w:tc>
          <w:tcPr>
            <w:tcW w:w="1845" w:type="dxa"/>
            <w:vAlign w:val="center"/>
          </w:tcPr>
          <w:p w14:paraId="644169E5" w14:textId="77777777" w:rsidR="008D3598" w:rsidRPr="00511330" w:rsidRDefault="008D3598" w:rsidP="00BA6F41">
            <w:pP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.914</w:t>
            </w:r>
          </w:p>
        </w:tc>
        <w:tc>
          <w:tcPr>
            <w:tcW w:w="4890" w:type="dxa"/>
            <w:vAlign w:val="center"/>
          </w:tcPr>
          <w:p w14:paraId="644169E6" w14:textId="77777777" w:rsidR="008D3598" w:rsidRPr="00511330" w:rsidRDefault="008D3598" w:rsidP="00BA6F41">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0.95–1.0 (Miles, 2007; Thompson, 2004)</w:t>
            </w:r>
          </w:p>
        </w:tc>
      </w:tr>
      <w:tr w:rsidR="008D3598" w:rsidRPr="00511330" w14:paraId="644169EB" w14:textId="77777777" w:rsidTr="00881819">
        <w:tc>
          <w:tcPr>
            <w:tcW w:w="1275" w:type="dxa"/>
            <w:vAlign w:val="center"/>
          </w:tcPr>
          <w:p w14:paraId="644169E8" w14:textId="77777777" w:rsidR="008D3598" w:rsidRPr="00511330" w:rsidRDefault="008D3598" w:rsidP="00BA6F41">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CFI</w:t>
            </w:r>
          </w:p>
        </w:tc>
        <w:tc>
          <w:tcPr>
            <w:tcW w:w="1845" w:type="dxa"/>
            <w:vAlign w:val="center"/>
          </w:tcPr>
          <w:p w14:paraId="644169E9" w14:textId="77777777" w:rsidR="008D3598" w:rsidRPr="00511330" w:rsidRDefault="008D3598" w:rsidP="00BA6F41">
            <w:pP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.927</w:t>
            </w:r>
          </w:p>
        </w:tc>
        <w:tc>
          <w:tcPr>
            <w:tcW w:w="4890" w:type="dxa"/>
            <w:vAlign w:val="center"/>
          </w:tcPr>
          <w:p w14:paraId="644169EA" w14:textId="77777777" w:rsidR="008D3598" w:rsidRPr="00511330" w:rsidRDefault="008D3598" w:rsidP="00BA6F41">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&gt; 0.90 (Kline, 2011)</w:t>
            </w:r>
          </w:p>
        </w:tc>
      </w:tr>
    </w:tbl>
    <w:p w14:paraId="644169EC" w14:textId="77777777" w:rsidR="008D3598" w:rsidRPr="00511330" w:rsidRDefault="008D3598" w:rsidP="00721566">
      <w:pPr>
        <w:spacing w:after="0" w:line="240" w:lineRule="auto"/>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b/>
          <w:bCs/>
          <w:sz w:val="20"/>
          <w:szCs w:val="20"/>
          <w:lang w:val="en-US" w:bidi="ar-AE"/>
        </w:rPr>
        <w:t>Note</w:t>
      </w:r>
      <w:r w:rsidRPr="00511330">
        <w:rPr>
          <w:rFonts w:asciiTheme="majorBidi" w:eastAsia="Calibri" w:hAnsiTheme="majorBidi" w:cstheme="majorBidi"/>
          <w:sz w:val="20"/>
          <w:szCs w:val="20"/>
          <w:lang w:val="en-US" w:bidi="ar-AE"/>
        </w:rPr>
        <w:t xml:space="preserve">. </w:t>
      </w:r>
      <w:r w:rsidRPr="00511330">
        <w:rPr>
          <w:rFonts w:asciiTheme="majorBidi" w:eastAsia="Calibri" w:hAnsiTheme="majorBidi" w:cstheme="majorBidi"/>
          <w:b/>
          <w:bCs/>
          <w:sz w:val="20"/>
          <w:szCs w:val="20"/>
          <w:lang w:val="en-US" w:bidi="ar-AE"/>
        </w:rPr>
        <w:t>χ2/df</w:t>
      </w:r>
      <w:r w:rsidRPr="00511330">
        <w:rPr>
          <w:rFonts w:asciiTheme="majorBidi" w:eastAsia="Calibri" w:hAnsiTheme="majorBidi" w:cstheme="majorBidi"/>
          <w:sz w:val="20"/>
          <w:szCs w:val="20"/>
          <w:lang w:val="en-US" w:bidi="ar-AE"/>
        </w:rPr>
        <w:t xml:space="preserve"> = normed chi-square statistic; </w:t>
      </w:r>
      <w:r w:rsidRPr="00511330">
        <w:rPr>
          <w:rFonts w:asciiTheme="majorBidi" w:eastAsia="Calibri" w:hAnsiTheme="majorBidi" w:cstheme="majorBidi"/>
          <w:b/>
          <w:bCs/>
          <w:sz w:val="20"/>
          <w:szCs w:val="20"/>
          <w:lang w:val="en-US" w:bidi="ar-AE"/>
        </w:rPr>
        <w:t xml:space="preserve">GFI </w:t>
      </w:r>
      <w:r w:rsidRPr="00511330">
        <w:rPr>
          <w:rFonts w:asciiTheme="majorBidi" w:eastAsia="Calibri" w:hAnsiTheme="majorBidi" w:cstheme="majorBidi"/>
          <w:sz w:val="20"/>
          <w:szCs w:val="20"/>
          <w:lang w:val="en-US" w:bidi="ar-AE"/>
        </w:rPr>
        <w:t xml:space="preserve">= goodness-of-fit index; </w:t>
      </w:r>
      <w:r w:rsidRPr="00511330">
        <w:rPr>
          <w:rFonts w:asciiTheme="majorBidi" w:eastAsia="Calibri" w:hAnsiTheme="majorBidi" w:cstheme="majorBidi"/>
          <w:b/>
          <w:bCs/>
          <w:sz w:val="20"/>
          <w:szCs w:val="20"/>
          <w:lang w:val="en-US" w:bidi="ar-AE"/>
        </w:rPr>
        <w:t>RMSEA</w:t>
      </w:r>
      <w:r w:rsidRPr="00511330">
        <w:rPr>
          <w:rFonts w:asciiTheme="majorBidi" w:eastAsia="Calibri" w:hAnsiTheme="majorBidi" w:cstheme="majorBidi"/>
          <w:sz w:val="20"/>
          <w:szCs w:val="20"/>
          <w:lang w:val="en-US" w:bidi="ar-AE"/>
        </w:rPr>
        <w:t xml:space="preserve"> = root mean square error of approximation; </w:t>
      </w:r>
      <w:r w:rsidRPr="00511330">
        <w:rPr>
          <w:rFonts w:asciiTheme="majorBidi" w:eastAsia="Calibri" w:hAnsiTheme="majorBidi" w:cstheme="majorBidi"/>
          <w:b/>
          <w:bCs/>
          <w:sz w:val="20"/>
          <w:szCs w:val="20"/>
          <w:lang w:val="en-US" w:bidi="ar-AE"/>
        </w:rPr>
        <w:t xml:space="preserve">NFI </w:t>
      </w:r>
      <w:r w:rsidRPr="00511330">
        <w:rPr>
          <w:rFonts w:asciiTheme="majorBidi" w:eastAsia="Calibri" w:hAnsiTheme="majorBidi" w:cstheme="majorBidi"/>
          <w:sz w:val="20"/>
          <w:szCs w:val="20"/>
          <w:lang w:val="en-US" w:bidi="ar-AE"/>
        </w:rPr>
        <w:t xml:space="preserve">= normed fit index; </w:t>
      </w:r>
      <w:r w:rsidRPr="00511330">
        <w:rPr>
          <w:rFonts w:asciiTheme="majorBidi" w:eastAsia="Calibri" w:hAnsiTheme="majorBidi" w:cstheme="majorBidi"/>
          <w:b/>
          <w:bCs/>
          <w:sz w:val="20"/>
          <w:szCs w:val="20"/>
          <w:lang w:val="en-US" w:bidi="ar-AE"/>
        </w:rPr>
        <w:t xml:space="preserve">TLI </w:t>
      </w:r>
      <w:r w:rsidRPr="00511330">
        <w:rPr>
          <w:rFonts w:asciiTheme="majorBidi" w:eastAsia="Calibri" w:hAnsiTheme="majorBidi" w:cstheme="majorBidi"/>
          <w:sz w:val="20"/>
          <w:szCs w:val="20"/>
          <w:lang w:val="en-US" w:bidi="ar-AE"/>
        </w:rPr>
        <w:t xml:space="preserve">= Tucker–Lewis index, </w:t>
      </w:r>
      <w:r w:rsidRPr="00511330">
        <w:rPr>
          <w:rFonts w:asciiTheme="majorBidi" w:eastAsia="Calibri" w:hAnsiTheme="majorBidi" w:cstheme="majorBidi"/>
          <w:b/>
          <w:bCs/>
          <w:sz w:val="20"/>
          <w:szCs w:val="20"/>
          <w:lang w:val="en-US" w:bidi="ar-AE"/>
        </w:rPr>
        <w:t xml:space="preserve">CFI </w:t>
      </w:r>
      <w:r w:rsidRPr="00511330">
        <w:rPr>
          <w:rFonts w:asciiTheme="majorBidi" w:eastAsia="Calibri" w:hAnsiTheme="majorBidi" w:cstheme="majorBidi"/>
          <w:sz w:val="20"/>
          <w:szCs w:val="20"/>
          <w:lang w:val="en-US" w:bidi="ar-AE"/>
        </w:rPr>
        <w:t>= comparative fit index.</w:t>
      </w:r>
    </w:p>
    <w:p w14:paraId="644169ED" w14:textId="77777777" w:rsidR="008D3598" w:rsidRPr="00511330" w:rsidRDefault="008D3598" w:rsidP="00721566">
      <w:pPr>
        <w:autoSpaceDE w:val="0"/>
        <w:autoSpaceDN w:val="0"/>
        <w:adjustRightInd w:val="0"/>
        <w:spacing w:after="0" w:line="240" w:lineRule="auto"/>
        <w:ind w:right="-450"/>
        <w:jc w:val="center"/>
        <w:rPr>
          <w:rFonts w:asciiTheme="majorBidi" w:eastAsia="Calibri" w:hAnsiTheme="majorBidi" w:cstheme="majorBidi"/>
          <w:b/>
          <w:bCs/>
          <w:sz w:val="24"/>
          <w:szCs w:val="24"/>
          <w:lang w:val="en-US"/>
        </w:rPr>
      </w:pPr>
      <w:r w:rsidRPr="00511330">
        <w:rPr>
          <w:noProof/>
          <w:lang w:val="en-US"/>
        </w:rPr>
        <w:lastRenderedPageBreak/>
        <mc:AlternateContent>
          <mc:Choice Requires="wps">
            <w:drawing>
              <wp:anchor distT="0" distB="0" distL="114300" distR="114300" simplePos="0" relativeHeight="251661312" behindDoc="0" locked="0" layoutInCell="1" allowOverlap="1" wp14:anchorId="64416D52" wp14:editId="6DD4DDBD">
                <wp:simplePos x="0" y="0"/>
                <wp:positionH relativeFrom="column">
                  <wp:posOffset>-154305</wp:posOffset>
                </wp:positionH>
                <wp:positionV relativeFrom="paragraph">
                  <wp:posOffset>7712053</wp:posOffset>
                </wp:positionV>
                <wp:extent cx="4967605" cy="6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4967605" cy="635"/>
                        </a:xfrm>
                        <a:prstGeom prst="rect">
                          <a:avLst/>
                        </a:prstGeom>
                        <a:solidFill>
                          <a:prstClr val="white"/>
                        </a:solidFill>
                        <a:ln>
                          <a:noFill/>
                        </a:ln>
                        <a:effectLst/>
                      </wps:spPr>
                      <wps:txbx>
                        <w:txbxContent>
                          <w:p w14:paraId="64416D71" w14:textId="7BD09153" w:rsidR="008E0079" w:rsidRPr="00B014FA" w:rsidRDefault="008E0079" w:rsidP="008D3598">
                            <w:pPr>
                              <w:pStyle w:val="Caption"/>
                              <w:rPr>
                                <w:rFonts w:asciiTheme="majorBidi" w:eastAsia="Calibri" w:hAnsiTheme="majorBidi" w:cstheme="majorBidi"/>
                                <w:b w:val="0"/>
                                <w:bCs w:val="0"/>
                                <w:noProof/>
                                <w:color w:val="auto"/>
                                <w:sz w:val="20"/>
                                <w:szCs w:val="20"/>
                              </w:rPr>
                            </w:pPr>
                            <w:bookmarkStart w:id="961" w:name="_Toc43311499"/>
                            <w:r w:rsidRPr="007B41A5">
                              <w:rPr>
                                <w:rFonts w:asciiTheme="majorBidi" w:hAnsiTheme="majorBidi" w:cstheme="majorBidi"/>
                                <w:b w:val="0"/>
                                <w:bCs w:val="0"/>
                                <w:i/>
                                <w:iCs/>
                                <w:color w:val="auto"/>
                                <w:sz w:val="20"/>
                                <w:szCs w:val="20"/>
                              </w:rPr>
                              <w:t xml:space="preserve">Figure 4. </w:t>
                            </w:r>
                            <w:r w:rsidRPr="007B41A5">
                              <w:rPr>
                                <w:rFonts w:asciiTheme="majorBidi" w:hAnsiTheme="majorBidi" w:cstheme="majorBidi"/>
                                <w:b w:val="0"/>
                                <w:bCs w:val="0"/>
                                <w:i/>
                                <w:iCs/>
                                <w:color w:val="auto"/>
                                <w:sz w:val="20"/>
                                <w:szCs w:val="20"/>
                              </w:rPr>
                              <w:fldChar w:fldCharType="begin"/>
                            </w:r>
                            <w:r w:rsidRPr="007B41A5">
                              <w:rPr>
                                <w:rFonts w:asciiTheme="majorBidi" w:hAnsiTheme="majorBidi" w:cstheme="majorBidi"/>
                                <w:b w:val="0"/>
                                <w:bCs w:val="0"/>
                                <w:i/>
                                <w:iCs/>
                                <w:color w:val="auto"/>
                                <w:sz w:val="20"/>
                                <w:szCs w:val="20"/>
                              </w:rPr>
                              <w:instrText xml:space="preserve"> SEQ Figure_4. \* ARABIC </w:instrText>
                            </w:r>
                            <w:r w:rsidRPr="007B41A5">
                              <w:rPr>
                                <w:rFonts w:asciiTheme="majorBidi" w:hAnsiTheme="majorBidi" w:cstheme="majorBidi"/>
                                <w:b w:val="0"/>
                                <w:bCs w:val="0"/>
                                <w:i/>
                                <w:iCs/>
                                <w:color w:val="auto"/>
                                <w:sz w:val="20"/>
                                <w:szCs w:val="20"/>
                              </w:rPr>
                              <w:fldChar w:fldCharType="separate"/>
                            </w:r>
                            <w:r>
                              <w:rPr>
                                <w:rFonts w:asciiTheme="majorBidi" w:hAnsiTheme="majorBidi" w:cstheme="majorBidi"/>
                                <w:b w:val="0"/>
                                <w:bCs w:val="0"/>
                                <w:i/>
                                <w:iCs/>
                                <w:noProof/>
                                <w:color w:val="auto"/>
                                <w:sz w:val="20"/>
                                <w:szCs w:val="20"/>
                              </w:rPr>
                              <w:t>4</w:t>
                            </w:r>
                            <w:r w:rsidRPr="007B41A5">
                              <w:rPr>
                                <w:rFonts w:asciiTheme="majorBidi" w:hAnsiTheme="majorBidi" w:cstheme="majorBidi"/>
                                <w:b w:val="0"/>
                                <w:bCs w:val="0"/>
                                <w:i/>
                                <w:iCs/>
                                <w:color w:val="auto"/>
                                <w:sz w:val="20"/>
                                <w:szCs w:val="20"/>
                              </w:rPr>
                              <w:fldChar w:fldCharType="end"/>
                            </w:r>
                            <w:r>
                              <w:rPr>
                                <w:rFonts w:asciiTheme="majorBidi" w:hAnsiTheme="majorBidi" w:cstheme="majorBidi"/>
                                <w:b w:val="0"/>
                                <w:bCs w:val="0"/>
                                <w:i/>
                                <w:iCs/>
                                <w:noProof/>
                                <w:color w:val="auto"/>
                                <w:sz w:val="20"/>
                                <w:szCs w:val="20"/>
                                <w:lang w:val="en-US"/>
                              </w:rPr>
                              <w:t xml:space="preserve">: </w:t>
                            </w:r>
                            <w:r>
                              <w:rPr>
                                <w:rFonts w:asciiTheme="majorBidi" w:hAnsiTheme="majorBidi" w:cstheme="majorBidi"/>
                                <w:b w:val="0"/>
                                <w:bCs w:val="0"/>
                                <w:noProof/>
                                <w:color w:val="auto"/>
                                <w:sz w:val="20"/>
                                <w:szCs w:val="20"/>
                                <w:lang w:val="en-US"/>
                              </w:rPr>
                              <w:t>S</w:t>
                            </w:r>
                            <w:r w:rsidRPr="00B014FA">
                              <w:rPr>
                                <w:rFonts w:asciiTheme="majorBidi" w:hAnsiTheme="majorBidi" w:cstheme="majorBidi"/>
                                <w:b w:val="0"/>
                                <w:bCs w:val="0"/>
                                <w:noProof/>
                                <w:color w:val="auto"/>
                                <w:sz w:val="20"/>
                                <w:szCs w:val="20"/>
                                <w:lang w:val="en-US"/>
                              </w:rPr>
                              <w:t>tructural models from the first-order CFA on Enablers</w:t>
                            </w:r>
                            <w:bookmarkEnd w:id="9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64416D52" id="Text Box 20" o:spid="_x0000_s1030" type="#_x0000_t202" style="position:absolute;left:0;text-align:left;margin-left:-12.15pt;margin-top:607.25pt;width:391.1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" stroked="f">
                <v:textbox style="mso-fit-shape-to-text:t" inset="0,0,0,0">
                  <w:txbxContent>
                    <w:p w14:paraId="64416D71" w14:textId="7BD09153" w:rsidR="008E0079" w:rsidRPr="00B014FA" w:rsidRDefault="008E0079" w:rsidP="008D3598">
                      <w:pPr>
                        <w:pStyle w:val="Caption"/>
                        <w:rPr>
                          <w:rFonts w:asciiTheme="majorBidi" w:eastAsia="Calibri" w:hAnsiTheme="majorBidi" w:cstheme="majorBidi"/>
                          <w:b w:val="0"/>
                          <w:bCs w:val="0"/>
                          <w:noProof/>
                          <w:color w:val="auto"/>
                          <w:sz w:val="20"/>
                          <w:szCs w:val="20"/>
                        </w:rPr>
                      </w:pPr>
                      <w:bookmarkStart w:id="965" w:name="_Toc43311499"/>
                      <w:r w:rsidRPr="007B41A5">
                        <w:rPr>
                          <w:rFonts w:asciiTheme="majorBidi" w:hAnsiTheme="majorBidi" w:cstheme="majorBidi"/>
                          <w:b w:val="0"/>
                          <w:bCs w:val="0"/>
                          <w:i/>
                          <w:iCs/>
                          <w:color w:val="auto"/>
                          <w:sz w:val="20"/>
                          <w:szCs w:val="20"/>
                        </w:rPr>
                        <w:t xml:space="preserve">Figure 4. </w:t>
                      </w:r>
                      <w:r w:rsidRPr="007B41A5">
                        <w:rPr>
                          <w:rFonts w:asciiTheme="majorBidi" w:hAnsiTheme="majorBidi" w:cstheme="majorBidi"/>
                          <w:b w:val="0"/>
                          <w:bCs w:val="0"/>
                          <w:i/>
                          <w:iCs/>
                          <w:color w:val="auto"/>
                          <w:sz w:val="20"/>
                          <w:szCs w:val="20"/>
                        </w:rPr>
                        <w:fldChar w:fldCharType="begin"/>
                      </w:r>
                      <w:r w:rsidRPr="007B41A5">
                        <w:rPr>
                          <w:rFonts w:asciiTheme="majorBidi" w:hAnsiTheme="majorBidi" w:cstheme="majorBidi"/>
                          <w:b w:val="0"/>
                          <w:bCs w:val="0"/>
                          <w:i/>
                          <w:iCs/>
                          <w:color w:val="auto"/>
                          <w:sz w:val="20"/>
                          <w:szCs w:val="20"/>
                        </w:rPr>
                        <w:instrText xml:space="preserve"> SEQ Figure_4. \* ARABIC </w:instrText>
                      </w:r>
                      <w:r w:rsidRPr="007B41A5">
                        <w:rPr>
                          <w:rFonts w:asciiTheme="majorBidi" w:hAnsiTheme="majorBidi" w:cstheme="majorBidi"/>
                          <w:b w:val="0"/>
                          <w:bCs w:val="0"/>
                          <w:i/>
                          <w:iCs/>
                          <w:color w:val="auto"/>
                          <w:sz w:val="20"/>
                          <w:szCs w:val="20"/>
                        </w:rPr>
                        <w:fldChar w:fldCharType="separate"/>
                      </w:r>
                      <w:r>
                        <w:rPr>
                          <w:rFonts w:asciiTheme="majorBidi" w:hAnsiTheme="majorBidi" w:cstheme="majorBidi"/>
                          <w:b w:val="0"/>
                          <w:bCs w:val="0"/>
                          <w:i/>
                          <w:iCs/>
                          <w:noProof/>
                          <w:color w:val="auto"/>
                          <w:sz w:val="20"/>
                          <w:szCs w:val="20"/>
                        </w:rPr>
                        <w:t>4</w:t>
                      </w:r>
                      <w:r w:rsidRPr="007B41A5">
                        <w:rPr>
                          <w:rFonts w:asciiTheme="majorBidi" w:hAnsiTheme="majorBidi" w:cstheme="majorBidi"/>
                          <w:b w:val="0"/>
                          <w:bCs w:val="0"/>
                          <w:i/>
                          <w:iCs/>
                          <w:color w:val="auto"/>
                          <w:sz w:val="20"/>
                          <w:szCs w:val="20"/>
                        </w:rPr>
                        <w:fldChar w:fldCharType="end"/>
                      </w:r>
                      <w:r>
                        <w:rPr>
                          <w:rFonts w:asciiTheme="majorBidi" w:hAnsiTheme="majorBidi" w:cstheme="majorBidi"/>
                          <w:b w:val="0"/>
                          <w:bCs w:val="0"/>
                          <w:i/>
                          <w:iCs/>
                          <w:noProof/>
                          <w:color w:val="auto"/>
                          <w:sz w:val="20"/>
                          <w:szCs w:val="20"/>
                          <w:lang w:val="en-US"/>
                        </w:rPr>
                        <w:t xml:space="preserve">: </w:t>
                      </w:r>
                      <w:r>
                        <w:rPr>
                          <w:rFonts w:asciiTheme="majorBidi" w:hAnsiTheme="majorBidi" w:cstheme="majorBidi"/>
                          <w:b w:val="0"/>
                          <w:bCs w:val="0"/>
                          <w:noProof/>
                          <w:color w:val="auto"/>
                          <w:sz w:val="20"/>
                          <w:szCs w:val="20"/>
                          <w:lang w:val="en-US"/>
                        </w:rPr>
                        <w:t>S</w:t>
                      </w:r>
                      <w:r w:rsidRPr="00B014FA">
                        <w:rPr>
                          <w:rFonts w:asciiTheme="majorBidi" w:hAnsiTheme="majorBidi" w:cstheme="majorBidi"/>
                          <w:b w:val="0"/>
                          <w:bCs w:val="0"/>
                          <w:noProof/>
                          <w:color w:val="auto"/>
                          <w:sz w:val="20"/>
                          <w:szCs w:val="20"/>
                          <w:lang w:val="en-US"/>
                        </w:rPr>
                        <w:t>tructural models from the first-order CFA on Enablers</w:t>
                      </w:r>
                      <w:bookmarkEnd w:id="965"/>
                    </w:p>
                  </w:txbxContent>
                </v:textbox>
                <w10:wrap type="square"/>
              </v:shape>
            </w:pict>
          </mc:Fallback>
        </mc:AlternateContent>
      </w:r>
      <w:r w:rsidRPr="00511330">
        <w:rPr>
          <w:rFonts w:asciiTheme="majorBidi" w:eastAsia="Calibri" w:hAnsiTheme="majorBidi" w:cstheme="majorBidi"/>
          <w:noProof/>
          <w:sz w:val="24"/>
          <w:szCs w:val="24"/>
          <w:lang w:val="en-US"/>
        </w:rPr>
        <w:drawing>
          <wp:anchor distT="0" distB="0" distL="114300" distR="114300" simplePos="0" relativeHeight="251654144" behindDoc="1" locked="0" layoutInCell="1" allowOverlap="1" wp14:anchorId="64416D54" wp14:editId="268E79EF">
            <wp:simplePos x="0" y="0"/>
            <wp:positionH relativeFrom="margin">
              <wp:posOffset>-154305</wp:posOffset>
            </wp:positionH>
            <wp:positionV relativeFrom="paragraph">
              <wp:posOffset>-471805</wp:posOffset>
            </wp:positionV>
            <wp:extent cx="4967605" cy="7574915"/>
            <wp:effectExtent l="0" t="0" r="4445" b="698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4967605" cy="757491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962" w:name="_Toc32090466"/>
      <w:bookmarkStart w:id="963" w:name="_Toc32090795"/>
      <w:bookmarkStart w:id="964" w:name="_Toc32091711"/>
      <w:bookmarkStart w:id="965" w:name="_Toc32090467"/>
      <w:bookmarkStart w:id="966" w:name="_Toc32090796"/>
      <w:bookmarkStart w:id="967" w:name="_Toc32091712"/>
      <w:bookmarkStart w:id="968" w:name="_Toc32090468"/>
      <w:bookmarkStart w:id="969" w:name="_Toc32090797"/>
      <w:bookmarkStart w:id="970" w:name="_Toc32091713"/>
      <w:bookmarkStart w:id="971" w:name="_Toc32090469"/>
      <w:bookmarkStart w:id="972" w:name="_Toc32090798"/>
      <w:bookmarkStart w:id="973" w:name="_Toc32091714"/>
      <w:bookmarkStart w:id="974" w:name="_Toc32090470"/>
      <w:bookmarkStart w:id="975" w:name="_Toc32090799"/>
      <w:bookmarkStart w:id="976" w:name="_Toc32091715"/>
      <w:bookmarkStart w:id="977" w:name="_Toc32090471"/>
      <w:bookmarkStart w:id="978" w:name="_Toc32090800"/>
      <w:bookmarkStart w:id="979" w:name="_Toc32091716"/>
      <w:bookmarkStart w:id="980" w:name="_Toc32090472"/>
      <w:bookmarkStart w:id="981" w:name="_Toc32090801"/>
      <w:bookmarkStart w:id="982" w:name="_Toc32091717"/>
      <w:bookmarkStart w:id="983" w:name="_Toc32090473"/>
      <w:bookmarkStart w:id="984" w:name="_Toc32090802"/>
      <w:bookmarkStart w:id="985" w:name="_Toc32091718"/>
      <w:bookmarkStart w:id="986" w:name="_Toc32090474"/>
      <w:bookmarkStart w:id="987" w:name="_Toc32090803"/>
      <w:bookmarkStart w:id="988" w:name="_Toc32091719"/>
      <w:bookmarkStart w:id="989" w:name="_Toc32090475"/>
      <w:bookmarkStart w:id="990" w:name="_Toc32090804"/>
      <w:bookmarkStart w:id="991" w:name="_Toc32091720"/>
      <w:bookmarkStart w:id="992" w:name="_Toc32090476"/>
      <w:bookmarkStart w:id="993" w:name="_Toc32090805"/>
      <w:bookmarkStart w:id="994" w:name="_Toc32091721"/>
      <w:bookmarkStart w:id="995" w:name="_Toc32090477"/>
      <w:bookmarkStart w:id="996" w:name="_Toc32090806"/>
      <w:bookmarkStart w:id="997" w:name="_Toc32091722"/>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14:paraId="644169EE" w14:textId="77777777" w:rsidR="008D3598" w:rsidRPr="00511330" w:rsidRDefault="008D3598" w:rsidP="00721566">
      <w:pPr>
        <w:pStyle w:val="Heading3"/>
        <w:numPr>
          <w:ilvl w:val="2"/>
          <w:numId w:val="16"/>
        </w:numPr>
        <w:spacing w:line="480" w:lineRule="auto"/>
        <w:ind w:left="720" w:right="-450"/>
        <w:rPr>
          <w:rFonts w:eastAsia="Calibri"/>
          <w:lang w:val="en-US"/>
        </w:rPr>
      </w:pPr>
      <w:bookmarkStart w:id="998" w:name="_Toc43311649"/>
      <w:r w:rsidRPr="00511330">
        <w:rPr>
          <w:rFonts w:eastAsia="Calibri"/>
          <w:lang w:val="en-US"/>
        </w:rPr>
        <w:lastRenderedPageBreak/>
        <w:t>Structural Model for Enablers (Second-Order CFA Model)</w:t>
      </w:r>
      <w:bookmarkEnd w:id="998"/>
    </w:p>
    <w:p w14:paraId="644169EF" w14:textId="6643EC49" w:rsidR="008D3598" w:rsidRPr="00511330" w:rsidRDefault="008D3598" w:rsidP="009E623D">
      <w:pPr>
        <w:autoSpaceDE w:val="0"/>
        <w:autoSpaceDN w:val="0"/>
        <w:adjustRightInd w:val="0"/>
        <w:spacing w:after="0" w:line="480" w:lineRule="auto"/>
        <w:ind w:right="-450"/>
        <w:jc w:val="both"/>
        <w:rPr>
          <w:rFonts w:asciiTheme="majorBidi" w:eastAsia="Calibri" w:hAnsiTheme="majorBidi" w:cstheme="majorBidi"/>
          <w:sz w:val="24"/>
          <w:szCs w:val="24"/>
          <w:lang w:val="en-US"/>
        </w:rPr>
      </w:pPr>
      <w:r w:rsidRPr="00511330">
        <w:rPr>
          <w:rFonts w:asciiTheme="majorBidi" w:eastAsia="Calibri" w:hAnsiTheme="majorBidi" w:cstheme="majorBidi"/>
          <w:sz w:val="24"/>
          <w:szCs w:val="24"/>
          <w:lang w:val="en-US"/>
        </w:rPr>
        <w:t xml:space="preserve">The </w:t>
      </w:r>
      <w:r w:rsidR="009E623D" w:rsidRPr="00511330">
        <w:rPr>
          <w:rFonts w:asciiTheme="majorBidi" w:eastAsia="Calibri" w:hAnsiTheme="majorBidi" w:cstheme="majorBidi"/>
          <w:sz w:val="24"/>
          <w:szCs w:val="24"/>
          <w:lang w:val="en-US"/>
        </w:rPr>
        <w:t xml:space="preserve">test of the second-order model </w:t>
      </w:r>
      <w:r w:rsidRPr="00511330">
        <w:rPr>
          <w:rFonts w:asciiTheme="majorBidi" w:eastAsia="Calibri" w:hAnsiTheme="majorBidi" w:cstheme="majorBidi"/>
          <w:sz w:val="24"/>
          <w:szCs w:val="24"/>
          <w:lang w:val="en-US"/>
        </w:rPr>
        <w:t xml:space="preserve">Figure 4.5 implies that a higher-order latent factor, i.e. the overall trait of change management enablers, governs the correlations among engagement and support, alignment of strategy, resources and capabilities, and flexibility and feedback. The second-order model also produces </w:t>
      </w:r>
      <w:r w:rsidRPr="00511330">
        <w:rPr>
          <w:rFonts w:asciiTheme="majorBidi" w:eastAsia="Calibri" w:hAnsiTheme="majorBidi" w:cstheme="majorBidi"/>
          <w:noProof/>
          <w:sz w:val="24"/>
          <w:szCs w:val="24"/>
          <w:lang w:val="en-US"/>
        </w:rPr>
        <w:t>an acceptable</w:t>
      </w:r>
      <w:r w:rsidRPr="00511330">
        <w:rPr>
          <w:rFonts w:asciiTheme="majorBidi" w:eastAsia="Calibri" w:hAnsiTheme="majorBidi" w:cstheme="majorBidi"/>
          <w:sz w:val="24"/>
          <w:szCs w:val="24"/>
          <w:lang w:val="en-US"/>
        </w:rPr>
        <w:t xml:space="preserve"> goodness of fit. An examination of the second-order model of the enablers reveals the significance of the coefficient estimates of engagement and support, alignment of strategy, resources and capabilities, and flexibility and feedback, which describe the relationships or paths of the four factors on the higher-order. The highest and the lowest impact of enablers appear to be from engagement and support and both alignment of strategy as well as resources and capabilities. As can be seen from the values in Table 4.27 the model shows </w:t>
      </w:r>
      <w:r w:rsidR="00BF3E70" w:rsidRPr="00511330">
        <w:rPr>
          <w:rFonts w:asciiTheme="majorBidi" w:eastAsia="Calibri" w:hAnsiTheme="majorBidi" w:cstheme="majorBidi"/>
          <w:sz w:val="24"/>
          <w:szCs w:val="24"/>
          <w:lang w:val="en-US"/>
        </w:rPr>
        <w:t>goodness-of-fit indices</w:t>
      </w:r>
      <w:r w:rsidRPr="00511330">
        <w:rPr>
          <w:rFonts w:asciiTheme="majorBidi" w:eastAsia="Calibri" w:hAnsiTheme="majorBidi" w:cstheme="majorBidi"/>
          <w:sz w:val="24"/>
          <w:szCs w:val="24"/>
          <w:lang w:val="en-US"/>
        </w:rPr>
        <w:t>. In addition, Table 4.28 shows the validity and reliability of the four enablers constructs.</w:t>
      </w:r>
    </w:p>
    <w:p w14:paraId="644169F0" w14:textId="28549BCF" w:rsidR="008D3598" w:rsidRPr="00511330" w:rsidRDefault="008D3598" w:rsidP="00881819">
      <w:pPr>
        <w:pStyle w:val="Caption"/>
        <w:keepNext/>
        <w:spacing w:after="0"/>
        <w:ind w:right="-450"/>
        <w:rPr>
          <w:rFonts w:asciiTheme="majorBidi" w:hAnsiTheme="majorBidi" w:cstheme="majorBidi"/>
          <w:b w:val="0"/>
          <w:bCs w:val="0"/>
          <w:color w:val="auto"/>
          <w:sz w:val="20"/>
          <w:szCs w:val="20"/>
          <w:lang w:val="en-US"/>
        </w:rPr>
      </w:pPr>
      <w:bookmarkStart w:id="999" w:name="_Toc43310917"/>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27</w:t>
      </w:r>
      <w:r w:rsidRPr="00511330">
        <w:rPr>
          <w:rFonts w:asciiTheme="majorBidi" w:hAnsiTheme="majorBidi" w:cstheme="majorBidi"/>
          <w:b w:val="0"/>
          <w:bCs w:val="0"/>
          <w:color w:val="auto"/>
          <w:sz w:val="20"/>
          <w:szCs w:val="20"/>
          <w:lang w:val="en-US"/>
        </w:rPr>
        <w:fldChar w:fldCharType="end"/>
      </w:r>
      <w:r w:rsidR="00881819" w:rsidRPr="00511330">
        <w:rPr>
          <w:rFonts w:asciiTheme="majorBidi" w:hAnsiTheme="majorBidi" w:cstheme="majorBidi"/>
          <w:b w:val="0"/>
          <w:bCs w:val="0"/>
          <w:noProof/>
          <w:color w:val="auto"/>
          <w:sz w:val="20"/>
          <w:szCs w:val="20"/>
          <w:lang w:val="en-US"/>
        </w:rPr>
        <w:t>:</w:t>
      </w:r>
      <w:r w:rsidRPr="00511330">
        <w:rPr>
          <w:rFonts w:asciiTheme="majorBidi" w:hAnsiTheme="majorBidi" w:cstheme="majorBidi"/>
          <w:b w:val="0"/>
          <w:bCs w:val="0"/>
          <w:noProof/>
          <w:color w:val="auto"/>
          <w:sz w:val="20"/>
          <w:szCs w:val="20"/>
          <w:lang w:val="en-US"/>
        </w:rPr>
        <w:t xml:space="preserve"> </w:t>
      </w:r>
      <w:r w:rsidRPr="00511330">
        <w:rPr>
          <w:rFonts w:asciiTheme="majorBidi" w:hAnsiTheme="majorBidi" w:cstheme="majorBidi"/>
          <w:b w:val="0"/>
          <w:bCs w:val="0"/>
          <w:i/>
          <w:iCs/>
          <w:noProof/>
          <w:color w:val="auto"/>
          <w:sz w:val="20"/>
          <w:szCs w:val="20"/>
          <w:lang w:val="en-US"/>
        </w:rPr>
        <w:t>Goodness-of-Fit Indices for the 2nd-Order Model on Enablers</w:t>
      </w:r>
      <w:bookmarkEnd w:id="999"/>
    </w:p>
    <w:tbl>
      <w:tblPr>
        <w:tblStyle w:val="TableGrid1"/>
        <w:tblW w:w="7807" w:type="dxa"/>
        <w:tblInd w:w="18" w:type="dxa"/>
        <w:tblLook w:val="04A0" w:firstRow="1" w:lastRow="0" w:firstColumn="1" w:lastColumn="0" w:noHBand="0" w:noVBand="1"/>
      </w:tblPr>
      <w:tblGrid>
        <w:gridCol w:w="1247"/>
        <w:gridCol w:w="2060"/>
        <w:gridCol w:w="4500"/>
      </w:tblGrid>
      <w:tr w:rsidR="008D3598" w:rsidRPr="00511330" w14:paraId="644169F4" w14:textId="77777777" w:rsidTr="00ED6132">
        <w:trPr>
          <w:trHeight w:val="71"/>
        </w:trPr>
        <w:tc>
          <w:tcPr>
            <w:tcW w:w="1247" w:type="dxa"/>
            <w:shd w:val="clear" w:color="auto" w:fill="F2F2F2" w:themeFill="background1" w:themeFillShade="F2"/>
            <w:vAlign w:val="center"/>
          </w:tcPr>
          <w:p w14:paraId="644169F1" w14:textId="77777777" w:rsidR="008D3598" w:rsidRPr="00511330" w:rsidRDefault="008D3598" w:rsidP="00721566">
            <w:pPr>
              <w:ind w:right="-450"/>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Model</w:t>
            </w:r>
          </w:p>
        </w:tc>
        <w:tc>
          <w:tcPr>
            <w:tcW w:w="2060" w:type="dxa"/>
            <w:shd w:val="clear" w:color="auto" w:fill="F2F2F2" w:themeFill="background1" w:themeFillShade="F2"/>
            <w:vAlign w:val="center"/>
          </w:tcPr>
          <w:p w14:paraId="644169F2" w14:textId="77777777" w:rsidR="008D3598" w:rsidRPr="00511330" w:rsidRDefault="008D3598" w:rsidP="00C7351A">
            <w:pPr>
              <w:ind w:right="-131"/>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Obtained Value</w:t>
            </w:r>
          </w:p>
        </w:tc>
        <w:tc>
          <w:tcPr>
            <w:tcW w:w="4500" w:type="dxa"/>
            <w:shd w:val="clear" w:color="auto" w:fill="F2F2F2" w:themeFill="background1" w:themeFillShade="F2"/>
            <w:vAlign w:val="center"/>
          </w:tcPr>
          <w:p w14:paraId="644169F3" w14:textId="77777777" w:rsidR="008D3598" w:rsidRPr="00511330" w:rsidRDefault="008D3598" w:rsidP="00721566">
            <w:pPr>
              <w:ind w:right="-450"/>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Recommended Values</w:t>
            </w:r>
          </w:p>
        </w:tc>
      </w:tr>
      <w:tr w:rsidR="008D3598" w:rsidRPr="00511330" w14:paraId="644169F8" w14:textId="77777777" w:rsidTr="00C7351A">
        <w:trPr>
          <w:trHeight w:val="357"/>
        </w:trPr>
        <w:tc>
          <w:tcPr>
            <w:tcW w:w="1247" w:type="dxa"/>
            <w:vAlign w:val="center"/>
          </w:tcPr>
          <w:p w14:paraId="644169F5" w14:textId="77777777" w:rsidR="008D3598" w:rsidRPr="00511330" w:rsidRDefault="008D3598" w:rsidP="00721566">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χ2/df</w:t>
            </w:r>
          </w:p>
        </w:tc>
        <w:tc>
          <w:tcPr>
            <w:tcW w:w="2060" w:type="dxa"/>
            <w:vAlign w:val="center"/>
          </w:tcPr>
          <w:p w14:paraId="644169F6" w14:textId="77777777" w:rsidR="008D3598" w:rsidRPr="00511330" w:rsidRDefault="008D3598" w:rsidP="00C7351A">
            <w:pPr>
              <w:ind w:right="-131" w:firstLine="422"/>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2.648</w:t>
            </w:r>
          </w:p>
        </w:tc>
        <w:tc>
          <w:tcPr>
            <w:tcW w:w="4500" w:type="dxa"/>
            <w:vAlign w:val="center"/>
          </w:tcPr>
          <w:p w14:paraId="644169F7" w14:textId="77777777" w:rsidR="008D3598" w:rsidRPr="00511330" w:rsidRDefault="008D3598" w:rsidP="00721566">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&lt; 3 (Kline, 2011)</w:t>
            </w:r>
          </w:p>
        </w:tc>
      </w:tr>
      <w:tr w:rsidR="008D3598" w:rsidRPr="00511330" w14:paraId="644169FC" w14:textId="77777777" w:rsidTr="00C7351A">
        <w:trPr>
          <w:trHeight w:val="357"/>
        </w:trPr>
        <w:tc>
          <w:tcPr>
            <w:tcW w:w="1247" w:type="dxa"/>
            <w:vAlign w:val="center"/>
          </w:tcPr>
          <w:p w14:paraId="644169F9" w14:textId="77777777" w:rsidR="008D3598" w:rsidRPr="00511330" w:rsidRDefault="008D3598" w:rsidP="00721566">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GFI</w:t>
            </w:r>
          </w:p>
        </w:tc>
        <w:tc>
          <w:tcPr>
            <w:tcW w:w="2060" w:type="dxa"/>
            <w:vAlign w:val="center"/>
          </w:tcPr>
          <w:p w14:paraId="644169FA" w14:textId="77777777" w:rsidR="008D3598" w:rsidRPr="00511330" w:rsidRDefault="008D3598" w:rsidP="00C7351A">
            <w:pPr>
              <w:ind w:right="-131" w:firstLine="422"/>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.860</w:t>
            </w:r>
          </w:p>
        </w:tc>
        <w:tc>
          <w:tcPr>
            <w:tcW w:w="4500" w:type="dxa"/>
            <w:vAlign w:val="center"/>
          </w:tcPr>
          <w:p w14:paraId="644169FB" w14:textId="77777777" w:rsidR="008D3598" w:rsidRPr="00511330" w:rsidRDefault="008D3598" w:rsidP="00721566">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0.90–1.0 (Hoyle, 2000; Kline, 2005)</w:t>
            </w:r>
          </w:p>
        </w:tc>
      </w:tr>
      <w:tr w:rsidR="008D3598" w:rsidRPr="00511330" w14:paraId="64416A00" w14:textId="77777777" w:rsidTr="00C7351A">
        <w:trPr>
          <w:trHeight w:val="357"/>
        </w:trPr>
        <w:tc>
          <w:tcPr>
            <w:tcW w:w="1247" w:type="dxa"/>
            <w:vAlign w:val="center"/>
          </w:tcPr>
          <w:p w14:paraId="644169FD" w14:textId="77777777" w:rsidR="008D3598" w:rsidRPr="00511330" w:rsidRDefault="008D3598" w:rsidP="00721566">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RMSEA</w:t>
            </w:r>
          </w:p>
        </w:tc>
        <w:tc>
          <w:tcPr>
            <w:tcW w:w="2060" w:type="dxa"/>
            <w:vAlign w:val="center"/>
          </w:tcPr>
          <w:p w14:paraId="644169FE" w14:textId="77777777" w:rsidR="008D3598" w:rsidRPr="00511330" w:rsidRDefault="008D3598" w:rsidP="00C7351A">
            <w:pPr>
              <w:ind w:right="-131" w:firstLine="422"/>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.068</w:t>
            </w:r>
          </w:p>
        </w:tc>
        <w:tc>
          <w:tcPr>
            <w:tcW w:w="4500" w:type="dxa"/>
            <w:vAlign w:val="center"/>
          </w:tcPr>
          <w:p w14:paraId="644169FF" w14:textId="637F3104" w:rsidR="008D3598" w:rsidRPr="00511330" w:rsidRDefault="008D3598" w:rsidP="00721566">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 xml:space="preserve">&lt; 0.08 (Hu </w:t>
            </w:r>
            <w:r w:rsidR="00715A2C" w:rsidRPr="00511330">
              <w:rPr>
                <w:rFonts w:asciiTheme="majorBidi" w:eastAsia="Calibri" w:hAnsiTheme="majorBidi" w:cstheme="majorBidi"/>
                <w:sz w:val="20"/>
                <w:szCs w:val="20"/>
                <w:lang w:val="en-US" w:bidi="ar-AE"/>
              </w:rPr>
              <w:t>and</w:t>
            </w:r>
            <w:r w:rsidRPr="00511330">
              <w:rPr>
                <w:rFonts w:asciiTheme="majorBidi" w:eastAsia="Calibri" w:hAnsiTheme="majorBidi" w:cstheme="majorBidi"/>
                <w:sz w:val="20"/>
                <w:szCs w:val="20"/>
                <w:lang w:val="en-US" w:bidi="ar-AE"/>
              </w:rPr>
              <w:t xml:space="preserve"> Bentler,1999)</w:t>
            </w:r>
          </w:p>
        </w:tc>
      </w:tr>
      <w:tr w:rsidR="008D3598" w:rsidRPr="00511330" w14:paraId="64416A04" w14:textId="77777777" w:rsidTr="00C7351A">
        <w:trPr>
          <w:trHeight w:val="357"/>
        </w:trPr>
        <w:tc>
          <w:tcPr>
            <w:tcW w:w="1247" w:type="dxa"/>
            <w:vAlign w:val="center"/>
          </w:tcPr>
          <w:p w14:paraId="64416A01" w14:textId="77777777" w:rsidR="008D3598" w:rsidRPr="00511330" w:rsidRDefault="008D3598" w:rsidP="00721566">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NFI</w:t>
            </w:r>
          </w:p>
        </w:tc>
        <w:tc>
          <w:tcPr>
            <w:tcW w:w="2060" w:type="dxa"/>
            <w:vAlign w:val="center"/>
          </w:tcPr>
          <w:p w14:paraId="64416A02" w14:textId="77777777" w:rsidR="008D3598" w:rsidRPr="00511330" w:rsidRDefault="008D3598" w:rsidP="00C7351A">
            <w:pPr>
              <w:ind w:right="-131" w:firstLine="422"/>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.874</w:t>
            </w:r>
          </w:p>
        </w:tc>
        <w:tc>
          <w:tcPr>
            <w:tcW w:w="4500" w:type="dxa"/>
            <w:vAlign w:val="center"/>
          </w:tcPr>
          <w:p w14:paraId="64416A03" w14:textId="77777777" w:rsidR="008D3598" w:rsidRPr="00511330" w:rsidRDefault="008D3598" w:rsidP="00721566">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0.95–1.0 (Miles, 2007; Thompson, 2004)</w:t>
            </w:r>
          </w:p>
        </w:tc>
      </w:tr>
      <w:tr w:rsidR="008D3598" w:rsidRPr="00511330" w14:paraId="64416A08" w14:textId="77777777" w:rsidTr="00C7351A">
        <w:trPr>
          <w:trHeight w:val="357"/>
        </w:trPr>
        <w:tc>
          <w:tcPr>
            <w:tcW w:w="1247" w:type="dxa"/>
            <w:vAlign w:val="center"/>
          </w:tcPr>
          <w:p w14:paraId="64416A05" w14:textId="77777777" w:rsidR="008D3598" w:rsidRPr="00511330" w:rsidRDefault="008D3598" w:rsidP="00721566">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TLI</w:t>
            </w:r>
          </w:p>
        </w:tc>
        <w:tc>
          <w:tcPr>
            <w:tcW w:w="2060" w:type="dxa"/>
            <w:vAlign w:val="center"/>
          </w:tcPr>
          <w:p w14:paraId="64416A06" w14:textId="77777777" w:rsidR="008D3598" w:rsidRPr="00511330" w:rsidRDefault="008D3598" w:rsidP="00C7351A">
            <w:pPr>
              <w:ind w:right="-131" w:firstLine="422"/>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.905</w:t>
            </w:r>
          </w:p>
        </w:tc>
        <w:tc>
          <w:tcPr>
            <w:tcW w:w="4500" w:type="dxa"/>
            <w:vAlign w:val="center"/>
          </w:tcPr>
          <w:p w14:paraId="64416A07" w14:textId="77777777" w:rsidR="008D3598" w:rsidRPr="00511330" w:rsidRDefault="008D3598" w:rsidP="00721566">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0.95–1.0 (Miles, 2007; Thompson, 2004)</w:t>
            </w:r>
          </w:p>
        </w:tc>
      </w:tr>
      <w:tr w:rsidR="008D3598" w:rsidRPr="00511330" w14:paraId="64416A0C" w14:textId="77777777" w:rsidTr="00C7351A">
        <w:trPr>
          <w:trHeight w:val="357"/>
        </w:trPr>
        <w:tc>
          <w:tcPr>
            <w:tcW w:w="1247" w:type="dxa"/>
            <w:vAlign w:val="center"/>
          </w:tcPr>
          <w:p w14:paraId="64416A09" w14:textId="77777777" w:rsidR="008D3598" w:rsidRPr="00511330" w:rsidRDefault="008D3598" w:rsidP="00721566">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CFI</w:t>
            </w:r>
          </w:p>
        </w:tc>
        <w:tc>
          <w:tcPr>
            <w:tcW w:w="2060" w:type="dxa"/>
            <w:vAlign w:val="center"/>
          </w:tcPr>
          <w:p w14:paraId="64416A0A" w14:textId="77777777" w:rsidR="008D3598" w:rsidRPr="00511330" w:rsidRDefault="008D3598" w:rsidP="00C7351A">
            <w:pPr>
              <w:ind w:right="-131" w:firstLine="422"/>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.917</w:t>
            </w:r>
          </w:p>
        </w:tc>
        <w:tc>
          <w:tcPr>
            <w:tcW w:w="4500" w:type="dxa"/>
            <w:vAlign w:val="center"/>
          </w:tcPr>
          <w:p w14:paraId="64416A0B" w14:textId="77777777" w:rsidR="008D3598" w:rsidRPr="00511330" w:rsidRDefault="008D3598" w:rsidP="00721566">
            <w:pPr>
              <w:ind w:right="-450"/>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&gt; 0.90 (Kline, 2011)</w:t>
            </w:r>
          </w:p>
        </w:tc>
      </w:tr>
    </w:tbl>
    <w:p w14:paraId="64416A0D" w14:textId="77777777" w:rsidR="008D3598" w:rsidRPr="00511330" w:rsidRDefault="008D3598" w:rsidP="00721566">
      <w:pPr>
        <w:spacing w:after="0" w:line="240" w:lineRule="auto"/>
        <w:ind w:right="-450"/>
        <w:jc w:val="both"/>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 xml:space="preserve">Note. χ2/df = </w:t>
      </w:r>
      <w:r w:rsidRPr="00511330">
        <w:rPr>
          <w:rFonts w:asciiTheme="majorBidi" w:eastAsia="Calibri" w:hAnsiTheme="majorBidi" w:cstheme="majorBidi"/>
          <w:sz w:val="20"/>
          <w:szCs w:val="20"/>
          <w:lang w:val="en-US" w:bidi="ar-AE"/>
        </w:rPr>
        <w:t>normed chi-square statistic</w:t>
      </w:r>
      <w:r w:rsidRPr="00511330">
        <w:rPr>
          <w:rFonts w:asciiTheme="majorBidi" w:eastAsia="Calibri" w:hAnsiTheme="majorBidi" w:cstheme="majorBidi"/>
          <w:b/>
          <w:bCs/>
          <w:sz w:val="20"/>
          <w:szCs w:val="20"/>
          <w:lang w:val="en-US" w:bidi="ar-AE"/>
        </w:rPr>
        <w:t xml:space="preserve">; GFI = </w:t>
      </w:r>
      <w:r w:rsidRPr="00511330">
        <w:rPr>
          <w:rFonts w:asciiTheme="majorBidi" w:eastAsia="Calibri" w:hAnsiTheme="majorBidi" w:cstheme="majorBidi"/>
          <w:sz w:val="20"/>
          <w:szCs w:val="20"/>
          <w:lang w:val="en-US" w:bidi="ar-AE"/>
        </w:rPr>
        <w:t>goodness-of-fit index</w:t>
      </w:r>
      <w:r w:rsidRPr="00511330">
        <w:rPr>
          <w:rFonts w:asciiTheme="majorBidi" w:eastAsia="Calibri" w:hAnsiTheme="majorBidi" w:cstheme="majorBidi"/>
          <w:b/>
          <w:bCs/>
          <w:sz w:val="20"/>
          <w:szCs w:val="20"/>
          <w:lang w:val="en-US" w:bidi="ar-AE"/>
        </w:rPr>
        <w:t xml:space="preserve">; RMSEA = </w:t>
      </w:r>
      <w:r w:rsidRPr="00511330">
        <w:rPr>
          <w:rFonts w:asciiTheme="majorBidi" w:eastAsia="Calibri" w:hAnsiTheme="majorBidi" w:cstheme="majorBidi"/>
          <w:sz w:val="20"/>
          <w:szCs w:val="20"/>
          <w:lang w:val="en-US" w:bidi="ar-AE"/>
        </w:rPr>
        <w:t>root mean square error of approximation</w:t>
      </w:r>
      <w:r w:rsidRPr="00511330">
        <w:rPr>
          <w:rFonts w:asciiTheme="majorBidi" w:eastAsia="Calibri" w:hAnsiTheme="majorBidi" w:cstheme="majorBidi"/>
          <w:b/>
          <w:bCs/>
          <w:sz w:val="20"/>
          <w:szCs w:val="20"/>
          <w:lang w:val="en-US" w:bidi="ar-AE"/>
        </w:rPr>
        <w:t xml:space="preserve">; NFI = </w:t>
      </w:r>
      <w:r w:rsidRPr="00511330">
        <w:rPr>
          <w:rFonts w:asciiTheme="majorBidi" w:eastAsia="Calibri" w:hAnsiTheme="majorBidi" w:cstheme="majorBidi"/>
          <w:sz w:val="20"/>
          <w:szCs w:val="20"/>
          <w:lang w:val="en-US" w:bidi="ar-AE"/>
        </w:rPr>
        <w:t>normed fit index</w:t>
      </w:r>
      <w:r w:rsidRPr="00511330">
        <w:rPr>
          <w:rFonts w:asciiTheme="majorBidi" w:eastAsia="Calibri" w:hAnsiTheme="majorBidi" w:cstheme="majorBidi"/>
          <w:b/>
          <w:bCs/>
          <w:sz w:val="20"/>
          <w:szCs w:val="20"/>
          <w:lang w:val="en-US" w:bidi="ar-AE"/>
        </w:rPr>
        <w:t xml:space="preserve">; TLI= </w:t>
      </w:r>
      <w:r w:rsidRPr="00511330">
        <w:rPr>
          <w:rFonts w:asciiTheme="majorBidi" w:eastAsia="Calibri" w:hAnsiTheme="majorBidi" w:cstheme="majorBidi"/>
          <w:sz w:val="20"/>
          <w:szCs w:val="20"/>
          <w:lang w:val="en-US" w:bidi="ar-AE"/>
        </w:rPr>
        <w:t>Tucker–Lewis index</w:t>
      </w:r>
      <w:r w:rsidRPr="00511330">
        <w:rPr>
          <w:rFonts w:asciiTheme="majorBidi" w:eastAsia="Calibri" w:hAnsiTheme="majorBidi" w:cstheme="majorBidi"/>
          <w:b/>
          <w:bCs/>
          <w:sz w:val="20"/>
          <w:szCs w:val="20"/>
          <w:lang w:val="en-US" w:bidi="ar-AE"/>
        </w:rPr>
        <w:t xml:space="preserve">; CFI = </w:t>
      </w:r>
      <w:r w:rsidRPr="00511330">
        <w:rPr>
          <w:rFonts w:asciiTheme="majorBidi" w:eastAsia="Calibri" w:hAnsiTheme="majorBidi" w:cstheme="majorBidi"/>
          <w:sz w:val="20"/>
          <w:szCs w:val="20"/>
          <w:lang w:val="en-US" w:bidi="ar-AE"/>
        </w:rPr>
        <w:t>comparative fit index</w:t>
      </w:r>
      <w:r w:rsidRPr="00511330">
        <w:rPr>
          <w:rFonts w:asciiTheme="majorBidi" w:eastAsia="Calibri" w:hAnsiTheme="majorBidi" w:cstheme="majorBidi"/>
          <w:b/>
          <w:bCs/>
          <w:sz w:val="20"/>
          <w:szCs w:val="20"/>
          <w:lang w:val="en-US" w:bidi="ar-AE"/>
        </w:rPr>
        <w:t>.</w:t>
      </w:r>
    </w:p>
    <w:p w14:paraId="64416A0E" w14:textId="77777777" w:rsidR="008D3598" w:rsidRPr="00511330" w:rsidRDefault="008D3598" w:rsidP="00721566">
      <w:pPr>
        <w:spacing w:after="0" w:line="240" w:lineRule="auto"/>
        <w:ind w:right="-450"/>
        <w:jc w:val="both"/>
        <w:rPr>
          <w:rFonts w:asciiTheme="majorBidi" w:eastAsia="Calibri" w:hAnsiTheme="majorBidi" w:cstheme="majorBidi"/>
          <w:b/>
          <w:bCs/>
          <w:sz w:val="24"/>
          <w:szCs w:val="24"/>
          <w:lang w:val="en-US" w:bidi="ar-AE"/>
        </w:rPr>
      </w:pPr>
    </w:p>
    <w:p w14:paraId="64416A0F" w14:textId="77777777" w:rsidR="008D3598" w:rsidRPr="00511330" w:rsidRDefault="008D3598" w:rsidP="00721566">
      <w:pPr>
        <w:autoSpaceDE w:val="0"/>
        <w:autoSpaceDN w:val="0"/>
        <w:adjustRightInd w:val="0"/>
        <w:spacing w:after="0" w:line="480" w:lineRule="auto"/>
        <w:ind w:right="-450"/>
        <w:jc w:val="both"/>
        <w:rPr>
          <w:rFonts w:asciiTheme="majorBidi" w:eastAsia="Calibri" w:hAnsiTheme="majorBidi" w:cstheme="majorBidi"/>
          <w:sz w:val="24"/>
          <w:szCs w:val="24"/>
          <w:lang w:val="en-US"/>
        </w:rPr>
      </w:pPr>
    </w:p>
    <w:p w14:paraId="64416A10" w14:textId="77777777" w:rsidR="008D3598" w:rsidRPr="00511330" w:rsidRDefault="008D3598" w:rsidP="00721566">
      <w:pPr>
        <w:keepNext/>
        <w:autoSpaceDE w:val="0"/>
        <w:autoSpaceDN w:val="0"/>
        <w:adjustRightInd w:val="0"/>
        <w:spacing w:after="0" w:line="480" w:lineRule="auto"/>
        <w:ind w:right="-450"/>
        <w:jc w:val="both"/>
        <w:rPr>
          <w:lang w:val="en-US"/>
        </w:rPr>
      </w:pPr>
      <w:r w:rsidRPr="00511330">
        <w:rPr>
          <w:rFonts w:asciiTheme="majorBidi" w:eastAsia="Calibri" w:hAnsiTheme="majorBidi" w:cstheme="majorBidi"/>
          <w:noProof/>
          <w:sz w:val="24"/>
          <w:szCs w:val="24"/>
          <w:lang w:val="en-US"/>
        </w:rPr>
        <w:lastRenderedPageBreak/>
        <w:drawing>
          <wp:inline distT="0" distB="0" distL="0" distR="0" wp14:anchorId="64416D56" wp14:editId="42E888E3">
            <wp:extent cx="5012675" cy="71058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5015883" cy="7110427"/>
                    </a:xfrm>
                    <a:prstGeom prst="rect">
                      <a:avLst/>
                    </a:prstGeom>
                    <a:noFill/>
                    <a:ln>
                      <a:noFill/>
                    </a:ln>
                  </pic:spPr>
                </pic:pic>
              </a:graphicData>
            </a:graphic>
          </wp:inline>
        </w:drawing>
      </w:r>
    </w:p>
    <w:p w14:paraId="64416A11" w14:textId="4E61A75D" w:rsidR="008D3598" w:rsidRPr="00511330" w:rsidRDefault="008D3598" w:rsidP="00721566">
      <w:pPr>
        <w:pStyle w:val="Caption"/>
        <w:ind w:right="-450"/>
        <w:jc w:val="both"/>
        <w:rPr>
          <w:rFonts w:asciiTheme="majorBidi" w:eastAsia="Calibri" w:hAnsiTheme="majorBidi" w:cstheme="majorBidi"/>
          <w:b w:val="0"/>
          <w:bCs w:val="0"/>
          <w:color w:val="auto"/>
          <w:sz w:val="20"/>
          <w:szCs w:val="20"/>
          <w:lang w:val="en-US"/>
        </w:rPr>
      </w:pPr>
      <w:bookmarkStart w:id="1000" w:name="_Toc43311500"/>
      <w:r w:rsidRPr="00511330">
        <w:rPr>
          <w:rFonts w:asciiTheme="majorBidi" w:hAnsiTheme="majorBidi" w:cstheme="majorBidi"/>
          <w:b w:val="0"/>
          <w:bCs w:val="0"/>
          <w:i/>
          <w:iCs/>
          <w:color w:val="auto"/>
          <w:sz w:val="20"/>
          <w:szCs w:val="20"/>
          <w:lang w:val="en-US"/>
        </w:rPr>
        <w:t xml:space="preserve">Figure 4. </w:t>
      </w:r>
      <w:r w:rsidRPr="00511330">
        <w:rPr>
          <w:rFonts w:asciiTheme="majorBidi" w:hAnsiTheme="majorBidi" w:cstheme="majorBidi"/>
          <w:b w:val="0"/>
          <w:bCs w:val="0"/>
          <w:i/>
          <w:iCs/>
          <w:color w:val="auto"/>
          <w:sz w:val="20"/>
          <w:szCs w:val="20"/>
          <w:lang w:val="en-US"/>
        </w:rPr>
        <w:fldChar w:fldCharType="begin"/>
      </w:r>
      <w:r w:rsidRPr="00511330">
        <w:rPr>
          <w:rFonts w:asciiTheme="majorBidi" w:hAnsiTheme="majorBidi" w:cstheme="majorBidi"/>
          <w:b w:val="0"/>
          <w:bCs w:val="0"/>
          <w:i/>
          <w:iCs/>
          <w:color w:val="auto"/>
          <w:sz w:val="20"/>
          <w:szCs w:val="20"/>
          <w:lang w:val="en-US"/>
        </w:rPr>
        <w:instrText xml:space="preserve"> SEQ Figure_4. \* ARABIC </w:instrText>
      </w:r>
      <w:r w:rsidRPr="00511330">
        <w:rPr>
          <w:rFonts w:asciiTheme="majorBidi" w:hAnsiTheme="majorBidi" w:cstheme="majorBidi"/>
          <w:b w:val="0"/>
          <w:bCs w:val="0"/>
          <w:i/>
          <w:iCs/>
          <w:color w:val="auto"/>
          <w:sz w:val="20"/>
          <w:szCs w:val="20"/>
          <w:lang w:val="en-US"/>
        </w:rPr>
        <w:fldChar w:fldCharType="separate"/>
      </w:r>
      <w:r w:rsidR="0033045F" w:rsidRPr="00511330">
        <w:rPr>
          <w:rFonts w:asciiTheme="majorBidi" w:hAnsiTheme="majorBidi" w:cstheme="majorBidi"/>
          <w:b w:val="0"/>
          <w:bCs w:val="0"/>
          <w:i/>
          <w:iCs/>
          <w:noProof/>
          <w:color w:val="auto"/>
          <w:sz w:val="20"/>
          <w:szCs w:val="20"/>
          <w:lang w:val="en-US"/>
        </w:rPr>
        <w:t>5</w:t>
      </w:r>
      <w:r w:rsidRPr="00511330">
        <w:rPr>
          <w:rFonts w:asciiTheme="majorBidi" w:hAnsiTheme="majorBidi" w:cstheme="majorBidi"/>
          <w:b w:val="0"/>
          <w:bCs w:val="0"/>
          <w:i/>
          <w:iCs/>
          <w:color w:val="auto"/>
          <w:sz w:val="20"/>
          <w:szCs w:val="20"/>
          <w:lang w:val="en-US"/>
        </w:rPr>
        <w:fldChar w:fldCharType="end"/>
      </w:r>
      <w:r w:rsidR="00E32931" w:rsidRPr="00511330">
        <w:rPr>
          <w:rFonts w:asciiTheme="majorBidi" w:hAnsiTheme="majorBidi" w:cstheme="majorBidi"/>
          <w:b w:val="0"/>
          <w:bCs w:val="0"/>
          <w:noProof/>
          <w:color w:val="auto"/>
          <w:sz w:val="20"/>
          <w:szCs w:val="20"/>
          <w:lang w:val="en-US"/>
        </w:rPr>
        <w:t>:</w:t>
      </w:r>
      <w:r w:rsidRPr="00511330">
        <w:rPr>
          <w:rFonts w:asciiTheme="majorBidi" w:hAnsiTheme="majorBidi" w:cstheme="majorBidi"/>
          <w:b w:val="0"/>
          <w:bCs w:val="0"/>
          <w:noProof/>
          <w:color w:val="auto"/>
          <w:sz w:val="20"/>
          <w:szCs w:val="20"/>
          <w:lang w:val="en-US"/>
        </w:rPr>
        <w:t xml:space="preserve"> Second-order measurement model for enablers of </w:t>
      </w:r>
      <w:r w:rsidR="00635B34" w:rsidRPr="00511330">
        <w:rPr>
          <w:rFonts w:asciiTheme="majorBidi" w:hAnsiTheme="majorBidi" w:cstheme="majorBidi"/>
          <w:b w:val="0"/>
          <w:bCs w:val="0"/>
          <w:noProof/>
          <w:color w:val="auto"/>
          <w:sz w:val="20"/>
          <w:szCs w:val="20"/>
          <w:lang w:val="en-US"/>
        </w:rPr>
        <w:t>CM</w:t>
      </w:r>
      <w:bookmarkEnd w:id="1000"/>
    </w:p>
    <w:p w14:paraId="64416A12" w14:textId="77777777" w:rsidR="008D3598" w:rsidRPr="00511330" w:rsidRDefault="008D3598" w:rsidP="00721566">
      <w:pPr>
        <w:spacing w:after="0" w:line="480" w:lineRule="auto"/>
        <w:ind w:right="-450"/>
        <w:jc w:val="both"/>
        <w:rPr>
          <w:rFonts w:asciiTheme="majorBidi" w:eastAsia="Calibri" w:hAnsiTheme="majorBidi" w:cstheme="majorBidi"/>
          <w:b/>
          <w:bCs/>
          <w:sz w:val="24"/>
          <w:szCs w:val="24"/>
          <w:lang w:val="en-US" w:bidi="ar-AE"/>
        </w:rPr>
      </w:pPr>
    </w:p>
    <w:p w14:paraId="64416A13" w14:textId="77777777" w:rsidR="008D3598" w:rsidRPr="00511330" w:rsidRDefault="008D3598" w:rsidP="00721566">
      <w:pPr>
        <w:spacing w:after="0" w:line="480" w:lineRule="auto"/>
        <w:ind w:right="-450"/>
        <w:jc w:val="both"/>
        <w:rPr>
          <w:rFonts w:asciiTheme="majorBidi" w:eastAsia="Calibri" w:hAnsiTheme="majorBidi" w:cstheme="majorBidi"/>
          <w:b/>
          <w:bCs/>
          <w:sz w:val="24"/>
          <w:szCs w:val="24"/>
          <w:lang w:val="en-US" w:bidi="ar-AE"/>
        </w:rPr>
      </w:pPr>
    </w:p>
    <w:p w14:paraId="64416A14" w14:textId="77777777" w:rsidR="008D3598" w:rsidRPr="00511330" w:rsidRDefault="008D3598" w:rsidP="00721566">
      <w:pPr>
        <w:spacing w:after="0" w:line="480" w:lineRule="auto"/>
        <w:ind w:right="-450"/>
        <w:jc w:val="both"/>
        <w:rPr>
          <w:rFonts w:asciiTheme="majorBidi" w:eastAsia="Calibri" w:hAnsiTheme="majorBidi" w:cstheme="majorBidi"/>
          <w:b/>
          <w:bCs/>
          <w:sz w:val="24"/>
          <w:szCs w:val="24"/>
          <w:lang w:val="en-US" w:bidi="ar-AE"/>
        </w:rPr>
      </w:pPr>
    </w:p>
    <w:p w14:paraId="64416A15" w14:textId="1B05A571" w:rsidR="008D3598" w:rsidRPr="00511330" w:rsidRDefault="008D3598" w:rsidP="00881819">
      <w:pPr>
        <w:pStyle w:val="Caption"/>
        <w:keepNext/>
        <w:spacing w:after="0"/>
        <w:ind w:right="-450"/>
        <w:rPr>
          <w:rFonts w:asciiTheme="majorBidi" w:hAnsiTheme="majorBidi" w:cstheme="majorBidi"/>
          <w:b w:val="0"/>
          <w:bCs w:val="0"/>
          <w:color w:val="auto"/>
          <w:sz w:val="20"/>
          <w:szCs w:val="20"/>
          <w:lang w:val="en-US"/>
        </w:rPr>
      </w:pPr>
      <w:bookmarkStart w:id="1001" w:name="_Toc43310918"/>
      <w:r w:rsidRPr="00511330">
        <w:rPr>
          <w:rFonts w:asciiTheme="majorBidi" w:hAnsiTheme="majorBidi" w:cstheme="majorBidi"/>
          <w:b w:val="0"/>
          <w:bCs w:val="0"/>
          <w:color w:val="auto"/>
          <w:sz w:val="20"/>
          <w:szCs w:val="20"/>
          <w:lang w:val="en-US"/>
        </w:rPr>
        <w:lastRenderedPageBreak/>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28</w:t>
      </w:r>
      <w:r w:rsidRPr="00511330">
        <w:rPr>
          <w:rFonts w:asciiTheme="majorBidi" w:hAnsiTheme="majorBidi" w:cstheme="majorBidi"/>
          <w:b w:val="0"/>
          <w:bCs w:val="0"/>
          <w:color w:val="auto"/>
          <w:sz w:val="20"/>
          <w:szCs w:val="20"/>
          <w:lang w:val="en-US"/>
        </w:rPr>
        <w:fldChar w:fldCharType="end"/>
      </w:r>
      <w:r w:rsidR="00737A1A" w:rsidRPr="00511330">
        <w:rPr>
          <w:rFonts w:asciiTheme="majorBidi" w:hAnsiTheme="majorBidi" w:cstheme="majorBidi"/>
          <w:b w:val="0"/>
          <w:bCs w:val="0"/>
          <w:noProof/>
          <w:color w:val="auto"/>
          <w:sz w:val="20"/>
          <w:szCs w:val="20"/>
          <w:lang w:val="en-US"/>
        </w:rPr>
        <w:t>:</w:t>
      </w:r>
      <w:r w:rsidRPr="00511330">
        <w:rPr>
          <w:rFonts w:asciiTheme="majorBidi" w:hAnsiTheme="majorBidi" w:cstheme="majorBidi"/>
          <w:b w:val="0"/>
          <w:bCs w:val="0"/>
          <w:noProof/>
          <w:color w:val="auto"/>
          <w:sz w:val="20"/>
          <w:szCs w:val="20"/>
          <w:lang w:val="en-US"/>
        </w:rPr>
        <w:t xml:space="preserve"> </w:t>
      </w:r>
      <w:r w:rsidRPr="00511330">
        <w:rPr>
          <w:rFonts w:asciiTheme="majorBidi" w:hAnsiTheme="majorBidi" w:cstheme="majorBidi"/>
          <w:b w:val="0"/>
          <w:bCs w:val="0"/>
          <w:i/>
          <w:iCs/>
          <w:noProof/>
          <w:color w:val="auto"/>
          <w:sz w:val="20"/>
          <w:szCs w:val="20"/>
          <w:lang w:val="en-US"/>
        </w:rPr>
        <w:t>Validity and Reliability of the four Enablers Constructs</w:t>
      </w:r>
      <w:bookmarkEnd w:id="1001"/>
    </w:p>
    <w:tbl>
      <w:tblPr>
        <w:tblStyle w:val="TableGrid"/>
        <w:tblW w:w="7920" w:type="dxa"/>
        <w:tblInd w:w="-5" w:type="dxa"/>
        <w:tblLook w:val="04A0" w:firstRow="1" w:lastRow="0" w:firstColumn="1" w:lastColumn="0" w:noHBand="0" w:noVBand="1"/>
      </w:tblPr>
      <w:tblGrid>
        <w:gridCol w:w="1260"/>
        <w:gridCol w:w="1080"/>
        <w:gridCol w:w="1080"/>
        <w:gridCol w:w="1080"/>
        <w:gridCol w:w="1170"/>
        <w:gridCol w:w="1170"/>
        <w:gridCol w:w="1080"/>
      </w:tblGrid>
      <w:tr w:rsidR="008D3598" w:rsidRPr="00511330" w14:paraId="64416A1D" w14:textId="77777777" w:rsidTr="00881819">
        <w:trPr>
          <w:trHeight w:val="323"/>
        </w:trPr>
        <w:tc>
          <w:tcPr>
            <w:tcW w:w="1260" w:type="dxa"/>
            <w:shd w:val="clear" w:color="auto" w:fill="F2F2F2" w:themeFill="background1" w:themeFillShade="F2"/>
            <w:vAlign w:val="center"/>
          </w:tcPr>
          <w:p w14:paraId="64416A16" w14:textId="77777777" w:rsidR="008D3598" w:rsidRPr="00511330" w:rsidRDefault="008D3598" w:rsidP="00C7351A">
            <w:pPr>
              <w:ind w:firstLine="67"/>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bidi="ar-AE"/>
              </w:rPr>
              <w:t>Factors</w:t>
            </w:r>
          </w:p>
        </w:tc>
        <w:tc>
          <w:tcPr>
            <w:tcW w:w="1080" w:type="dxa"/>
            <w:shd w:val="clear" w:color="auto" w:fill="F2F2F2" w:themeFill="background1" w:themeFillShade="F2"/>
            <w:vAlign w:val="center"/>
          </w:tcPr>
          <w:p w14:paraId="64416A17" w14:textId="77777777" w:rsidR="008D3598" w:rsidRPr="00511330" w:rsidRDefault="008D3598" w:rsidP="00C7351A">
            <w:pPr>
              <w:ind w:right="-240"/>
              <w:jc w:val="center"/>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bidi="ar-AE"/>
              </w:rPr>
              <w:t>CR</w:t>
            </w:r>
          </w:p>
        </w:tc>
        <w:tc>
          <w:tcPr>
            <w:tcW w:w="1080" w:type="dxa"/>
            <w:shd w:val="clear" w:color="auto" w:fill="F2F2F2" w:themeFill="background1" w:themeFillShade="F2"/>
            <w:vAlign w:val="center"/>
          </w:tcPr>
          <w:p w14:paraId="64416A18" w14:textId="77777777" w:rsidR="008D3598" w:rsidRPr="00511330" w:rsidRDefault="008D3598" w:rsidP="00C7351A">
            <w:pPr>
              <w:ind w:right="18"/>
              <w:jc w:val="center"/>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bidi="ar-AE"/>
              </w:rPr>
              <w:t>AVE</w:t>
            </w:r>
          </w:p>
        </w:tc>
        <w:tc>
          <w:tcPr>
            <w:tcW w:w="1080" w:type="dxa"/>
            <w:shd w:val="clear" w:color="auto" w:fill="F2F2F2" w:themeFill="background1" w:themeFillShade="F2"/>
            <w:vAlign w:val="center"/>
          </w:tcPr>
          <w:p w14:paraId="64416A19" w14:textId="77777777" w:rsidR="008D3598" w:rsidRPr="00511330" w:rsidRDefault="008D3598" w:rsidP="00C7351A">
            <w:pPr>
              <w:jc w:val="center"/>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rPr>
              <w:t>E&amp;S</w:t>
            </w:r>
          </w:p>
        </w:tc>
        <w:tc>
          <w:tcPr>
            <w:tcW w:w="1170" w:type="dxa"/>
            <w:shd w:val="clear" w:color="auto" w:fill="F2F2F2" w:themeFill="background1" w:themeFillShade="F2"/>
            <w:vAlign w:val="center"/>
          </w:tcPr>
          <w:p w14:paraId="64416A1A" w14:textId="77777777" w:rsidR="008D3598" w:rsidRPr="00511330" w:rsidRDefault="008D3598" w:rsidP="00C7351A">
            <w:pPr>
              <w:ind w:right="44"/>
              <w:jc w:val="center"/>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rPr>
              <w:t>AS</w:t>
            </w:r>
          </w:p>
        </w:tc>
        <w:tc>
          <w:tcPr>
            <w:tcW w:w="1170" w:type="dxa"/>
            <w:shd w:val="clear" w:color="auto" w:fill="F2F2F2" w:themeFill="background1" w:themeFillShade="F2"/>
            <w:vAlign w:val="center"/>
          </w:tcPr>
          <w:p w14:paraId="64416A1B" w14:textId="77777777" w:rsidR="008D3598" w:rsidRPr="00511330" w:rsidRDefault="008D3598" w:rsidP="00C7351A">
            <w:pPr>
              <w:ind w:right="-18"/>
              <w:jc w:val="center"/>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rPr>
              <w:t>R&amp;C</w:t>
            </w:r>
          </w:p>
        </w:tc>
        <w:tc>
          <w:tcPr>
            <w:tcW w:w="1080" w:type="dxa"/>
            <w:shd w:val="clear" w:color="auto" w:fill="F2F2F2" w:themeFill="background1" w:themeFillShade="F2"/>
            <w:vAlign w:val="center"/>
          </w:tcPr>
          <w:p w14:paraId="64416A1C" w14:textId="77777777" w:rsidR="008D3598" w:rsidRPr="00511330" w:rsidRDefault="008D3598" w:rsidP="00C7351A">
            <w:pPr>
              <w:ind w:right="72"/>
              <w:jc w:val="center"/>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rPr>
              <w:t>F&amp;F</w:t>
            </w:r>
          </w:p>
        </w:tc>
      </w:tr>
      <w:tr w:rsidR="008D3598" w:rsidRPr="00511330" w14:paraId="64416A25" w14:textId="77777777" w:rsidTr="00881819">
        <w:tc>
          <w:tcPr>
            <w:tcW w:w="1260" w:type="dxa"/>
            <w:shd w:val="clear" w:color="auto" w:fill="auto"/>
            <w:vAlign w:val="center"/>
          </w:tcPr>
          <w:p w14:paraId="64416A1E" w14:textId="77777777" w:rsidR="008D3598" w:rsidRPr="00511330" w:rsidRDefault="008D3598" w:rsidP="00C7351A">
            <w:pPr>
              <w:ind w:firstLine="67"/>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rPr>
              <w:t>E&amp;S</w:t>
            </w:r>
          </w:p>
        </w:tc>
        <w:tc>
          <w:tcPr>
            <w:tcW w:w="1080" w:type="dxa"/>
            <w:shd w:val="clear" w:color="auto" w:fill="auto"/>
            <w:vAlign w:val="center"/>
          </w:tcPr>
          <w:p w14:paraId="64416A1F" w14:textId="77777777" w:rsidR="008D3598" w:rsidRPr="00511330" w:rsidRDefault="008D3598" w:rsidP="00C7351A">
            <w:pPr>
              <w:ind w:right="-240"/>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.84</w:t>
            </w:r>
          </w:p>
        </w:tc>
        <w:tc>
          <w:tcPr>
            <w:tcW w:w="1080" w:type="dxa"/>
            <w:shd w:val="clear" w:color="auto" w:fill="auto"/>
            <w:vAlign w:val="center"/>
          </w:tcPr>
          <w:p w14:paraId="64416A20" w14:textId="77777777" w:rsidR="008D3598" w:rsidRPr="00511330" w:rsidRDefault="008D3598" w:rsidP="00C7351A">
            <w:pPr>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.34</w:t>
            </w:r>
          </w:p>
        </w:tc>
        <w:tc>
          <w:tcPr>
            <w:tcW w:w="1080" w:type="dxa"/>
            <w:shd w:val="clear" w:color="auto" w:fill="auto"/>
            <w:vAlign w:val="center"/>
          </w:tcPr>
          <w:p w14:paraId="64416A21" w14:textId="77777777" w:rsidR="008D3598" w:rsidRPr="00511330" w:rsidRDefault="008D3598" w:rsidP="00C7351A">
            <w:pPr>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1</w:t>
            </w:r>
          </w:p>
        </w:tc>
        <w:tc>
          <w:tcPr>
            <w:tcW w:w="1170" w:type="dxa"/>
            <w:shd w:val="clear" w:color="auto" w:fill="auto"/>
            <w:vAlign w:val="center"/>
          </w:tcPr>
          <w:p w14:paraId="64416A22" w14:textId="77777777" w:rsidR="008D3598" w:rsidRPr="00511330" w:rsidRDefault="008D3598" w:rsidP="00C7351A">
            <w:pPr>
              <w:ind w:right="44"/>
              <w:jc w:val="center"/>
              <w:rPr>
                <w:rFonts w:asciiTheme="majorBidi" w:hAnsiTheme="majorBidi" w:cstheme="majorBidi"/>
                <w:sz w:val="20"/>
                <w:szCs w:val="20"/>
                <w:lang w:val="en-US" w:bidi="ar-AE"/>
              </w:rPr>
            </w:pPr>
          </w:p>
        </w:tc>
        <w:tc>
          <w:tcPr>
            <w:tcW w:w="1170" w:type="dxa"/>
            <w:shd w:val="clear" w:color="auto" w:fill="auto"/>
            <w:vAlign w:val="center"/>
          </w:tcPr>
          <w:p w14:paraId="64416A23" w14:textId="77777777" w:rsidR="008D3598" w:rsidRPr="00511330" w:rsidRDefault="008D3598" w:rsidP="00C7351A">
            <w:pPr>
              <w:ind w:right="-18"/>
              <w:jc w:val="center"/>
              <w:rPr>
                <w:rFonts w:asciiTheme="majorBidi" w:hAnsiTheme="majorBidi" w:cstheme="majorBidi"/>
                <w:sz w:val="20"/>
                <w:szCs w:val="20"/>
                <w:lang w:val="en-US" w:bidi="ar-AE"/>
              </w:rPr>
            </w:pPr>
          </w:p>
        </w:tc>
        <w:tc>
          <w:tcPr>
            <w:tcW w:w="1080" w:type="dxa"/>
            <w:shd w:val="clear" w:color="auto" w:fill="auto"/>
            <w:vAlign w:val="center"/>
          </w:tcPr>
          <w:p w14:paraId="64416A24" w14:textId="77777777" w:rsidR="008D3598" w:rsidRPr="00511330" w:rsidRDefault="008D3598" w:rsidP="00C7351A">
            <w:pPr>
              <w:ind w:right="72"/>
              <w:jc w:val="center"/>
              <w:rPr>
                <w:rFonts w:asciiTheme="majorBidi" w:hAnsiTheme="majorBidi" w:cstheme="majorBidi"/>
                <w:sz w:val="20"/>
                <w:szCs w:val="20"/>
                <w:lang w:val="en-US" w:bidi="ar-AE"/>
              </w:rPr>
            </w:pPr>
          </w:p>
        </w:tc>
      </w:tr>
      <w:tr w:rsidR="008D3598" w:rsidRPr="00511330" w14:paraId="64416A2D" w14:textId="77777777" w:rsidTr="00881819">
        <w:tc>
          <w:tcPr>
            <w:tcW w:w="1260" w:type="dxa"/>
            <w:shd w:val="clear" w:color="auto" w:fill="auto"/>
            <w:vAlign w:val="center"/>
          </w:tcPr>
          <w:p w14:paraId="64416A26" w14:textId="77777777" w:rsidR="008D3598" w:rsidRPr="00511330" w:rsidRDefault="008D3598" w:rsidP="00C7351A">
            <w:pPr>
              <w:ind w:firstLine="67"/>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rPr>
              <w:t>AS</w:t>
            </w:r>
          </w:p>
        </w:tc>
        <w:tc>
          <w:tcPr>
            <w:tcW w:w="1080" w:type="dxa"/>
            <w:shd w:val="clear" w:color="auto" w:fill="auto"/>
            <w:vAlign w:val="center"/>
          </w:tcPr>
          <w:p w14:paraId="64416A27" w14:textId="77777777" w:rsidR="008D3598" w:rsidRPr="00511330" w:rsidRDefault="008D3598" w:rsidP="00C7351A">
            <w:pPr>
              <w:ind w:right="-240"/>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.8</w:t>
            </w:r>
          </w:p>
        </w:tc>
        <w:tc>
          <w:tcPr>
            <w:tcW w:w="1080" w:type="dxa"/>
            <w:shd w:val="clear" w:color="auto" w:fill="auto"/>
            <w:vAlign w:val="center"/>
          </w:tcPr>
          <w:p w14:paraId="64416A28" w14:textId="77777777" w:rsidR="008D3598" w:rsidRPr="00511330" w:rsidRDefault="008D3598" w:rsidP="00C7351A">
            <w:pPr>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.46</w:t>
            </w:r>
          </w:p>
        </w:tc>
        <w:tc>
          <w:tcPr>
            <w:tcW w:w="1080" w:type="dxa"/>
            <w:shd w:val="clear" w:color="auto" w:fill="auto"/>
            <w:vAlign w:val="center"/>
          </w:tcPr>
          <w:p w14:paraId="64416A29" w14:textId="77777777" w:rsidR="008D3598" w:rsidRPr="00511330" w:rsidRDefault="008D3598" w:rsidP="00C7351A">
            <w:pPr>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rPr>
              <w:t>.667</w:t>
            </w:r>
            <w:r w:rsidRPr="00511330">
              <w:rPr>
                <w:rFonts w:asciiTheme="majorBidi" w:hAnsiTheme="majorBidi" w:cstheme="majorBidi"/>
                <w:sz w:val="20"/>
                <w:szCs w:val="20"/>
                <w:vertAlign w:val="superscript"/>
                <w:lang w:val="en-US"/>
              </w:rPr>
              <w:t>**</w:t>
            </w:r>
          </w:p>
        </w:tc>
        <w:tc>
          <w:tcPr>
            <w:tcW w:w="1170" w:type="dxa"/>
            <w:shd w:val="clear" w:color="auto" w:fill="auto"/>
            <w:vAlign w:val="center"/>
          </w:tcPr>
          <w:p w14:paraId="64416A2A" w14:textId="77777777" w:rsidR="008D3598" w:rsidRPr="00511330" w:rsidRDefault="008D3598" w:rsidP="00C7351A">
            <w:pPr>
              <w:ind w:right="44"/>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1</w:t>
            </w:r>
          </w:p>
        </w:tc>
        <w:tc>
          <w:tcPr>
            <w:tcW w:w="1170" w:type="dxa"/>
            <w:shd w:val="clear" w:color="auto" w:fill="auto"/>
            <w:vAlign w:val="center"/>
          </w:tcPr>
          <w:p w14:paraId="64416A2B" w14:textId="77777777" w:rsidR="008D3598" w:rsidRPr="00511330" w:rsidRDefault="008D3598" w:rsidP="00C7351A">
            <w:pPr>
              <w:ind w:right="-18"/>
              <w:jc w:val="center"/>
              <w:rPr>
                <w:rFonts w:asciiTheme="majorBidi" w:hAnsiTheme="majorBidi" w:cstheme="majorBidi"/>
                <w:sz w:val="20"/>
                <w:szCs w:val="20"/>
                <w:lang w:val="en-US" w:bidi="ar-AE"/>
              </w:rPr>
            </w:pPr>
          </w:p>
        </w:tc>
        <w:tc>
          <w:tcPr>
            <w:tcW w:w="1080" w:type="dxa"/>
            <w:shd w:val="clear" w:color="auto" w:fill="auto"/>
            <w:vAlign w:val="center"/>
          </w:tcPr>
          <w:p w14:paraId="64416A2C" w14:textId="77777777" w:rsidR="008D3598" w:rsidRPr="00511330" w:rsidRDefault="008D3598" w:rsidP="00C7351A">
            <w:pPr>
              <w:ind w:right="72"/>
              <w:jc w:val="center"/>
              <w:rPr>
                <w:rFonts w:asciiTheme="majorBidi" w:hAnsiTheme="majorBidi" w:cstheme="majorBidi"/>
                <w:sz w:val="20"/>
                <w:szCs w:val="20"/>
                <w:lang w:val="en-US" w:bidi="ar-AE"/>
              </w:rPr>
            </w:pPr>
          </w:p>
        </w:tc>
      </w:tr>
      <w:tr w:rsidR="008D3598" w:rsidRPr="00511330" w14:paraId="64416A35" w14:textId="77777777" w:rsidTr="00881819">
        <w:tc>
          <w:tcPr>
            <w:tcW w:w="1260" w:type="dxa"/>
            <w:shd w:val="clear" w:color="auto" w:fill="auto"/>
            <w:vAlign w:val="center"/>
          </w:tcPr>
          <w:p w14:paraId="64416A2E" w14:textId="77777777" w:rsidR="008D3598" w:rsidRPr="00511330" w:rsidRDefault="008D3598" w:rsidP="00C7351A">
            <w:pPr>
              <w:ind w:firstLine="67"/>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rPr>
              <w:t>R&amp;C</w:t>
            </w:r>
          </w:p>
        </w:tc>
        <w:tc>
          <w:tcPr>
            <w:tcW w:w="1080" w:type="dxa"/>
            <w:shd w:val="clear" w:color="auto" w:fill="auto"/>
            <w:vAlign w:val="center"/>
          </w:tcPr>
          <w:p w14:paraId="64416A2F" w14:textId="77777777" w:rsidR="008D3598" w:rsidRPr="00511330" w:rsidRDefault="008D3598" w:rsidP="00C7351A">
            <w:pPr>
              <w:ind w:right="-240"/>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.8</w:t>
            </w:r>
          </w:p>
        </w:tc>
        <w:tc>
          <w:tcPr>
            <w:tcW w:w="1080" w:type="dxa"/>
            <w:shd w:val="clear" w:color="auto" w:fill="auto"/>
            <w:vAlign w:val="center"/>
          </w:tcPr>
          <w:p w14:paraId="64416A30" w14:textId="77777777" w:rsidR="008D3598" w:rsidRPr="00511330" w:rsidRDefault="008D3598" w:rsidP="00C7351A">
            <w:pPr>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.37</w:t>
            </w:r>
          </w:p>
        </w:tc>
        <w:tc>
          <w:tcPr>
            <w:tcW w:w="1080" w:type="dxa"/>
            <w:shd w:val="clear" w:color="auto" w:fill="auto"/>
            <w:vAlign w:val="center"/>
          </w:tcPr>
          <w:p w14:paraId="64416A31" w14:textId="77777777" w:rsidR="008D3598" w:rsidRPr="00511330" w:rsidRDefault="008D3598" w:rsidP="00C7351A">
            <w:pPr>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rPr>
              <w:t>.771</w:t>
            </w:r>
            <w:r w:rsidRPr="00511330">
              <w:rPr>
                <w:rFonts w:asciiTheme="majorBidi" w:hAnsiTheme="majorBidi" w:cstheme="majorBidi"/>
                <w:sz w:val="20"/>
                <w:szCs w:val="20"/>
                <w:vertAlign w:val="superscript"/>
                <w:lang w:val="en-US"/>
              </w:rPr>
              <w:t>**</w:t>
            </w:r>
          </w:p>
        </w:tc>
        <w:tc>
          <w:tcPr>
            <w:tcW w:w="1170" w:type="dxa"/>
            <w:shd w:val="clear" w:color="auto" w:fill="auto"/>
            <w:vAlign w:val="center"/>
          </w:tcPr>
          <w:p w14:paraId="64416A32" w14:textId="77777777" w:rsidR="008D3598" w:rsidRPr="00511330" w:rsidRDefault="008D3598" w:rsidP="00C7351A">
            <w:pPr>
              <w:ind w:right="44"/>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rPr>
              <w:t>.723</w:t>
            </w:r>
            <w:r w:rsidRPr="00511330">
              <w:rPr>
                <w:rFonts w:asciiTheme="majorBidi" w:hAnsiTheme="majorBidi" w:cstheme="majorBidi"/>
                <w:sz w:val="20"/>
                <w:szCs w:val="20"/>
                <w:vertAlign w:val="superscript"/>
                <w:lang w:val="en-US"/>
              </w:rPr>
              <w:t>**</w:t>
            </w:r>
          </w:p>
        </w:tc>
        <w:tc>
          <w:tcPr>
            <w:tcW w:w="1170" w:type="dxa"/>
            <w:shd w:val="clear" w:color="auto" w:fill="auto"/>
            <w:vAlign w:val="center"/>
          </w:tcPr>
          <w:p w14:paraId="64416A33" w14:textId="77777777" w:rsidR="008D3598" w:rsidRPr="00511330" w:rsidRDefault="008D3598" w:rsidP="00C7351A">
            <w:pPr>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1</w:t>
            </w:r>
          </w:p>
        </w:tc>
        <w:tc>
          <w:tcPr>
            <w:tcW w:w="1080" w:type="dxa"/>
            <w:shd w:val="clear" w:color="auto" w:fill="auto"/>
            <w:vAlign w:val="center"/>
          </w:tcPr>
          <w:p w14:paraId="64416A34" w14:textId="77777777" w:rsidR="008D3598" w:rsidRPr="00511330" w:rsidRDefault="008D3598" w:rsidP="00C7351A">
            <w:pPr>
              <w:ind w:right="72"/>
              <w:jc w:val="center"/>
              <w:rPr>
                <w:rFonts w:asciiTheme="majorBidi" w:hAnsiTheme="majorBidi" w:cstheme="majorBidi"/>
                <w:sz w:val="20"/>
                <w:szCs w:val="20"/>
                <w:lang w:val="en-US" w:bidi="ar-AE"/>
              </w:rPr>
            </w:pPr>
          </w:p>
        </w:tc>
      </w:tr>
      <w:tr w:rsidR="008D3598" w:rsidRPr="00511330" w14:paraId="64416A3D" w14:textId="77777777" w:rsidTr="00881819">
        <w:tc>
          <w:tcPr>
            <w:tcW w:w="1260" w:type="dxa"/>
            <w:shd w:val="clear" w:color="auto" w:fill="auto"/>
            <w:vAlign w:val="center"/>
          </w:tcPr>
          <w:p w14:paraId="64416A36" w14:textId="77777777" w:rsidR="008D3598" w:rsidRPr="00511330" w:rsidRDefault="008D3598" w:rsidP="00C7351A">
            <w:pPr>
              <w:ind w:firstLine="67"/>
              <w:rPr>
                <w:rFonts w:asciiTheme="majorBidi" w:hAnsiTheme="majorBidi" w:cstheme="majorBidi"/>
                <w:b/>
                <w:bCs/>
                <w:sz w:val="20"/>
                <w:szCs w:val="20"/>
                <w:lang w:val="en-US" w:bidi="ar-AE"/>
              </w:rPr>
            </w:pPr>
            <w:r w:rsidRPr="00511330">
              <w:rPr>
                <w:rFonts w:asciiTheme="majorBidi" w:hAnsiTheme="majorBidi" w:cstheme="majorBidi"/>
                <w:b/>
                <w:bCs/>
                <w:sz w:val="20"/>
                <w:szCs w:val="20"/>
                <w:lang w:val="en-US"/>
              </w:rPr>
              <w:t>F&amp;F</w:t>
            </w:r>
          </w:p>
        </w:tc>
        <w:tc>
          <w:tcPr>
            <w:tcW w:w="1080" w:type="dxa"/>
            <w:shd w:val="clear" w:color="auto" w:fill="auto"/>
            <w:vAlign w:val="center"/>
          </w:tcPr>
          <w:p w14:paraId="64416A37" w14:textId="77777777" w:rsidR="008D3598" w:rsidRPr="00511330" w:rsidRDefault="008D3598" w:rsidP="00C7351A">
            <w:pPr>
              <w:ind w:right="-240"/>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.74</w:t>
            </w:r>
          </w:p>
        </w:tc>
        <w:tc>
          <w:tcPr>
            <w:tcW w:w="1080" w:type="dxa"/>
            <w:shd w:val="clear" w:color="auto" w:fill="auto"/>
            <w:vAlign w:val="center"/>
          </w:tcPr>
          <w:p w14:paraId="64416A38" w14:textId="77777777" w:rsidR="008D3598" w:rsidRPr="00511330" w:rsidRDefault="008D3598" w:rsidP="00C7351A">
            <w:pPr>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.42</w:t>
            </w:r>
          </w:p>
        </w:tc>
        <w:tc>
          <w:tcPr>
            <w:tcW w:w="1080" w:type="dxa"/>
            <w:shd w:val="clear" w:color="auto" w:fill="auto"/>
            <w:vAlign w:val="center"/>
          </w:tcPr>
          <w:p w14:paraId="64416A39" w14:textId="77777777" w:rsidR="008D3598" w:rsidRPr="00511330" w:rsidRDefault="008D3598" w:rsidP="00C7351A">
            <w:pPr>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rPr>
              <w:t>.702</w:t>
            </w:r>
            <w:r w:rsidRPr="00511330">
              <w:rPr>
                <w:rFonts w:asciiTheme="majorBidi" w:hAnsiTheme="majorBidi" w:cstheme="majorBidi"/>
                <w:sz w:val="20"/>
                <w:szCs w:val="20"/>
                <w:vertAlign w:val="superscript"/>
                <w:lang w:val="en-US"/>
              </w:rPr>
              <w:t>**</w:t>
            </w:r>
          </w:p>
        </w:tc>
        <w:tc>
          <w:tcPr>
            <w:tcW w:w="1170" w:type="dxa"/>
            <w:shd w:val="clear" w:color="auto" w:fill="auto"/>
            <w:vAlign w:val="center"/>
          </w:tcPr>
          <w:p w14:paraId="64416A3A" w14:textId="77777777" w:rsidR="008D3598" w:rsidRPr="00511330" w:rsidRDefault="008D3598" w:rsidP="00C7351A">
            <w:pPr>
              <w:ind w:right="44"/>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rPr>
              <w:t>.707</w:t>
            </w:r>
            <w:r w:rsidRPr="00511330">
              <w:rPr>
                <w:rFonts w:asciiTheme="majorBidi" w:hAnsiTheme="majorBidi" w:cstheme="majorBidi"/>
                <w:sz w:val="20"/>
                <w:szCs w:val="20"/>
                <w:vertAlign w:val="superscript"/>
                <w:lang w:val="en-US"/>
              </w:rPr>
              <w:t>**</w:t>
            </w:r>
          </w:p>
        </w:tc>
        <w:tc>
          <w:tcPr>
            <w:tcW w:w="1170" w:type="dxa"/>
            <w:shd w:val="clear" w:color="auto" w:fill="auto"/>
            <w:vAlign w:val="center"/>
          </w:tcPr>
          <w:p w14:paraId="64416A3B" w14:textId="77777777" w:rsidR="008D3598" w:rsidRPr="00511330" w:rsidRDefault="008D3598" w:rsidP="00C7351A">
            <w:pPr>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rPr>
              <w:t>.739</w:t>
            </w:r>
            <w:r w:rsidRPr="00511330">
              <w:rPr>
                <w:rFonts w:asciiTheme="majorBidi" w:hAnsiTheme="majorBidi" w:cstheme="majorBidi"/>
                <w:sz w:val="20"/>
                <w:szCs w:val="20"/>
                <w:vertAlign w:val="superscript"/>
                <w:lang w:val="en-US"/>
              </w:rPr>
              <w:t>**</w:t>
            </w:r>
          </w:p>
        </w:tc>
        <w:tc>
          <w:tcPr>
            <w:tcW w:w="1080" w:type="dxa"/>
            <w:shd w:val="clear" w:color="auto" w:fill="auto"/>
            <w:vAlign w:val="center"/>
          </w:tcPr>
          <w:p w14:paraId="64416A3C" w14:textId="77777777" w:rsidR="008D3598" w:rsidRPr="00511330" w:rsidRDefault="008D3598" w:rsidP="00C7351A">
            <w:pPr>
              <w:ind w:right="72"/>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1</w:t>
            </w:r>
          </w:p>
        </w:tc>
      </w:tr>
    </w:tbl>
    <w:p w14:paraId="64416A3E" w14:textId="77777777" w:rsidR="008D3598" w:rsidRPr="00511330" w:rsidRDefault="008D3598" w:rsidP="00881819">
      <w:pPr>
        <w:ind w:left="90" w:right="-450"/>
        <w:jc w:val="both"/>
        <w:rPr>
          <w:rFonts w:asciiTheme="majorBidi" w:hAnsiTheme="majorBidi" w:cstheme="majorBidi"/>
          <w:b/>
          <w:bCs/>
          <w:lang w:val="en-US"/>
        </w:rPr>
      </w:pPr>
      <w:r w:rsidRPr="00511330">
        <w:rPr>
          <w:rFonts w:asciiTheme="majorBidi" w:hAnsiTheme="majorBidi" w:cstheme="majorBidi"/>
          <w:color w:val="000000"/>
          <w:sz w:val="18"/>
          <w:szCs w:val="18"/>
          <w:lang w:val="en-US"/>
        </w:rPr>
        <w:t>** Correlation is significant at the 0.01 level (2-tailed).</w:t>
      </w:r>
    </w:p>
    <w:p w14:paraId="64416A3F" w14:textId="77777777" w:rsidR="008D3598" w:rsidRPr="00511330" w:rsidRDefault="008D3598" w:rsidP="00721566">
      <w:pPr>
        <w:spacing w:after="0" w:line="240" w:lineRule="auto"/>
        <w:ind w:right="-450"/>
        <w:jc w:val="both"/>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 xml:space="preserve">Note. CR = </w:t>
      </w:r>
      <w:r w:rsidRPr="00511330">
        <w:rPr>
          <w:rFonts w:asciiTheme="majorBidi" w:eastAsia="Calibri" w:hAnsiTheme="majorBidi" w:cstheme="majorBidi"/>
          <w:sz w:val="20"/>
          <w:szCs w:val="20"/>
          <w:lang w:val="en-US" w:bidi="ar-AE"/>
        </w:rPr>
        <w:t>composite reliability</w:t>
      </w:r>
      <w:r w:rsidRPr="00511330">
        <w:rPr>
          <w:rFonts w:asciiTheme="majorBidi" w:eastAsia="Calibri" w:hAnsiTheme="majorBidi" w:cstheme="majorBidi"/>
          <w:b/>
          <w:bCs/>
          <w:sz w:val="20"/>
          <w:szCs w:val="20"/>
          <w:lang w:val="en-US" w:bidi="ar-AE"/>
        </w:rPr>
        <w:t xml:space="preserve">; AVE = </w:t>
      </w:r>
      <w:r w:rsidRPr="00511330">
        <w:rPr>
          <w:rFonts w:asciiTheme="majorBidi" w:eastAsia="Calibri" w:hAnsiTheme="majorBidi" w:cstheme="majorBidi"/>
          <w:sz w:val="20"/>
          <w:szCs w:val="20"/>
          <w:lang w:val="en-US" w:bidi="ar-AE"/>
        </w:rPr>
        <w:t>average variance extracted</w:t>
      </w:r>
      <w:r w:rsidRPr="00511330">
        <w:rPr>
          <w:rFonts w:asciiTheme="majorBidi" w:eastAsia="Calibri" w:hAnsiTheme="majorBidi" w:cstheme="majorBidi"/>
          <w:b/>
          <w:bCs/>
          <w:sz w:val="20"/>
          <w:szCs w:val="20"/>
          <w:lang w:val="en-US" w:bidi="ar-AE"/>
        </w:rPr>
        <w:t xml:space="preserve">; E&amp;S = </w:t>
      </w:r>
      <w:r w:rsidRPr="00511330">
        <w:rPr>
          <w:rFonts w:asciiTheme="majorBidi" w:eastAsia="Calibri" w:hAnsiTheme="majorBidi" w:cstheme="majorBidi"/>
          <w:sz w:val="20"/>
          <w:szCs w:val="20"/>
          <w:lang w:val="en-US" w:bidi="ar-AE"/>
        </w:rPr>
        <w:t>Engagement and support</w:t>
      </w:r>
      <w:r w:rsidRPr="00511330">
        <w:rPr>
          <w:rFonts w:asciiTheme="majorBidi" w:eastAsia="Calibri" w:hAnsiTheme="majorBidi" w:cstheme="majorBidi"/>
          <w:b/>
          <w:bCs/>
          <w:sz w:val="20"/>
          <w:szCs w:val="20"/>
          <w:lang w:val="en-US" w:bidi="ar-AE"/>
        </w:rPr>
        <w:t xml:space="preserve">; AS = </w:t>
      </w:r>
      <w:r w:rsidRPr="00511330">
        <w:rPr>
          <w:rFonts w:asciiTheme="majorBidi" w:eastAsia="Calibri" w:hAnsiTheme="majorBidi" w:cstheme="majorBidi"/>
          <w:sz w:val="20"/>
          <w:szCs w:val="20"/>
          <w:lang w:val="en-US" w:bidi="ar-AE"/>
        </w:rPr>
        <w:t>Alignment of Strategy</w:t>
      </w:r>
      <w:r w:rsidRPr="00511330">
        <w:rPr>
          <w:rFonts w:asciiTheme="majorBidi" w:eastAsia="Calibri" w:hAnsiTheme="majorBidi" w:cstheme="majorBidi"/>
          <w:b/>
          <w:bCs/>
          <w:sz w:val="20"/>
          <w:szCs w:val="20"/>
          <w:lang w:val="en-US" w:bidi="ar-AE"/>
        </w:rPr>
        <w:t xml:space="preserve">; R&amp;C= </w:t>
      </w:r>
      <w:r w:rsidRPr="00511330">
        <w:rPr>
          <w:rFonts w:asciiTheme="majorBidi" w:eastAsia="Calibri" w:hAnsiTheme="majorBidi" w:cstheme="majorBidi"/>
          <w:sz w:val="20"/>
          <w:szCs w:val="20"/>
          <w:lang w:val="en-US" w:bidi="ar-AE"/>
        </w:rPr>
        <w:t>Resources and Capabilities</w:t>
      </w:r>
      <w:r w:rsidRPr="00511330">
        <w:rPr>
          <w:rFonts w:asciiTheme="majorBidi" w:eastAsia="Calibri" w:hAnsiTheme="majorBidi" w:cstheme="majorBidi"/>
          <w:b/>
          <w:bCs/>
          <w:sz w:val="20"/>
          <w:szCs w:val="20"/>
          <w:lang w:val="en-US" w:bidi="ar-AE"/>
        </w:rPr>
        <w:t xml:space="preserve">; F&amp;F= </w:t>
      </w:r>
      <w:r w:rsidRPr="00511330">
        <w:rPr>
          <w:rFonts w:asciiTheme="majorBidi" w:eastAsia="Calibri" w:hAnsiTheme="majorBidi" w:cstheme="majorBidi"/>
          <w:sz w:val="20"/>
          <w:szCs w:val="20"/>
          <w:lang w:val="en-US" w:bidi="ar-AE"/>
        </w:rPr>
        <w:t>Flexibility and Feedback</w:t>
      </w:r>
      <w:r w:rsidRPr="00511330">
        <w:rPr>
          <w:rFonts w:asciiTheme="majorBidi" w:eastAsia="Calibri" w:hAnsiTheme="majorBidi" w:cstheme="majorBidi"/>
          <w:b/>
          <w:bCs/>
          <w:sz w:val="20"/>
          <w:szCs w:val="20"/>
          <w:lang w:val="en-US" w:bidi="ar-AE"/>
        </w:rPr>
        <w:t>. The italicized values on the diagonal indicate the square roots of the AVE</w:t>
      </w:r>
    </w:p>
    <w:p w14:paraId="64416A40" w14:textId="77777777" w:rsidR="008D3598" w:rsidRPr="00511330" w:rsidRDefault="008D3598" w:rsidP="00721566">
      <w:pPr>
        <w:spacing w:after="0" w:line="240" w:lineRule="auto"/>
        <w:ind w:right="-450"/>
        <w:jc w:val="both"/>
        <w:rPr>
          <w:rFonts w:asciiTheme="majorBidi" w:eastAsia="Calibri" w:hAnsiTheme="majorBidi" w:cstheme="majorBidi"/>
          <w:b/>
          <w:bCs/>
          <w:sz w:val="24"/>
          <w:szCs w:val="24"/>
          <w:lang w:val="en-US"/>
        </w:rPr>
      </w:pPr>
    </w:p>
    <w:p w14:paraId="64416A41" w14:textId="77777777" w:rsidR="008D3598" w:rsidRPr="00511330" w:rsidRDefault="008D3598" w:rsidP="00721566">
      <w:pPr>
        <w:pStyle w:val="Heading2"/>
        <w:numPr>
          <w:ilvl w:val="1"/>
          <w:numId w:val="16"/>
        </w:numPr>
        <w:ind w:left="540" w:right="-450"/>
        <w:rPr>
          <w:lang w:val="en-US"/>
        </w:rPr>
      </w:pPr>
      <w:bookmarkStart w:id="1002" w:name="_Toc43311650"/>
      <w:r w:rsidRPr="00511330">
        <w:rPr>
          <w:lang w:val="en-US"/>
        </w:rPr>
        <w:t>Quantitative Analysis of Barriers</w:t>
      </w:r>
      <w:bookmarkStart w:id="1003" w:name="_Toc32090480"/>
      <w:bookmarkStart w:id="1004" w:name="_Toc32090809"/>
      <w:bookmarkStart w:id="1005" w:name="_Toc32091725"/>
      <w:bookmarkStart w:id="1006" w:name="_Toc32090481"/>
      <w:bookmarkStart w:id="1007" w:name="_Toc32090810"/>
      <w:bookmarkStart w:id="1008" w:name="_Toc32091726"/>
      <w:bookmarkStart w:id="1009" w:name="_Toc32090482"/>
      <w:bookmarkStart w:id="1010" w:name="_Toc32090811"/>
      <w:bookmarkStart w:id="1011" w:name="_Toc32091727"/>
      <w:bookmarkStart w:id="1012" w:name="_Toc32090483"/>
      <w:bookmarkStart w:id="1013" w:name="_Toc32090812"/>
      <w:bookmarkStart w:id="1014" w:name="_Toc32091728"/>
      <w:bookmarkStart w:id="1015" w:name="_Toc32090484"/>
      <w:bookmarkStart w:id="1016" w:name="_Toc32090813"/>
      <w:bookmarkStart w:id="1017" w:name="_Toc32091729"/>
      <w:bookmarkStart w:id="1018" w:name="_Toc32090485"/>
      <w:bookmarkStart w:id="1019" w:name="_Toc32090814"/>
      <w:bookmarkStart w:id="1020" w:name="_Toc32091730"/>
      <w:bookmarkStart w:id="1021" w:name="_Toc32090486"/>
      <w:bookmarkStart w:id="1022" w:name="_Toc32090815"/>
      <w:bookmarkStart w:id="1023" w:name="_Toc32091731"/>
      <w:bookmarkStart w:id="1024" w:name="_Toc32090487"/>
      <w:bookmarkStart w:id="1025" w:name="_Toc32090816"/>
      <w:bookmarkStart w:id="1026" w:name="_Toc32091732"/>
      <w:bookmarkStart w:id="1027" w:name="_Toc32090488"/>
      <w:bookmarkStart w:id="1028" w:name="_Toc32090817"/>
      <w:bookmarkStart w:id="1029" w:name="_Toc32091733"/>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14:paraId="64416A42" w14:textId="77777777" w:rsidR="008D3598" w:rsidRPr="00511330" w:rsidRDefault="008D3598" w:rsidP="00721566">
      <w:pPr>
        <w:pStyle w:val="Heading3"/>
        <w:numPr>
          <w:ilvl w:val="2"/>
          <w:numId w:val="16"/>
        </w:numPr>
        <w:spacing w:line="480" w:lineRule="auto"/>
        <w:ind w:left="720" w:right="-450"/>
        <w:rPr>
          <w:rFonts w:eastAsia="Calibri"/>
          <w:lang w:val="en-US"/>
        </w:rPr>
      </w:pPr>
      <w:bookmarkStart w:id="1030" w:name="_Toc43311651"/>
      <w:r w:rsidRPr="00511330">
        <w:rPr>
          <w:lang w:val="en-US"/>
        </w:rPr>
        <w:t>Explanatory Factor Analysis (EFA)</w:t>
      </w:r>
      <w:bookmarkEnd w:id="1030"/>
    </w:p>
    <w:p w14:paraId="64416A43" w14:textId="77777777" w:rsidR="008D3598" w:rsidRPr="00511330" w:rsidRDefault="008D3598" w:rsidP="00721566">
      <w:pPr>
        <w:spacing w:after="0" w:line="480" w:lineRule="auto"/>
        <w:ind w:right="-450"/>
        <w:jc w:val="both"/>
        <w:rPr>
          <w:rFonts w:asciiTheme="majorBidi" w:eastAsia="Calibri" w:hAnsiTheme="majorBidi" w:cstheme="majorBidi"/>
          <w:kern w:val="16"/>
          <w:sz w:val="24"/>
          <w:szCs w:val="24"/>
          <w:lang w:val="en-US"/>
        </w:rPr>
      </w:pPr>
      <w:r w:rsidRPr="00511330">
        <w:rPr>
          <w:rFonts w:asciiTheme="majorBidi" w:eastAsia="Calibri" w:hAnsiTheme="majorBidi" w:cstheme="majorBidi"/>
          <w:kern w:val="16"/>
          <w:sz w:val="24"/>
          <w:szCs w:val="24"/>
          <w:lang w:val="en-US"/>
        </w:rPr>
        <w:t xml:space="preserve">This analysis involved top management, employees </w:t>
      </w:r>
      <w:r w:rsidRPr="00511330">
        <w:rPr>
          <w:rFonts w:asciiTheme="majorBidi" w:eastAsia="Calibri" w:hAnsiTheme="majorBidi" w:cstheme="majorBidi"/>
          <w:noProof/>
          <w:kern w:val="16"/>
          <w:sz w:val="24"/>
          <w:szCs w:val="24"/>
          <w:lang w:val="en-US"/>
        </w:rPr>
        <w:t>and</w:t>
      </w:r>
      <w:r w:rsidRPr="00511330">
        <w:rPr>
          <w:rFonts w:asciiTheme="majorBidi" w:eastAsia="Calibri" w:hAnsiTheme="majorBidi" w:cstheme="majorBidi"/>
          <w:kern w:val="16"/>
          <w:sz w:val="24"/>
          <w:szCs w:val="24"/>
          <w:lang w:val="en-US"/>
        </w:rPr>
        <w:t xml:space="preserve"> customers in the energy sectors organization. Prior to the analysis, several tests were conducted to determine the suitability of the data. Several conditions must be met prior to testing whether the items are suitable to run the analysis. The test includes </w:t>
      </w:r>
      <w:r w:rsidRPr="00511330">
        <w:rPr>
          <w:rFonts w:asciiTheme="majorBidi" w:eastAsia="Calibri" w:hAnsiTheme="majorBidi" w:cstheme="majorBidi"/>
          <w:noProof/>
          <w:kern w:val="16"/>
          <w:sz w:val="24"/>
          <w:szCs w:val="24"/>
          <w:lang w:val="en-US"/>
        </w:rPr>
        <w:t>Kaiser</w:t>
      </w:r>
      <w:r w:rsidRPr="00511330">
        <w:rPr>
          <w:rFonts w:asciiTheme="majorBidi" w:eastAsia="Calibri" w:hAnsiTheme="majorBidi" w:cstheme="majorBidi"/>
          <w:kern w:val="16"/>
          <w:sz w:val="24"/>
          <w:szCs w:val="24"/>
          <w:lang w:val="en-US"/>
        </w:rPr>
        <w:t xml:space="preserve">–Meyer–Olkin (KMO) </w:t>
      </w:r>
      <w:r w:rsidRPr="00511330">
        <w:rPr>
          <w:rFonts w:asciiTheme="majorBidi" w:eastAsia="Calibri" w:hAnsiTheme="majorBidi" w:cstheme="majorBidi"/>
          <w:noProof/>
          <w:kern w:val="16"/>
          <w:sz w:val="24"/>
          <w:szCs w:val="24"/>
          <w:lang w:val="en-US"/>
        </w:rPr>
        <w:t>Test</w:t>
      </w:r>
      <w:r w:rsidRPr="00511330">
        <w:rPr>
          <w:rFonts w:asciiTheme="majorBidi" w:eastAsia="Calibri" w:hAnsiTheme="majorBidi" w:cstheme="majorBidi"/>
          <w:kern w:val="16"/>
          <w:sz w:val="24"/>
          <w:szCs w:val="24"/>
          <w:lang w:val="en-US"/>
        </w:rPr>
        <w:t xml:space="preserve"> and Bartlett’s Test of Sphericity. The results are shown in Table 4.29.</w:t>
      </w:r>
    </w:p>
    <w:p w14:paraId="64416A44" w14:textId="5A07DE81" w:rsidR="008D3598" w:rsidRPr="00511330" w:rsidRDefault="008D3598" w:rsidP="00881819">
      <w:pPr>
        <w:pStyle w:val="Caption"/>
        <w:keepNext/>
        <w:spacing w:after="0"/>
        <w:ind w:right="-450"/>
        <w:rPr>
          <w:rFonts w:asciiTheme="majorBidi" w:hAnsiTheme="majorBidi" w:cstheme="majorBidi"/>
          <w:b w:val="0"/>
          <w:bCs w:val="0"/>
          <w:color w:val="auto"/>
          <w:sz w:val="20"/>
          <w:szCs w:val="20"/>
          <w:lang w:val="en-US"/>
        </w:rPr>
      </w:pPr>
      <w:bookmarkStart w:id="1031" w:name="_Toc43310919"/>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29</w:t>
      </w:r>
      <w:r w:rsidRPr="00511330">
        <w:rPr>
          <w:rFonts w:asciiTheme="majorBidi" w:hAnsiTheme="majorBidi" w:cstheme="majorBidi"/>
          <w:b w:val="0"/>
          <w:bCs w:val="0"/>
          <w:color w:val="auto"/>
          <w:sz w:val="20"/>
          <w:szCs w:val="20"/>
          <w:lang w:val="en-US"/>
        </w:rPr>
        <w:fldChar w:fldCharType="end"/>
      </w:r>
      <w:r w:rsidR="00737A1A"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KMO Test and Bartlett’s Test for Change Barriers</w:t>
      </w:r>
      <w:bookmarkEnd w:id="1031"/>
    </w:p>
    <w:tbl>
      <w:tblPr>
        <w:tblStyle w:val="TableGrid1"/>
        <w:tblW w:w="79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351"/>
        <w:gridCol w:w="2520"/>
        <w:gridCol w:w="2049"/>
      </w:tblGrid>
      <w:tr w:rsidR="008D3598" w:rsidRPr="00511330" w14:paraId="64416A48" w14:textId="77777777" w:rsidTr="00881819">
        <w:tc>
          <w:tcPr>
            <w:tcW w:w="3351" w:type="dxa"/>
            <w:vMerge w:val="restart"/>
            <w:shd w:val="clear" w:color="auto" w:fill="F2F2F2" w:themeFill="background1" w:themeFillShade="F2"/>
            <w:vAlign w:val="center"/>
          </w:tcPr>
          <w:p w14:paraId="64416A45" w14:textId="77777777" w:rsidR="008D3598" w:rsidRPr="00511330" w:rsidRDefault="008D3598" w:rsidP="00721566">
            <w:pPr>
              <w:spacing w:line="480" w:lineRule="auto"/>
              <w:ind w:right="-450"/>
              <w:jc w:val="both"/>
              <w:rPr>
                <w:rFonts w:asciiTheme="majorBidi" w:eastAsia="Calibri" w:hAnsiTheme="majorBidi" w:cstheme="majorBidi"/>
                <w:color w:val="FF0000"/>
                <w:sz w:val="20"/>
                <w:szCs w:val="20"/>
                <w:lang w:val="en-US"/>
              </w:rPr>
            </w:pPr>
            <w:r w:rsidRPr="00511330">
              <w:rPr>
                <w:rFonts w:asciiTheme="majorBidi" w:eastAsia="Calibri" w:hAnsiTheme="majorBidi" w:cstheme="majorBidi"/>
                <w:sz w:val="20"/>
                <w:szCs w:val="20"/>
                <w:lang w:val="en-US"/>
              </w:rPr>
              <w:t>Bartlett’s Test of Sphericity</w:t>
            </w:r>
          </w:p>
        </w:tc>
        <w:tc>
          <w:tcPr>
            <w:tcW w:w="2520" w:type="dxa"/>
          </w:tcPr>
          <w:p w14:paraId="64416A46"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KMO</w:t>
            </w:r>
          </w:p>
        </w:tc>
        <w:tc>
          <w:tcPr>
            <w:tcW w:w="2049" w:type="dxa"/>
          </w:tcPr>
          <w:p w14:paraId="64416A47" w14:textId="77777777" w:rsidR="008D3598" w:rsidRPr="00511330" w:rsidRDefault="008D3598" w:rsidP="00B60641">
            <w:pPr>
              <w:ind w:right="-198"/>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0.955</w:t>
            </w:r>
          </w:p>
        </w:tc>
      </w:tr>
      <w:tr w:rsidR="008D3598" w:rsidRPr="00511330" w14:paraId="64416A4C" w14:textId="77777777" w:rsidTr="00881819">
        <w:tc>
          <w:tcPr>
            <w:tcW w:w="3351" w:type="dxa"/>
            <w:vMerge/>
            <w:shd w:val="clear" w:color="auto" w:fill="F2F2F2" w:themeFill="background1" w:themeFillShade="F2"/>
            <w:vAlign w:val="center"/>
          </w:tcPr>
          <w:p w14:paraId="64416A49" w14:textId="77777777" w:rsidR="008D3598" w:rsidRPr="00511330" w:rsidRDefault="008D3598" w:rsidP="00721566">
            <w:pPr>
              <w:spacing w:line="480" w:lineRule="auto"/>
              <w:ind w:right="-450"/>
              <w:jc w:val="both"/>
              <w:rPr>
                <w:rFonts w:asciiTheme="majorBidi" w:eastAsia="Calibri" w:hAnsiTheme="majorBidi" w:cstheme="majorBidi"/>
                <w:color w:val="FF0000"/>
                <w:sz w:val="20"/>
                <w:szCs w:val="20"/>
                <w:lang w:val="en-US"/>
              </w:rPr>
            </w:pPr>
          </w:p>
        </w:tc>
        <w:tc>
          <w:tcPr>
            <w:tcW w:w="2520" w:type="dxa"/>
          </w:tcPr>
          <w:p w14:paraId="64416A4A"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Approx. </w:t>
            </w:r>
            <w:r w:rsidRPr="00511330">
              <w:rPr>
                <w:rFonts w:asciiTheme="majorBidi" w:eastAsia="Calibri" w:hAnsiTheme="majorBidi" w:cstheme="majorBidi"/>
                <w:noProof/>
                <w:sz w:val="20"/>
                <w:szCs w:val="20"/>
                <w:lang w:val="en-US"/>
              </w:rPr>
              <w:t>Chi Square</w:t>
            </w:r>
          </w:p>
        </w:tc>
        <w:tc>
          <w:tcPr>
            <w:tcW w:w="2049" w:type="dxa"/>
          </w:tcPr>
          <w:p w14:paraId="64416A4B" w14:textId="77777777" w:rsidR="008D3598" w:rsidRPr="00511330" w:rsidRDefault="008D3598" w:rsidP="00B60641">
            <w:pPr>
              <w:ind w:right="-198"/>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5947.665</w:t>
            </w:r>
          </w:p>
        </w:tc>
      </w:tr>
      <w:tr w:rsidR="008D3598" w:rsidRPr="00511330" w14:paraId="64416A50" w14:textId="77777777" w:rsidTr="00881819">
        <w:tc>
          <w:tcPr>
            <w:tcW w:w="3351" w:type="dxa"/>
            <w:vMerge/>
            <w:shd w:val="clear" w:color="auto" w:fill="F2F2F2" w:themeFill="background1" w:themeFillShade="F2"/>
          </w:tcPr>
          <w:p w14:paraId="64416A4D" w14:textId="77777777" w:rsidR="008D3598" w:rsidRPr="00511330" w:rsidRDefault="008D3598" w:rsidP="00721566">
            <w:pPr>
              <w:spacing w:line="480" w:lineRule="auto"/>
              <w:ind w:right="-450"/>
              <w:jc w:val="both"/>
              <w:rPr>
                <w:rFonts w:asciiTheme="majorBidi" w:eastAsia="Calibri" w:hAnsiTheme="majorBidi" w:cstheme="majorBidi"/>
                <w:color w:val="FF0000"/>
                <w:sz w:val="20"/>
                <w:szCs w:val="20"/>
                <w:lang w:val="en-US"/>
              </w:rPr>
            </w:pPr>
          </w:p>
        </w:tc>
        <w:tc>
          <w:tcPr>
            <w:tcW w:w="2520" w:type="dxa"/>
          </w:tcPr>
          <w:p w14:paraId="64416A4E"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Df</w:t>
            </w:r>
          </w:p>
        </w:tc>
        <w:tc>
          <w:tcPr>
            <w:tcW w:w="2049" w:type="dxa"/>
          </w:tcPr>
          <w:p w14:paraId="64416A4F" w14:textId="77777777" w:rsidR="008D3598" w:rsidRPr="00511330" w:rsidRDefault="008D3598" w:rsidP="00B60641">
            <w:pPr>
              <w:ind w:right="-198"/>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253</w:t>
            </w:r>
          </w:p>
        </w:tc>
      </w:tr>
      <w:tr w:rsidR="008D3598" w:rsidRPr="00511330" w14:paraId="64416A54" w14:textId="77777777" w:rsidTr="00881819">
        <w:trPr>
          <w:trHeight w:val="297"/>
        </w:trPr>
        <w:tc>
          <w:tcPr>
            <w:tcW w:w="3351" w:type="dxa"/>
            <w:vMerge/>
            <w:shd w:val="clear" w:color="auto" w:fill="F2F2F2" w:themeFill="background1" w:themeFillShade="F2"/>
          </w:tcPr>
          <w:p w14:paraId="64416A51" w14:textId="77777777" w:rsidR="008D3598" w:rsidRPr="00511330" w:rsidRDefault="008D3598" w:rsidP="00721566">
            <w:pPr>
              <w:spacing w:line="480" w:lineRule="auto"/>
              <w:ind w:right="-450"/>
              <w:jc w:val="both"/>
              <w:rPr>
                <w:rFonts w:asciiTheme="majorBidi" w:eastAsia="Calibri" w:hAnsiTheme="majorBidi" w:cstheme="majorBidi"/>
                <w:color w:val="FF0000"/>
                <w:sz w:val="20"/>
                <w:szCs w:val="20"/>
                <w:lang w:val="en-US"/>
              </w:rPr>
            </w:pPr>
          </w:p>
        </w:tc>
        <w:tc>
          <w:tcPr>
            <w:tcW w:w="2520" w:type="dxa"/>
          </w:tcPr>
          <w:p w14:paraId="64416A52"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Sig</w:t>
            </w:r>
          </w:p>
        </w:tc>
        <w:tc>
          <w:tcPr>
            <w:tcW w:w="2049" w:type="dxa"/>
          </w:tcPr>
          <w:p w14:paraId="64416A53" w14:textId="77777777" w:rsidR="008D3598" w:rsidRPr="00511330" w:rsidRDefault="008D3598" w:rsidP="00B60641">
            <w:pPr>
              <w:ind w:right="-198"/>
              <w:jc w:val="center"/>
              <w:rPr>
                <w:rFonts w:asciiTheme="majorBidi" w:eastAsia="Calibri" w:hAnsiTheme="majorBidi" w:cstheme="majorBidi"/>
                <w:sz w:val="20"/>
                <w:szCs w:val="20"/>
                <w:lang w:val="en-US"/>
              </w:rPr>
            </w:pPr>
            <w:r w:rsidRPr="00511330">
              <w:rPr>
                <w:rFonts w:asciiTheme="majorBidi" w:hAnsiTheme="majorBidi" w:cstheme="majorBidi"/>
                <w:sz w:val="20"/>
                <w:szCs w:val="20"/>
                <w:lang w:val="en-US"/>
              </w:rPr>
              <w:t>0.000</w:t>
            </w:r>
          </w:p>
        </w:tc>
      </w:tr>
    </w:tbl>
    <w:p w14:paraId="64416A55" w14:textId="77777777" w:rsidR="008D3598" w:rsidRPr="00511330" w:rsidRDefault="008D3598" w:rsidP="00721566">
      <w:pPr>
        <w:spacing w:after="0" w:line="240" w:lineRule="auto"/>
        <w:ind w:right="-450"/>
        <w:jc w:val="both"/>
        <w:rPr>
          <w:rFonts w:asciiTheme="majorBidi" w:eastAsia="Calibri" w:hAnsiTheme="majorBidi" w:cstheme="majorBidi"/>
          <w:b/>
          <w:bCs/>
          <w:sz w:val="24"/>
          <w:szCs w:val="24"/>
          <w:lang w:val="en-US"/>
        </w:rPr>
      </w:pPr>
    </w:p>
    <w:p w14:paraId="64416A56" w14:textId="77777777" w:rsidR="008D3598" w:rsidRPr="00511330" w:rsidRDefault="008D3598" w:rsidP="00721566">
      <w:pPr>
        <w:spacing w:after="0" w:line="480" w:lineRule="auto"/>
        <w:ind w:right="-450"/>
        <w:jc w:val="both"/>
        <w:rPr>
          <w:rFonts w:asciiTheme="majorBidi" w:eastAsia="Calibri" w:hAnsiTheme="majorBidi" w:cstheme="majorBidi"/>
          <w:kern w:val="16"/>
          <w:sz w:val="24"/>
          <w:szCs w:val="24"/>
          <w:lang w:val="en-US"/>
        </w:rPr>
      </w:pPr>
      <w:r w:rsidRPr="00511330">
        <w:rPr>
          <w:rFonts w:asciiTheme="majorBidi" w:eastAsia="Calibri" w:hAnsiTheme="majorBidi" w:cstheme="majorBidi"/>
          <w:kern w:val="16"/>
          <w:sz w:val="24"/>
          <w:szCs w:val="24"/>
          <w:lang w:val="en-US"/>
        </w:rPr>
        <w:t xml:space="preserve">According to the Kaiser–Meyer–Olkin Test (KMO &gt; 0.50), these items are suitable for the factor analysis performed and show no serious multicollinearity problems in the data. Bartlett’s Test of Sphericity (Sig. &lt; 0.05) shows that the correlation between the items is sufficient to run the factor analysis. After the two tests were performed, EFA was used with the principal component analysis extraction method and Varimax rotation on the 23-item instrument. The number of factors to retain was based on a combination of methods (e.g. eigenvalue &gt; 1.0, scree plot) along with the theoretical salience of the rotated factors. Items should preferably </w:t>
      </w:r>
      <w:r w:rsidRPr="00511330">
        <w:rPr>
          <w:rFonts w:asciiTheme="majorBidi" w:eastAsia="Calibri" w:hAnsiTheme="majorBidi" w:cstheme="majorBidi"/>
          <w:kern w:val="16"/>
          <w:sz w:val="24"/>
          <w:szCs w:val="24"/>
          <w:lang w:val="en-US"/>
        </w:rPr>
        <w:lastRenderedPageBreak/>
        <w:t xml:space="preserve">load greater than 0.40 on the relevant factor and less than 0.40 on all other factors (Stevens, 2012). All the 23-item instrument of CM barriers accounted for 68.677 percent of the variance in responses. The factor pattern and items loadings are presented in the following Rotated-Component-Matrix (see Table 4.30). </w:t>
      </w:r>
    </w:p>
    <w:p w14:paraId="64416A57" w14:textId="5C7B23F7" w:rsidR="008D3598" w:rsidRPr="00511330" w:rsidRDefault="008D3598" w:rsidP="00737A1A">
      <w:pPr>
        <w:pStyle w:val="Caption"/>
        <w:keepNext/>
        <w:spacing w:after="0"/>
        <w:ind w:right="-450"/>
        <w:rPr>
          <w:rFonts w:asciiTheme="majorBidi" w:hAnsiTheme="majorBidi" w:cstheme="majorBidi"/>
          <w:b w:val="0"/>
          <w:bCs w:val="0"/>
          <w:color w:val="auto"/>
          <w:sz w:val="20"/>
          <w:szCs w:val="20"/>
          <w:lang w:val="en-US"/>
        </w:rPr>
      </w:pPr>
      <w:bookmarkStart w:id="1032" w:name="_Toc43310920"/>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30</w:t>
      </w:r>
      <w:r w:rsidRPr="00511330">
        <w:rPr>
          <w:rFonts w:asciiTheme="majorBidi" w:hAnsiTheme="majorBidi" w:cstheme="majorBidi"/>
          <w:b w:val="0"/>
          <w:bCs w:val="0"/>
          <w:color w:val="auto"/>
          <w:sz w:val="20"/>
          <w:szCs w:val="20"/>
          <w:lang w:val="en-US"/>
        </w:rPr>
        <w:fldChar w:fldCharType="end"/>
      </w:r>
      <w:r w:rsidR="00737A1A"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Rotated-Component-Matrix Items on Four Key Barriers Factors</w:t>
      </w:r>
      <w:bookmarkEnd w:id="1032"/>
    </w:p>
    <w:tbl>
      <w:tblPr>
        <w:tblStyle w:val="TableGrid1"/>
        <w:tblW w:w="7565" w:type="dxa"/>
        <w:jc w:val="center"/>
        <w:tblLayout w:type="fixed"/>
        <w:tblLook w:val="04A0" w:firstRow="1" w:lastRow="0" w:firstColumn="1" w:lastColumn="0" w:noHBand="0" w:noVBand="1"/>
      </w:tblPr>
      <w:tblGrid>
        <w:gridCol w:w="625"/>
        <w:gridCol w:w="3875"/>
        <w:gridCol w:w="766"/>
        <w:gridCol w:w="766"/>
        <w:gridCol w:w="766"/>
        <w:gridCol w:w="767"/>
      </w:tblGrid>
      <w:tr w:rsidR="008D3598" w:rsidRPr="00511330" w14:paraId="64416A5E" w14:textId="77777777" w:rsidTr="00737A1A">
        <w:trPr>
          <w:trHeight w:val="188"/>
          <w:jc w:val="center"/>
        </w:trPr>
        <w:tc>
          <w:tcPr>
            <w:tcW w:w="625" w:type="dxa"/>
            <w:shd w:val="clear" w:color="auto" w:fill="F2F2F2" w:themeFill="background1" w:themeFillShade="F2"/>
          </w:tcPr>
          <w:p w14:paraId="64416A58" w14:textId="77777777" w:rsidR="008D3598" w:rsidRPr="00511330" w:rsidRDefault="008D3598" w:rsidP="00721566">
            <w:pPr>
              <w:ind w:right="-450"/>
              <w:jc w:val="both"/>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w:t>
            </w:r>
          </w:p>
        </w:tc>
        <w:tc>
          <w:tcPr>
            <w:tcW w:w="3875" w:type="dxa"/>
            <w:shd w:val="clear" w:color="auto" w:fill="F2F2F2" w:themeFill="background1" w:themeFillShade="F2"/>
          </w:tcPr>
          <w:p w14:paraId="64416A59" w14:textId="77777777" w:rsidR="008D3598" w:rsidRPr="00511330" w:rsidRDefault="008D3598" w:rsidP="00C7351A">
            <w:pPr>
              <w:ind w:right="72"/>
              <w:jc w:val="both"/>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Discretion</w:t>
            </w:r>
          </w:p>
        </w:tc>
        <w:tc>
          <w:tcPr>
            <w:tcW w:w="766" w:type="dxa"/>
            <w:shd w:val="clear" w:color="auto" w:fill="F2F2F2" w:themeFill="background1" w:themeFillShade="F2"/>
          </w:tcPr>
          <w:p w14:paraId="64416A5A" w14:textId="77777777" w:rsidR="008D3598" w:rsidRPr="00511330" w:rsidRDefault="008D3598" w:rsidP="00C7351A">
            <w:pPr>
              <w:ind w:right="-450" w:hanging="378"/>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FNP</w:t>
            </w:r>
          </w:p>
        </w:tc>
        <w:tc>
          <w:tcPr>
            <w:tcW w:w="766" w:type="dxa"/>
            <w:shd w:val="clear" w:color="auto" w:fill="F2F2F2" w:themeFill="background1" w:themeFillShade="F2"/>
          </w:tcPr>
          <w:p w14:paraId="64416A5B" w14:textId="77777777" w:rsidR="008D3598" w:rsidRPr="00511330" w:rsidRDefault="008D3598" w:rsidP="00C7351A">
            <w:pPr>
              <w:ind w:right="-450" w:hanging="378"/>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FC</w:t>
            </w:r>
          </w:p>
        </w:tc>
        <w:tc>
          <w:tcPr>
            <w:tcW w:w="766" w:type="dxa"/>
            <w:shd w:val="clear" w:color="auto" w:fill="F2F2F2" w:themeFill="background1" w:themeFillShade="F2"/>
          </w:tcPr>
          <w:p w14:paraId="64416A5C" w14:textId="77777777" w:rsidR="008D3598" w:rsidRPr="00511330" w:rsidRDefault="008D3598" w:rsidP="00C7351A">
            <w:pPr>
              <w:ind w:right="-378" w:hanging="288"/>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CWFC</w:t>
            </w:r>
          </w:p>
        </w:tc>
        <w:tc>
          <w:tcPr>
            <w:tcW w:w="767" w:type="dxa"/>
            <w:shd w:val="clear" w:color="auto" w:fill="F2F2F2" w:themeFill="background1" w:themeFillShade="F2"/>
          </w:tcPr>
          <w:p w14:paraId="64416A5D" w14:textId="77777777" w:rsidR="008D3598" w:rsidRPr="00511330" w:rsidRDefault="008D3598" w:rsidP="00C7351A">
            <w:pPr>
              <w:ind w:left="-216" w:right="-378" w:hanging="72"/>
              <w:jc w:val="center"/>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UO</w:t>
            </w:r>
          </w:p>
        </w:tc>
      </w:tr>
      <w:tr w:rsidR="008D3598" w:rsidRPr="00511330" w14:paraId="64416A65" w14:textId="77777777" w:rsidTr="00737A1A">
        <w:trPr>
          <w:jc w:val="center"/>
        </w:trPr>
        <w:tc>
          <w:tcPr>
            <w:tcW w:w="625" w:type="dxa"/>
            <w:shd w:val="clear" w:color="auto" w:fill="auto"/>
          </w:tcPr>
          <w:p w14:paraId="64416A5F"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B3</w:t>
            </w:r>
          </w:p>
        </w:tc>
        <w:tc>
          <w:tcPr>
            <w:tcW w:w="3875" w:type="dxa"/>
            <w:shd w:val="clear" w:color="auto" w:fill="auto"/>
          </w:tcPr>
          <w:p w14:paraId="64416A60"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Absence of communication plan</w:t>
            </w:r>
          </w:p>
        </w:tc>
        <w:tc>
          <w:tcPr>
            <w:tcW w:w="766" w:type="dxa"/>
            <w:shd w:val="clear" w:color="auto" w:fill="auto"/>
          </w:tcPr>
          <w:p w14:paraId="64416A61"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.513</w:t>
            </w:r>
          </w:p>
        </w:tc>
        <w:tc>
          <w:tcPr>
            <w:tcW w:w="766" w:type="dxa"/>
            <w:shd w:val="clear" w:color="auto" w:fill="auto"/>
          </w:tcPr>
          <w:p w14:paraId="64416A62"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63"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64"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6C" w14:textId="77777777" w:rsidTr="00737A1A">
        <w:trPr>
          <w:jc w:val="center"/>
        </w:trPr>
        <w:tc>
          <w:tcPr>
            <w:tcW w:w="625" w:type="dxa"/>
            <w:shd w:val="clear" w:color="auto" w:fill="auto"/>
          </w:tcPr>
          <w:p w14:paraId="64416A66"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B5</w:t>
            </w:r>
          </w:p>
        </w:tc>
        <w:tc>
          <w:tcPr>
            <w:tcW w:w="3875" w:type="dxa"/>
            <w:shd w:val="clear" w:color="auto" w:fill="auto"/>
          </w:tcPr>
          <w:p w14:paraId="64416A67"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Negative past experience</w:t>
            </w:r>
          </w:p>
        </w:tc>
        <w:tc>
          <w:tcPr>
            <w:tcW w:w="766" w:type="dxa"/>
            <w:shd w:val="clear" w:color="auto" w:fill="auto"/>
          </w:tcPr>
          <w:p w14:paraId="64416A68"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.518</w:t>
            </w:r>
          </w:p>
        </w:tc>
        <w:tc>
          <w:tcPr>
            <w:tcW w:w="766" w:type="dxa"/>
            <w:shd w:val="clear" w:color="auto" w:fill="auto"/>
          </w:tcPr>
          <w:p w14:paraId="64416A69"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6A"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6B"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73" w14:textId="77777777" w:rsidTr="00737A1A">
        <w:trPr>
          <w:jc w:val="center"/>
        </w:trPr>
        <w:tc>
          <w:tcPr>
            <w:tcW w:w="625" w:type="dxa"/>
            <w:shd w:val="clear" w:color="auto" w:fill="auto"/>
          </w:tcPr>
          <w:p w14:paraId="64416A6D"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B6</w:t>
            </w:r>
          </w:p>
        </w:tc>
        <w:tc>
          <w:tcPr>
            <w:tcW w:w="3875" w:type="dxa"/>
            <w:shd w:val="clear" w:color="auto" w:fill="auto"/>
          </w:tcPr>
          <w:p w14:paraId="64416A6E"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opposite outcomes</w:t>
            </w:r>
          </w:p>
        </w:tc>
        <w:tc>
          <w:tcPr>
            <w:tcW w:w="766" w:type="dxa"/>
            <w:shd w:val="clear" w:color="auto" w:fill="auto"/>
          </w:tcPr>
          <w:p w14:paraId="64416A6F"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.655</w:t>
            </w:r>
          </w:p>
        </w:tc>
        <w:tc>
          <w:tcPr>
            <w:tcW w:w="766" w:type="dxa"/>
            <w:shd w:val="clear" w:color="auto" w:fill="auto"/>
          </w:tcPr>
          <w:p w14:paraId="64416A70"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71"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72"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7A" w14:textId="77777777" w:rsidTr="00737A1A">
        <w:trPr>
          <w:jc w:val="center"/>
        </w:trPr>
        <w:tc>
          <w:tcPr>
            <w:tcW w:w="625" w:type="dxa"/>
            <w:shd w:val="clear" w:color="auto" w:fill="auto"/>
          </w:tcPr>
          <w:p w14:paraId="64416A74"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B7</w:t>
            </w:r>
          </w:p>
        </w:tc>
        <w:tc>
          <w:tcPr>
            <w:tcW w:w="3875" w:type="dxa"/>
            <w:shd w:val="clear" w:color="auto" w:fill="auto"/>
          </w:tcPr>
          <w:p w14:paraId="64416A75"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cost</w:t>
            </w:r>
          </w:p>
        </w:tc>
        <w:tc>
          <w:tcPr>
            <w:tcW w:w="766" w:type="dxa"/>
            <w:shd w:val="clear" w:color="auto" w:fill="auto"/>
          </w:tcPr>
          <w:p w14:paraId="64416A76"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.831</w:t>
            </w:r>
          </w:p>
        </w:tc>
        <w:tc>
          <w:tcPr>
            <w:tcW w:w="766" w:type="dxa"/>
            <w:shd w:val="clear" w:color="auto" w:fill="auto"/>
          </w:tcPr>
          <w:p w14:paraId="64416A77"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78"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79"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81" w14:textId="77777777" w:rsidTr="00737A1A">
        <w:trPr>
          <w:jc w:val="center"/>
        </w:trPr>
        <w:tc>
          <w:tcPr>
            <w:tcW w:w="625" w:type="dxa"/>
            <w:shd w:val="clear" w:color="auto" w:fill="auto"/>
          </w:tcPr>
          <w:p w14:paraId="64416A7B"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B8</w:t>
            </w:r>
          </w:p>
        </w:tc>
        <w:tc>
          <w:tcPr>
            <w:tcW w:w="3875" w:type="dxa"/>
            <w:shd w:val="clear" w:color="auto" w:fill="auto"/>
          </w:tcPr>
          <w:p w14:paraId="64416A7C"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Fear of unknown and unfamiliar</w:t>
            </w:r>
          </w:p>
        </w:tc>
        <w:tc>
          <w:tcPr>
            <w:tcW w:w="766" w:type="dxa"/>
            <w:shd w:val="clear" w:color="auto" w:fill="auto"/>
          </w:tcPr>
          <w:p w14:paraId="64416A7D"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.678</w:t>
            </w:r>
          </w:p>
        </w:tc>
        <w:tc>
          <w:tcPr>
            <w:tcW w:w="766" w:type="dxa"/>
            <w:shd w:val="clear" w:color="auto" w:fill="auto"/>
          </w:tcPr>
          <w:p w14:paraId="64416A7E"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7F"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80"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88" w14:textId="77777777" w:rsidTr="00737A1A">
        <w:trPr>
          <w:jc w:val="center"/>
        </w:trPr>
        <w:tc>
          <w:tcPr>
            <w:tcW w:w="625" w:type="dxa"/>
            <w:shd w:val="clear" w:color="auto" w:fill="auto"/>
          </w:tcPr>
          <w:p w14:paraId="64416A82"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B9</w:t>
            </w:r>
          </w:p>
        </w:tc>
        <w:tc>
          <w:tcPr>
            <w:tcW w:w="3875" w:type="dxa"/>
            <w:shd w:val="clear" w:color="auto" w:fill="auto"/>
          </w:tcPr>
          <w:p w14:paraId="64416A83"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High risk of investment</w:t>
            </w:r>
          </w:p>
        </w:tc>
        <w:tc>
          <w:tcPr>
            <w:tcW w:w="766" w:type="dxa"/>
            <w:shd w:val="clear" w:color="auto" w:fill="auto"/>
          </w:tcPr>
          <w:p w14:paraId="64416A84"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.724</w:t>
            </w:r>
          </w:p>
        </w:tc>
        <w:tc>
          <w:tcPr>
            <w:tcW w:w="766" w:type="dxa"/>
            <w:shd w:val="clear" w:color="auto" w:fill="auto"/>
          </w:tcPr>
          <w:p w14:paraId="64416A85"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86"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87"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8F" w14:textId="77777777" w:rsidTr="00737A1A">
        <w:trPr>
          <w:jc w:val="center"/>
        </w:trPr>
        <w:tc>
          <w:tcPr>
            <w:tcW w:w="625" w:type="dxa"/>
            <w:shd w:val="clear" w:color="auto" w:fill="auto"/>
          </w:tcPr>
          <w:p w14:paraId="64416A89"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B10</w:t>
            </w:r>
          </w:p>
        </w:tc>
        <w:tc>
          <w:tcPr>
            <w:tcW w:w="3875" w:type="dxa"/>
            <w:shd w:val="clear" w:color="auto" w:fill="auto"/>
          </w:tcPr>
          <w:p w14:paraId="64416A8A"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Deficiency of manpower capabilities</w:t>
            </w:r>
          </w:p>
        </w:tc>
        <w:tc>
          <w:tcPr>
            <w:tcW w:w="766" w:type="dxa"/>
            <w:shd w:val="clear" w:color="auto" w:fill="auto"/>
          </w:tcPr>
          <w:p w14:paraId="64416A8B"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.591</w:t>
            </w:r>
          </w:p>
        </w:tc>
        <w:tc>
          <w:tcPr>
            <w:tcW w:w="766" w:type="dxa"/>
            <w:shd w:val="clear" w:color="auto" w:fill="auto"/>
          </w:tcPr>
          <w:p w14:paraId="64416A8C"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8D"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8E"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96" w14:textId="77777777" w:rsidTr="00737A1A">
        <w:trPr>
          <w:trHeight w:val="188"/>
          <w:jc w:val="center"/>
        </w:trPr>
        <w:tc>
          <w:tcPr>
            <w:tcW w:w="625" w:type="dxa"/>
            <w:shd w:val="clear" w:color="auto" w:fill="auto"/>
          </w:tcPr>
          <w:p w14:paraId="64416A90"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B11</w:t>
            </w:r>
          </w:p>
        </w:tc>
        <w:tc>
          <w:tcPr>
            <w:tcW w:w="3875" w:type="dxa"/>
            <w:shd w:val="clear" w:color="auto" w:fill="auto"/>
          </w:tcPr>
          <w:p w14:paraId="64416A91"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Complex change processes</w:t>
            </w:r>
          </w:p>
        </w:tc>
        <w:tc>
          <w:tcPr>
            <w:tcW w:w="766" w:type="dxa"/>
            <w:shd w:val="clear" w:color="auto" w:fill="auto"/>
          </w:tcPr>
          <w:p w14:paraId="64416A92"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.646</w:t>
            </w:r>
          </w:p>
        </w:tc>
        <w:tc>
          <w:tcPr>
            <w:tcW w:w="766" w:type="dxa"/>
            <w:shd w:val="clear" w:color="auto" w:fill="auto"/>
          </w:tcPr>
          <w:p w14:paraId="64416A93"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94"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95"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9D" w14:textId="77777777" w:rsidTr="00737A1A">
        <w:trPr>
          <w:jc w:val="center"/>
        </w:trPr>
        <w:tc>
          <w:tcPr>
            <w:tcW w:w="625" w:type="dxa"/>
            <w:shd w:val="clear" w:color="auto" w:fill="auto"/>
          </w:tcPr>
          <w:p w14:paraId="64416A97"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B15</w:t>
            </w:r>
          </w:p>
        </w:tc>
        <w:tc>
          <w:tcPr>
            <w:tcW w:w="3875" w:type="dxa"/>
            <w:shd w:val="clear" w:color="auto" w:fill="auto"/>
          </w:tcPr>
          <w:p w14:paraId="64416A98"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Insufficient communication channels</w:t>
            </w:r>
          </w:p>
        </w:tc>
        <w:tc>
          <w:tcPr>
            <w:tcW w:w="766" w:type="dxa"/>
            <w:shd w:val="clear" w:color="auto" w:fill="auto"/>
          </w:tcPr>
          <w:p w14:paraId="64416A99"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.614</w:t>
            </w:r>
          </w:p>
        </w:tc>
        <w:tc>
          <w:tcPr>
            <w:tcW w:w="766" w:type="dxa"/>
            <w:shd w:val="clear" w:color="auto" w:fill="auto"/>
          </w:tcPr>
          <w:p w14:paraId="64416A9A"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9B"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9C"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A4" w14:textId="77777777" w:rsidTr="00737A1A">
        <w:trPr>
          <w:jc w:val="center"/>
        </w:trPr>
        <w:tc>
          <w:tcPr>
            <w:tcW w:w="625" w:type="dxa"/>
            <w:shd w:val="clear" w:color="auto" w:fill="auto"/>
          </w:tcPr>
          <w:p w14:paraId="64416A9E"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B17</w:t>
            </w:r>
          </w:p>
        </w:tc>
        <w:tc>
          <w:tcPr>
            <w:tcW w:w="3875" w:type="dxa"/>
            <w:shd w:val="clear" w:color="auto" w:fill="auto"/>
          </w:tcPr>
          <w:p w14:paraId="64416A9F"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Risk of failure</w:t>
            </w:r>
          </w:p>
        </w:tc>
        <w:tc>
          <w:tcPr>
            <w:tcW w:w="766" w:type="dxa"/>
            <w:shd w:val="clear" w:color="auto" w:fill="auto"/>
          </w:tcPr>
          <w:p w14:paraId="64416AA0"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.597</w:t>
            </w:r>
          </w:p>
        </w:tc>
        <w:tc>
          <w:tcPr>
            <w:tcW w:w="766" w:type="dxa"/>
            <w:shd w:val="clear" w:color="auto" w:fill="auto"/>
          </w:tcPr>
          <w:p w14:paraId="64416AA1"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A2"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A3"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AB" w14:textId="77777777" w:rsidTr="00737A1A">
        <w:trPr>
          <w:jc w:val="center"/>
        </w:trPr>
        <w:tc>
          <w:tcPr>
            <w:tcW w:w="625" w:type="dxa"/>
            <w:shd w:val="clear" w:color="auto" w:fill="auto"/>
          </w:tcPr>
          <w:p w14:paraId="64416AA5"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B12</w:t>
            </w:r>
          </w:p>
        </w:tc>
        <w:tc>
          <w:tcPr>
            <w:tcW w:w="3875" w:type="dxa"/>
            <w:shd w:val="clear" w:color="auto" w:fill="auto"/>
          </w:tcPr>
          <w:p w14:paraId="64416AA6"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Poor people engagement</w:t>
            </w:r>
          </w:p>
        </w:tc>
        <w:tc>
          <w:tcPr>
            <w:tcW w:w="766" w:type="dxa"/>
            <w:shd w:val="clear" w:color="auto" w:fill="auto"/>
          </w:tcPr>
          <w:p w14:paraId="64416AA7"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A8"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.656</w:t>
            </w:r>
          </w:p>
        </w:tc>
        <w:tc>
          <w:tcPr>
            <w:tcW w:w="766" w:type="dxa"/>
            <w:shd w:val="clear" w:color="auto" w:fill="auto"/>
          </w:tcPr>
          <w:p w14:paraId="64416AA9"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AA"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B2" w14:textId="77777777" w:rsidTr="00737A1A">
        <w:trPr>
          <w:jc w:val="center"/>
        </w:trPr>
        <w:tc>
          <w:tcPr>
            <w:tcW w:w="625" w:type="dxa"/>
            <w:shd w:val="clear" w:color="auto" w:fill="auto"/>
          </w:tcPr>
          <w:p w14:paraId="64416AAC"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B13</w:t>
            </w:r>
          </w:p>
        </w:tc>
        <w:tc>
          <w:tcPr>
            <w:tcW w:w="3875" w:type="dxa"/>
            <w:shd w:val="clear" w:color="auto" w:fill="auto"/>
          </w:tcPr>
          <w:p w14:paraId="64416AAD"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Perception of change nature </w:t>
            </w:r>
          </w:p>
        </w:tc>
        <w:tc>
          <w:tcPr>
            <w:tcW w:w="766" w:type="dxa"/>
            <w:shd w:val="clear" w:color="auto" w:fill="auto"/>
          </w:tcPr>
          <w:p w14:paraId="64416AAE"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AF"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.580</w:t>
            </w:r>
          </w:p>
        </w:tc>
        <w:tc>
          <w:tcPr>
            <w:tcW w:w="766" w:type="dxa"/>
            <w:shd w:val="clear" w:color="auto" w:fill="auto"/>
          </w:tcPr>
          <w:p w14:paraId="64416AB0"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B1"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B9" w14:textId="77777777" w:rsidTr="00737A1A">
        <w:trPr>
          <w:jc w:val="center"/>
        </w:trPr>
        <w:tc>
          <w:tcPr>
            <w:tcW w:w="625" w:type="dxa"/>
            <w:shd w:val="clear" w:color="auto" w:fill="auto"/>
          </w:tcPr>
          <w:p w14:paraId="64416AB3"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B19</w:t>
            </w:r>
          </w:p>
        </w:tc>
        <w:tc>
          <w:tcPr>
            <w:tcW w:w="3875" w:type="dxa"/>
            <w:shd w:val="clear" w:color="auto" w:fill="auto"/>
          </w:tcPr>
          <w:p w14:paraId="64416AB4"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Rumors and contradicting feedback of people</w:t>
            </w:r>
          </w:p>
        </w:tc>
        <w:tc>
          <w:tcPr>
            <w:tcW w:w="766" w:type="dxa"/>
            <w:shd w:val="clear" w:color="auto" w:fill="auto"/>
          </w:tcPr>
          <w:p w14:paraId="64416AB5"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B6"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.637</w:t>
            </w:r>
          </w:p>
        </w:tc>
        <w:tc>
          <w:tcPr>
            <w:tcW w:w="766" w:type="dxa"/>
            <w:shd w:val="clear" w:color="auto" w:fill="auto"/>
          </w:tcPr>
          <w:p w14:paraId="64416AB7"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B8"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C0" w14:textId="77777777" w:rsidTr="00737A1A">
        <w:trPr>
          <w:jc w:val="center"/>
        </w:trPr>
        <w:tc>
          <w:tcPr>
            <w:tcW w:w="625" w:type="dxa"/>
            <w:shd w:val="clear" w:color="auto" w:fill="auto"/>
          </w:tcPr>
          <w:p w14:paraId="64416ABA"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B20</w:t>
            </w:r>
          </w:p>
        </w:tc>
        <w:tc>
          <w:tcPr>
            <w:tcW w:w="3875" w:type="dxa"/>
            <w:shd w:val="clear" w:color="auto" w:fill="auto"/>
          </w:tcPr>
          <w:p w14:paraId="64416ABB"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No clear accountabilities</w:t>
            </w:r>
          </w:p>
        </w:tc>
        <w:tc>
          <w:tcPr>
            <w:tcW w:w="766" w:type="dxa"/>
            <w:shd w:val="clear" w:color="auto" w:fill="auto"/>
          </w:tcPr>
          <w:p w14:paraId="64416ABC"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BD"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.768</w:t>
            </w:r>
          </w:p>
        </w:tc>
        <w:tc>
          <w:tcPr>
            <w:tcW w:w="766" w:type="dxa"/>
            <w:shd w:val="clear" w:color="auto" w:fill="auto"/>
          </w:tcPr>
          <w:p w14:paraId="64416ABE"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BF"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C7" w14:textId="77777777" w:rsidTr="00737A1A">
        <w:trPr>
          <w:jc w:val="center"/>
        </w:trPr>
        <w:tc>
          <w:tcPr>
            <w:tcW w:w="625" w:type="dxa"/>
            <w:shd w:val="clear" w:color="auto" w:fill="auto"/>
          </w:tcPr>
          <w:p w14:paraId="64416AC1"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B21</w:t>
            </w:r>
          </w:p>
        </w:tc>
        <w:tc>
          <w:tcPr>
            <w:tcW w:w="3875" w:type="dxa"/>
            <w:shd w:val="clear" w:color="auto" w:fill="auto"/>
          </w:tcPr>
          <w:p w14:paraId="64416AC2"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Ineffective Leadership (style, attitude, skills)</w:t>
            </w:r>
          </w:p>
        </w:tc>
        <w:tc>
          <w:tcPr>
            <w:tcW w:w="766" w:type="dxa"/>
            <w:shd w:val="clear" w:color="auto" w:fill="auto"/>
          </w:tcPr>
          <w:p w14:paraId="64416AC3"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C4"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.623</w:t>
            </w:r>
          </w:p>
        </w:tc>
        <w:tc>
          <w:tcPr>
            <w:tcW w:w="766" w:type="dxa"/>
            <w:shd w:val="clear" w:color="auto" w:fill="auto"/>
          </w:tcPr>
          <w:p w14:paraId="64416AC5"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C6"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CE" w14:textId="77777777" w:rsidTr="00737A1A">
        <w:trPr>
          <w:jc w:val="center"/>
        </w:trPr>
        <w:tc>
          <w:tcPr>
            <w:tcW w:w="625" w:type="dxa"/>
            <w:shd w:val="clear" w:color="auto" w:fill="auto"/>
          </w:tcPr>
          <w:p w14:paraId="64416AC8"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B14</w:t>
            </w:r>
          </w:p>
        </w:tc>
        <w:tc>
          <w:tcPr>
            <w:tcW w:w="3875" w:type="dxa"/>
            <w:shd w:val="clear" w:color="auto" w:fill="auto"/>
          </w:tcPr>
          <w:p w14:paraId="64416AC9"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Time constrain pressure</w:t>
            </w:r>
          </w:p>
        </w:tc>
        <w:tc>
          <w:tcPr>
            <w:tcW w:w="766" w:type="dxa"/>
            <w:shd w:val="clear" w:color="auto" w:fill="auto"/>
          </w:tcPr>
          <w:p w14:paraId="64416ACA"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CB"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CC" w14:textId="77777777" w:rsidR="008D3598" w:rsidRPr="00511330" w:rsidRDefault="008D3598" w:rsidP="00C7351A">
            <w:pPr>
              <w:ind w:right="-378" w:hanging="28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.695</w:t>
            </w:r>
          </w:p>
        </w:tc>
        <w:tc>
          <w:tcPr>
            <w:tcW w:w="767" w:type="dxa"/>
            <w:shd w:val="clear" w:color="auto" w:fill="auto"/>
          </w:tcPr>
          <w:p w14:paraId="64416ACD"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D5" w14:textId="77777777" w:rsidTr="00737A1A">
        <w:trPr>
          <w:jc w:val="center"/>
        </w:trPr>
        <w:tc>
          <w:tcPr>
            <w:tcW w:w="625" w:type="dxa"/>
            <w:shd w:val="clear" w:color="auto" w:fill="auto"/>
          </w:tcPr>
          <w:p w14:paraId="64416ACF"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B16</w:t>
            </w:r>
          </w:p>
        </w:tc>
        <w:tc>
          <w:tcPr>
            <w:tcW w:w="3875" w:type="dxa"/>
            <w:shd w:val="clear" w:color="auto" w:fill="auto"/>
          </w:tcPr>
          <w:p w14:paraId="64416AD0"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Restricted rules and regulations.</w:t>
            </w:r>
          </w:p>
        </w:tc>
        <w:tc>
          <w:tcPr>
            <w:tcW w:w="766" w:type="dxa"/>
            <w:shd w:val="clear" w:color="auto" w:fill="auto"/>
          </w:tcPr>
          <w:p w14:paraId="64416AD1"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D2"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D3" w14:textId="77777777" w:rsidR="008D3598" w:rsidRPr="00511330" w:rsidRDefault="008D3598" w:rsidP="00C7351A">
            <w:pPr>
              <w:ind w:right="-378" w:hanging="28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.690</w:t>
            </w:r>
          </w:p>
        </w:tc>
        <w:tc>
          <w:tcPr>
            <w:tcW w:w="767" w:type="dxa"/>
            <w:shd w:val="clear" w:color="auto" w:fill="auto"/>
          </w:tcPr>
          <w:p w14:paraId="64416AD4"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DC" w14:textId="77777777" w:rsidTr="00737A1A">
        <w:trPr>
          <w:jc w:val="center"/>
        </w:trPr>
        <w:tc>
          <w:tcPr>
            <w:tcW w:w="625" w:type="dxa"/>
            <w:shd w:val="clear" w:color="auto" w:fill="auto"/>
          </w:tcPr>
          <w:p w14:paraId="64416AD6"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B18</w:t>
            </w:r>
          </w:p>
        </w:tc>
        <w:tc>
          <w:tcPr>
            <w:tcW w:w="3875" w:type="dxa"/>
            <w:shd w:val="clear" w:color="auto" w:fill="auto"/>
          </w:tcPr>
          <w:p w14:paraId="64416AD7"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 xml:space="preserve">Extremism </w:t>
            </w:r>
          </w:p>
        </w:tc>
        <w:tc>
          <w:tcPr>
            <w:tcW w:w="766" w:type="dxa"/>
            <w:shd w:val="clear" w:color="auto" w:fill="auto"/>
          </w:tcPr>
          <w:p w14:paraId="64416AD8"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D9"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DA" w14:textId="77777777" w:rsidR="008D3598" w:rsidRPr="00511330" w:rsidRDefault="008D3598" w:rsidP="00C7351A">
            <w:pPr>
              <w:ind w:right="-378" w:hanging="28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.644</w:t>
            </w:r>
          </w:p>
        </w:tc>
        <w:tc>
          <w:tcPr>
            <w:tcW w:w="767" w:type="dxa"/>
            <w:shd w:val="clear" w:color="auto" w:fill="auto"/>
          </w:tcPr>
          <w:p w14:paraId="64416ADB"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E3" w14:textId="77777777" w:rsidTr="00737A1A">
        <w:trPr>
          <w:jc w:val="center"/>
        </w:trPr>
        <w:tc>
          <w:tcPr>
            <w:tcW w:w="625" w:type="dxa"/>
            <w:shd w:val="clear" w:color="auto" w:fill="auto"/>
          </w:tcPr>
          <w:p w14:paraId="64416ADD"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B22</w:t>
            </w:r>
          </w:p>
        </w:tc>
        <w:tc>
          <w:tcPr>
            <w:tcW w:w="3875" w:type="dxa"/>
            <w:shd w:val="clear" w:color="auto" w:fill="auto"/>
          </w:tcPr>
          <w:p w14:paraId="64416ADE"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Poor team member morals</w:t>
            </w:r>
          </w:p>
        </w:tc>
        <w:tc>
          <w:tcPr>
            <w:tcW w:w="766" w:type="dxa"/>
            <w:shd w:val="clear" w:color="auto" w:fill="auto"/>
          </w:tcPr>
          <w:p w14:paraId="64416ADF"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E0"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E1" w14:textId="77777777" w:rsidR="008D3598" w:rsidRPr="00511330" w:rsidRDefault="008D3598" w:rsidP="00C7351A">
            <w:pPr>
              <w:ind w:right="-378" w:hanging="28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.582</w:t>
            </w:r>
          </w:p>
        </w:tc>
        <w:tc>
          <w:tcPr>
            <w:tcW w:w="767" w:type="dxa"/>
            <w:shd w:val="clear" w:color="auto" w:fill="auto"/>
          </w:tcPr>
          <w:p w14:paraId="64416AE2"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EA" w14:textId="77777777" w:rsidTr="00737A1A">
        <w:trPr>
          <w:jc w:val="center"/>
        </w:trPr>
        <w:tc>
          <w:tcPr>
            <w:tcW w:w="625" w:type="dxa"/>
            <w:shd w:val="clear" w:color="auto" w:fill="auto"/>
          </w:tcPr>
          <w:p w14:paraId="64416AE4"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B23</w:t>
            </w:r>
          </w:p>
        </w:tc>
        <w:tc>
          <w:tcPr>
            <w:tcW w:w="3875" w:type="dxa"/>
            <w:shd w:val="clear" w:color="auto" w:fill="auto"/>
          </w:tcPr>
          <w:p w14:paraId="64416AE5"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Maturity level &amp; organization size</w:t>
            </w:r>
          </w:p>
        </w:tc>
        <w:tc>
          <w:tcPr>
            <w:tcW w:w="766" w:type="dxa"/>
            <w:shd w:val="clear" w:color="auto" w:fill="auto"/>
          </w:tcPr>
          <w:p w14:paraId="64416AE6"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E7"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E8" w14:textId="77777777" w:rsidR="008D3598" w:rsidRPr="00511330" w:rsidRDefault="008D3598" w:rsidP="00C7351A">
            <w:pPr>
              <w:ind w:right="-378" w:hanging="28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.684</w:t>
            </w:r>
          </w:p>
        </w:tc>
        <w:tc>
          <w:tcPr>
            <w:tcW w:w="767" w:type="dxa"/>
            <w:shd w:val="clear" w:color="auto" w:fill="auto"/>
          </w:tcPr>
          <w:p w14:paraId="64416AE9"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p>
        </w:tc>
      </w:tr>
      <w:tr w:rsidR="008D3598" w:rsidRPr="00511330" w14:paraId="64416AF1" w14:textId="77777777" w:rsidTr="00737A1A">
        <w:trPr>
          <w:jc w:val="center"/>
        </w:trPr>
        <w:tc>
          <w:tcPr>
            <w:tcW w:w="625" w:type="dxa"/>
            <w:shd w:val="clear" w:color="auto" w:fill="auto"/>
          </w:tcPr>
          <w:p w14:paraId="64416AEB"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B1</w:t>
            </w:r>
          </w:p>
        </w:tc>
        <w:tc>
          <w:tcPr>
            <w:tcW w:w="3875" w:type="dxa"/>
            <w:shd w:val="clear" w:color="auto" w:fill="auto"/>
          </w:tcPr>
          <w:p w14:paraId="64416AEC"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Resistance to change</w:t>
            </w:r>
          </w:p>
        </w:tc>
        <w:tc>
          <w:tcPr>
            <w:tcW w:w="766" w:type="dxa"/>
            <w:shd w:val="clear" w:color="auto" w:fill="auto"/>
          </w:tcPr>
          <w:p w14:paraId="64416AED"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EE"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EF"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F0"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.729</w:t>
            </w:r>
          </w:p>
        </w:tc>
      </w:tr>
      <w:tr w:rsidR="008D3598" w:rsidRPr="00511330" w14:paraId="64416AF8" w14:textId="77777777" w:rsidTr="00737A1A">
        <w:trPr>
          <w:jc w:val="center"/>
        </w:trPr>
        <w:tc>
          <w:tcPr>
            <w:tcW w:w="625" w:type="dxa"/>
            <w:shd w:val="clear" w:color="auto" w:fill="auto"/>
          </w:tcPr>
          <w:p w14:paraId="64416AF2"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B2</w:t>
            </w:r>
          </w:p>
        </w:tc>
        <w:tc>
          <w:tcPr>
            <w:tcW w:w="3875" w:type="dxa"/>
            <w:shd w:val="clear" w:color="auto" w:fill="auto"/>
          </w:tcPr>
          <w:p w14:paraId="64416AF3"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Confusion and lack of focus</w:t>
            </w:r>
          </w:p>
        </w:tc>
        <w:tc>
          <w:tcPr>
            <w:tcW w:w="766" w:type="dxa"/>
            <w:shd w:val="clear" w:color="auto" w:fill="auto"/>
          </w:tcPr>
          <w:p w14:paraId="64416AF4"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F5"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F6"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F7"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.699</w:t>
            </w:r>
          </w:p>
        </w:tc>
      </w:tr>
      <w:tr w:rsidR="008D3598" w:rsidRPr="00511330" w14:paraId="64416AFF" w14:textId="77777777" w:rsidTr="00737A1A">
        <w:trPr>
          <w:jc w:val="center"/>
        </w:trPr>
        <w:tc>
          <w:tcPr>
            <w:tcW w:w="625" w:type="dxa"/>
            <w:shd w:val="clear" w:color="auto" w:fill="auto"/>
          </w:tcPr>
          <w:p w14:paraId="64416AF9"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B4</w:t>
            </w:r>
          </w:p>
        </w:tc>
        <w:tc>
          <w:tcPr>
            <w:tcW w:w="3875" w:type="dxa"/>
            <w:shd w:val="clear" w:color="auto" w:fill="auto"/>
          </w:tcPr>
          <w:p w14:paraId="64416AFA" w14:textId="77777777" w:rsidR="008D3598" w:rsidRPr="00511330" w:rsidRDefault="008D3598" w:rsidP="00737A1A">
            <w:pPr>
              <w:ind w:right="-105"/>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Disturbance of power hierarchies</w:t>
            </w:r>
          </w:p>
        </w:tc>
        <w:tc>
          <w:tcPr>
            <w:tcW w:w="766" w:type="dxa"/>
            <w:shd w:val="clear" w:color="auto" w:fill="auto"/>
          </w:tcPr>
          <w:p w14:paraId="64416AFB"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FC" w14:textId="77777777" w:rsidR="008D3598" w:rsidRPr="00511330" w:rsidRDefault="008D3598" w:rsidP="00C7351A">
            <w:pPr>
              <w:ind w:right="-450" w:hanging="378"/>
              <w:jc w:val="center"/>
              <w:rPr>
                <w:rFonts w:asciiTheme="majorBidi" w:eastAsia="Calibri" w:hAnsiTheme="majorBidi" w:cstheme="majorBidi"/>
                <w:sz w:val="20"/>
                <w:szCs w:val="20"/>
                <w:lang w:val="en-US"/>
              </w:rPr>
            </w:pPr>
          </w:p>
        </w:tc>
        <w:tc>
          <w:tcPr>
            <w:tcW w:w="766" w:type="dxa"/>
            <w:shd w:val="clear" w:color="auto" w:fill="auto"/>
          </w:tcPr>
          <w:p w14:paraId="64416AFD" w14:textId="77777777" w:rsidR="008D3598" w:rsidRPr="00511330" w:rsidRDefault="008D3598" w:rsidP="00C7351A">
            <w:pPr>
              <w:ind w:right="-378" w:hanging="288"/>
              <w:jc w:val="center"/>
              <w:rPr>
                <w:rFonts w:asciiTheme="majorBidi" w:eastAsia="Calibri" w:hAnsiTheme="majorBidi" w:cstheme="majorBidi"/>
                <w:sz w:val="20"/>
                <w:szCs w:val="20"/>
                <w:lang w:val="en-US"/>
              </w:rPr>
            </w:pPr>
          </w:p>
        </w:tc>
        <w:tc>
          <w:tcPr>
            <w:tcW w:w="767" w:type="dxa"/>
            <w:shd w:val="clear" w:color="auto" w:fill="auto"/>
          </w:tcPr>
          <w:p w14:paraId="64416AFE"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.586</w:t>
            </w:r>
          </w:p>
        </w:tc>
      </w:tr>
      <w:tr w:rsidR="008D3598" w:rsidRPr="00511330" w14:paraId="64416B05" w14:textId="77777777" w:rsidTr="00737A1A">
        <w:trPr>
          <w:jc w:val="center"/>
        </w:trPr>
        <w:tc>
          <w:tcPr>
            <w:tcW w:w="4500" w:type="dxa"/>
            <w:gridSpan w:val="2"/>
            <w:shd w:val="clear" w:color="auto" w:fill="auto"/>
          </w:tcPr>
          <w:p w14:paraId="64416B00"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Average variance extracted (%)</w:t>
            </w:r>
          </w:p>
        </w:tc>
        <w:tc>
          <w:tcPr>
            <w:tcW w:w="766" w:type="dxa"/>
            <w:shd w:val="clear" w:color="auto" w:fill="auto"/>
          </w:tcPr>
          <w:p w14:paraId="64416B01"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24.46</w:t>
            </w:r>
          </w:p>
        </w:tc>
        <w:tc>
          <w:tcPr>
            <w:tcW w:w="766" w:type="dxa"/>
            <w:shd w:val="clear" w:color="auto" w:fill="auto"/>
          </w:tcPr>
          <w:p w14:paraId="64416B02"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19.68</w:t>
            </w:r>
          </w:p>
        </w:tc>
        <w:tc>
          <w:tcPr>
            <w:tcW w:w="766" w:type="dxa"/>
            <w:shd w:val="clear" w:color="auto" w:fill="auto"/>
          </w:tcPr>
          <w:p w14:paraId="64416B03" w14:textId="77777777" w:rsidR="008D3598" w:rsidRPr="00511330" w:rsidRDefault="008D3598" w:rsidP="00C7351A">
            <w:pPr>
              <w:ind w:right="-378" w:hanging="28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12.802</w:t>
            </w:r>
          </w:p>
        </w:tc>
        <w:tc>
          <w:tcPr>
            <w:tcW w:w="767" w:type="dxa"/>
            <w:shd w:val="clear" w:color="auto" w:fill="auto"/>
          </w:tcPr>
          <w:p w14:paraId="64416B04"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11.735</w:t>
            </w:r>
          </w:p>
        </w:tc>
      </w:tr>
      <w:tr w:rsidR="008D3598" w:rsidRPr="00511330" w14:paraId="64416B0B" w14:textId="77777777" w:rsidTr="00737A1A">
        <w:trPr>
          <w:jc w:val="center"/>
        </w:trPr>
        <w:tc>
          <w:tcPr>
            <w:tcW w:w="4500" w:type="dxa"/>
            <w:gridSpan w:val="2"/>
            <w:shd w:val="clear" w:color="auto" w:fill="auto"/>
          </w:tcPr>
          <w:p w14:paraId="64416B06" w14:textId="77777777" w:rsidR="008D3598" w:rsidRPr="00511330" w:rsidRDefault="008D3598" w:rsidP="00721566">
            <w:pPr>
              <w:ind w:right="-450"/>
              <w:jc w:val="both"/>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Construct reliability</w:t>
            </w:r>
          </w:p>
        </w:tc>
        <w:tc>
          <w:tcPr>
            <w:tcW w:w="766" w:type="dxa"/>
            <w:shd w:val="clear" w:color="auto" w:fill="auto"/>
          </w:tcPr>
          <w:p w14:paraId="64416B07"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0.933</w:t>
            </w:r>
          </w:p>
        </w:tc>
        <w:tc>
          <w:tcPr>
            <w:tcW w:w="766" w:type="dxa"/>
            <w:shd w:val="clear" w:color="auto" w:fill="auto"/>
          </w:tcPr>
          <w:p w14:paraId="64416B08" w14:textId="77777777" w:rsidR="008D3598" w:rsidRPr="00511330" w:rsidRDefault="008D3598" w:rsidP="00C7351A">
            <w:pPr>
              <w:ind w:right="-450" w:hanging="37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0.904</w:t>
            </w:r>
          </w:p>
        </w:tc>
        <w:tc>
          <w:tcPr>
            <w:tcW w:w="766" w:type="dxa"/>
            <w:shd w:val="clear" w:color="auto" w:fill="auto"/>
          </w:tcPr>
          <w:p w14:paraId="64416B09" w14:textId="77777777" w:rsidR="008D3598" w:rsidRPr="00511330" w:rsidRDefault="008D3598" w:rsidP="00C7351A">
            <w:pPr>
              <w:ind w:right="-378" w:hanging="288"/>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0.801</w:t>
            </w:r>
          </w:p>
        </w:tc>
        <w:tc>
          <w:tcPr>
            <w:tcW w:w="767" w:type="dxa"/>
            <w:shd w:val="clear" w:color="auto" w:fill="auto"/>
          </w:tcPr>
          <w:p w14:paraId="64416B0A" w14:textId="77777777" w:rsidR="008D3598" w:rsidRPr="00511330" w:rsidRDefault="008D3598" w:rsidP="00C7351A">
            <w:pPr>
              <w:ind w:left="-216" w:right="-378" w:hanging="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0.784</w:t>
            </w:r>
          </w:p>
        </w:tc>
      </w:tr>
    </w:tbl>
    <w:p w14:paraId="64416B0C" w14:textId="77777777" w:rsidR="008D3598" w:rsidRPr="00511330" w:rsidRDefault="008D3598" w:rsidP="00737A1A">
      <w:pPr>
        <w:spacing w:after="0" w:line="240" w:lineRule="auto"/>
        <w:ind w:right="4"/>
        <w:jc w:val="both"/>
        <w:rPr>
          <w:rFonts w:asciiTheme="majorBidi" w:eastAsia="Calibri" w:hAnsiTheme="majorBidi" w:cstheme="majorBidi"/>
          <w:b/>
          <w:bCs/>
          <w:sz w:val="20"/>
          <w:szCs w:val="20"/>
          <w:lang w:val="en-US"/>
        </w:rPr>
      </w:pPr>
      <w:r w:rsidRPr="00511330">
        <w:rPr>
          <w:rFonts w:asciiTheme="majorBidi" w:eastAsia="Calibri" w:hAnsiTheme="majorBidi" w:cstheme="majorBidi"/>
          <w:b/>
          <w:bCs/>
          <w:sz w:val="20"/>
          <w:szCs w:val="20"/>
          <w:lang w:val="en-US"/>
        </w:rPr>
        <w:t xml:space="preserve">Note. FNP = </w:t>
      </w:r>
      <w:r w:rsidRPr="00511330">
        <w:rPr>
          <w:rFonts w:asciiTheme="majorBidi" w:eastAsia="Calibri" w:hAnsiTheme="majorBidi" w:cstheme="majorBidi"/>
          <w:sz w:val="20"/>
          <w:szCs w:val="20"/>
          <w:lang w:val="en-US"/>
        </w:rPr>
        <w:t>Fear and Negative Perception</w:t>
      </w:r>
      <w:r w:rsidRPr="00511330">
        <w:rPr>
          <w:rFonts w:asciiTheme="majorBidi" w:eastAsia="Calibri" w:hAnsiTheme="majorBidi" w:cstheme="majorBidi"/>
          <w:b/>
          <w:bCs/>
          <w:sz w:val="20"/>
          <w:szCs w:val="20"/>
          <w:lang w:val="en-US"/>
        </w:rPr>
        <w:t xml:space="preserve">; FC = </w:t>
      </w:r>
      <w:r w:rsidRPr="00511330">
        <w:rPr>
          <w:rFonts w:asciiTheme="majorBidi" w:eastAsia="Calibri" w:hAnsiTheme="majorBidi" w:cstheme="majorBidi"/>
          <w:sz w:val="20"/>
          <w:szCs w:val="20"/>
          <w:lang w:val="en-US"/>
        </w:rPr>
        <w:t>Feeble Communication</w:t>
      </w:r>
      <w:r w:rsidRPr="00511330">
        <w:rPr>
          <w:rFonts w:asciiTheme="majorBidi" w:eastAsia="Calibri" w:hAnsiTheme="majorBidi" w:cstheme="majorBidi"/>
          <w:b/>
          <w:bCs/>
          <w:sz w:val="20"/>
          <w:szCs w:val="20"/>
          <w:lang w:val="en-US"/>
        </w:rPr>
        <w:t xml:space="preserve">; CWFC = </w:t>
      </w:r>
      <w:r w:rsidRPr="00511330">
        <w:rPr>
          <w:rFonts w:asciiTheme="majorBidi" w:eastAsia="Calibri" w:hAnsiTheme="majorBidi" w:cstheme="majorBidi"/>
          <w:sz w:val="20"/>
          <w:szCs w:val="20"/>
          <w:lang w:val="en-US"/>
        </w:rPr>
        <w:t>conflict of workforce commitment</w:t>
      </w:r>
      <w:r w:rsidRPr="00511330">
        <w:rPr>
          <w:rFonts w:asciiTheme="majorBidi" w:eastAsia="Calibri" w:hAnsiTheme="majorBidi" w:cstheme="majorBidi"/>
          <w:b/>
          <w:bCs/>
          <w:sz w:val="20"/>
          <w:szCs w:val="20"/>
          <w:lang w:val="en-US"/>
        </w:rPr>
        <w:t xml:space="preserve">; UO = </w:t>
      </w:r>
      <w:r w:rsidRPr="00511330">
        <w:rPr>
          <w:rFonts w:asciiTheme="majorBidi" w:eastAsia="Calibri" w:hAnsiTheme="majorBidi" w:cstheme="majorBidi"/>
          <w:sz w:val="20"/>
          <w:szCs w:val="20"/>
          <w:lang w:val="en-US"/>
        </w:rPr>
        <w:t>Uncertain Objectives</w:t>
      </w:r>
      <w:r w:rsidRPr="00511330">
        <w:rPr>
          <w:rFonts w:asciiTheme="majorBidi" w:eastAsia="Calibri" w:hAnsiTheme="majorBidi" w:cstheme="majorBidi"/>
          <w:b/>
          <w:bCs/>
          <w:sz w:val="20"/>
          <w:szCs w:val="20"/>
          <w:lang w:val="en-US"/>
        </w:rPr>
        <w:t>.</w:t>
      </w:r>
    </w:p>
    <w:p w14:paraId="64416B0E" w14:textId="424FEE09" w:rsidR="008D3598" w:rsidRPr="00511330" w:rsidRDefault="008D3598" w:rsidP="00737A1A">
      <w:pPr>
        <w:spacing w:before="240" w:after="0"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next step entails examining the content of questions that load highly on the same factor to try to identify common themes. The questions that load highly on Factor 1 seem to relate to different aspects of fear and change perception; therefore, we label this Fear and Negative Perception. This factor consists of ten items and accounts for 24.46 </w:t>
      </w:r>
      <w:r w:rsidRPr="00511330">
        <w:rPr>
          <w:rFonts w:asciiTheme="majorBidi" w:hAnsiTheme="majorBidi" w:cstheme="majorBidi"/>
          <w:noProof/>
          <w:sz w:val="24"/>
          <w:szCs w:val="24"/>
          <w:lang w:val="en-US"/>
        </w:rPr>
        <w:t>percent</w:t>
      </w:r>
      <w:r w:rsidRPr="00511330">
        <w:rPr>
          <w:rFonts w:asciiTheme="majorBidi" w:hAnsiTheme="majorBidi" w:cstheme="majorBidi"/>
          <w:sz w:val="24"/>
          <w:szCs w:val="24"/>
          <w:lang w:val="en-US"/>
        </w:rPr>
        <w:t xml:space="preserve"> of the variance. Similarly, the questions that load highly on Factor 2 all seem to be specific to communication. Therefore, we label this factor Feeble Communication. This factor consists of five items and </w:t>
      </w:r>
      <w:r w:rsidRPr="00511330">
        <w:rPr>
          <w:rFonts w:asciiTheme="majorBidi" w:hAnsiTheme="majorBidi" w:cstheme="majorBidi"/>
          <w:sz w:val="24"/>
          <w:szCs w:val="24"/>
          <w:lang w:val="en-US"/>
        </w:rPr>
        <w:lastRenderedPageBreak/>
        <w:t xml:space="preserve">accounts for 19.68 </w:t>
      </w:r>
      <w:r w:rsidRPr="00511330">
        <w:rPr>
          <w:rFonts w:asciiTheme="majorBidi" w:hAnsiTheme="majorBidi" w:cstheme="majorBidi"/>
          <w:noProof/>
          <w:sz w:val="24"/>
          <w:szCs w:val="24"/>
          <w:lang w:val="en-US"/>
        </w:rPr>
        <w:t>percent</w:t>
      </w:r>
      <w:r w:rsidRPr="00511330">
        <w:rPr>
          <w:rFonts w:asciiTheme="majorBidi" w:hAnsiTheme="majorBidi" w:cstheme="majorBidi"/>
          <w:sz w:val="24"/>
          <w:szCs w:val="24"/>
          <w:lang w:val="en-US"/>
        </w:rPr>
        <w:t xml:space="preserve"> of the variance. The questions that load highly on Factor 3 seem to relate to different aspects of workforce conflict and level of commitment; therefore, we label this factor conflict of workforce commitment. This factor consists of five items and accounts for 12.802 </w:t>
      </w:r>
      <w:r w:rsidRPr="00511330">
        <w:rPr>
          <w:rFonts w:asciiTheme="majorBidi" w:hAnsiTheme="majorBidi" w:cstheme="majorBidi"/>
          <w:noProof/>
          <w:sz w:val="24"/>
          <w:szCs w:val="24"/>
          <w:lang w:val="en-US"/>
        </w:rPr>
        <w:t>percent</w:t>
      </w:r>
      <w:r w:rsidRPr="00511330">
        <w:rPr>
          <w:rFonts w:asciiTheme="majorBidi" w:hAnsiTheme="majorBidi" w:cstheme="majorBidi"/>
          <w:sz w:val="24"/>
          <w:szCs w:val="24"/>
          <w:lang w:val="en-US"/>
        </w:rPr>
        <w:t xml:space="preserve"> of the variance. Finally, the fourth questions that load highly on Factor 4 contain some component relate</w:t>
      </w:r>
      <w:r w:rsidR="00DA4BDE"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to ambiguity in unclear objectives s behavior; for this reason, we label this factor Uncertain Objectives. This factor consists of three items and accounts for 11.735 </w:t>
      </w:r>
      <w:r w:rsidRPr="00511330">
        <w:rPr>
          <w:rFonts w:asciiTheme="majorBidi" w:hAnsiTheme="majorBidi" w:cstheme="majorBidi"/>
          <w:noProof/>
          <w:sz w:val="24"/>
          <w:szCs w:val="24"/>
          <w:lang w:val="en-US"/>
        </w:rPr>
        <w:t>percent</w:t>
      </w:r>
      <w:r w:rsidRPr="00511330">
        <w:rPr>
          <w:rFonts w:asciiTheme="majorBidi" w:hAnsiTheme="majorBidi" w:cstheme="majorBidi"/>
          <w:sz w:val="24"/>
          <w:szCs w:val="24"/>
          <w:lang w:val="en-US"/>
        </w:rPr>
        <w:t xml:space="preserve"> of the variance. Contributing to disintegrate the barriers into major elements and further each element was </w:t>
      </w:r>
      <w:r w:rsidRPr="00511330">
        <w:rPr>
          <w:rFonts w:asciiTheme="majorBidi" w:hAnsiTheme="majorBidi" w:cstheme="majorBidi"/>
          <w:noProof/>
          <w:sz w:val="24"/>
          <w:szCs w:val="24"/>
          <w:lang w:val="en-US"/>
        </w:rPr>
        <w:t>analyzed</w:t>
      </w:r>
      <w:r w:rsidRPr="00511330">
        <w:rPr>
          <w:rFonts w:asciiTheme="majorBidi" w:hAnsiTheme="majorBidi" w:cstheme="majorBidi"/>
          <w:sz w:val="24"/>
          <w:szCs w:val="24"/>
          <w:lang w:val="en-US"/>
        </w:rPr>
        <w:t xml:space="preserve"> into factors. </w:t>
      </w:r>
      <w:bookmarkStart w:id="1033" w:name="_Toc32090490"/>
      <w:bookmarkStart w:id="1034" w:name="_Toc32090819"/>
      <w:bookmarkStart w:id="1035" w:name="_Toc32091735"/>
      <w:bookmarkStart w:id="1036" w:name="_Toc32090491"/>
      <w:bookmarkStart w:id="1037" w:name="_Toc32090820"/>
      <w:bookmarkStart w:id="1038" w:name="_Toc32091736"/>
      <w:bookmarkStart w:id="1039" w:name="_Toc32090492"/>
      <w:bookmarkStart w:id="1040" w:name="_Toc32090821"/>
      <w:bookmarkStart w:id="1041" w:name="_Toc32091737"/>
      <w:bookmarkStart w:id="1042" w:name="_Toc32090493"/>
      <w:bookmarkStart w:id="1043" w:name="_Toc32090822"/>
      <w:bookmarkStart w:id="1044" w:name="_Toc32091738"/>
      <w:bookmarkStart w:id="1045" w:name="_Toc32090494"/>
      <w:bookmarkStart w:id="1046" w:name="_Toc32090823"/>
      <w:bookmarkStart w:id="1047" w:name="_Toc32091739"/>
      <w:bookmarkStart w:id="1048" w:name="_Toc32090495"/>
      <w:bookmarkStart w:id="1049" w:name="_Toc32090824"/>
      <w:bookmarkStart w:id="1050" w:name="_Toc32091740"/>
      <w:bookmarkStart w:id="1051" w:name="_Toc32090496"/>
      <w:bookmarkStart w:id="1052" w:name="_Toc32090825"/>
      <w:bookmarkStart w:id="1053" w:name="_Toc32091741"/>
      <w:bookmarkStart w:id="1054" w:name="_Toc32090497"/>
      <w:bookmarkStart w:id="1055" w:name="_Toc32090826"/>
      <w:bookmarkStart w:id="1056" w:name="_Toc32091742"/>
      <w:bookmarkStart w:id="1057" w:name="_Toc32090498"/>
      <w:bookmarkStart w:id="1058" w:name="_Toc32090827"/>
      <w:bookmarkStart w:id="1059" w:name="_Toc32091743"/>
      <w:bookmarkStart w:id="1060" w:name="_Toc32090499"/>
      <w:bookmarkStart w:id="1061" w:name="_Toc32090828"/>
      <w:bookmarkStart w:id="1062" w:name="_Toc32091744"/>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14:paraId="64416B0F" w14:textId="77777777" w:rsidR="008D3598" w:rsidRPr="00511330" w:rsidRDefault="008D3598" w:rsidP="00721566">
      <w:pPr>
        <w:pStyle w:val="Heading3"/>
        <w:numPr>
          <w:ilvl w:val="2"/>
          <w:numId w:val="16"/>
        </w:numPr>
        <w:spacing w:line="480" w:lineRule="auto"/>
        <w:ind w:left="720" w:right="-450"/>
        <w:rPr>
          <w:rFonts w:eastAsia="Calibri"/>
          <w:lang w:val="en-US"/>
        </w:rPr>
      </w:pPr>
      <w:bookmarkStart w:id="1063" w:name="_Toc43311652"/>
      <w:r w:rsidRPr="00511330">
        <w:rPr>
          <w:rFonts w:eastAsia="Calibri"/>
          <w:lang w:val="en-US"/>
        </w:rPr>
        <w:t>Internal consistency and content validity</w:t>
      </w:r>
      <w:bookmarkEnd w:id="1063"/>
    </w:p>
    <w:p w14:paraId="64416B10" w14:textId="77777777" w:rsidR="008D3598" w:rsidRPr="00511330" w:rsidRDefault="008D3598" w:rsidP="00721566">
      <w:pPr>
        <w:tabs>
          <w:tab w:val="left" w:pos="-90"/>
        </w:tabs>
        <w:autoSpaceDE w:val="0"/>
        <w:autoSpaceDN w:val="0"/>
        <w:adjustRightInd w:val="0"/>
        <w:spacing w:after="0" w:line="480" w:lineRule="auto"/>
        <w:ind w:left="-9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degree of consistency of responses over a construct is referred to as its reliability. For this test, the reliability coefficient, Cronbach’s α, is generally used. As illustrated in Table 3, the Cronbach’s α for the four latent constructs of CM barriers range between 0.784 and 0.933. As per the findings, the suggested constructs do exhibit good psychometric properties.</w:t>
      </w:r>
    </w:p>
    <w:p w14:paraId="64416B11" w14:textId="09F09111" w:rsidR="00737A1A" w:rsidRPr="00511330" w:rsidRDefault="008D3598" w:rsidP="00721566">
      <w:pPr>
        <w:tabs>
          <w:tab w:val="left" w:pos="-90"/>
        </w:tabs>
        <w:autoSpaceDE w:val="0"/>
        <w:autoSpaceDN w:val="0"/>
        <w:adjustRightInd w:val="0"/>
        <w:spacing w:after="0" w:line="480" w:lineRule="auto"/>
        <w:ind w:left="-90" w:right="-450"/>
        <w:jc w:val="both"/>
        <w:rPr>
          <w:rFonts w:asciiTheme="majorBidi" w:hAnsiTheme="majorBidi" w:cstheme="majorBidi"/>
          <w:lang w:val="en-US"/>
        </w:rPr>
      </w:pPr>
      <w:r w:rsidRPr="00511330">
        <w:rPr>
          <w:rFonts w:asciiTheme="majorBidi" w:hAnsiTheme="majorBidi" w:cstheme="majorBidi"/>
          <w:b/>
          <w:bCs/>
          <w:i/>
          <w:iCs/>
          <w:sz w:val="24"/>
          <w:szCs w:val="24"/>
          <w:lang w:val="en-US"/>
        </w:rPr>
        <w:t>Convergent validity:</w:t>
      </w:r>
      <w:r w:rsidRPr="00511330">
        <w:rPr>
          <w:rFonts w:asciiTheme="majorBidi" w:hAnsiTheme="majorBidi" w:cstheme="majorBidi"/>
          <w:sz w:val="24"/>
          <w:szCs w:val="24"/>
          <w:lang w:val="en-US"/>
        </w:rPr>
        <w:t xml:space="preserve"> Convergent validity can be evaluated using the Bentler– Bonett’s Normed Fit Index (NFI). This index provides the degree to which the different approaches to measuring a construct generate the same results (Ahire et al., 1996). According to a generally accepted principle, the NFI values of 0.90 or above are considered as a satisfactory fit index (Bentler, 1992). As shown in Table 4.31, the items in each construct </w:t>
      </w:r>
      <w:r w:rsidRPr="00511330">
        <w:rPr>
          <w:rFonts w:asciiTheme="majorBidi" w:hAnsiTheme="majorBidi" w:cstheme="majorBidi"/>
          <w:lang w:val="en-US"/>
        </w:rPr>
        <w:t>converge well for further analysis.</w:t>
      </w:r>
    </w:p>
    <w:p w14:paraId="6CF9FDCF" w14:textId="77777777" w:rsidR="00737A1A" w:rsidRPr="00511330" w:rsidRDefault="00737A1A">
      <w:pPr>
        <w:rPr>
          <w:rFonts w:asciiTheme="majorBidi" w:hAnsiTheme="majorBidi" w:cstheme="majorBidi"/>
          <w:lang w:val="en-US"/>
        </w:rPr>
      </w:pPr>
      <w:r w:rsidRPr="00511330">
        <w:rPr>
          <w:rFonts w:asciiTheme="majorBidi" w:hAnsiTheme="majorBidi" w:cstheme="majorBidi"/>
          <w:lang w:val="en-US"/>
        </w:rPr>
        <w:br w:type="page"/>
      </w:r>
    </w:p>
    <w:p w14:paraId="64416B12" w14:textId="3CB35847" w:rsidR="008D3598" w:rsidRPr="00511330" w:rsidRDefault="008D3598" w:rsidP="00881819">
      <w:pPr>
        <w:pStyle w:val="Caption"/>
        <w:keepNext/>
        <w:spacing w:after="0"/>
        <w:ind w:right="-450"/>
        <w:rPr>
          <w:rFonts w:asciiTheme="majorBidi" w:hAnsiTheme="majorBidi" w:cstheme="majorBidi"/>
          <w:b w:val="0"/>
          <w:bCs w:val="0"/>
          <w:color w:val="auto"/>
          <w:sz w:val="20"/>
          <w:szCs w:val="20"/>
          <w:lang w:val="en-US"/>
        </w:rPr>
      </w:pPr>
      <w:bookmarkStart w:id="1064" w:name="_Toc43310921"/>
      <w:r w:rsidRPr="00511330">
        <w:rPr>
          <w:rFonts w:asciiTheme="majorBidi" w:hAnsiTheme="majorBidi" w:cstheme="majorBidi"/>
          <w:b w:val="0"/>
          <w:bCs w:val="0"/>
          <w:color w:val="auto"/>
          <w:sz w:val="20"/>
          <w:szCs w:val="20"/>
          <w:lang w:val="en-US"/>
        </w:rPr>
        <w:lastRenderedPageBreak/>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31</w:t>
      </w:r>
      <w:r w:rsidRPr="00511330">
        <w:rPr>
          <w:rFonts w:asciiTheme="majorBidi" w:hAnsiTheme="majorBidi" w:cstheme="majorBidi"/>
          <w:b w:val="0"/>
          <w:bCs w:val="0"/>
          <w:color w:val="auto"/>
          <w:sz w:val="20"/>
          <w:szCs w:val="20"/>
          <w:lang w:val="en-US"/>
        </w:rPr>
        <w:fldChar w:fldCharType="end"/>
      </w:r>
      <w:r w:rsidR="00737A1A"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Convergent Validity Analysis Results for CM Barriers</w:t>
      </w:r>
      <w:bookmarkEnd w:id="1064"/>
    </w:p>
    <w:tbl>
      <w:tblPr>
        <w:tblStyle w:val="TableGrid1"/>
        <w:tblW w:w="7899"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129"/>
        <w:gridCol w:w="2181"/>
        <w:gridCol w:w="2589"/>
      </w:tblGrid>
      <w:tr w:rsidR="008D3598" w:rsidRPr="00511330" w14:paraId="64416B17" w14:textId="77777777" w:rsidTr="00B60641">
        <w:tc>
          <w:tcPr>
            <w:tcW w:w="3129" w:type="dxa"/>
            <w:shd w:val="clear" w:color="auto" w:fill="F2F2F2" w:themeFill="background1" w:themeFillShade="F2"/>
            <w:vAlign w:val="center"/>
          </w:tcPr>
          <w:p w14:paraId="64416B13" w14:textId="77777777" w:rsidR="008D3598" w:rsidRPr="00511330" w:rsidRDefault="008D3598" w:rsidP="00F66AF8">
            <w:pPr>
              <w:autoSpaceDE w:val="0"/>
              <w:autoSpaceDN w:val="0"/>
              <w:adjustRightInd w:val="0"/>
              <w:ind w:right="3"/>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Factors/constructs</w:t>
            </w:r>
          </w:p>
        </w:tc>
        <w:tc>
          <w:tcPr>
            <w:tcW w:w="2181" w:type="dxa"/>
            <w:shd w:val="clear" w:color="auto" w:fill="F2F2F2" w:themeFill="background1" w:themeFillShade="F2"/>
            <w:vAlign w:val="center"/>
          </w:tcPr>
          <w:p w14:paraId="64416B14" w14:textId="77777777" w:rsidR="008D3598" w:rsidRPr="00511330" w:rsidRDefault="008D3598" w:rsidP="00F66AF8">
            <w:pPr>
              <w:autoSpaceDE w:val="0"/>
              <w:autoSpaceDN w:val="0"/>
              <w:adjustRightInd w:val="0"/>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Convergent validity</w:t>
            </w:r>
          </w:p>
          <w:p w14:paraId="64416B15" w14:textId="77777777" w:rsidR="008D3598" w:rsidRPr="00511330" w:rsidRDefault="008D3598" w:rsidP="00F66AF8">
            <w:pPr>
              <w:autoSpaceDE w:val="0"/>
              <w:autoSpaceDN w:val="0"/>
              <w:adjustRightInd w:val="0"/>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Bentler–Bonett NFI</w:t>
            </w:r>
          </w:p>
        </w:tc>
        <w:tc>
          <w:tcPr>
            <w:tcW w:w="2589" w:type="dxa"/>
            <w:shd w:val="clear" w:color="auto" w:fill="F2F2F2" w:themeFill="background1" w:themeFillShade="F2"/>
            <w:vAlign w:val="center"/>
          </w:tcPr>
          <w:p w14:paraId="64416B16" w14:textId="77777777" w:rsidR="008D3598" w:rsidRPr="00511330" w:rsidRDefault="008D3598" w:rsidP="00F66AF8">
            <w:pPr>
              <w:autoSpaceDE w:val="0"/>
              <w:autoSpaceDN w:val="0"/>
              <w:adjustRightInd w:val="0"/>
              <w:ind w:right="72"/>
              <w:jc w:val="center"/>
              <w:rPr>
                <w:rFonts w:asciiTheme="majorBidi" w:eastAsia="Calibri" w:hAnsiTheme="majorBidi" w:cstheme="majorBidi"/>
                <w:sz w:val="20"/>
                <w:szCs w:val="20"/>
                <w:lang w:val="en-US"/>
              </w:rPr>
            </w:pPr>
            <w:r w:rsidRPr="00511330">
              <w:rPr>
                <w:rFonts w:asciiTheme="majorBidi" w:eastAsia="Calibri" w:hAnsiTheme="majorBidi" w:cstheme="majorBidi"/>
                <w:sz w:val="20"/>
                <w:szCs w:val="20"/>
                <w:lang w:val="en-US"/>
              </w:rPr>
              <w:t>Discriminant validity Factor Cronbach’s α –Average correlation between factors</w:t>
            </w:r>
          </w:p>
        </w:tc>
      </w:tr>
      <w:tr w:rsidR="008D3598" w:rsidRPr="00511330" w14:paraId="64416B1B" w14:textId="77777777" w:rsidTr="00F66AF8">
        <w:tc>
          <w:tcPr>
            <w:tcW w:w="3129" w:type="dxa"/>
          </w:tcPr>
          <w:p w14:paraId="64416B18" w14:textId="77777777" w:rsidR="008D3598" w:rsidRPr="00511330" w:rsidRDefault="008D3598" w:rsidP="00C7351A">
            <w:pPr>
              <w:autoSpaceDE w:val="0"/>
              <w:autoSpaceDN w:val="0"/>
              <w:adjustRightInd w:val="0"/>
              <w:ind w:right="3"/>
              <w:jc w:val="both"/>
              <w:rPr>
                <w:rFonts w:asciiTheme="majorBidi" w:eastAsia="Calibri" w:hAnsiTheme="majorBidi" w:cstheme="majorBidi"/>
                <w:sz w:val="20"/>
                <w:szCs w:val="20"/>
                <w:lang w:val="en-US"/>
              </w:rPr>
            </w:pPr>
            <w:r w:rsidRPr="00511330">
              <w:rPr>
                <w:rFonts w:asciiTheme="majorBidi" w:hAnsiTheme="majorBidi" w:cstheme="majorBidi"/>
                <w:sz w:val="20"/>
                <w:szCs w:val="20"/>
                <w:lang w:val="en-US"/>
              </w:rPr>
              <w:t>Fear and Negative Perception</w:t>
            </w:r>
          </w:p>
        </w:tc>
        <w:tc>
          <w:tcPr>
            <w:tcW w:w="2181" w:type="dxa"/>
            <w:vAlign w:val="center"/>
          </w:tcPr>
          <w:p w14:paraId="64416B19" w14:textId="77777777" w:rsidR="008D3598" w:rsidRPr="00511330" w:rsidRDefault="008D3598" w:rsidP="00C7351A">
            <w:pPr>
              <w:autoSpaceDE w:val="0"/>
              <w:autoSpaceDN w:val="0"/>
              <w:adjustRightInd w:val="0"/>
              <w:jc w:val="center"/>
              <w:rPr>
                <w:rFonts w:asciiTheme="majorBidi" w:eastAsia="Calibri" w:hAnsiTheme="majorBidi" w:cstheme="majorBidi"/>
                <w:sz w:val="20"/>
                <w:szCs w:val="20"/>
                <w:lang w:val="en-US"/>
              </w:rPr>
            </w:pPr>
            <w:r w:rsidRPr="00511330">
              <w:rPr>
                <w:rFonts w:asciiTheme="majorBidi" w:hAnsiTheme="majorBidi" w:cstheme="majorBidi"/>
                <w:color w:val="000000"/>
                <w:sz w:val="20"/>
                <w:szCs w:val="20"/>
                <w:lang w:val="en-US"/>
              </w:rPr>
              <w:t>0.904</w:t>
            </w:r>
          </w:p>
        </w:tc>
        <w:tc>
          <w:tcPr>
            <w:tcW w:w="2589" w:type="dxa"/>
            <w:vAlign w:val="center"/>
          </w:tcPr>
          <w:p w14:paraId="64416B1A" w14:textId="77777777" w:rsidR="008D3598" w:rsidRPr="00511330" w:rsidRDefault="008D3598" w:rsidP="00C7351A">
            <w:pPr>
              <w:autoSpaceDE w:val="0"/>
              <w:autoSpaceDN w:val="0"/>
              <w:adjustRightInd w:val="0"/>
              <w:ind w:right="72"/>
              <w:jc w:val="center"/>
              <w:rPr>
                <w:rFonts w:asciiTheme="majorBidi" w:eastAsia="Calibri" w:hAnsiTheme="majorBidi" w:cstheme="majorBidi"/>
                <w:sz w:val="20"/>
                <w:szCs w:val="20"/>
                <w:lang w:val="en-US"/>
              </w:rPr>
            </w:pPr>
            <w:r w:rsidRPr="00511330">
              <w:rPr>
                <w:rFonts w:asciiTheme="majorBidi" w:hAnsiTheme="majorBidi" w:cstheme="majorBidi"/>
                <w:color w:val="000000"/>
                <w:sz w:val="20"/>
                <w:szCs w:val="20"/>
                <w:lang w:val="en-US"/>
              </w:rPr>
              <w:t>0.331</w:t>
            </w:r>
          </w:p>
        </w:tc>
      </w:tr>
      <w:tr w:rsidR="008D3598" w:rsidRPr="00511330" w14:paraId="64416B1F" w14:textId="77777777" w:rsidTr="00F66AF8">
        <w:tc>
          <w:tcPr>
            <w:tcW w:w="3129" w:type="dxa"/>
          </w:tcPr>
          <w:p w14:paraId="64416B1C" w14:textId="77777777" w:rsidR="008D3598" w:rsidRPr="00511330" w:rsidRDefault="008D3598" w:rsidP="00C7351A">
            <w:pPr>
              <w:autoSpaceDE w:val="0"/>
              <w:autoSpaceDN w:val="0"/>
              <w:adjustRightInd w:val="0"/>
              <w:ind w:right="3"/>
              <w:jc w:val="both"/>
              <w:rPr>
                <w:rFonts w:asciiTheme="majorBidi" w:hAnsiTheme="majorBidi" w:cstheme="majorBidi"/>
                <w:sz w:val="20"/>
                <w:szCs w:val="20"/>
                <w:lang w:val="en-US"/>
              </w:rPr>
            </w:pPr>
            <w:r w:rsidRPr="00511330">
              <w:rPr>
                <w:rFonts w:asciiTheme="majorBidi" w:hAnsiTheme="majorBidi" w:cstheme="majorBidi"/>
                <w:sz w:val="20"/>
                <w:szCs w:val="20"/>
                <w:lang w:val="en-US"/>
              </w:rPr>
              <w:t>Feeble Communication</w:t>
            </w:r>
          </w:p>
        </w:tc>
        <w:tc>
          <w:tcPr>
            <w:tcW w:w="2181" w:type="dxa"/>
            <w:vAlign w:val="center"/>
          </w:tcPr>
          <w:p w14:paraId="64416B1D" w14:textId="77777777" w:rsidR="008D3598" w:rsidRPr="00511330" w:rsidRDefault="008D3598" w:rsidP="00C7351A">
            <w:pPr>
              <w:autoSpaceDE w:val="0"/>
              <w:autoSpaceDN w:val="0"/>
              <w:adjustRightInd w:val="0"/>
              <w:jc w:val="center"/>
              <w:rPr>
                <w:rFonts w:asciiTheme="majorBidi" w:eastAsia="Calibri" w:hAnsiTheme="majorBidi" w:cstheme="majorBidi"/>
                <w:sz w:val="20"/>
                <w:szCs w:val="20"/>
                <w:lang w:val="en-US"/>
              </w:rPr>
            </w:pPr>
            <w:r w:rsidRPr="00511330">
              <w:rPr>
                <w:rFonts w:asciiTheme="majorBidi" w:hAnsiTheme="majorBidi" w:cstheme="majorBidi"/>
                <w:color w:val="000000"/>
                <w:sz w:val="20"/>
                <w:szCs w:val="20"/>
                <w:lang w:val="en-US"/>
              </w:rPr>
              <w:t>0.986</w:t>
            </w:r>
          </w:p>
        </w:tc>
        <w:tc>
          <w:tcPr>
            <w:tcW w:w="2589" w:type="dxa"/>
            <w:vAlign w:val="center"/>
          </w:tcPr>
          <w:p w14:paraId="64416B1E" w14:textId="77777777" w:rsidR="008D3598" w:rsidRPr="00511330" w:rsidRDefault="008D3598" w:rsidP="00C7351A">
            <w:pPr>
              <w:autoSpaceDE w:val="0"/>
              <w:autoSpaceDN w:val="0"/>
              <w:adjustRightInd w:val="0"/>
              <w:ind w:right="72"/>
              <w:jc w:val="center"/>
              <w:rPr>
                <w:rFonts w:asciiTheme="majorBidi" w:eastAsia="Calibri" w:hAnsiTheme="majorBidi" w:cstheme="majorBidi"/>
                <w:sz w:val="20"/>
                <w:szCs w:val="20"/>
                <w:lang w:val="en-US"/>
              </w:rPr>
            </w:pPr>
            <w:r w:rsidRPr="00511330">
              <w:rPr>
                <w:rFonts w:asciiTheme="majorBidi" w:hAnsiTheme="majorBidi" w:cstheme="majorBidi"/>
                <w:color w:val="000000"/>
                <w:sz w:val="20"/>
                <w:szCs w:val="20"/>
                <w:lang w:val="en-US"/>
              </w:rPr>
              <w:t>0.249</w:t>
            </w:r>
          </w:p>
        </w:tc>
      </w:tr>
      <w:tr w:rsidR="008D3598" w:rsidRPr="00511330" w14:paraId="64416B23" w14:textId="77777777" w:rsidTr="00F66AF8">
        <w:trPr>
          <w:trHeight w:val="265"/>
        </w:trPr>
        <w:tc>
          <w:tcPr>
            <w:tcW w:w="3129" w:type="dxa"/>
          </w:tcPr>
          <w:p w14:paraId="64416B20" w14:textId="57B3761C" w:rsidR="008D3598" w:rsidRPr="00511330" w:rsidRDefault="00F66AF8" w:rsidP="00C7351A">
            <w:pPr>
              <w:autoSpaceDE w:val="0"/>
              <w:autoSpaceDN w:val="0"/>
              <w:adjustRightInd w:val="0"/>
              <w:ind w:right="3"/>
              <w:jc w:val="both"/>
              <w:rPr>
                <w:rFonts w:asciiTheme="majorBidi" w:hAnsiTheme="majorBidi" w:cstheme="majorBidi"/>
                <w:sz w:val="20"/>
                <w:szCs w:val="20"/>
                <w:lang w:val="en-US"/>
              </w:rPr>
            </w:pPr>
            <w:r w:rsidRPr="00511330">
              <w:rPr>
                <w:rFonts w:asciiTheme="majorBidi" w:hAnsiTheme="majorBidi" w:cstheme="majorBidi"/>
                <w:sz w:val="20"/>
                <w:szCs w:val="20"/>
                <w:lang w:val="en-US"/>
              </w:rPr>
              <w:t>Conflict of Workforce C</w:t>
            </w:r>
            <w:r w:rsidR="008D3598" w:rsidRPr="00511330">
              <w:rPr>
                <w:rFonts w:asciiTheme="majorBidi" w:hAnsiTheme="majorBidi" w:cstheme="majorBidi"/>
                <w:sz w:val="20"/>
                <w:szCs w:val="20"/>
                <w:lang w:val="en-US"/>
              </w:rPr>
              <w:t>ommitment</w:t>
            </w:r>
          </w:p>
        </w:tc>
        <w:tc>
          <w:tcPr>
            <w:tcW w:w="2181" w:type="dxa"/>
            <w:vAlign w:val="center"/>
          </w:tcPr>
          <w:p w14:paraId="64416B21" w14:textId="77777777" w:rsidR="008D3598" w:rsidRPr="00511330" w:rsidRDefault="008D3598" w:rsidP="00C7351A">
            <w:pPr>
              <w:autoSpaceDE w:val="0"/>
              <w:autoSpaceDN w:val="0"/>
              <w:adjustRightInd w:val="0"/>
              <w:jc w:val="center"/>
              <w:rPr>
                <w:rFonts w:asciiTheme="majorBidi" w:eastAsia="Calibri" w:hAnsiTheme="majorBidi" w:cstheme="majorBidi"/>
                <w:sz w:val="20"/>
                <w:szCs w:val="20"/>
                <w:lang w:val="en-US"/>
              </w:rPr>
            </w:pPr>
            <w:r w:rsidRPr="00511330">
              <w:rPr>
                <w:rFonts w:asciiTheme="majorBidi" w:hAnsiTheme="majorBidi" w:cstheme="majorBidi"/>
                <w:color w:val="000000"/>
                <w:sz w:val="20"/>
                <w:szCs w:val="20"/>
                <w:lang w:val="en-US"/>
              </w:rPr>
              <w:t>0.962</w:t>
            </w:r>
          </w:p>
        </w:tc>
        <w:tc>
          <w:tcPr>
            <w:tcW w:w="2589" w:type="dxa"/>
            <w:vAlign w:val="center"/>
          </w:tcPr>
          <w:p w14:paraId="64416B22" w14:textId="77777777" w:rsidR="008D3598" w:rsidRPr="00511330" w:rsidRDefault="008D3598" w:rsidP="00C7351A">
            <w:pPr>
              <w:autoSpaceDE w:val="0"/>
              <w:autoSpaceDN w:val="0"/>
              <w:adjustRightInd w:val="0"/>
              <w:ind w:right="72"/>
              <w:jc w:val="center"/>
              <w:rPr>
                <w:rFonts w:asciiTheme="majorBidi" w:eastAsia="Calibri" w:hAnsiTheme="majorBidi" w:cstheme="majorBidi"/>
                <w:color w:val="000000"/>
                <w:sz w:val="20"/>
                <w:szCs w:val="20"/>
                <w:lang w:val="en-US"/>
              </w:rPr>
            </w:pPr>
            <w:r w:rsidRPr="00511330">
              <w:rPr>
                <w:rFonts w:asciiTheme="majorBidi" w:hAnsiTheme="majorBidi" w:cstheme="majorBidi"/>
                <w:color w:val="000000"/>
                <w:sz w:val="20"/>
                <w:szCs w:val="20"/>
                <w:lang w:val="en-US"/>
              </w:rPr>
              <w:t>0.332</w:t>
            </w:r>
          </w:p>
        </w:tc>
      </w:tr>
      <w:tr w:rsidR="008D3598" w:rsidRPr="00511330" w14:paraId="64416B27" w14:textId="77777777" w:rsidTr="00F66AF8">
        <w:tc>
          <w:tcPr>
            <w:tcW w:w="3129" w:type="dxa"/>
          </w:tcPr>
          <w:p w14:paraId="64416B24" w14:textId="77777777" w:rsidR="008D3598" w:rsidRPr="00511330" w:rsidRDefault="008D3598" w:rsidP="00C7351A">
            <w:pPr>
              <w:autoSpaceDE w:val="0"/>
              <w:autoSpaceDN w:val="0"/>
              <w:adjustRightInd w:val="0"/>
              <w:ind w:right="3"/>
              <w:jc w:val="both"/>
              <w:rPr>
                <w:rFonts w:asciiTheme="majorBidi" w:eastAsia="Calibri" w:hAnsiTheme="majorBidi" w:cstheme="majorBidi"/>
                <w:sz w:val="20"/>
                <w:szCs w:val="20"/>
                <w:lang w:val="en-US"/>
              </w:rPr>
            </w:pPr>
            <w:r w:rsidRPr="00511330">
              <w:rPr>
                <w:rFonts w:asciiTheme="majorBidi" w:hAnsiTheme="majorBidi" w:cstheme="majorBidi"/>
                <w:sz w:val="20"/>
                <w:szCs w:val="20"/>
                <w:lang w:val="en-US"/>
              </w:rPr>
              <w:t>Uncertain Objectives</w:t>
            </w:r>
          </w:p>
        </w:tc>
        <w:tc>
          <w:tcPr>
            <w:tcW w:w="2181" w:type="dxa"/>
            <w:vAlign w:val="center"/>
          </w:tcPr>
          <w:p w14:paraId="64416B25" w14:textId="77777777" w:rsidR="008D3598" w:rsidRPr="00511330" w:rsidRDefault="008D3598" w:rsidP="00C7351A">
            <w:pPr>
              <w:autoSpaceDE w:val="0"/>
              <w:autoSpaceDN w:val="0"/>
              <w:adjustRightInd w:val="0"/>
              <w:jc w:val="center"/>
              <w:rPr>
                <w:rFonts w:asciiTheme="majorBidi" w:eastAsia="Calibri" w:hAnsiTheme="majorBidi" w:cstheme="majorBidi"/>
                <w:sz w:val="20"/>
                <w:szCs w:val="20"/>
                <w:lang w:val="en-US"/>
              </w:rPr>
            </w:pPr>
            <w:r w:rsidRPr="00511330">
              <w:rPr>
                <w:rFonts w:asciiTheme="majorBidi" w:hAnsiTheme="majorBidi" w:cstheme="majorBidi"/>
                <w:color w:val="000000"/>
                <w:sz w:val="20"/>
                <w:szCs w:val="20"/>
                <w:lang w:val="en-US"/>
              </w:rPr>
              <w:t>0.914</w:t>
            </w:r>
          </w:p>
        </w:tc>
        <w:tc>
          <w:tcPr>
            <w:tcW w:w="2589" w:type="dxa"/>
            <w:vAlign w:val="center"/>
          </w:tcPr>
          <w:p w14:paraId="64416B26" w14:textId="77777777" w:rsidR="008D3598" w:rsidRPr="00511330" w:rsidRDefault="008D3598" w:rsidP="00C7351A">
            <w:pPr>
              <w:autoSpaceDE w:val="0"/>
              <w:autoSpaceDN w:val="0"/>
              <w:adjustRightInd w:val="0"/>
              <w:ind w:right="72"/>
              <w:jc w:val="center"/>
              <w:rPr>
                <w:rFonts w:asciiTheme="majorBidi" w:eastAsia="Calibri" w:hAnsiTheme="majorBidi" w:cstheme="majorBidi"/>
                <w:sz w:val="20"/>
                <w:szCs w:val="20"/>
                <w:lang w:val="en-US"/>
              </w:rPr>
            </w:pPr>
            <w:r w:rsidRPr="00511330">
              <w:rPr>
                <w:rFonts w:asciiTheme="majorBidi" w:hAnsiTheme="majorBidi" w:cstheme="majorBidi"/>
                <w:color w:val="000000"/>
                <w:sz w:val="20"/>
                <w:szCs w:val="20"/>
                <w:lang w:val="en-US"/>
              </w:rPr>
              <w:t>0.229</w:t>
            </w:r>
          </w:p>
        </w:tc>
      </w:tr>
    </w:tbl>
    <w:p w14:paraId="64416B28" w14:textId="77777777" w:rsidR="008D3598" w:rsidRPr="00511330" w:rsidRDefault="008D3598" w:rsidP="00721566">
      <w:pPr>
        <w:tabs>
          <w:tab w:val="left" w:pos="7380"/>
        </w:tabs>
        <w:spacing w:after="0" w:line="480" w:lineRule="auto"/>
        <w:ind w:right="-450"/>
        <w:jc w:val="both"/>
        <w:rPr>
          <w:rFonts w:asciiTheme="majorBidi" w:hAnsiTheme="majorBidi" w:cstheme="majorBidi"/>
          <w:b/>
          <w:bCs/>
          <w:i/>
          <w:iCs/>
          <w:sz w:val="24"/>
          <w:szCs w:val="24"/>
          <w:lang w:val="en-US"/>
        </w:rPr>
      </w:pPr>
    </w:p>
    <w:p w14:paraId="64416B29" w14:textId="77777777" w:rsidR="008D3598" w:rsidRPr="00511330" w:rsidRDefault="008D3598" w:rsidP="00721566">
      <w:pPr>
        <w:tabs>
          <w:tab w:val="left" w:pos="7380"/>
        </w:tabs>
        <w:spacing w:after="0" w:line="480" w:lineRule="auto"/>
        <w:ind w:right="-450"/>
        <w:jc w:val="both"/>
        <w:rPr>
          <w:rFonts w:asciiTheme="majorBidi" w:hAnsiTheme="majorBidi" w:cstheme="majorBidi"/>
          <w:sz w:val="144"/>
          <w:szCs w:val="144"/>
          <w:lang w:val="en-US"/>
        </w:rPr>
      </w:pPr>
      <w:r w:rsidRPr="00511330">
        <w:rPr>
          <w:rFonts w:asciiTheme="majorBidi" w:hAnsiTheme="majorBidi" w:cstheme="majorBidi"/>
          <w:b/>
          <w:bCs/>
          <w:i/>
          <w:iCs/>
          <w:sz w:val="24"/>
          <w:szCs w:val="24"/>
          <w:lang w:val="en-US"/>
        </w:rPr>
        <w:t>Discriminant validity:</w:t>
      </w:r>
      <w:r w:rsidRPr="00511330">
        <w:rPr>
          <w:rFonts w:asciiTheme="majorBidi" w:hAnsiTheme="majorBidi" w:cstheme="majorBidi"/>
          <w:b/>
          <w:bCs/>
          <w:sz w:val="24"/>
          <w:szCs w:val="24"/>
          <w:lang w:val="en-US"/>
        </w:rPr>
        <w:t xml:space="preserve"> </w:t>
      </w:r>
      <w:r w:rsidRPr="00511330">
        <w:rPr>
          <w:rFonts w:asciiTheme="majorBidi" w:hAnsiTheme="majorBidi" w:cstheme="majorBidi"/>
          <w:sz w:val="24"/>
          <w:szCs w:val="24"/>
          <w:lang w:val="en-US"/>
        </w:rPr>
        <w:t>Discriminant validity refers to the degree to which different latent constructs and their indicators can be distinguished from the other constructs and their indicators (Bagozzi et al., 1991). In order to calculate the discriminant validity, we compare Cronbach’s α</w:t>
      </w:r>
      <w:r w:rsidRPr="00511330">
        <w:rPr>
          <w:rFonts w:asciiTheme="majorBidi" w:hAnsiTheme="majorBidi" w:cstheme="majorBidi"/>
          <w:sz w:val="144"/>
          <w:szCs w:val="144"/>
          <w:lang w:val="en-US"/>
        </w:rPr>
        <w:t xml:space="preserve"> </w:t>
      </w:r>
      <w:r w:rsidRPr="00511330">
        <w:rPr>
          <w:rFonts w:asciiTheme="majorBidi" w:hAnsiTheme="majorBidi" w:cstheme="majorBidi"/>
          <w:sz w:val="24"/>
          <w:szCs w:val="24"/>
          <w:lang w:val="en-US"/>
        </w:rPr>
        <w:t xml:space="preserve">of a latent construct to its mean correlations with other latent constructs. A </w:t>
      </w:r>
      <w:r w:rsidRPr="00511330">
        <w:rPr>
          <w:rFonts w:asciiTheme="majorBidi" w:hAnsiTheme="majorBidi" w:cstheme="majorBidi"/>
          <w:noProof/>
          <w:sz w:val="24"/>
          <w:szCs w:val="24"/>
          <w:lang w:val="en-US"/>
        </w:rPr>
        <w:t>significance</w:t>
      </w:r>
      <w:r w:rsidRPr="00511330">
        <w:rPr>
          <w:rFonts w:asciiTheme="majorBidi" w:hAnsiTheme="majorBidi" w:cstheme="majorBidi"/>
          <w:sz w:val="24"/>
          <w:szCs w:val="24"/>
          <w:lang w:val="en-US"/>
        </w:rPr>
        <w:t xml:space="preserve"> difference between these two measures is an indicator of discriminant validity (Ghiselli et al., 1981). As shown by the values </w:t>
      </w:r>
      <w:r w:rsidRPr="00511330">
        <w:rPr>
          <w:rFonts w:asciiTheme="majorBidi" w:hAnsiTheme="majorBidi" w:cstheme="majorBidi"/>
          <w:noProof/>
          <w:sz w:val="24"/>
          <w:szCs w:val="24"/>
          <w:lang w:val="en-US"/>
        </w:rPr>
        <w:t xml:space="preserve">in Table 4.31, </w:t>
      </w:r>
      <w:r w:rsidRPr="00511330">
        <w:rPr>
          <w:rFonts w:asciiTheme="majorBidi" w:hAnsiTheme="majorBidi" w:cstheme="majorBidi"/>
          <w:sz w:val="24"/>
          <w:szCs w:val="24"/>
          <w:lang w:val="en-US"/>
        </w:rPr>
        <w:t>the four constructs are conceptually distinct.</w:t>
      </w:r>
    </w:p>
    <w:p w14:paraId="64416B2A" w14:textId="77777777" w:rsidR="008D3598" w:rsidRPr="00511330" w:rsidRDefault="008D3598" w:rsidP="00721566">
      <w:pPr>
        <w:pStyle w:val="ListParagraph"/>
        <w:keepNext/>
        <w:keepLines/>
        <w:spacing w:before="200" w:after="0" w:line="360" w:lineRule="auto"/>
        <w:ind w:left="360" w:right="-450"/>
        <w:contextualSpacing w:val="0"/>
        <w:outlineLvl w:val="2"/>
        <w:rPr>
          <w:rFonts w:asciiTheme="majorBidi" w:eastAsia="Calibri" w:hAnsiTheme="majorBidi" w:cstheme="majorBidi"/>
          <w:b/>
          <w:bCs/>
          <w:vanish/>
          <w:sz w:val="24"/>
          <w:lang w:val="en-US"/>
        </w:rPr>
      </w:pPr>
      <w:bookmarkStart w:id="1065" w:name="_Toc32090501"/>
      <w:bookmarkStart w:id="1066" w:name="_Toc32090830"/>
      <w:bookmarkStart w:id="1067" w:name="_Toc32091746"/>
      <w:bookmarkStart w:id="1068" w:name="_Toc32090502"/>
      <w:bookmarkStart w:id="1069" w:name="_Toc32090831"/>
      <w:bookmarkStart w:id="1070" w:name="_Toc32091747"/>
      <w:bookmarkStart w:id="1071" w:name="_Toc32090503"/>
      <w:bookmarkStart w:id="1072" w:name="_Toc32090832"/>
      <w:bookmarkStart w:id="1073" w:name="_Toc32091748"/>
      <w:bookmarkStart w:id="1074" w:name="_Toc32090504"/>
      <w:bookmarkStart w:id="1075" w:name="_Toc32090833"/>
      <w:bookmarkStart w:id="1076" w:name="_Toc32091749"/>
      <w:bookmarkStart w:id="1077" w:name="_Toc32090505"/>
      <w:bookmarkStart w:id="1078" w:name="_Toc32090834"/>
      <w:bookmarkStart w:id="1079" w:name="_Toc32091750"/>
      <w:bookmarkStart w:id="1080" w:name="_Toc32090506"/>
      <w:bookmarkStart w:id="1081" w:name="_Toc32090835"/>
      <w:bookmarkStart w:id="1082" w:name="_Toc32091751"/>
      <w:bookmarkStart w:id="1083" w:name="_Toc32090507"/>
      <w:bookmarkStart w:id="1084" w:name="_Toc32090836"/>
      <w:bookmarkStart w:id="1085" w:name="_Toc32091752"/>
      <w:bookmarkStart w:id="1086" w:name="_Toc32090508"/>
      <w:bookmarkStart w:id="1087" w:name="_Toc32090837"/>
      <w:bookmarkStart w:id="1088" w:name="_Toc32091753"/>
      <w:bookmarkStart w:id="1089" w:name="_Toc32090509"/>
      <w:bookmarkStart w:id="1090" w:name="_Toc32090838"/>
      <w:bookmarkStart w:id="1091" w:name="_Toc32091754"/>
      <w:bookmarkStart w:id="1092" w:name="_Toc32090510"/>
      <w:bookmarkStart w:id="1093" w:name="_Toc32090839"/>
      <w:bookmarkStart w:id="1094" w:name="_Toc32091755"/>
      <w:bookmarkStart w:id="1095" w:name="_Toc32090511"/>
      <w:bookmarkStart w:id="1096" w:name="_Toc32090840"/>
      <w:bookmarkStart w:id="1097" w:name="_Toc32091756"/>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14:paraId="64416B2B" w14:textId="77777777" w:rsidR="008D3598" w:rsidRPr="00511330" w:rsidRDefault="008D3598" w:rsidP="00721566">
      <w:pPr>
        <w:pStyle w:val="Heading3"/>
        <w:numPr>
          <w:ilvl w:val="2"/>
          <w:numId w:val="16"/>
        </w:numPr>
        <w:spacing w:after="240"/>
        <w:ind w:left="720" w:right="-450"/>
        <w:rPr>
          <w:rFonts w:eastAsia="Calibri"/>
          <w:lang w:val="en-US"/>
        </w:rPr>
      </w:pPr>
      <w:bookmarkStart w:id="1098" w:name="_Toc43311653"/>
      <w:r w:rsidRPr="00511330">
        <w:rPr>
          <w:rFonts w:eastAsia="Calibri"/>
          <w:lang w:val="en-US"/>
        </w:rPr>
        <w:t>Confirmatory Factor Analysis (CFA)</w:t>
      </w:r>
      <w:bookmarkEnd w:id="1098"/>
    </w:p>
    <w:p w14:paraId="64416B2C" w14:textId="7342F939" w:rsidR="008D3598" w:rsidRPr="00511330" w:rsidRDefault="008D3598" w:rsidP="00721566">
      <w:pPr>
        <w:tabs>
          <w:tab w:val="left" w:pos="7380"/>
        </w:tabs>
        <w:autoSpaceDE w:val="0"/>
        <w:autoSpaceDN w:val="0"/>
        <w:adjustRightInd w:val="0"/>
        <w:spacing w:after="0"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exploratory factor analysis in this </w:t>
      </w:r>
      <w:r w:rsidR="00BC0A03" w:rsidRPr="00511330">
        <w:rPr>
          <w:rFonts w:asciiTheme="majorBidi" w:hAnsiTheme="majorBidi" w:cstheme="majorBidi"/>
          <w:sz w:val="24"/>
          <w:szCs w:val="24"/>
          <w:lang w:val="en-US"/>
        </w:rPr>
        <w:t>study</w:t>
      </w:r>
      <w:r w:rsidRPr="00511330">
        <w:rPr>
          <w:rFonts w:asciiTheme="majorBidi" w:hAnsiTheme="majorBidi" w:cstheme="majorBidi"/>
          <w:sz w:val="24"/>
          <w:szCs w:val="24"/>
          <w:lang w:val="en-US"/>
        </w:rPr>
        <w:t xml:space="preserve"> has identified fear and negative perception, feeble communication, conflict of workforce commitment, and uncertain objectives as priori factors representing barriers in successful CM implementation in energy sector. </w:t>
      </w:r>
    </w:p>
    <w:p w14:paraId="64416B2D" w14:textId="77777777" w:rsidR="008D3598" w:rsidRPr="00511330" w:rsidRDefault="008D3598" w:rsidP="00721566">
      <w:pPr>
        <w:pStyle w:val="Heading3"/>
        <w:numPr>
          <w:ilvl w:val="2"/>
          <w:numId w:val="16"/>
        </w:numPr>
        <w:spacing w:line="480" w:lineRule="auto"/>
        <w:ind w:left="720" w:right="-450"/>
        <w:rPr>
          <w:rFonts w:eastAsia="Calibri"/>
          <w:lang w:val="en-US"/>
        </w:rPr>
      </w:pPr>
      <w:bookmarkStart w:id="1099" w:name="_Toc43311654"/>
      <w:r w:rsidRPr="00511330">
        <w:rPr>
          <w:rFonts w:eastAsia="Calibri"/>
          <w:lang w:val="en-US"/>
        </w:rPr>
        <w:t>Measurement Model for Barriers (First-Order CFA Model)</w:t>
      </w:r>
      <w:bookmarkEnd w:id="1099"/>
    </w:p>
    <w:p w14:paraId="64416B2E" w14:textId="56CCA082" w:rsidR="008D3598" w:rsidRPr="00511330" w:rsidRDefault="009E623D" w:rsidP="00721566">
      <w:pPr>
        <w:autoSpaceDE w:val="0"/>
        <w:autoSpaceDN w:val="0"/>
        <w:adjustRightInd w:val="0"/>
        <w:spacing w:after="0" w:line="480" w:lineRule="auto"/>
        <w:ind w:right="-450"/>
        <w:jc w:val="both"/>
        <w:rPr>
          <w:rFonts w:asciiTheme="majorBidi" w:eastAsia="Calibri" w:hAnsiTheme="majorBidi" w:cstheme="majorBidi"/>
          <w:sz w:val="24"/>
          <w:szCs w:val="24"/>
          <w:lang w:val="en-US"/>
        </w:rPr>
      </w:pPr>
      <w:r w:rsidRPr="00511330">
        <w:rPr>
          <w:rFonts w:asciiTheme="majorBidi" w:hAnsiTheme="majorBidi" w:cstheme="majorBidi"/>
          <w:sz w:val="24"/>
          <w:szCs w:val="24"/>
          <w:lang w:val="en-US"/>
        </w:rPr>
        <w:t>In the first-order model Figure 4.6</w:t>
      </w:r>
      <w:r w:rsidR="008D3598" w:rsidRPr="00511330">
        <w:rPr>
          <w:rFonts w:asciiTheme="majorBidi" w:hAnsiTheme="majorBidi" w:cstheme="majorBidi"/>
          <w:sz w:val="24"/>
          <w:szCs w:val="24"/>
          <w:lang w:val="en-US"/>
        </w:rPr>
        <w:t xml:space="preserve">, fear and negative perception, feeble communication, conflict of workforce commitment and uncertain objectives are depicted along with their respective correlation measurement values. The first-order model </w:t>
      </w:r>
      <w:r w:rsidRPr="00511330">
        <w:rPr>
          <w:rFonts w:asciiTheme="majorBidi" w:hAnsiTheme="majorBidi" w:cstheme="majorBidi"/>
          <w:sz w:val="24"/>
          <w:szCs w:val="24"/>
          <w:lang w:val="en-US"/>
        </w:rPr>
        <w:t>for testing the barriers in CM Figure 4.6</w:t>
      </w:r>
      <w:r w:rsidR="008D3598" w:rsidRPr="00511330">
        <w:rPr>
          <w:rFonts w:asciiTheme="majorBidi" w:hAnsiTheme="majorBidi" w:cstheme="majorBidi"/>
          <w:sz w:val="24"/>
          <w:szCs w:val="24"/>
          <w:lang w:val="en-US"/>
        </w:rPr>
        <w:t xml:space="preserve"> implies that fear and negative perception, feeble communication, conflict of workforce commitment, and uncertain objectives are correlated, but not governed by a common latent factor. </w:t>
      </w:r>
      <w:r w:rsidR="008D3598" w:rsidRPr="00511330">
        <w:rPr>
          <w:rFonts w:asciiTheme="majorBidi" w:hAnsiTheme="majorBidi" w:cstheme="majorBidi"/>
          <w:sz w:val="24"/>
          <w:szCs w:val="24"/>
          <w:lang w:val="en-US"/>
        </w:rPr>
        <w:lastRenderedPageBreak/>
        <w:t xml:space="preserve">Although x 2 is significant (p = 0.000), other fit indices shown in Figure 4.6 acceptably support the first-order model for barriers to successful CM implementation in renewable energy sector in </w:t>
      </w:r>
      <w:r w:rsidRPr="00511330">
        <w:rPr>
          <w:rFonts w:asciiTheme="majorBidi" w:hAnsiTheme="majorBidi" w:cstheme="majorBidi"/>
          <w:sz w:val="24"/>
          <w:szCs w:val="24"/>
          <w:lang w:val="en-US"/>
        </w:rPr>
        <w:t xml:space="preserve">the </w:t>
      </w:r>
      <w:r w:rsidR="008D3598" w:rsidRPr="00511330">
        <w:rPr>
          <w:rFonts w:asciiTheme="majorBidi" w:hAnsiTheme="majorBidi" w:cstheme="majorBidi"/>
          <w:sz w:val="24"/>
          <w:szCs w:val="24"/>
          <w:lang w:val="en-US"/>
        </w:rPr>
        <w:t xml:space="preserve">UAE. </w:t>
      </w:r>
      <w:r w:rsidR="008D3598" w:rsidRPr="00511330">
        <w:rPr>
          <w:rFonts w:asciiTheme="majorBidi" w:eastAsia="Calibri" w:hAnsiTheme="majorBidi" w:cstheme="majorBidi"/>
          <w:sz w:val="24"/>
          <w:szCs w:val="24"/>
          <w:lang w:val="en-US"/>
        </w:rPr>
        <w:t>As can be seen from the values in Table 4.32 the model shows</w:t>
      </w:r>
      <w:r w:rsidR="00BF3E70" w:rsidRPr="00511330">
        <w:rPr>
          <w:rFonts w:asciiTheme="majorBidi" w:eastAsia="Calibri" w:hAnsiTheme="majorBidi" w:cstheme="majorBidi"/>
          <w:sz w:val="24"/>
          <w:szCs w:val="24"/>
          <w:lang w:val="en-US"/>
        </w:rPr>
        <w:t xml:space="preserve"> goodness-of-fit indices.</w:t>
      </w:r>
      <w:r w:rsidR="008D3598" w:rsidRPr="00511330">
        <w:rPr>
          <w:rFonts w:asciiTheme="majorBidi" w:eastAsia="Calibri" w:hAnsiTheme="majorBidi" w:cstheme="majorBidi"/>
          <w:sz w:val="24"/>
          <w:szCs w:val="24"/>
          <w:lang w:val="en-US"/>
        </w:rPr>
        <w:t xml:space="preserve"> </w:t>
      </w:r>
    </w:p>
    <w:p w14:paraId="64416B2F" w14:textId="625C6008" w:rsidR="008D3598" w:rsidRPr="00511330" w:rsidRDefault="008D3598" w:rsidP="00881819">
      <w:pPr>
        <w:pStyle w:val="Caption"/>
        <w:keepNext/>
        <w:spacing w:after="0"/>
        <w:ind w:right="-450"/>
        <w:rPr>
          <w:rFonts w:asciiTheme="majorBidi" w:hAnsiTheme="majorBidi" w:cstheme="majorBidi"/>
          <w:b w:val="0"/>
          <w:bCs w:val="0"/>
          <w:color w:val="auto"/>
          <w:sz w:val="20"/>
          <w:szCs w:val="20"/>
          <w:lang w:val="en-US"/>
        </w:rPr>
      </w:pPr>
      <w:bookmarkStart w:id="1100" w:name="_Toc43310922"/>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32</w:t>
      </w:r>
      <w:r w:rsidRPr="00511330">
        <w:rPr>
          <w:rFonts w:asciiTheme="majorBidi" w:hAnsiTheme="majorBidi" w:cstheme="majorBidi"/>
          <w:b w:val="0"/>
          <w:bCs w:val="0"/>
          <w:color w:val="auto"/>
          <w:sz w:val="20"/>
          <w:szCs w:val="20"/>
          <w:lang w:val="en-US"/>
        </w:rPr>
        <w:fldChar w:fldCharType="end"/>
      </w:r>
      <w:r w:rsidR="00737A1A" w:rsidRPr="00511330">
        <w:rPr>
          <w:rFonts w:asciiTheme="majorBidi" w:hAnsiTheme="majorBidi" w:cstheme="majorBidi"/>
          <w:b w:val="0"/>
          <w:bCs w:val="0"/>
          <w:color w:val="auto"/>
          <w:sz w:val="20"/>
          <w:szCs w:val="20"/>
          <w:lang w:val="en-US"/>
        </w:rPr>
        <w:t>:</w:t>
      </w:r>
      <w:r w:rsidRPr="00511330">
        <w:rPr>
          <w:rFonts w:asciiTheme="majorBidi" w:hAnsiTheme="majorBidi" w:cstheme="majorBidi"/>
          <w:b w:val="0"/>
          <w:bCs w:val="0"/>
          <w:color w:val="auto"/>
          <w:sz w:val="20"/>
          <w:szCs w:val="20"/>
          <w:lang w:val="en-US"/>
        </w:rPr>
        <w:t xml:space="preserve"> </w:t>
      </w:r>
      <w:r w:rsidRPr="00511330">
        <w:rPr>
          <w:rFonts w:asciiTheme="majorBidi" w:hAnsiTheme="majorBidi" w:cstheme="majorBidi"/>
          <w:b w:val="0"/>
          <w:bCs w:val="0"/>
          <w:i/>
          <w:iCs/>
          <w:color w:val="auto"/>
          <w:sz w:val="20"/>
          <w:szCs w:val="20"/>
          <w:lang w:val="en-US"/>
        </w:rPr>
        <w:t>Goodness-of-Fit Indices the 1st-Order Model on Barriers</w:t>
      </w:r>
      <w:bookmarkEnd w:id="1100"/>
    </w:p>
    <w:tbl>
      <w:tblPr>
        <w:tblStyle w:val="TableGrid1"/>
        <w:tblW w:w="8010" w:type="dxa"/>
        <w:tblInd w:w="-5" w:type="dxa"/>
        <w:tblLook w:val="04A0" w:firstRow="1" w:lastRow="0" w:firstColumn="1" w:lastColumn="0" w:noHBand="0" w:noVBand="1"/>
      </w:tblPr>
      <w:tblGrid>
        <w:gridCol w:w="1275"/>
        <w:gridCol w:w="1845"/>
        <w:gridCol w:w="4890"/>
      </w:tblGrid>
      <w:tr w:rsidR="008D3598" w:rsidRPr="00511330" w14:paraId="64416B33" w14:textId="77777777" w:rsidTr="00B60641">
        <w:trPr>
          <w:trHeight w:val="332"/>
        </w:trPr>
        <w:tc>
          <w:tcPr>
            <w:tcW w:w="1275" w:type="dxa"/>
            <w:shd w:val="clear" w:color="auto" w:fill="F2F2F2" w:themeFill="background1" w:themeFillShade="F2"/>
          </w:tcPr>
          <w:p w14:paraId="64416B30" w14:textId="77777777" w:rsidR="008D3598" w:rsidRPr="00511330" w:rsidRDefault="008D3598" w:rsidP="00721566">
            <w:pPr>
              <w:ind w:right="-450"/>
              <w:jc w:val="both"/>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Model</w:t>
            </w:r>
          </w:p>
        </w:tc>
        <w:tc>
          <w:tcPr>
            <w:tcW w:w="1845" w:type="dxa"/>
            <w:shd w:val="clear" w:color="auto" w:fill="F2F2F2" w:themeFill="background1" w:themeFillShade="F2"/>
          </w:tcPr>
          <w:p w14:paraId="64416B31" w14:textId="77777777" w:rsidR="008D3598" w:rsidRPr="00511330" w:rsidRDefault="008D3598" w:rsidP="00721566">
            <w:pPr>
              <w:ind w:right="-450"/>
              <w:jc w:val="both"/>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Obtained Value</w:t>
            </w:r>
          </w:p>
        </w:tc>
        <w:tc>
          <w:tcPr>
            <w:tcW w:w="4890" w:type="dxa"/>
            <w:shd w:val="clear" w:color="auto" w:fill="F2F2F2" w:themeFill="background1" w:themeFillShade="F2"/>
          </w:tcPr>
          <w:p w14:paraId="64416B32" w14:textId="77777777" w:rsidR="008D3598" w:rsidRPr="00511330" w:rsidRDefault="008D3598" w:rsidP="00B60641">
            <w:pPr>
              <w:ind w:right="-450"/>
              <w:jc w:val="center"/>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Recommended Values</w:t>
            </w:r>
          </w:p>
        </w:tc>
      </w:tr>
      <w:tr w:rsidR="008D3598" w:rsidRPr="00511330" w14:paraId="64416B37" w14:textId="77777777" w:rsidTr="00F66AF8">
        <w:trPr>
          <w:trHeight w:val="368"/>
        </w:trPr>
        <w:tc>
          <w:tcPr>
            <w:tcW w:w="1275" w:type="dxa"/>
          </w:tcPr>
          <w:p w14:paraId="64416B34" w14:textId="77777777" w:rsidR="008D3598" w:rsidRPr="00511330" w:rsidRDefault="008D3598" w:rsidP="00721566">
            <w:pPr>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χ2/df</w:t>
            </w:r>
          </w:p>
        </w:tc>
        <w:tc>
          <w:tcPr>
            <w:tcW w:w="1845" w:type="dxa"/>
          </w:tcPr>
          <w:p w14:paraId="64416B35" w14:textId="77777777" w:rsidR="008D3598" w:rsidRPr="00511330" w:rsidRDefault="008D3598" w:rsidP="00B60641">
            <w:pPr>
              <w:ind w:right="-138"/>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2.977</w:t>
            </w:r>
          </w:p>
        </w:tc>
        <w:tc>
          <w:tcPr>
            <w:tcW w:w="4890" w:type="dxa"/>
          </w:tcPr>
          <w:p w14:paraId="64416B36" w14:textId="77777777" w:rsidR="008D3598" w:rsidRPr="00511330" w:rsidRDefault="008D3598" w:rsidP="00721566">
            <w:pPr>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&lt; 3 (Kline, 2011)</w:t>
            </w:r>
          </w:p>
        </w:tc>
      </w:tr>
      <w:tr w:rsidR="008D3598" w:rsidRPr="00511330" w14:paraId="64416B3B" w14:textId="77777777" w:rsidTr="00F66AF8">
        <w:trPr>
          <w:trHeight w:val="224"/>
        </w:trPr>
        <w:tc>
          <w:tcPr>
            <w:tcW w:w="1275" w:type="dxa"/>
          </w:tcPr>
          <w:p w14:paraId="64416B38" w14:textId="77777777" w:rsidR="008D3598" w:rsidRPr="00511330" w:rsidRDefault="008D3598" w:rsidP="00721566">
            <w:pPr>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GFI</w:t>
            </w:r>
          </w:p>
        </w:tc>
        <w:tc>
          <w:tcPr>
            <w:tcW w:w="1845" w:type="dxa"/>
          </w:tcPr>
          <w:p w14:paraId="64416B39" w14:textId="77777777" w:rsidR="008D3598" w:rsidRPr="00511330" w:rsidRDefault="008D3598" w:rsidP="00B60641">
            <w:pPr>
              <w:ind w:right="-138"/>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.865</w:t>
            </w:r>
          </w:p>
        </w:tc>
        <w:tc>
          <w:tcPr>
            <w:tcW w:w="4890" w:type="dxa"/>
          </w:tcPr>
          <w:p w14:paraId="64416B3A" w14:textId="77777777" w:rsidR="008D3598" w:rsidRPr="00511330" w:rsidRDefault="008D3598" w:rsidP="00721566">
            <w:pPr>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0.90–1.0 (Hoyle, 2000; Kline, 2005)</w:t>
            </w:r>
          </w:p>
        </w:tc>
      </w:tr>
      <w:tr w:rsidR="008D3598" w:rsidRPr="00511330" w14:paraId="64416B3F" w14:textId="77777777" w:rsidTr="00F66AF8">
        <w:trPr>
          <w:trHeight w:val="341"/>
        </w:trPr>
        <w:tc>
          <w:tcPr>
            <w:tcW w:w="1275" w:type="dxa"/>
          </w:tcPr>
          <w:p w14:paraId="64416B3C" w14:textId="77777777" w:rsidR="008D3598" w:rsidRPr="00511330" w:rsidRDefault="008D3598" w:rsidP="00721566">
            <w:pPr>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RMSEA</w:t>
            </w:r>
          </w:p>
        </w:tc>
        <w:tc>
          <w:tcPr>
            <w:tcW w:w="1845" w:type="dxa"/>
          </w:tcPr>
          <w:p w14:paraId="64416B3D" w14:textId="77777777" w:rsidR="008D3598" w:rsidRPr="00511330" w:rsidRDefault="008D3598" w:rsidP="00B60641">
            <w:pPr>
              <w:ind w:right="-138"/>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.075</w:t>
            </w:r>
          </w:p>
        </w:tc>
        <w:tc>
          <w:tcPr>
            <w:tcW w:w="4890" w:type="dxa"/>
          </w:tcPr>
          <w:p w14:paraId="64416B3E" w14:textId="05BDB067" w:rsidR="008D3598" w:rsidRPr="00511330" w:rsidRDefault="008D3598" w:rsidP="00721566">
            <w:pPr>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 xml:space="preserve">&lt; 0.08 (Hu </w:t>
            </w:r>
            <w:r w:rsidR="00715A2C" w:rsidRPr="00511330">
              <w:rPr>
                <w:rFonts w:asciiTheme="majorBidi" w:eastAsia="Calibri" w:hAnsiTheme="majorBidi" w:cstheme="majorBidi"/>
                <w:sz w:val="20"/>
                <w:szCs w:val="20"/>
                <w:lang w:val="en-US" w:bidi="ar-AE"/>
              </w:rPr>
              <w:t>and</w:t>
            </w:r>
            <w:r w:rsidRPr="00511330">
              <w:rPr>
                <w:rFonts w:asciiTheme="majorBidi" w:eastAsia="Calibri" w:hAnsiTheme="majorBidi" w:cstheme="majorBidi"/>
                <w:sz w:val="20"/>
                <w:szCs w:val="20"/>
                <w:lang w:val="en-US" w:bidi="ar-AE"/>
              </w:rPr>
              <w:t xml:space="preserve"> Bentler, 1999)</w:t>
            </w:r>
          </w:p>
        </w:tc>
      </w:tr>
      <w:tr w:rsidR="008D3598" w:rsidRPr="00511330" w14:paraId="64416B43" w14:textId="77777777" w:rsidTr="00F66AF8">
        <w:trPr>
          <w:trHeight w:val="350"/>
        </w:trPr>
        <w:tc>
          <w:tcPr>
            <w:tcW w:w="1275" w:type="dxa"/>
          </w:tcPr>
          <w:p w14:paraId="64416B40" w14:textId="77777777" w:rsidR="008D3598" w:rsidRPr="00511330" w:rsidRDefault="008D3598" w:rsidP="00721566">
            <w:pPr>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NFI</w:t>
            </w:r>
          </w:p>
        </w:tc>
        <w:tc>
          <w:tcPr>
            <w:tcW w:w="1845" w:type="dxa"/>
          </w:tcPr>
          <w:p w14:paraId="64416B41" w14:textId="77777777" w:rsidR="008D3598" w:rsidRPr="00511330" w:rsidRDefault="008D3598" w:rsidP="00B60641">
            <w:pPr>
              <w:ind w:right="-138"/>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.896</w:t>
            </w:r>
          </w:p>
        </w:tc>
        <w:tc>
          <w:tcPr>
            <w:tcW w:w="4890" w:type="dxa"/>
          </w:tcPr>
          <w:p w14:paraId="64416B42" w14:textId="77777777" w:rsidR="008D3598" w:rsidRPr="00511330" w:rsidRDefault="008D3598" w:rsidP="00721566">
            <w:pPr>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0.95–1.0 (Miles, 2007; Thompson, 2004)</w:t>
            </w:r>
          </w:p>
        </w:tc>
      </w:tr>
      <w:tr w:rsidR="008D3598" w:rsidRPr="00511330" w14:paraId="64416B47" w14:textId="77777777" w:rsidTr="00F66AF8">
        <w:trPr>
          <w:trHeight w:val="350"/>
        </w:trPr>
        <w:tc>
          <w:tcPr>
            <w:tcW w:w="1275" w:type="dxa"/>
          </w:tcPr>
          <w:p w14:paraId="64416B44" w14:textId="77777777" w:rsidR="008D3598" w:rsidRPr="00511330" w:rsidRDefault="008D3598" w:rsidP="00721566">
            <w:pPr>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TLI</w:t>
            </w:r>
          </w:p>
        </w:tc>
        <w:tc>
          <w:tcPr>
            <w:tcW w:w="1845" w:type="dxa"/>
          </w:tcPr>
          <w:p w14:paraId="64416B45" w14:textId="77777777" w:rsidR="008D3598" w:rsidRPr="00511330" w:rsidRDefault="008D3598" w:rsidP="00B60641">
            <w:pPr>
              <w:ind w:right="-138"/>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.914</w:t>
            </w:r>
          </w:p>
        </w:tc>
        <w:tc>
          <w:tcPr>
            <w:tcW w:w="4890" w:type="dxa"/>
          </w:tcPr>
          <w:p w14:paraId="64416B46" w14:textId="77777777" w:rsidR="008D3598" w:rsidRPr="00511330" w:rsidRDefault="008D3598" w:rsidP="00721566">
            <w:pPr>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0.95–1.0 (Miles, 2007; Thompson, 2004)</w:t>
            </w:r>
          </w:p>
        </w:tc>
      </w:tr>
      <w:tr w:rsidR="008D3598" w:rsidRPr="00511330" w14:paraId="64416B4B" w14:textId="77777777" w:rsidTr="00F66AF8">
        <w:tc>
          <w:tcPr>
            <w:tcW w:w="1275" w:type="dxa"/>
          </w:tcPr>
          <w:p w14:paraId="64416B48" w14:textId="77777777" w:rsidR="008D3598" w:rsidRPr="00511330" w:rsidRDefault="008D3598" w:rsidP="00721566">
            <w:pPr>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CFI</w:t>
            </w:r>
          </w:p>
        </w:tc>
        <w:tc>
          <w:tcPr>
            <w:tcW w:w="1845" w:type="dxa"/>
          </w:tcPr>
          <w:p w14:paraId="64416B49" w14:textId="77777777" w:rsidR="008D3598" w:rsidRPr="00511330" w:rsidRDefault="008D3598" w:rsidP="00B60641">
            <w:pPr>
              <w:ind w:right="-138"/>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.928</w:t>
            </w:r>
          </w:p>
        </w:tc>
        <w:tc>
          <w:tcPr>
            <w:tcW w:w="4890" w:type="dxa"/>
          </w:tcPr>
          <w:p w14:paraId="64416B4A" w14:textId="77777777" w:rsidR="008D3598" w:rsidRPr="00511330" w:rsidRDefault="008D3598" w:rsidP="00721566">
            <w:pPr>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&gt; 0.90 (Kline, 2011)</w:t>
            </w:r>
          </w:p>
        </w:tc>
      </w:tr>
    </w:tbl>
    <w:p w14:paraId="64416B4C" w14:textId="77777777" w:rsidR="008D3598" w:rsidRPr="00511330" w:rsidRDefault="008D3598" w:rsidP="00721566">
      <w:pPr>
        <w:spacing w:after="0" w:line="240" w:lineRule="auto"/>
        <w:ind w:right="-450"/>
        <w:jc w:val="both"/>
        <w:rPr>
          <w:rFonts w:asciiTheme="majorBidi" w:eastAsia="Calibri" w:hAnsiTheme="majorBidi" w:cstheme="majorBidi"/>
          <w:sz w:val="20"/>
          <w:szCs w:val="20"/>
          <w:lang w:val="en-US" w:bidi="ar-AE"/>
        </w:rPr>
      </w:pPr>
      <w:r w:rsidRPr="00511330">
        <w:rPr>
          <w:rFonts w:asciiTheme="majorBidi" w:eastAsia="Calibri" w:hAnsiTheme="majorBidi" w:cstheme="majorBidi"/>
          <w:b/>
          <w:bCs/>
          <w:sz w:val="20"/>
          <w:szCs w:val="20"/>
          <w:lang w:val="en-US" w:bidi="ar-AE"/>
        </w:rPr>
        <w:t>Note</w:t>
      </w:r>
      <w:r w:rsidRPr="00511330">
        <w:rPr>
          <w:rFonts w:asciiTheme="majorBidi" w:eastAsia="Calibri" w:hAnsiTheme="majorBidi" w:cstheme="majorBidi"/>
          <w:sz w:val="20"/>
          <w:szCs w:val="20"/>
          <w:lang w:val="en-US" w:bidi="ar-AE"/>
        </w:rPr>
        <w:t xml:space="preserve">. </w:t>
      </w:r>
      <w:r w:rsidRPr="00511330">
        <w:rPr>
          <w:rFonts w:asciiTheme="majorBidi" w:eastAsia="Calibri" w:hAnsiTheme="majorBidi" w:cstheme="majorBidi"/>
          <w:b/>
          <w:bCs/>
          <w:sz w:val="20"/>
          <w:szCs w:val="20"/>
          <w:lang w:val="en-US" w:bidi="ar-AE"/>
        </w:rPr>
        <w:t>χ2/df</w:t>
      </w:r>
      <w:r w:rsidRPr="00511330">
        <w:rPr>
          <w:rFonts w:asciiTheme="majorBidi" w:eastAsia="Calibri" w:hAnsiTheme="majorBidi" w:cstheme="majorBidi"/>
          <w:sz w:val="20"/>
          <w:szCs w:val="20"/>
          <w:lang w:val="en-US" w:bidi="ar-AE"/>
        </w:rPr>
        <w:t xml:space="preserve"> = normed chi-square statistic; </w:t>
      </w:r>
      <w:r w:rsidRPr="00511330">
        <w:rPr>
          <w:rFonts w:asciiTheme="majorBidi" w:eastAsia="Calibri" w:hAnsiTheme="majorBidi" w:cstheme="majorBidi"/>
          <w:b/>
          <w:bCs/>
          <w:sz w:val="20"/>
          <w:szCs w:val="20"/>
          <w:lang w:val="en-US" w:bidi="ar-AE"/>
        </w:rPr>
        <w:t xml:space="preserve">GFI </w:t>
      </w:r>
      <w:r w:rsidRPr="00511330">
        <w:rPr>
          <w:rFonts w:asciiTheme="majorBidi" w:eastAsia="Calibri" w:hAnsiTheme="majorBidi" w:cstheme="majorBidi"/>
          <w:sz w:val="20"/>
          <w:szCs w:val="20"/>
          <w:lang w:val="en-US" w:bidi="ar-AE"/>
        </w:rPr>
        <w:t xml:space="preserve">= goodness-of-fit index; </w:t>
      </w:r>
      <w:r w:rsidRPr="00511330">
        <w:rPr>
          <w:rFonts w:asciiTheme="majorBidi" w:eastAsia="Calibri" w:hAnsiTheme="majorBidi" w:cstheme="majorBidi"/>
          <w:b/>
          <w:bCs/>
          <w:sz w:val="20"/>
          <w:szCs w:val="20"/>
          <w:lang w:val="en-US" w:bidi="ar-AE"/>
        </w:rPr>
        <w:t>RMSEA</w:t>
      </w:r>
      <w:r w:rsidRPr="00511330">
        <w:rPr>
          <w:rFonts w:asciiTheme="majorBidi" w:eastAsia="Calibri" w:hAnsiTheme="majorBidi" w:cstheme="majorBidi"/>
          <w:sz w:val="20"/>
          <w:szCs w:val="20"/>
          <w:lang w:val="en-US" w:bidi="ar-AE"/>
        </w:rPr>
        <w:t xml:space="preserve"> = root mean square error of approximation; </w:t>
      </w:r>
      <w:r w:rsidRPr="00511330">
        <w:rPr>
          <w:rFonts w:asciiTheme="majorBidi" w:eastAsia="Calibri" w:hAnsiTheme="majorBidi" w:cstheme="majorBidi"/>
          <w:b/>
          <w:bCs/>
          <w:sz w:val="20"/>
          <w:szCs w:val="20"/>
          <w:lang w:val="en-US" w:bidi="ar-AE"/>
        </w:rPr>
        <w:t xml:space="preserve">NFI </w:t>
      </w:r>
      <w:r w:rsidRPr="00511330">
        <w:rPr>
          <w:rFonts w:asciiTheme="majorBidi" w:eastAsia="Calibri" w:hAnsiTheme="majorBidi" w:cstheme="majorBidi"/>
          <w:sz w:val="20"/>
          <w:szCs w:val="20"/>
          <w:lang w:val="en-US" w:bidi="ar-AE"/>
        </w:rPr>
        <w:t xml:space="preserve">= normed fit index; </w:t>
      </w:r>
      <w:r w:rsidRPr="00511330">
        <w:rPr>
          <w:rFonts w:asciiTheme="majorBidi" w:eastAsia="Calibri" w:hAnsiTheme="majorBidi" w:cstheme="majorBidi"/>
          <w:b/>
          <w:bCs/>
          <w:sz w:val="20"/>
          <w:szCs w:val="20"/>
          <w:lang w:val="en-US" w:bidi="ar-AE"/>
        </w:rPr>
        <w:t xml:space="preserve">TLI </w:t>
      </w:r>
      <w:r w:rsidRPr="00511330">
        <w:rPr>
          <w:rFonts w:asciiTheme="majorBidi" w:eastAsia="Calibri" w:hAnsiTheme="majorBidi" w:cstheme="majorBidi"/>
          <w:sz w:val="20"/>
          <w:szCs w:val="20"/>
          <w:lang w:val="en-US" w:bidi="ar-AE"/>
        </w:rPr>
        <w:t xml:space="preserve">= Tucker–Lewis index, </w:t>
      </w:r>
      <w:r w:rsidRPr="00511330">
        <w:rPr>
          <w:rFonts w:asciiTheme="majorBidi" w:eastAsia="Calibri" w:hAnsiTheme="majorBidi" w:cstheme="majorBidi"/>
          <w:b/>
          <w:bCs/>
          <w:sz w:val="20"/>
          <w:szCs w:val="20"/>
          <w:lang w:val="en-US" w:bidi="ar-AE"/>
        </w:rPr>
        <w:t xml:space="preserve">CFI </w:t>
      </w:r>
      <w:r w:rsidRPr="00511330">
        <w:rPr>
          <w:rFonts w:asciiTheme="majorBidi" w:eastAsia="Calibri" w:hAnsiTheme="majorBidi" w:cstheme="majorBidi"/>
          <w:sz w:val="20"/>
          <w:szCs w:val="20"/>
          <w:lang w:val="en-US" w:bidi="ar-AE"/>
        </w:rPr>
        <w:t>= comparative fit index.</w:t>
      </w:r>
    </w:p>
    <w:p w14:paraId="64416B4D" w14:textId="77777777" w:rsidR="008D3598" w:rsidRPr="00511330" w:rsidRDefault="008D3598" w:rsidP="00721566">
      <w:pPr>
        <w:tabs>
          <w:tab w:val="left" w:pos="7380"/>
        </w:tabs>
        <w:autoSpaceDE w:val="0"/>
        <w:autoSpaceDN w:val="0"/>
        <w:adjustRightInd w:val="0"/>
        <w:spacing w:after="0" w:line="480" w:lineRule="auto"/>
        <w:ind w:right="-450"/>
        <w:jc w:val="both"/>
        <w:rPr>
          <w:rFonts w:asciiTheme="majorBidi" w:hAnsiTheme="majorBidi" w:cstheme="majorBidi"/>
          <w:sz w:val="20"/>
          <w:szCs w:val="20"/>
          <w:lang w:val="en-US"/>
        </w:rPr>
      </w:pPr>
    </w:p>
    <w:p w14:paraId="64416B4E" w14:textId="77777777" w:rsidR="008D3598" w:rsidRPr="00511330" w:rsidRDefault="008D3598" w:rsidP="00721566">
      <w:pPr>
        <w:autoSpaceDE w:val="0"/>
        <w:autoSpaceDN w:val="0"/>
        <w:adjustRightInd w:val="0"/>
        <w:spacing w:after="0"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w:t>
      </w:r>
    </w:p>
    <w:p w14:paraId="64416B4F" w14:textId="77777777" w:rsidR="008D3598" w:rsidRPr="00511330" w:rsidRDefault="008D3598" w:rsidP="00721566">
      <w:pPr>
        <w:autoSpaceDE w:val="0"/>
        <w:autoSpaceDN w:val="0"/>
        <w:adjustRightInd w:val="0"/>
        <w:spacing w:after="0" w:line="480" w:lineRule="auto"/>
        <w:ind w:right="-450"/>
        <w:jc w:val="both"/>
        <w:rPr>
          <w:rFonts w:asciiTheme="majorBidi" w:hAnsiTheme="majorBidi" w:cstheme="majorBidi"/>
          <w:sz w:val="24"/>
          <w:szCs w:val="24"/>
          <w:lang w:val="en-US"/>
        </w:rPr>
      </w:pPr>
    </w:p>
    <w:p w14:paraId="64416B50" w14:textId="77777777" w:rsidR="008D3598" w:rsidRPr="00511330" w:rsidRDefault="008D3598" w:rsidP="00721566">
      <w:pPr>
        <w:autoSpaceDE w:val="0"/>
        <w:autoSpaceDN w:val="0"/>
        <w:adjustRightInd w:val="0"/>
        <w:spacing w:after="0" w:line="480" w:lineRule="auto"/>
        <w:ind w:right="-450"/>
        <w:jc w:val="both"/>
        <w:rPr>
          <w:rFonts w:asciiTheme="majorBidi" w:hAnsiTheme="majorBidi" w:cstheme="majorBidi"/>
          <w:sz w:val="24"/>
          <w:szCs w:val="24"/>
          <w:lang w:val="en-US"/>
        </w:rPr>
      </w:pPr>
    </w:p>
    <w:p w14:paraId="64416B51" w14:textId="77777777" w:rsidR="008D3598" w:rsidRPr="00511330" w:rsidRDefault="008D3598" w:rsidP="00721566">
      <w:pPr>
        <w:autoSpaceDE w:val="0"/>
        <w:autoSpaceDN w:val="0"/>
        <w:adjustRightInd w:val="0"/>
        <w:spacing w:after="0" w:line="480" w:lineRule="auto"/>
        <w:ind w:right="-450"/>
        <w:jc w:val="both"/>
        <w:rPr>
          <w:rFonts w:asciiTheme="majorBidi" w:hAnsiTheme="majorBidi" w:cstheme="majorBidi"/>
          <w:sz w:val="24"/>
          <w:szCs w:val="24"/>
          <w:lang w:val="en-US"/>
        </w:rPr>
      </w:pPr>
      <w:r w:rsidRPr="00511330">
        <w:rPr>
          <w:noProof/>
          <w:lang w:val="en-US"/>
        </w:rPr>
        <w:lastRenderedPageBreak/>
        <mc:AlternateContent>
          <mc:Choice Requires="wps">
            <w:drawing>
              <wp:anchor distT="0" distB="0" distL="114300" distR="114300" simplePos="0" relativeHeight="251662336" behindDoc="0" locked="0" layoutInCell="1" allowOverlap="1" wp14:anchorId="64416D58" wp14:editId="177B72C9">
                <wp:simplePos x="0" y="0"/>
                <wp:positionH relativeFrom="column">
                  <wp:posOffset>-50800</wp:posOffset>
                </wp:positionH>
                <wp:positionV relativeFrom="paragraph">
                  <wp:posOffset>8070850</wp:posOffset>
                </wp:positionV>
                <wp:extent cx="5166360" cy="635"/>
                <wp:effectExtent l="0" t="0" r="0" b="0"/>
                <wp:wrapTight wrapText="bothSides">
                  <wp:wrapPolygon edited="0">
                    <wp:start x="0" y="0"/>
                    <wp:lineTo x="0" y="21600"/>
                    <wp:lineTo x="21600" y="21600"/>
                    <wp:lineTo x="21600" y="0"/>
                  </wp:wrapPolygon>
                </wp:wrapTight>
                <wp:docPr id="21" name="Text Box 21"/>
                <wp:cNvGraphicFramePr/>
                <a:graphic xmlns:a="http://schemas.openxmlformats.org/drawingml/2006/main">
                  <a:graphicData uri="http://schemas.microsoft.com/office/word/2010/wordprocessingShape">
                    <wps:wsp>
                      <wps:cNvSpPr txBox="1"/>
                      <wps:spPr>
                        <a:xfrm>
                          <a:off x="0" y="0"/>
                          <a:ext cx="5166360" cy="635"/>
                        </a:xfrm>
                        <a:prstGeom prst="rect">
                          <a:avLst/>
                        </a:prstGeom>
                        <a:solidFill>
                          <a:prstClr val="white"/>
                        </a:solidFill>
                        <a:ln>
                          <a:noFill/>
                        </a:ln>
                        <a:effectLst/>
                      </wps:spPr>
                      <wps:txbx>
                        <w:txbxContent>
                          <w:p w14:paraId="64416D72" w14:textId="3CF1FD93" w:rsidR="008E0079" w:rsidRPr="00AC2474" w:rsidRDefault="008E0079" w:rsidP="008D3598">
                            <w:pPr>
                              <w:pStyle w:val="Caption"/>
                              <w:rPr>
                                <w:rFonts w:asciiTheme="majorBidi" w:eastAsia="Calibri" w:hAnsiTheme="majorBidi" w:cstheme="majorBidi"/>
                                <w:b w:val="0"/>
                                <w:bCs w:val="0"/>
                                <w:noProof/>
                                <w:color w:val="auto"/>
                                <w:sz w:val="20"/>
                                <w:szCs w:val="20"/>
                              </w:rPr>
                            </w:pPr>
                            <w:bookmarkStart w:id="1101" w:name="_Toc43311501"/>
                            <w:r w:rsidRPr="00AC2474">
                              <w:rPr>
                                <w:rFonts w:asciiTheme="majorBidi" w:hAnsiTheme="majorBidi" w:cstheme="majorBidi"/>
                                <w:b w:val="0"/>
                                <w:bCs w:val="0"/>
                                <w:color w:val="auto"/>
                                <w:sz w:val="20"/>
                                <w:szCs w:val="20"/>
                              </w:rPr>
                              <w:t xml:space="preserve">Figure 4. </w:t>
                            </w:r>
                            <w:r w:rsidRPr="00AC2474">
                              <w:rPr>
                                <w:rFonts w:asciiTheme="majorBidi" w:hAnsiTheme="majorBidi" w:cstheme="majorBidi"/>
                                <w:b w:val="0"/>
                                <w:bCs w:val="0"/>
                                <w:color w:val="auto"/>
                                <w:sz w:val="20"/>
                                <w:szCs w:val="20"/>
                              </w:rPr>
                              <w:fldChar w:fldCharType="begin"/>
                            </w:r>
                            <w:r w:rsidRPr="00AC2474">
                              <w:rPr>
                                <w:rFonts w:asciiTheme="majorBidi" w:hAnsiTheme="majorBidi" w:cstheme="majorBidi"/>
                                <w:b w:val="0"/>
                                <w:bCs w:val="0"/>
                                <w:color w:val="auto"/>
                                <w:sz w:val="20"/>
                                <w:szCs w:val="20"/>
                              </w:rPr>
                              <w:instrText xml:space="preserve"> SEQ Figure_4. \* ARABIC </w:instrText>
                            </w:r>
                            <w:r w:rsidRPr="00AC2474">
                              <w:rPr>
                                <w:rFonts w:asciiTheme="majorBidi" w:hAnsiTheme="majorBidi" w:cstheme="majorBidi"/>
                                <w:b w:val="0"/>
                                <w:bCs w:val="0"/>
                                <w:color w:val="auto"/>
                                <w:sz w:val="20"/>
                                <w:szCs w:val="20"/>
                              </w:rPr>
                              <w:fldChar w:fldCharType="separate"/>
                            </w:r>
                            <w:r>
                              <w:rPr>
                                <w:rFonts w:asciiTheme="majorBidi" w:hAnsiTheme="majorBidi" w:cstheme="majorBidi"/>
                                <w:b w:val="0"/>
                                <w:bCs w:val="0"/>
                                <w:noProof/>
                                <w:color w:val="auto"/>
                                <w:sz w:val="20"/>
                                <w:szCs w:val="20"/>
                              </w:rPr>
                              <w:t>6</w:t>
                            </w:r>
                            <w:r w:rsidRPr="00AC2474">
                              <w:rPr>
                                <w:rFonts w:asciiTheme="majorBidi" w:hAnsiTheme="majorBidi" w:cstheme="majorBidi"/>
                                <w:b w:val="0"/>
                                <w:bCs w:val="0"/>
                                <w:color w:val="auto"/>
                                <w:sz w:val="20"/>
                                <w:szCs w:val="20"/>
                              </w:rPr>
                              <w:fldChar w:fldCharType="end"/>
                            </w:r>
                            <w:r>
                              <w:rPr>
                                <w:rFonts w:asciiTheme="majorBidi" w:hAnsiTheme="majorBidi" w:cstheme="majorBidi"/>
                                <w:b w:val="0"/>
                                <w:bCs w:val="0"/>
                                <w:noProof/>
                                <w:color w:val="auto"/>
                                <w:sz w:val="20"/>
                                <w:szCs w:val="20"/>
                                <w:lang w:val="en-US"/>
                              </w:rPr>
                              <w:t xml:space="preserve">: </w:t>
                            </w:r>
                            <w:r w:rsidRPr="007B41A5">
                              <w:rPr>
                                <w:rFonts w:asciiTheme="majorBidi" w:hAnsiTheme="majorBidi" w:cstheme="majorBidi"/>
                                <w:b w:val="0"/>
                                <w:bCs w:val="0"/>
                                <w:i/>
                                <w:iCs/>
                                <w:noProof/>
                                <w:color w:val="auto"/>
                                <w:sz w:val="20"/>
                                <w:szCs w:val="20"/>
                                <w:lang w:val="en-US"/>
                              </w:rPr>
                              <w:t>Structural models from the first-order CFA on Barriers</w:t>
                            </w:r>
                            <w:bookmarkEnd w:id="11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64416D58" id="Text Box 21" o:spid="_x0000_s1031" type="#_x0000_t202" style="position:absolute;left:0;text-align:left;margin-left:-4pt;margin-top:635.5pt;width:406.8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" stroked="f">
                <v:textbox style="mso-fit-shape-to-text:t" inset="0,0,0,0">
                  <w:txbxContent>
                    <w:p w14:paraId="64416D72" w14:textId="3CF1FD93" w:rsidR="008E0079" w:rsidRPr="00AC2474" w:rsidRDefault="008E0079" w:rsidP="008D3598">
                      <w:pPr>
                        <w:pStyle w:val="Caption"/>
                        <w:rPr>
                          <w:rFonts w:asciiTheme="majorBidi" w:eastAsia="Calibri" w:hAnsiTheme="majorBidi" w:cstheme="majorBidi"/>
                          <w:b w:val="0"/>
                          <w:bCs w:val="0"/>
                          <w:noProof/>
                          <w:color w:val="auto"/>
                          <w:sz w:val="20"/>
                          <w:szCs w:val="20"/>
                        </w:rPr>
                      </w:pPr>
                      <w:bookmarkStart w:id="1106" w:name="_Toc43311501"/>
                      <w:r w:rsidRPr="00AC2474">
                        <w:rPr>
                          <w:rFonts w:asciiTheme="majorBidi" w:hAnsiTheme="majorBidi" w:cstheme="majorBidi"/>
                          <w:b w:val="0"/>
                          <w:bCs w:val="0"/>
                          <w:color w:val="auto"/>
                          <w:sz w:val="20"/>
                          <w:szCs w:val="20"/>
                        </w:rPr>
                        <w:t xml:space="preserve">Figure 4. </w:t>
                      </w:r>
                      <w:r w:rsidRPr="00AC2474">
                        <w:rPr>
                          <w:rFonts w:asciiTheme="majorBidi" w:hAnsiTheme="majorBidi" w:cstheme="majorBidi"/>
                          <w:b w:val="0"/>
                          <w:bCs w:val="0"/>
                          <w:color w:val="auto"/>
                          <w:sz w:val="20"/>
                          <w:szCs w:val="20"/>
                        </w:rPr>
                        <w:fldChar w:fldCharType="begin"/>
                      </w:r>
                      <w:r w:rsidRPr="00AC2474">
                        <w:rPr>
                          <w:rFonts w:asciiTheme="majorBidi" w:hAnsiTheme="majorBidi" w:cstheme="majorBidi"/>
                          <w:b w:val="0"/>
                          <w:bCs w:val="0"/>
                          <w:color w:val="auto"/>
                          <w:sz w:val="20"/>
                          <w:szCs w:val="20"/>
                        </w:rPr>
                        <w:instrText xml:space="preserve"> SEQ Figure_4. \* ARABIC </w:instrText>
                      </w:r>
                      <w:r w:rsidRPr="00AC2474">
                        <w:rPr>
                          <w:rFonts w:asciiTheme="majorBidi" w:hAnsiTheme="majorBidi" w:cstheme="majorBidi"/>
                          <w:b w:val="0"/>
                          <w:bCs w:val="0"/>
                          <w:color w:val="auto"/>
                          <w:sz w:val="20"/>
                          <w:szCs w:val="20"/>
                        </w:rPr>
                        <w:fldChar w:fldCharType="separate"/>
                      </w:r>
                      <w:r>
                        <w:rPr>
                          <w:rFonts w:asciiTheme="majorBidi" w:hAnsiTheme="majorBidi" w:cstheme="majorBidi"/>
                          <w:b w:val="0"/>
                          <w:bCs w:val="0"/>
                          <w:noProof/>
                          <w:color w:val="auto"/>
                          <w:sz w:val="20"/>
                          <w:szCs w:val="20"/>
                        </w:rPr>
                        <w:t>6</w:t>
                      </w:r>
                      <w:r w:rsidRPr="00AC2474">
                        <w:rPr>
                          <w:rFonts w:asciiTheme="majorBidi" w:hAnsiTheme="majorBidi" w:cstheme="majorBidi"/>
                          <w:b w:val="0"/>
                          <w:bCs w:val="0"/>
                          <w:color w:val="auto"/>
                          <w:sz w:val="20"/>
                          <w:szCs w:val="20"/>
                        </w:rPr>
                        <w:fldChar w:fldCharType="end"/>
                      </w:r>
                      <w:r>
                        <w:rPr>
                          <w:rFonts w:asciiTheme="majorBidi" w:hAnsiTheme="majorBidi" w:cstheme="majorBidi"/>
                          <w:b w:val="0"/>
                          <w:bCs w:val="0"/>
                          <w:noProof/>
                          <w:color w:val="auto"/>
                          <w:sz w:val="20"/>
                          <w:szCs w:val="20"/>
                          <w:lang w:val="en-US"/>
                        </w:rPr>
                        <w:t xml:space="preserve">: </w:t>
                      </w:r>
                      <w:r w:rsidRPr="007B41A5">
                        <w:rPr>
                          <w:rFonts w:asciiTheme="majorBidi" w:hAnsiTheme="majorBidi" w:cstheme="majorBidi"/>
                          <w:b w:val="0"/>
                          <w:bCs w:val="0"/>
                          <w:i/>
                          <w:iCs/>
                          <w:noProof/>
                          <w:color w:val="auto"/>
                          <w:sz w:val="20"/>
                          <w:szCs w:val="20"/>
                          <w:lang w:val="en-US"/>
                        </w:rPr>
                        <w:t>Structural models from the first-order CFA on Barriers</w:t>
                      </w:r>
                      <w:bookmarkEnd w:id="1106"/>
                    </w:p>
                  </w:txbxContent>
                </v:textbox>
                <w10:wrap type="tight"/>
              </v:shape>
            </w:pict>
          </mc:Fallback>
        </mc:AlternateContent>
      </w:r>
      <w:r w:rsidRPr="00511330">
        <w:rPr>
          <w:rFonts w:asciiTheme="majorBidi" w:eastAsia="Calibri" w:hAnsiTheme="majorBidi" w:cstheme="majorBidi"/>
          <w:noProof/>
          <w:sz w:val="24"/>
          <w:szCs w:val="24"/>
          <w:lang w:val="en-US"/>
        </w:rPr>
        <w:drawing>
          <wp:anchor distT="0" distB="0" distL="114300" distR="114300" simplePos="0" relativeHeight="251655168" behindDoc="1" locked="0" layoutInCell="1" allowOverlap="1" wp14:anchorId="64416D5A" wp14:editId="1A92AC97">
            <wp:simplePos x="0" y="0"/>
            <wp:positionH relativeFrom="margin">
              <wp:posOffset>-50800</wp:posOffset>
            </wp:positionH>
            <wp:positionV relativeFrom="paragraph">
              <wp:posOffset>-619125</wp:posOffset>
            </wp:positionV>
            <wp:extent cx="5166360" cy="8023225"/>
            <wp:effectExtent l="0" t="0" r="0" b="0"/>
            <wp:wrapTight wrapText="bothSides">
              <wp:wrapPolygon edited="0">
                <wp:start x="0" y="0"/>
                <wp:lineTo x="0" y="21540"/>
                <wp:lineTo x="21504" y="21540"/>
                <wp:lineTo x="21504" y="0"/>
                <wp:lineTo x="0" y="0"/>
              </wp:wrapPolygon>
            </wp:wrapTight>
            <wp:docPr id="16" name="Picture 1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arrier Firs Order Model.jpg"/>
                    <pic:cNvPicPr/>
                  </pic:nvPicPr>
                  <pic:blipFill>
                    <a:blip r:embed="rId51">
                      <a:extLst>
                        <a:ext uri="{28A0092B-C50C-407E-A947-70E740481C1C}">
                          <a14:useLocalDpi xmlns:a14="http://schemas.microsoft.com/office/drawing/2010/main" val="0"/>
                        </a:ext>
                      </a:extLst>
                    </a:blip>
                    <a:stretch>
                      <a:fillRect/>
                    </a:stretch>
                  </pic:blipFill>
                  <pic:spPr>
                    <a:xfrm>
                      <a:off x="0" y="0"/>
                      <a:ext cx="5166360" cy="8023225"/>
                    </a:xfrm>
                    <a:prstGeom prst="rect">
                      <a:avLst/>
                    </a:prstGeom>
                  </pic:spPr>
                </pic:pic>
              </a:graphicData>
            </a:graphic>
            <wp14:sizeRelH relativeFrom="margin">
              <wp14:pctWidth>0</wp14:pctWidth>
            </wp14:sizeRelH>
            <wp14:sizeRelV relativeFrom="margin">
              <wp14:pctHeight>0</wp14:pctHeight>
            </wp14:sizeRelV>
          </wp:anchor>
        </w:drawing>
      </w:r>
      <w:bookmarkStart w:id="1102" w:name="_Toc32091759"/>
      <w:bookmarkStart w:id="1103" w:name="_Toc32091760"/>
      <w:bookmarkStart w:id="1104" w:name="_Toc32091761"/>
      <w:bookmarkStart w:id="1105" w:name="_Toc32091762"/>
      <w:bookmarkStart w:id="1106" w:name="_Toc32091763"/>
      <w:bookmarkStart w:id="1107" w:name="_Toc32091764"/>
      <w:bookmarkStart w:id="1108" w:name="_Toc32091765"/>
      <w:bookmarkStart w:id="1109" w:name="_Toc32091766"/>
      <w:bookmarkStart w:id="1110" w:name="_Toc32091767"/>
      <w:bookmarkStart w:id="1111" w:name="_Toc32091768"/>
      <w:bookmarkStart w:id="1112" w:name="_Toc32091769"/>
      <w:bookmarkStart w:id="1113" w:name="_Toc32091770"/>
      <w:bookmarkStart w:id="1114" w:name="_Toc3209177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14:paraId="64416B52" w14:textId="77777777" w:rsidR="008D3598" w:rsidRPr="00511330" w:rsidRDefault="008D3598" w:rsidP="00721566">
      <w:pPr>
        <w:pStyle w:val="Heading3"/>
        <w:numPr>
          <w:ilvl w:val="2"/>
          <w:numId w:val="16"/>
        </w:numPr>
        <w:spacing w:line="480" w:lineRule="auto"/>
        <w:ind w:left="720" w:right="-450"/>
        <w:rPr>
          <w:rFonts w:eastAsia="Calibri"/>
          <w:lang w:val="en-US" w:bidi="ar-AE"/>
        </w:rPr>
      </w:pPr>
      <w:bookmarkStart w:id="1115" w:name="_Toc43311655"/>
      <w:r w:rsidRPr="00511330">
        <w:rPr>
          <w:rFonts w:eastAsia="Calibri"/>
          <w:lang w:val="en-US"/>
        </w:rPr>
        <w:lastRenderedPageBreak/>
        <w:t>Structural Model for Motivators (Second-Order CFA Model)</w:t>
      </w:r>
      <w:bookmarkEnd w:id="1115"/>
    </w:p>
    <w:p w14:paraId="64416B53" w14:textId="03367BF7" w:rsidR="008D3598" w:rsidRPr="00511330" w:rsidRDefault="008D3598" w:rsidP="00721566">
      <w:pPr>
        <w:autoSpaceDE w:val="0"/>
        <w:autoSpaceDN w:val="0"/>
        <w:adjustRightInd w:val="0"/>
        <w:spacing w:after="0" w:line="480" w:lineRule="auto"/>
        <w:ind w:right="-450"/>
        <w:jc w:val="both"/>
        <w:rPr>
          <w:rFonts w:asciiTheme="majorBidi" w:eastAsia="Calibri" w:hAnsiTheme="majorBidi" w:cstheme="majorBidi"/>
          <w:sz w:val="24"/>
          <w:szCs w:val="24"/>
          <w:lang w:val="en-US"/>
        </w:rPr>
      </w:pPr>
      <w:r w:rsidRPr="00511330">
        <w:rPr>
          <w:rFonts w:asciiTheme="majorBidi" w:hAnsiTheme="majorBidi" w:cstheme="majorBidi"/>
          <w:sz w:val="24"/>
          <w:szCs w:val="24"/>
          <w:lang w:val="en-US"/>
        </w:rPr>
        <w:t xml:space="preserve">Alternatively, barriers to successful CM implementation may be operationalized as a second-order model, where the four factors are governed by a </w:t>
      </w:r>
      <w:r w:rsidRPr="00511330">
        <w:rPr>
          <w:rFonts w:asciiTheme="majorBidi" w:hAnsiTheme="majorBidi" w:cstheme="majorBidi"/>
          <w:noProof/>
          <w:sz w:val="24"/>
          <w:szCs w:val="24"/>
          <w:lang w:val="en-US"/>
        </w:rPr>
        <w:t>higher order</w:t>
      </w:r>
      <w:r w:rsidRPr="00511330">
        <w:rPr>
          <w:rFonts w:asciiTheme="majorBidi" w:hAnsiTheme="majorBidi" w:cstheme="majorBidi"/>
          <w:sz w:val="24"/>
          <w:szCs w:val="24"/>
          <w:lang w:val="en-US"/>
        </w:rPr>
        <w:t xml:space="preserve"> factor, i.e. CM barriers. The results of the model estimation are illustrated in Figure 4.7. The test of the second-order model implies that a higher-order latent factor, i.e. the overall trait of CM barriers, governs the correlations among fear and negative perception, feeble communication, conflict of workforce commitment, and uncertain objectives. In addition, the second-order model produces </w:t>
      </w:r>
      <w:r w:rsidRPr="00511330">
        <w:rPr>
          <w:rFonts w:asciiTheme="majorBidi" w:hAnsiTheme="majorBidi" w:cstheme="majorBidi"/>
          <w:noProof/>
          <w:sz w:val="24"/>
          <w:szCs w:val="24"/>
          <w:lang w:val="en-US"/>
        </w:rPr>
        <w:t>an acceptable</w:t>
      </w:r>
      <w:r w:rsidRPr="00511330">
        <w:rPr>
          <w:rFonts w:asciiTheme="majorBidi" w:hAnsiTheme="majorBidi" w:cstheme="majorBidi"/>
          <w:sz w:val="24"/>
          <w:szCs w:val="24"/>
          <w:lang w:val="en-US"/>
        </w:rPr>
        <w:t xml:space="preserve"> goodness of fit. An examination of the second-order model of the barriers shows the significance of the coefficient estimates of fear and negative perception, feeble communication, conflict of workforce commitment, and uncertain objectives, which describe the four factors’ relationships or paths on the higher-order. The highest and the lowest impact of barriers appear to be from fear and negative perception, as well as conflict of workforce commitment.</w:t>
      </w:r>
      <w:r w:rsidRPr="00511330">
        <w:rPr>
          <w:rFonts w:asciiTheme="majorBidi" w:eastAsia="Calibri" w:hAnsiTheme="majorBidi" w:cstheme="majorBidi"/>
          <w:sz w:val="24"/>
          <w:szCs w:val="24"/>
          <w:lang w:val="en-US"/>
        </w:rPr>
        <w:t xml:space="preserve"> Table 4.33 shows the model shows </w:t>
      </w:r>
      <w:r w:rsidR="00C31030" w:rsidRPr="00511330">
        <w:rPr>
          <w:rFonts w:asciiTheme="majorBidi" w:eastAsia="Calibri" w:hAnsiTheme="majorBidi" w:cstheme="majorBidi"/>
          <w:sz w:val="24"/>
          <w:szCs w:val="24"/>
          <w:lang w:val="en-US"/>
        </w:rPr>
        <w:t>goodness-of-fit indices</w:t>
      </w:r>
      <w:r w:rsidRPr="00511330">
        <w:rPr>
          <w:rFonts w:asciiTheme="majorBidi" w:eastAsia="Calibri" w:hAnsiTheme="majorBidi" w:cstheme="majorBidi"/>
          <w:sz w:val="24"/>
          <w:szCs w:val="24"/>
          <w:lang w:val="en-US"/>
        </w:rPr>
        <w:t>. Additionally, Table 4.34 shows the validity and reliability of the four barriers constructs.</w:t>
      </w:r>
    </w:p>
    <w:p w14:paraId="64416B54" w14:textId="131CC56E" w:rsidR="008D3598" w:rsidRPr="00511330" w:rsidRDefault="008D3598" w:rsidP="00881819">
      <w:pPr>
        <w:pStyle w:val="Caption"/>
        <w:keepNext/>
        <w:spacing w:after="0"/>
        <w:ind w:right="-450"/>
        <w:rPr>
          <w:rFonts w:asciiTheme="majorBidi" w:hAnsiTheme="majorBidi" w:cstheme="majorBidi"/>
          <w:b w:val="0"/>
          <w:bCs w:val="0"/>
          <w:color w:val="auto"/>
          <w:sz w:val="20"/>
          <w:szCs w:val="20"/>
          <w:lang w:val="en-US"/>
        </w:rPr>
      </w:pPr>
      <w:bookmarkStart w:id="1116" w:name="_Toc43310923"/>
      <w:r w:rsidRPr="00511330">
        <w:rPr>
          <w:rFonts w:asciiTheme="majorBidi" w:hAnsiTheme="majorBidi" w:cstheme="majorBidi"/>
          <w:b w:val="0"/>
          <w:bCs w:val="0"/>
          <w:color w:val="auto"/>
          <w:sz w:val="20"/>
          <w:szCs w:val="20"/>
          <w:lang w:val="en-US"/>
        </w:rPr>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33</w:t>
      </w:r>
      <w:r w:rsidRPr="00511330">
        <w:rPr>
          <w:rFonts w:asciiTheme="majorBidi" w:hAnsiTheme="majorBidi" w:cstheme="majorBidi"/>
          <w:b w:val="0"/>
          <w:bCs w:val="0"/>
          <w:color w:val="auto"/>
          <w:sz w:val="20"/>
          <w:szCs w:val="20"/>
          <w:lang w:val="en-US"/>
        </w:rPr>
        <w:fldChar w:fldCharType="end"/>
      </w:r>
      <w:r w:rsidR="00737A1A" w:rsidRPr="00511330">
        <w:rPr>
          <w:rFonts w:asciiTheme="majorBidi" w:hAnsiTheme="majorBidi" w:cstheme="majorBidi"/>
          <w:b w:val="0"/>
          <w:bCs w:val="0"/>
          <w:noProof/>
          <w:color w:val="auto"/>
          <w:sz w:val="20"/>
          <w:szCs w:val="20"/>
          <w:lang w:val="en-US"/>
        </w:rPr>
        <w:t>:</w:t>
      </w:r>
      <w:r w:rsidRPr="00511330">
        <w:rPr>
          <w:rFonts w:asciiTheme="majorBidi" w:hAnsiTheme="majorBidi" w:cstheme="majorBidi"/>
          <w:b w:val="0"/>
          <w:bCs w:val="0"/>
          <w:noProof/>
          <w:color w:val="auto"/>
          <w:sz w:val="20"/>
          <w:szCs w:val="20"/>
          <w:lang w:val="en-US"/>
        </w:rPr>
        <w:t xml:space="preserve"> </w:t>
      </w:r>
      <w:r w:rsidRPr="00511330">
        <w:rPr>
          <w:rFonts w:asciiTheme="majorBidi" w:hAnsiTheme="majorBidi" w:cstheme="majorBidi"/>
          <w:b w:val="0"/>
          <w:bCs w:val="0"/>
          <w:i/>
          <w:iCs/>
          <w:noProof/>
          <w:color w:val="auto"/>
          <w:sz w:val="20"/>
          <w:szCs w:val="20"/>
          <w:lang w:val="en-US"/>
        </w:rPr>
        <w:t>Goodness-of-Fit Indices the 2nd-Order Model on Barriers</w:t>
      </w:r>
      <w:bookmarkEnd w:id="1116"/>
    </w:p>
    <w:tbl>
      <w:tblPr>
        <w:tblStyle w:val="TableGrid1"/>
        <w:tblW w:w="7987" w:type="dxa"/>
        <w:tblInd w:w="18" w:type="dxa"/>
        <w:tblLook w:val="04A0" w:firstRow="1" w:lastRow="0" w:firstColumn="1" w:lastColumn="0" w:noHBand="0" w:noVBand="1"/>
      </w:tblPr>
      <w:tblGrid>
        <w:gridCol w:w="1247"/>
        <w:gridCol w:w="2015"/>
        <w:gridCol w:w="4725"/>
      </w:tblGrid>
      <w:tr w:rsidR="008D3598" w:rsidRPr="00511330" w14:paraId="64416B58" w14:textId="77777777" w:rsidTr="00B60641">
        <w:trPr>
          <w:trHeight w:val="323"/>
        </w:trPr>
        <w:tc>
          <w:tcPr>
            <w:tcW w:w="1247" w:type="dxa"/>
            <w:shd w:val="clear" w:color="auto" w:fill="F2F2F2" w:themeFill="background1" w:themeFillShade="F2"/>
            <w:vAlign w:val="center"/>
          </w:tcPr>
          <w:p w14:paraId="64416B55" w14:textId="77777777" w:rsidR="008D3598" w:rsidRPr="00511330" w:rsidRDefault="008D3598" w:rsidP="00F66AF8">
            <w:pPr>
              <w:ind w:right="-446"/>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Model</w:t>
            </w:r>
          </w:p>
        </w:tc>
        <w:tc>
          <w:tcPr>
            <w:tcW w:w="2015" w:type="dxa"/>
            <w:shd w:val="clear" w:color="auto" w:fill="F2F2F2" w:themeFill="background1" w:themeFillShade="F2"/>
            <w:vAlign w:val="center"/>
          </w:tcPr>
          <w:p w14:paraId="64416B56" w14:textId="77777777" w:rsidR="008D3598" w:rsidRPr="00511330" w:rsidRDefault="008D3598" w:rsidP="00737A1A">
            <w:pPr>
              <w:ind w:right="-60"/>
              <w:jc w:val="center"/>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Obtained Value</w:t>
            </w:r>
          </w:p>
        </w:tc>
        <w:tc>
          <w:tcPr>
            <w:tcW w:w="4725" w:type="dxa"/>
            <w:shd w:val="clear" w:color="auto" w:fill="F2F2F2" w:themeFill="background1" w:themeFillShade="F2"/>
            <w:vAlign w:val="center"/>
          </w:tcPr>
          <w:p w14:paraId="64416B57" w14:textId="77777777" w:rsidR="008D3598" w:rsidRPr="00511330" w:rsidRDefault="008D3598" w:rsidP="00B60641">
            <w:pPr>
              <w:ind w:right="-446"/>
              <w:jc w:val="center"/>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Recommended Values</w:t>
            </w:r>
          </w:p>
        </w:tc>
      </w:tr>
      <w:tr w:rsidR="008D3598" w:rsidRPr="00511330" w14:paraId="64416B5C" w14:textId="77777777" w:rsidTr="00F66AF8">
        <w:trPr>
          <w:trHeight w:val="296"/>
        </w:trPr>
        <w:tc>
          <w:tcPr>
            <w:tcW w:w="1247" w:type="dxa"/>
            <w:vAlign w:val="center"/>
          </w:tcPr>
          <w:p w14:paraId="64416B59" w14:textId="77777777" w:rsidR="008D3598" w:rsidRPr="00511330" w:rsidRDefault="008D3598" w:rsidP="00F66AF8">
            <w:pPr>
              <w:ind w:right="-446"/>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χ2/df</w:t>
            </w:r>
          </w:p>
        </w:tc>
        <w:tc>
          <w:tcPr>
            <w:tcW w:w="2015" w:type="dxa"/>
            <w:vAlign w:val="center"/>
          </w:tcPr>
          <w:p w14:paraId="64416B5A" w14:textId="77777777" w:rsidR="008D3598" w:rsidRPr="00511330" w:rsidRDefault="008D3598" w:rsidP="00B60641">
            <w:pPr>
              <w:ind w:right="27"/>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2.954</w:t>
            </w:r>
          </w:p>
        </w:tc>
        <w:tc>
          <w:tcPr>
            <w:tcW w:w="4725" w:type="dxa"/>
            <w:vAlign w:val="center"/>
          </w:tcPr>
          <w:p w14:paraId="64416B5B" w14:textId="77777777" w:rsidR="008D3598" w:rsidRPr="00511330" w:rsidRDefault="008D3598" w:rsidP="00F66AF8">
            <w:pPr>
              <w:ind w:right="-446"/>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&lt; 3 (Kline, 2011)</w:t>
            </w:r>
          </w:p>
        </w:tc>
      </w:tr>
      <w:tr w:rsidR="008D3598" w:rsidRPr="00511330" w14:paraId="64416B60" w14:textId="77777777" w:rsidTr="00F66AF8">
        <w:trPr>
          <w:trHeight w:val="251"/>
        </w:trPr>
        <w:tc>
          <w:tcPr>
            <w:tcW w:w="1247" w:type="dxa"/>
            <w:vAlign w:val="center"/>
          </w:tcPr>
          <w:p w14:paraId="64416B5D" w14:textId="77777777" w:rsidR="008D3598" w:rsidRPr="00511330" w:rsidRDefault="008D3598" w:rsidP="00F66AF8">
            <w:pPr>
              <w:ind w:right="-446"/>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GFI</w:t>
            </w:r>
          </w:p>
        </w:tc>
        <w:tc>
          <w:tcPr>
            <w:tcW w:w="2015" w:type="dxa"/>
            <w:vAlign w:val="center"/>
          </w:tcPr>
          <w:p w14:paraId="64416B5E" w14:textId="77777777" w:rsidR="008D3598" w:rsidRPr="00511330" w:rsidRDefault="008D3598" w:rsidP="00B60641">
            <w:pPr>
              <w:ind w:right="27"/>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.862</w:t>
            </w:r>
          </w:p>
        </w:tc>
        <w:tc>
          <w:tcPr>
            <w:tcW w:w="4725" w:type="dxa"/>
            <w:vAlign w:val="center"/>
          </w:tcPr>
          <w:p w14:paraId="64416B5F" w14:textId="77777777" w:rsidR="008D3598" w:rsidRPr="00511330" w:rsidRDefault="008D3598" w:rsidP="00F66AF8">
            <w:pPr>
              <w:ind w:right="-446"/>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0.90–1.0 (Hoyle, 2000; Kline, 2005)</w:t>
            </w:r>
          </w:p>
        </w:tc>
      </w:tr>
      <w:tr w:rsidR="008D3598" w:rsidRPr="00511330" w14:paraId="64416B64" w14:textId="77777777" w:rsidTr="00F66AF8">
        <w:trPr>
          <w:trHeight w:val="323"/>
        </w:trPr>
        <w:tc>
          <w:tcPr>
            <w:tcW w:w="1247" w:type="dxa"/>
            <w:vAlign w:val="center"/>
          </w:tcPr>
          <w:p w14:paraId="64416B61" w14:textId="77777777" w:rsidR="008D3598" w:rsidRPr="00511330" w:rsidRDefault="008D3598" w:rsidP="00F66AF8">
            <w:pPr>
              <w:ind w:right="-446"/>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RMSEA</w:t>
            </w:r>
          </w:p>
        </w:tc>
        <w:tc>
          <w:tcPr>
            <w:tcW w:w="2015" w:type="dxa"/>
            <w:vAlign w:val="center"/>
          </w:tcPr>
          <w:p w14:paraId="64416B62" w14:textId="77777777" w:rsidR="008D3598" w:rsidRPr="00511330" w:rsidRDefault="008D3598" w:rsidP="00B60641">
            <w:pPr>
              <w:ind w:right="27"/>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.074</w:t>
            </w:r>
          </w:p>
        </w:tc>
        <w:tc>
          <w:tcPr>
            <w:tcW w:w="4725" w:type="dxa"/>
            <w:vAlign w:val="center"/>
          </w:tcPr>
          <w:p w14:paraId="64416B63" w14:textId="7C3C04EA" w:rsidR="008D3598" w:rsidRPr="00511330" w:rsidRDefault="008D3598" w:rsidP="00F66AF8">
            <w:pPr>
              <w:ind w:right="-446"/>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 xml:space="preserve">&lt; 0.08 (Hu </w:t>
            </w:r>
            <w:r w:rsidR="00715A2C" w:rsidRPr="00511330">
              <w:rPr>
                <w:rFonts w:asciiTheme="majorBidi" w:eastAsia="Calibri" w:hAnsiTheme="majorBidi" w:cstheme="majorBidi"/>
                <w:sz w:val="20"/>
                <w:szCs w:val="20"/>
                <w:lang w:val="en-US" w:bidi="ar-AE"/>
              </w:rPr>
              <w:t>and</w:t>
            </w:r>
            <w:r w:rsidRPr="00511330">
              <w:rPr>
                <w:rFonts w:asciiTheme="majorBidi" w:eastAsia="Calibri" w:hAnsiTheme="majorBidi" w:cstheme="majorBidi"/>
                <w:sz w:val="20"/>
                <w:szCs w:val="20"/>
                <w:lang w:val="en-US" w:bidi="ar-AE"/>
              </w:rPr>
              <w:t xml:space="preserve"> Bentler,1999)</w:t>
            </w:r>
          </w:p>
        </w:tc>
      </w:tr>
      <w:tr w:rsidR="008D3598" w:rsidRPr="00511330" w14:paraId="64416B68" w14:textId="77777777" w:rsidTr="00F66AF8">
        <w:trPr>
          <w:trHeight w:val="260"/>
        </w:trPr>
        <w:tc>
          <w:tcPr>
            <w:tcW w:w="1247" w:type="dxa"/>
            <w:vAlign w:val="center"/>
          </w:tcPr>
          <w:p w14:paraId="64416B65" w14:textId="77777777" w:rsidR="008D3598" w:rsidRPr="00511330" w:rsidRDefault="008D3598" w:rsidP="00F66AF8">
            <w:pPr>
              <w:ind w:right="-446"/>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NFI</w:t>
            </w:r>
          </w:p>
        </w:tc>
        <w:tc>
          <w:tcPr>
            <w:tcW w:w="2015" w:type="dxa"/>
            <w:vAlign w:val="center"/>
          </w:tcPr>
          <w:p w14:paraId="64416B66" w14:textId="77777777" w:rsidR="008D3598" w:rsidRPr="00511330" w:rsidRDefault="008D3598" w:rsidP="00B60641">
            <w:pPr>
              <w:ind w:right="27"/>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.896</w:t>
            </w:r>
          </w:p>
        </w:tc>
        <w:tc>
          <w:tcPr>
            <w:tcW w:w="4725" w:type="dxa"/>
            <w:vAlign w:val="center"/>
          </w:tcPr>
          <w:p w14:paraId="64416B67" w14:textId="77777777" w:rsidR="008D3598" w:rsidRPr="00511330" w:rsidRDefault="008D3598" w:rsidP="00F66AF8">
            <w:pPr>
              <w:ind w:right="-446"/>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0.95–1.0 (Miles, 2007; Thompson, 2004)</w:t>
            </w:r>
          </w:p>
        </w:tc>
      </w:tr>
      <w:tr w:rsidR="008D3598" w:rsidRPr="00511330" w14:paraId="64416B6C" w14:textId="77777777" w:rsidTr="00F66AF8">
        <w:trPr>
          <w:trHeight w:val="251"/>
        </w:trPr>
        <w:tc>
          <w:tcPr>
            <w:tcW w:w="1247" w:type="dxa"/>
            <w:vAlign w:val="center"/>
          </w:tcPr>
          <w:p w14:paraId="64416B69" w14:textId="77777777" w:rsidR="008D3598" w:rsidRPr="00511330" w:rsidRDefault="008D3598" w:rsidP="00F66AF8">
            <w:pPr>
              <w:ind w:right="-446"/>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TLI</w:t>
            </w:r>
          </w:p>
        </w:tc>
        <w:tc>
          <w:tcPr>
            <w:tcW w:w="2015" w:type="dxa"/>
            <w:vAlign w:val="center"/>
          </w:tcPr>
          <w:p w14:paraId="64416B6A" w14:textId="77777777" w:rsidR="008D3598" w:rsidRPr="00511330" w:rsidRDefault="008D3598" w:rsidP="00B60641">
            <w:pPr>
              <w:ind w:right="27"/>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.915</w:t>
            </w:r>
          </w:p>
        </w:tc>
        <w:tc>
          <w:tcPr>
            <w:tcW w:w="4725" w:type="dxa"/>
            <w:vAlign w:val="center"/>
          </w:tcPr>
          <w:p w14:paraId="64416B6B" w14:textId="77777777" w:rsidR="008D3598" w:rsidRPr="00511330" w:rsidRDefault="008D3598" w:rsidP="00F66AF8">
            <w:pPr>
              <w:ind w:right="-446"/>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0.95–1.0 (Miles, 2007; Thompson, 2004)</w:t>
            </w:r>
          </w:p>
        </w:tc>
      </w:tr>
      <w:tr w:rsidR="008D3598" w:rsidRPr="00511330" w14:paraId="64416B70" w14:textId="77777777" w:rsidTr="00F66AF8">
        <w:trPr>
          <w:trHeight w:val="314"/>
        </w:trPr>
        <w:tc>
          <w:tcPr>
            <w:tcW w:w="1247" w:type="dxa"/>
            <w:vAlign w:val="center"/>
          </w:tcPr>
          <w:p w14:paraId="64416B6D" w14:textId="77777777" w:rsidR="008D3598" w:rsidRPr="00511330" w:rsidRDefault="008D3598" w:rsidP="00F66AF8">
            <w:pPr>
              <w:ind w:right="-446"/>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CFI</w:t>
            </w:r>
          </w:p>
        </w:tc>
        <w:tc>
          <w:tcPr>
            <w:tcW w:w="2015" w:type="dxa"/>
            <w:vAlign w:val="center"/>
          </w:tcPr>
          <w:p w14:paraId="64416B6E" w14:textId="77777777" w:rsidR="008D3598" w:rsidRPr="00511330" w:rsidRDefault="008D3598" w:rsidP="00B60641">
            <w:pPr>
              <w:ind w:right="27"/>
              <w:jc w:val="center"/>
              <w:rPr>
                <w:rFonts w:asciiTheme="majorBidi" w:eastAsia="Calibri" w:hAnsiTheme="majorBidi" w:cstheme="majorBidi"/>
                <w:sz w:val="20"/>
                <w:szCs w:val="20"/>
                <w:lang w:val="en-US" w:bidi="ar-AE"/>
              </w:rPr>
            </w:pPr>
            <w:r w:rsidRPr="00511330">
              <w:rPr>
                <w:rFonts w:asciiTheme="majorBidi" w:hAnsiTheme="majorBidi" w:cstheme="majorBidi"/>
                <w:sz w:val="20"/>
                <w:szCs w:val="20"/>
                <w:lang w:val="en-US" w:bidi="ar-AE"/>
              </w:rPr>
              <w:t>.928</w:t>
            </w:r>
          </w:p>
        </w:tc>
        <w:tc>
          <w:tcPr>
            <w:tcW w:w="4725" w:type="dxa"/>
            <w:vAlign w:val="center"/>
          </w:tcPr>
          <w:p w14:paraId="64416B6F" w14:textId="77777777" w:rsidR="008D3598" w:rsidRPr="00511330" w:rsidRDefault="008D3598" w:rsidP="00F66AF8">
            <w:pPr>
              <w:ind w:right="-446"/>
              <w:rPr>
                <w:rFonts w:asciiTheme="majorBidi" w:eastAsia="Calibri" w:hAnsiTheme="majorBidi" w:cstheme="majorBidi"/>
                <w:sz w:val="20"/>
                <w:szCs w:val="20"/>
                <w:lang w:val="en-US" w:bidi="ar-AE"/>
              </w:rPr>
            </w:pPr>
            <w:r w:rsidRPr="00511330">
              <w:rPr>
                <w:rFonts w:asciiTheme="majorBidi" w:eastAsia="Calibri" w:hAnsiTheme="majorBidi" w:cstheme="majorBidi"/>
                <w:sz w:val="20"/>
                <w:szCs w:val="20"/>
                <w:lang w:val="en-US" w:bidi="ar-AE"/>
              </w:rPr>
              <w:t>&gt; 0.90 (Kline, 2011)</w:t>
            </w:r>
          </w:p>
        </w:tc>
      </w:tr>
    </w:tbl>
    <w:p w14:paraId="64416B71" w14:textId="77777777" w:rsidR="008D3598" w:rsidRPr="00511330" w:rsidRDefault="008D3598" w:rsidP="00721566">
      <w:pPr>
        <w:spacing w:after="0" w:line="240" w:lineRule="auto"/>
        <w:ind w:right="-450"/>
        <w:jc w:val="both"/>
        <w:rPr>
          <w:rFonts w:asciiTheme="majorBidi" w:eastAsia="Calibri" w:hAnsiTheme="majorBidi" w:cstheme="majorBidi"/>
          <w:b/>
          <w:bCs/>
          <w:sz w:val="20"/>
          <w:szCs w:val="20"/>
          <w:lang w:val="en-US" w:bidi="ar-AE"/>
        </w:rPr>
      </w:pPr>
      <w:r w:rsidRPr="00511330">
        <w:rPr>
          <w:rFonts w:asciiTheme="majorBidi" w:eastAsia="Calibri" w:hAnsiTheme="majorBidi" w:cstheme="majorBidi"/>
          <w:b/>
          <w:bCs/>
          <w:sz w:val="20"/>
          <w:szCs w:val="20"/>
          <w:lang w:val="en-US" w:bidi="ar-AE"/>
        </w:rPr>
        <w:t xml:space="preserve">Note. χ2/df = </w:t>
      </w:r>
      <w:r w:rsidRPr="00511330">
        <w:rPr>
          <w:rFonts w:asciiTheme="majorBidi" w:eastAsia="Calibri" w:hAnsiTheme="majorBidi" w:cstheme="majorBidi"/>
          <w:sz w:val="20"/>
          <w:szCs w:val="20"/>
          <w:lang w:val="en-US" w:bidi="ar-AE"/>
        </w:rPr>
        <w:t>normed chi-square statistic</w:t>
      </w:r>
      <w:r w:rsidRPr="00511330">
        <w:rPr>
          <w:rFonts w:asciiTheme="majorBidi" w:eastAsia="Calibri" w:hAnsiTheme="majorBidi" w:cstheme="majorBidi"/>
          <w:b/>
          <w:bCs/>
          <w:sz w:val="20"/>
          <w:szCs w:val="20"/>
          <w:lang w:val="en-US" w:bidi="ar-AE"/>
        </w:rPr>
        <w:t xml:space="preserve">; GFI = </w:t>
      </w:r>
      <w:r w:rsidRPr="00511330">
        <w:rPr>
          <w:rFonts w:asciiTheme="majorBidi" w:eastAsia="Calibri" w:hAnsiTheme="majorBidi" w:cstheme="majorBidi"/>
          <w:sz w:val="20"/>
          <w:szCs w:val="20"/>
          <w:lang w:val="en-US" w:bidi="ar-AE"/>
        </w:rPr>
        <w:t>goodness-of-fit index</w:t>
      </w:r>
      <w:r w:rsidRPr="00511330">
        <w:rPr>
          <w:rFonts w:asciiTheme="majorBidi" w:eastAsia="Calibri" w:hAnsiTheme="majorBidi" w:cstheme="majorBidi"/>
          <w:b/>
          <w:bCs/>
          <w:sz w:val="20"/>
          <w:szCs w:val="20"/>
          <w:lang w:val="en-US" w:bidi="ar-AE"/>
        </w:rPr>
        <w:t xml:space="preserve">; RMSEA = </w:t>
      </w:r>
      <w:r w:rsidRPr="00511330">
        <w:rPr>
          <w:rFonts w:asciiTheme="majorBidi" w:eastAsia="Calibri" w:hAnsiTheme="majorBidi" w:cstheme="majorBidi"/>
          <w:sz w:val="20"/>
          <w:szCs w:val="20"/>
          <w:lang w:val="en-US" w:bidi="ar-AE"/>
        </w:rPr>
        <w:t>root mean square error of approximation</w:t>
      </w:r>
      <w:r w:rsidRPr="00511330">
        <w:rPr>
          <w:rFonts w:asciiTheme="majorBidi" w:eastAsia="Calibri" w:hAnsiTheme="majorBidi" w:cstheme="majorBidi"/>
          <w:b/>
          <w:bCs/>
          <w:sz w:val="20"/>
          <w:szCs w:val="20"/>
          <w:lang w:val="en-US" w:bidi="ar-AE"/>
        </w:rPr>
        <w:t xml:space="preserve">; NFI = </w:t>
      </w:r>
      <w:r w:rsidRPr="00511330">
        <w:rPr>
          <w:rFonts w:asciiTheme="majorBidi" w:eastAsia="Calibri" w:hAnsiTheme="majorBidi" w:cstheme="majorBidi"/>
          <w:sz w:val="20"/>
          <w:szCs w:val="20"/>
          <w:lang w:val="en-US" w:bidi="ar-AE"/>
        </w:rPr>
        <w:t>normed fit index</w:t>
      </w:r>
      <w:r w:rsidRPr="00511330">
        <w:rPr>
          <w:rFonts w:asciiTheme="majorBidi" w:eastAsia="Calibri" w:hAnsiTheme="majorBidi" w:cstheme="majorBidi"/>
          <w:b/>
          <w:bCs/>
          <w:sz w:val="20"/>
          <w:szCs w:val="20"/>
          <w:lang w:val="en-US" w:bidi="ar-AE"/>
        </w:rPr>
        <w:t xml:space="preserve">; TLI= </w:t>
      </w:r>
      <w:r w:rsidRPr="00511330">
        <w:rPr>
          <w:rFonts w:asciiTheme="majorBidi" w:eastAsia="Calibri" w:hAnsiTheme="majorBidi" w:cstheme="majorBidi"/>
          <w:sz w:val="20"/>
          <w:szCs w:val="20"/>
          <w:lang w:val="en-US" w:bidi="ar-AE"/>
        </w:rPr>
        <w:t>Tucker–Lewis index</w:t>
      </w:r>
      <w:r w:rsidRPr="00511330">
        <w:rPr>
          <w:rFonts w:asciiTheme="majorBidi" w:eastAsia="Calibri" w:hAnsiTheme="majorBidi" w:cstheme="majorBidi"/>
          <w:b/>
          <w:bCs/>
          <w:sz w:val="20"/>
          <w:szCs w:val="20"/>
          <w:lang w:val="en-US" w:bidi="ar-AE"/>
        </w:rPr>
        <w:t xml:space="preserve">; CFI = </w:t>
      </w:r>
      <w:r w:rsidRPr="00511330">
        <w:rPr>
          <w:rFonts w:asciiTheme="majorBidi" w:eastAsia="Calibri" w:hAnsiTheme="majorBidi" w:cstheme="majorBidi"/>
          <w:sz w:val="20"/>
          <w:szCs w:val="20"/>
          <w:lang w:val="en-US" w:bidi="ar-AE"/>
        </w:rPr>
        <w:t>comparative fit index</w:t>
      </w:r>
      <w:r w:rsidRPr="00511330">
        <w:rPr>
          <w:rFonts w:asciiTheme="majorBidi" w:eastAsia="Calibri" w:hAnsiTheme="majorBidi" w:cstheme="majorBidi"/>
          <w:b/>
          <w:bCs/>
          <w:sz w:val="20"/>
          <w:szCs w:val="20"/>
          <w:lang w:val="en-US" w:bidi="ar-AE"/>
        </w:rPr>
        <w:t>.</w:t>
      </w:r>
    </w:p>
    <w:p w14:paraId="64416B72" w14:textId="77777777" w:rsidR="008D3598" w:rsidRPr="00511330" w:rsidRDefault="008D3598" w:rsidP="00721566">
      <w:pPr>
        <w:spacing w:after="0" w:line="240" w:lineRule="auto"/>
        <w:ind w:right="-450"/>
        <w:jc w:val="both"/>
        <w:rPr>
          <w:rFonts w:asciiTheme="majorBidi" w:eastAsia="Calibri" w:hAnsiTheme="majorBidi" w:cstheme="majorBidi"/>
          <w:b/>
          <w:bCs/>
          <w:sz w:val="24"/>
          <w:szCs w:val="24"/>
          <w:lang w:val="en-US" w:bidi="ar-AE"/>
        </w:rPr>
      </w:pPr>
    </w:p>
    <w:p w14:paraId="64416B73" w14:textId="77777777" w:rsidR="008D3598" w:rsidRPr="00511330" w:rsidRDefault="008D3598" w:rsidP="00721566">
      <w:pPr>
        <w:spacing w:after="0" w:line="240" w:lineRule="auto"/>
        <w:ind w:right="-450"/>
        <w:jc w:val="both"/>
        <w:rPr>
          <w:rFonts w:asciiTheme="majorBidi" w:eastAsia="Calibri" w:hAnsiTheme="majorBidi" w:cstheme="majorBidi"/>
          <w:b/>
          <w:bCs/>
          <w:sz w:val="24"/>
          <w:szCs w:val="24"/>
          <w:lang w:val="en-US" w:bidi="ar-AE"/>
        </w:rPr>
      </w:pPr>
    </w:p>
    <w:p w14:paraId="20A18CAC" w14:textId="77777777" w:rsidR="00F66AF8" w:rsidRPr="00511330" w:rsidRDefault="00F66AF8" w:rsidP="00721566">
      <w:pPr>
        <w:spacing w:after="0" w:line="240" w:lineRule="auto"/>
        <w:ind w:right="-450"/>
        <w:jc w:val="both"/>
        <w:rPr>
          <w:rFonts w:asciiTheme="majorBidi" w:eastAsia="Calibri" w:hAnsiTheme="majorBidi" w:cstheme="majorBidi"/>
          <w:b/>
          <w:bCs/>
          <w:sz w:val="24"/>
          <w:szCs w:val="24"/>
          <w:lang w:val="en-US" w:bidi="ar-AE"/>
        </w:rPr>
      </w:pPr>
    </w:p>
    <w:p w14:paraId="64416B74" w14:textId="12610454" w:rsidR="008D3598" w:rsidRPr="00511330" w:rsidRDefault="008D3598" w:rsidP="00721566">
      <w:pPr>
        <w:spacing w:after="0" w:line="240" w:lineRule="auto"/>
        <w:ind w:right="-450"/>
        <w:jc w:val="both"/>
        <w:rPr>
          <w:rFonts w:asciiTheme="majorBidi" w:eastAsia="Calibri" w:hAnsiTheme="majorBidi" w:cstheme="majorBidi"/>
          <w:b/>
          <w:bCs/>
          <w:sz w:val="24"/>
          <w:szCs w:val="24"/>
          <w:lang w:val="en-US" w:bidi="ar-AE"/>
        </w:rPr>
      </w:pPr>
    </w:p>
    <w:p w14:paraId="64416B75" w14:textId="2EEFC6D6" w:rsidR="008D3598" w:rsidRPr="00511330" w:rsidRDefault="006B1073" w:rsidP="00721566">
      <w:pPr>
        <w:ind w:right="-450"/>
        <w:rPr>
          <w:rFonts w:asciiTheme="majorBidi" w:eastAsia="Calibri" w:hAnsiTheme="majorBidi" w:cstheme="majorBidi"/>
          <w:sz w:val="24"/>
          <w:szCs w:val="24"/>
          <w:lang w:val="en-US" w:bidi="ar-AE"/>
        </w:rPr>
      </w:pPr>
      <w:r w:rsidRPr="00511330">
        <w:rPr>
          <w:noProof/>
          <w:lang w:val="en-US"/>
        </w:rPr>
        <w:lastRenderedPageBreak/>
        <mc:AlternateContent>
          <mc:Choice Requires="wps">
            <w:drawing>
              <wp:anchor distT="0" distB="0" distL="114300" distR="114300" simplePos="0" relativeHeight="251663360" behindDoc="0" locked="0" layoutInCell="1" allowOverlap="1" wp14:anchorId="64416D5C" wp14:editId="48730FE5">
                <wp:simplePos x="0" y="0"/>
                <wp:positionH relativeFrom="column">
                  <wp:posOffset>-633095</wp:posOffset>
                </wp:positionH>
                <wp:positionV relativeFrom="paragraph">
                  <wp:posOffset>6369093</wp:posOffset>
                </wp:positionV>
                <wp:extent cx="5829300" cy="635"/>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5829300" cy="635"/>
                        </a:xfrm>
                        <a:prstGeom prst="rect">
                          <a:avLst/>
                        </a:prstGeom>
                        <a:solidFill>
                          <a:prstClr val="white"/>
                        </a:solidFill>
                        <a:ln>
                          <a:noFill/>
                        </a:ln>
                        <a:effectLst/>
                      </wps:spPr>
                      <wps:txbx>
                        <w:txbxContent>
                          <w:p w14:paraId="64416D73" w14:textId="605E7BCE" w:rsidR="008E0079" w:rsidRPr="00AC2474" w:rsidRDefault="008E0079" w:rsidP="008D3598">
                            <w:pPr>
                              <w:pStyle w:val="Caption"/>
                              <w:rPr>
                                <w:rFonts w:asciiTheme="majorBidi" w:eastAsia="Calibri" w:hAnsiTheme="majorBidi" w:cstheme="majorBidi"/>
                                <w:b w:val="0"/>
                                <w:bCs w:val="0"/>
                                <w:noProof/>
                                <w:color w:val="auto"/>
                                <w:sz w:val="20"/>
                                <w:szCs w:val="20"/>
                              </w:rPr>
                            </w:pPr>
                            <w:bookmarkStart w:id="1117" w:name="_Toc43311502"/>
                            <w:r w:rsidRPr="007B41A5">
                              <w:rPr>
                                <w:rFonts w:asciiTheme="majorBidi" w:hAnsiTheme="majorBidi" w:cstheme="majorBidi"/>
                                <w:b w:val="0"/>
                                <w:bCs w:val="0"/>
                                <w:i/>
                                <w:iCs/>
                                <w:color w:val="auto"/>
                                <w:sz w:val="20"/>
                                <w:szCs w:val="20"/>
                              </w:rPr>
                              <w:t xml:space="preserve">Figure 4. </w:t>
                            </w:r>
                            <w:r w:rsidRPr="007B41A5">
                              <w:rPr>
                                <w:rFonts w:asciiTheme="majorBidi" w:hAnsiTheme="majorBidi" w:cstheme="majorBidi"/>
                                <w:b w:val="0"/>
                                <w:bCs w:val="0"/>
                                <w:i/>
                                <w:iCs/>
                                <w:color w:val="auto"/>
                                <w:sz w:val="20"/>
                                <w:szCs w:val="20"/>
                              </w:rPr>
                              <w:fldChar w:fldCharType="begin"/>
                            </w:r>
                            <w:r w:rsidRPr="007B41A5">
                              <w:rPr>
                                <w:rFonts w:asciiTheme="majorBidi" w:hAnsiTheme="majorBidi" w:cstheme="majorBidi"/>
                                <w:b w:val="0"/>
                                <w:bCs w:val="0"/>
                                <w:i/>
                                <w:iCs/>
                                <w:color w:val="auto"/>
                                <w:sz w:val="20"/>
                                <w:szCs w:val="20"/>
                              </w:rPr>
                              <w:instrText xml:space="preserve"> SEQ Figure_4. \* ARABIC </w:instrText>
                            </w:r>
                            <w:r w:rsidRPr="007B41A5">
                              <w:rPr>
                                <w:rFonts w:asciiTheme="majorBidi" w:hAnsiTheme="majorBidi" w:cstheme="majorBidi"/>
                                <w:b w:val="0"/>
                                <w:bCs w:val="0"/>
                                <w:i/>
                                <w:iCs/>
                                <w:color w:val="auto"/>
                                <w:sz w:val="20"/>
                                <w:szCs w:val="20"/>
                              </w:rPr>
                              <w:fldChar w:fldCharType="separate"/>
                            </w:r>
                            <w:r>
                              <w:rPr>
                                <w:rFonts w:asciiTheme="majorBidi" w:hAnsiTheme="majorBidi" w:cstheme="majorBidi"/>
                                <w:b w:val="0"/>
                                <w:bCs w:val="0"/>
                                <w:i/>
                                <w:iCs/>
                                <w:noProof/>
                                <w:color w:val="auto"/>
                                <w:sz w:val="20"/>
                                <w:szCs w:val="20"/>
                              </w:rPr>
                              <w:t>7</w:t>
                            </w:r>
                            <w:r w:rsidRPr="007B41A5">
                              <w:rPr>
                                <w:rFonts w:asciiTheme="majorBidi" w:hAnsiTheme="majorBidi" w:cstheme="majorBidi"/>
                                <w:b w:val="0"/>
                                <w:bCs w:val="0"/>
                                <w:i/>
                                <w:iCs/>
                                <w:color w:val="auto"/>
                                <w:sz w:val="20"/>
                                <w:szCs w:val="20"/>
                              </w:rPr>
                              <w:fldChar w:fldCharType="end"/>
                            </w:r>
                            <w:r>
                              <w:rPr>
                                <w:rFonts w:asciiTheme="majorBidi" w:hAnsiTheme="majorBidi" w:cstheme="majorBidi"/>
                                <w:b w:val="0"/>
                                <w:bCs w:val="0"/>
                                <w:i/>
                                <w:iCs/>
                                <w:noProof/>
                                <w:color w:val="auto"/>
                                <w:sz w:val="20"/>
                                <w:szCs w:val="20"/>
                                <w:lang w:val="en-US"/>
                              </w:rPr>
                              <w:t>:</w:t>
                            </w:r>
                            <w:r w:rsidRPr="00AC2474">
                              <w:rPr>
                                <w:rFonts w:asciiTheme="majorBidi" w:hAnsiTheme="majorBidi" w:cstheme="majorBidi"/>
                                <w:b w:val="0"/>
                                <w:bCs w:val="0"/>
                                <w:noProof/>
                                <w:color w:val="auto"/>
                                <w:sz w:val="20"/>
                                <w:szCs w:val="20"/>
                                <w:lang w:val="en-US"/>
                              </w:rPr>
                              <w:t xml:space="preserve"> Goodness-of-Fit Indices the 2nd-Order Model on Barriers</w:t>
                            </w:r>
                            <w:bookmarkEnd w:id="11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64416D5C" id="Text Box 22" o:spid="_x0000_s1032" type="#_x0000_t202" style="position:absolute;margin-left:-49.85pt;margin-top:501.5pt;width:459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" stroked="f">
                <v:textbox style="mso-fit-shape-to-text:t" inset="0,0,0,0">
                  <w:txbxContent>
                    <w:p w14:paraId="64416D73" w14:textId="605E7BCE" w:rsidR="008E0079" w:rsidRPr="00AC2474" w:rsidRDefault="008E0079" w:rsidP="008D3598">
                      <w:pPr>
                        <w:pStyle w:val="Caption"/>
                        <w:rPr>
                          <w:rFonts w:asciiTheme="majorBidi" w:eastAsia="Calibri" w:hAnsiTheme="majorBidi" w:cstheme="majorBidi"/>
                          <w:b w:val="0"/>
                          <w:bCs w:val="0"/>
                          <w:noProof/>
                          <w:color w:val="auto"/>
                          <w:sz w:val="20"/>
                          <w:szCs w:val="20"/>
                        </w:rPr>
                      </w:pPr>
                      <w:bookmarkStart w:id="1123" w:name="_Toc43311502"/>
                      <w:r w:rsidRPr="007B41A5">
                        <w:rPr>
                          <w:rFonts w:asciiTheme="majorBidi" w:hAnsiTheme="majorBidi" w:cstheme="majorBidi"/>
                          <w:b w:val="0"/>
                          <w:bCs w:val="0"/>
                          <w:i/>
                          <w:iCs/>
                          <w:color w:val="auto"/>
                          <w:sz w:val="20"/>
                          <w:szCs w:val="20"/>
                        </w:rPr>
                        <w:t xml:space="preserve">Figure 4. </w:t>
                      </w:r>
                      <w:r w:rsidRPr="007B41A5">
                        <w:rPr>
                          <w:rFonts w:asciiTheme="majorBidi" w:hAnsiTheme="majorBidi" w:cstheme="majorBidi"/>
                          <w:b w:val="0"/>
                          <w:bCs w:val="0"/>
                          <w:i/>
                          <w:iCs/>
                          <w:color w:val="auto"/>
                          <w:sz w:val="20"/>
                          <w:szCs w:val="20"/>
                        </w:rPr>
                        <w:fldChar w:fldCharType="begin"/>
                      </w:r>
                      <w:r w:rsidRPr="007B41A5">
                        <w:rPr>
                          <w:rFonts w:asciiTheme="majorBidi" w:hAnsiTheme="majorBidi" w:cstheme="majorBidi"/>
                          <w:b w:val="0"/>
                          <w:bCs w:val="0"/>
                          <w:i/>
                          <w:iCs/>
                          <w:color w:val="auto"/>
                          <w:sz w:val="20"/>
                          <w:szCs w:val="20"/>
                        </w:rPr>
                        <w:instrText xml:space="preserve"> SEQ Figure_4. \* ARABIC </w:instrText>
                      </w:r>
                      <w:r w:rsidRPr="007B41A5">
                        <w:rPr>
                          <w:rFonts w:asciiTheme="majorBidi" w:hAnsiTheme="majorBidi" w:cstheme="majorBidi"/>
                          <w:b w:val="0"/>
                          <w:bCs w:val="0"/>
                          <w:i/>
                          <w:iCs/>
                          <w:color w:val="auto"/>
                          <w:sz w:val="20"/>
                          <w:szCs w:val="20"/>
                        </w:rPr>
                        <w:fldChar w:fldCharType="separate"/>
                      </w:r>
                      <w:r>
                        <w:rPr>
                          <w:rFonts w:asciiTheme="majorBidi" w:hAnsiTheme="majorBidi" w:cstheme="majorBidi"/>
                          <w:b w:val="0"/>
                          <w:bCs w:val="0"/>
                          <w:i/>
                          <w:iCs/>
                          <w:noProof/>
                          <w:color w:val="auto"/>
                          <w:sz w:val="20"/>
                          <w:szCs w:val="20"/>
                        </w:rPr>
                        <w:t>7</w:t>
                      </w:r>
                      <w:r w:rsidRPr="007B41A5">
                        <w:rPr>
                          <w:rFonts w:asciiTheme="majorBidi" w:hAnsiTheme="majorBidi" w:cstheme="majorBidi"/>
                          <w:b w:val="0"/>
                          <w:bCs w:val="0"/>
                          <w:i/>
                          <w:iCs/>
                          <w:color w:val="auto"/>
                          <w:sz w:val="20"/>
                          <w:szCs w:val="20"/>
                        </w:rPr>
                        <w:fldChar w:fldCharType="end"/>
                      </w:r>
                      <w:r>
                        <w:rPr>
                          <w:rFonts w:asciiTheme="majorBidi" w:hAnsiTheme="majorBidi" w:cstheme="majorBidi"/>
                          <w:b w:val="0"/>
                          <w:bCs w:val="0"/>
                          <w:i/>
                          <w:iCs/>
                          <w:noProof/>
                          <w:color w:val="auto"/>
                          <w:sz w:val="20"/>
                          <w:szCs w:val="20"/>
                          <w:lang w:val="en-US"/>
                        </w:rPr>
                        <w:t>:</w:t>
                      </w:r>
                      <w:r w:rsidRPr="00AC2474">
                        <w:rPr>
                          <w:rFonts w:asciiTheme="majorBidi" w:hAnsiTheme="majorBidi" w:cstheme="majorBidi"/>
                          <w:b w:val="0"/>
                          <w:bCs w:val="0"/>
                          <w:noProof/>
                          <w:color w:val="auto"/>
                          <w:sz w:val="20"/>
                          <w:szCs w:val="20"/>
                          <w:lang w:val="en-US"/>
                        </w:rPr>
                        <w:t xml:space="preserve"> Goodness-of-Fit Indices the 2nd-Order Model on Barriers</w:t>
                      </w:r>
                      <w:bookmarkEnd w:id="1123"/>
                    </w:p>
                  </w:txbxContent>
                </v:textbox>
                <w10:wrap type="square"/>
              </v:shape>
            </w:pict>
          </mc:Fallback>
        </mc:AlternateContent>
      </w:r>
      <w:r w:rsidR="008D3598" w:rsidRPr="00511330">
        <w:rPr>
          <w:rFonts w:asciiTheme="majorBidi" w:eastAsia="Calibri" w:hAnsiTheme="majorBidi" w:cstheme="majorBidi"/>
          <w:noProof/>
          <w:sz w:val="24"/>
          <w:szCs w:val="24"/>
          <w:lang w:val="en-US"/>
        </w:rPr>
        <w:drawing>
          <wp:inline distT="0" distB="0" distL="0" distR="0" wp14:anchorId="64416D5E" wp14:editId="33BF2E2F">
            <wp:extent cx="4994031" cy="6157952"/>
            <wp:effectExtent l="0" t="0" r="0" b="0"/>
            <wp:docPr id="29" name="Picture 29" descr="C:\Users\mohammed.alhammadi\Downloads\FINAL BARRIER SECOND ORDER R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hammed.alhammadi\Downloads\FINAL BARRIER SECOND ORDER R04 (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98050" cy="6162907"/>
                    </a:xfrm>
                    <a:prstGeom prst="rect">
                      <a:avLst/>
                    </a:prstGeom>
                    <a:noFill/>
                    <a:ln>
                      <a:noFill/>
                    </a:ln>
                  </pic:spPr>
                </pic:pic>
              </a:graphicData>
            </a:graphic>
          </wp:inline>
        </w:drawing>
      </w:r>
      <w:r w:rsidR="008D3598" w:rsidRPr="00511330">
        <w:rPr>
          <w:rFonts w:asciiTheme="majorBidi" w:eastAsia="Calibri" w:hAnsiTheme="majorBidi" w:cstheme="majorBidi"/>
          <w:sz w:val="24"/>
          <w:szCs w:val="24"/>
          <w:lang w:val="en-US" w:bidi="ar-AE"/>
        </w:rPr>
        <w:br w:type="page"/>
      </w:r>
    </w:p>
    <w:p w14:paraId="64416B76" w14:textId="699E05DB" w:rsidR="008D3598" w:rsidRPr="00511330" w:rsidRDefault="008D3598" w:rsidP="00721566">
      <w:pPr>
        <w:spacing w:after="200" w:line="480" w:lineRule="auto"/>
        <w:ind w:right="-450"/>
        <w:jc w:val="both"/>
        <w:rPr>
          <w:rFonts w:asciiTheme="majorBidi" w:eastAsia="Calibri" w:hAnsiTheme="majorBidi" w:cstheme="majorBidi"/>
          <w:sz w:val="24"/>
          <w:szCs w:val="24"/>
          <w:lang w:val="en-US" w:bidi="ar-AE"/>
        </w:rPr>
      </w:pPr>
      <w:r w:rsidRPr="00511330">
        <w:rPr>
          <w:rFonts w:asciiTheme="majorBidi" w:eastAsia="Calibri" w:hAnsiTheme="majorBidi" w:cstheme="majorBidi"/>
          <w:sz w:val="24"/>
          <w:szCs w:val="24"/>
          <w:lang w:val="en-US" w:bidi="ar-AE"/>
        </w:rPr>
        <w:lastRenderedPageBreak/>
        <w:t xml:space="preserve">Next, convergent and discriminant validities were evaluated in order to assess the construct validity of the factors in the measurement model. The convergent validity among items in the model was evaluated by analyzing their factor loadings and calculating the average variance extracted (AVE) and composite reliability (CR). The recommended value factor loading for AVE is 0.5 or higher, and for the CR 0.7 or higher (Hair, </w:t>
      </w:r>
      <w:r w:rsidR="00CC301B" w:rsidRPr="00511330">
        <w:rPr>
          <w:rFonts w:asciiTheme="majorBidi" w:eastAsia="Calibri" w:hAnsiTheme="majorBidi" w:cstheme="majorBidi"/>
          <w:sz w:val="24"/>
          <w:szCs w:val="24"/>
          <w:lang w:val="en-US" w:bidi="ar-AE"/>
        </w:rPr>
        <w:t>et al.</w:t>
      </w:r>
      <w:r w:rsidRPr="00511330">
        <w:rPr>
          <w:rFonts w:asciiTheme="majorBidi" w:eastAsia="Calibri" w:hAnsiTheme="majorBidi" w:cstheme="majorBidi"/>
          <w:sz w:val="24"/>
          <w:szCs w:val="24"/>
          <w:lang w:val="en-US" w:bidi="ar-AE"/>
        </w:rPr>
        <w:t xml:space="preserve">, 2010; MacKenzie, Podsakoff, </w:t>
      </w:r>
      <w:r w:rsidR="00715A2C" w:rsidRPr="00511330">
        <w:rPr>
          <w:rFonts w:asciiTheme="majorBidi" w:eastAsia="Calibri" w:hAnsiTheme="majorBidi" w:cstheme="majorBidi"/>
          <w:sz w:val="24"/>
          <w:szCs w:val="24"/>
          <w:lang w:val="en-US" w:bidi="ar-AE"/>
        </w:rPr>
        <w:t>and</w:t>
      </w:r>
      <w:r w:rsidRPr="00511330">
        <w:rPr>
          <w:rFonts w:asciiTheme="majorBidi" w:eastAsia="Calibri" w:hAnsiTheme="majorBidi" w:cstheme="majorBidi"/>
          <w:sz w:val="24"/>
          <w:szCs w:val="24"/>
          <w:lang w:val="en-US" w:bidi="ar-AE"/>
        </w:rPr>
        <w:t xml:space="preserve"> Podsakoff, 2011). The discriminant validity of the constructs was evaluated using the maximum shared variance (MSV). On the other hand, good discriminant validity is indicated by an MSV less than the AVE and by inter-item correlations that are greater than the square root of the AVE (Hair et al., 2010).</w:t>
      </w:r>
    </w:p>
    <w:p w14:paraId="64416B77" w14:textId="6FF14AA2" w:rsidR="008D3598" w:rsidRPr="00511330" w:rsidRDefault="008D3598" w:rsidP="0029778E">
      <w:pPr>
        <w:spacing w:after="200" w:line="480" w:lineRule="auto"/>
        <w:ind w:right="-450"/>
        <w:jc w:val="both"/>
        <w:rPr>
          <w:rFonts w:asciiTheme="majorBidi" w:eastAsia="Calibri" w:hAnsiTheme="majorBidi" w:cstheme="majorBidi"/>
          <w:sz w:val="24"/>
          <w:szCs w:val="24"/>
          <w:lang w:val="en-US" w:bidi="ar-AE"/>
        </w:rPr>
      </w:pPr>
      <w:r w:rsidRPr="00511330">
        <w:rPr>
          <w:rFonts w:asciiTheme="majorBidi" w:eastAsia="Calibri" w:hAnsiTheme="majorBidi" w:cstheme="majorBidi"/>
          <w:sz w:val="24"/>
          <w:szCs w:val="24"/>
          <w:lang w:val="en-US" w:bidi="ar-AE"/>
        </w:rPr>
        <w:t xml:space="preserve">Finally, considering the fact that the entire data came from a single instrument, the zero-constrained method was used to test for common method bias, which has its roots in the behavioral sciences and dates back well over four decades (Campbell </w:t>
      </w:r>
      <w:r w:rsidR="00715A2C" w:rsidRPr="00511330">
        <w:rPr>
          <w:rFonts w:asciiTheme="majorBidi" w:eastAsia="Calibri" w:hAnsiTheme="majorBidi" w:cstheme="majorBidi"/>
          <w:sz w:val="24"/>
          <w:szCs w:val="24"/>
          <w:lang w:val="en-US" w:bidi="ar-AE"/>
        </w:rPr>
        <w:t>and</w:t>
      </w:r>
      <w:r w:rsidRPr="00511330">
        <w:rPr>
          <w:rFonts w:asciiTheme="majorBidi" w:eastAsia="Calibri" w:hAnsiTheme="majorBidi" w:cstheme="majorBidi"/>
          <w:sz w:val="24"/>
          <w:szCs w:val="24"/>
          <w:lang w:val="en-US" w:bidi="ar-AE"/>
        </w:rPr>
        <w:t xml:space="preserve"> Fiske, 1959). Common method bias arises when “some of the differential covariance among (items or constructs) is due to the measurement approach rather than the substantive latent factor” (Brown, 2006, p. 159). Method biases are severe issues as they are major causes of measurement error affecting the validity of the findings about the interplay between variables (</w:t>
      </w:r>
      <w:r w:rsidR="0029778E" w:rsidRPr="00511330">
        <w:rPr>
          <w:rFonts w:asciiTheme="majorBidi" w:eastAsia="Calibri" w:hAnsiTheme="majorBidi" w:cstheme="majorBidi"/>
          <w:sz w:val="24"/>
          <w:szCs w:val="24"/>
          <w:lang w:val="en-US"/>
        </w:rPr>
        <w:t>Bagozzi et al.</w:t>
      </w:r>
      <w:r w:rsidRPr="00511330">
        <w:rPr>
          <w:rFonts w:asciiTheme="majorBidi" w:eastAsia="Calibri" w:hAnsiTheme="majorBidi" w:cstheme="majorBidi"/>
          <w:sz w:val="24"/>
          <w:szCs w:val="24"/>
          <w:lang w:val="en-US" w:bidi="ar-AE"/>
        </w:rPr>
        <w:t>, 1991; Podsakoff</w:t>
      </w:r>
      <w:r w:rsidR="00CC301B" w:rsidRPr="00511330">
        <w:rPr>
          <w:rFonts w:asciiTheme="majorBidi" w:eastAsia="Calibri" w:hAnsiTheme="majorBidi" w:cstheme="majorBidi"/>
          <w:sz w:val="24"/>
          <w:szCs w:val="24"/>
          <w:lang w:val="en-US" w:bidi="ar-AE"/>
        </w:rPr>
        <w:t xml:space="preserve"> dt al.</w:t>
      </w:r>
      <w:r w:rsidRPr="00511330">
        <w:rPr>
          <w:rFonts w:asciiTheme="majorBidi" w:eastAsia="Calibri" w:hAnsiTheme="majorBidi" w:cstheme="majorBidi"/>
          <w:sz w:val="24"/>
          <w:szCs w:val="24"/>
          <w:lang w:val="en-US" w:bidi="ar-AE"/>
        </w:rPr>
        <w:t xml:space="preserve">, 2003). The most common problems caused by common method bias include biased estimates of reliability and validity of a latent construct (Baumgartner </w:t>
      </w:r>
      <w:r w:rsidR="00715A2C" w:rsidRPr="00511330">
        <w:rPr>
          <w:rFonts w:asciiTheme="majorBidi" w:eastAsia="Calibri" w:hAnsiTheme="majorBidi" w:cstheme="majorBidi"/>
          <w:sz w:val="24"/>
          <w:szCs w:val="24"/>
          <w:lang w:val="en-US" w:bidi="ar-AE"/>
        </w:rPr>
        <w:t>and</w:t>
      </w:r>
      <w:r w:rsidRPr="00511330">
        <w:rPr>
          <w:rFonts w:asciiTheme="majorBidi" w:eastAsia="Calibri" w:hAnsiTheme="majorBidi" w:cstheme="majorBidi"/>
          <w:sz w:val="24"/>
          <w:szCs w:val="24"/>
          <w:lang w:val="en-US" w:bidi="ar-AE"/>
        </w:rPr>
        <w:t xml:space="preserve"> Steenkamp, 2001; MacKenzie </w:t>
      </w:r>
      <w:r w:rsidR="00715A2C" w:rsidRPr="00511330">
        <w:rPr>
          <w:rFonts w:asciiTheme="majorBidi" w:eastAsia="Calibri" w:hAnsiTheme="majorBidi" w:cstheme="majorBidi"/>
          <w:sz w:val="24"/>
          <w:szCs w:val="24"/>
          <w:lang w:val="en-US" w:bidi="ar-AE"/>
        </w:rPr>
        <w:t>and</w:t>
      </w:r>
      <w:r w:rsidRPr="00511330">
        <w:rPr>
          <w:rFonts w:asciiTheme="majorBidi" w:eastAsia="Calibri" w:hAnsiTheme="majorBidi" w:cstheme="majorBidi"/>
          <w:sz w:val="24"/>
          <w:szCs w:val="24"/>
          <w:lang w:val="en-US"/>
        </w:rPr>
        <w:t xml:space="preserve"> </w:t>
      </w:r>
      <w:r w:rsidRPr="00511330">
        <w:rPr>
          <w:rFonts w:asciiTheme="majorBidi" w:eastAsia="Calibri" w:hAnsiTheme="majorBidi" w:cstheme="majorBidi"/>
          <w:sz w:val="24"/>
          <w:szCs w:val="24"/>
          <w:lang w:val="en-US" w:bidi="ar-AE"/>
        </w:rPr>
        <w:t xml:space="preserve">Podsakoff, 2012) and biased estimates for the empirical nexuses between constructs (Cote </w:t>
      </w:r>
      <w:r w:rsidR="00715A2C" w:rsidRPr="00511330">
        <w:rPr>
          <w:rFonts w:asciiTheme="majorBidi" w:eastAsia="Calibri" w:hAnsiTheme="majorBidi" w:cstheme="majorBidi"/>
          <w:sz w:val="24"/>
          <w:szCs w:val="24"/>
          <w:lang w:val="en-US" w:bidi="ar-AE"/>
        </w:rPr>
        <w:t>and</w:t>
      </w:r>
      <w:r w:rsidRPr="00511330">
        <w:rPr>
          <w:rFonts w:asciiTheme="majorBidi" w:eastAsia="Calibri" w:hAnsiTheme="majorBidi" w:cstheme="majorBidi"/>
          <w:sz w:val="24"/>
          <w:szCs w:val="24"/>
          <w:lang w:val="en-US" w:bidi="ar-AE"/>
        </w:rPr>
        <w:t xml:space="preserve"> Buckley, 1988; Siemsen, Roth, </w:t>
      </w:r>
      <w:r w:rsidR="00715A2C" w:rsidRPr="00511330">
        <w:rPr>
          <w:rFonts w:asciiTheme="majorBidi" w:eastAsia="Calibri" w:hAnsiTheme="majorBidi" w:cstheme="majorBidi"/>
          <w:sz w:val="24"/>
          <w:szCs w:val="24"/>
          <w:lang w:val="en-US" w:bidi="ar-AE"/>
        </w:rPr>
        <w:t>and</w:t>
      </w:r>
      <w:r w:rsidRPr="00511330">
        <w:rPr>
          <w:rFonts w:asciiTheme="majorBidi" w:eastAsia="Calibri" w:hAnsiTheme="majorBidi" w:cstheme="majorBidi"/>
          <w:sz w:val="24"/>
          <w:szCs w:val="24"/>
          <w:lang w:val="en-US" w:bidi="ar-AE"/>
        </w:rPr>
        <w:t xml:space="preserve"> Oliveira, 2010).</w:t>
      </w:r>
    </w:p>
    <w:p w14:paraId="64416B78" w14:textId="6C7CD15D" w:rsidR="008D3598" w:rsidRPr="00511330" w:rsidRDefault="008D3598" w:rsidP="00881819">
      <w:pPr>
        <w:pStyle w:val="Caption"/>
        <w:keepNext/>
        <w:spacing w:after="0"/>
        <w:ind w:left="90" w:right="-450"/>
        <w:rPr>
          <w:rFonts w:asciiTheme="majorBidi" w:hAnsiTheme="majorBidi" w:cstheme="majorBidi"/>
          <w:b w:val="0"/>
          <w:bCs w:val="0"/>
          <w:color w:val="auto"/>
          <w:sz w:val="20"/>
          <w:szCs w:val="20"/>
          <w:lang w:val="en-US"/>
        </w:rPr>
      </w:pPr>
      <w:bookmarkStart w:id="1118" w:name="_Toc43310924"/>
      <w:r w:rsidRPr="00511330">
        <w:rPr>
          <w:rFonts w:asciiTheme="majorBidi" w:hAnsiTheme="majorBidi" w:cstheme="majorBidi"/>
          <w:b w:val="0"/>
          <w:bCs w:val="0"/>
          <w:color w:val="auto"/>
          <w:sz w:val="20"/>
          <w:szCs w:val="20"/>
          <w:lang w:val="en-US"/>
        </w:rPr>
        <w:lastRenderedPageBreak/>
        <w:t xml:space="preserve">Table 4. </w:t>
      </w:r>
      <w:r w:rsidRPr="00511330">
        <w:rPr>
          <w:rFonts w:asciiTheme="majorBidi" w:hAnsiTheme="majorBidi" w:cstheme="majorBidi"/>
          <w:b w:val="0"/>
          <w:bCs w:val="0"/>
          <w:color w:val="auto"/>
          <w:sz w:val="20"/>
          <w:szCs w:val="20"/>
          <w:lang w:val="en-US"/>
        </w:rPr>
        <w:fldChar w:fldCharType="begin"/>
      </w:r>
      <w:r w:rsidRPr="00511330">
        <w:rPr>
          <w:rFonts w:asciiTheme="majorBidi" w:hAnsiTheme="majorBidi" w:cstheme="majorBidi"/>
          <w:b w:val="0"/>
          <w:bCs w:val="0"/>
          <w:color w:val="auto"/>
          <w:sz w:val="20"/>
          <w:szCs w:val="20"/>
          <w:lang w:val="en-US"/>
        </w:rPr>
        <w:instrText xml:space="preserve"> SEQ Table_4. \* ARABIC </w:instrText>
      </w:r>
      <w:r w:rsidRPr="00511330">
        <w:rPr>
          <w:rFonts w:asciiTheme="majorBidi" w:hAnsiTheme="majorBidi" w:cstheme="majorBidi"/>
          <w:b w:val="0"/>
          <w:bCs w:val="0"/>
          <w:color w:val="auto"/>
          <w:sz w:val="20"/>
          <w:szCs w:val="20"/>
          <w:lang w:val="en-US"/>
        </w:rPr>
        <w:fldChar w:fldCharType="separate"/>
      </w:r>
      <w:r w:rsidR="0033045F" w:rsidRPr="00511330">
        <w:rPr>
          <w:rFonts w:asciiTheme="majorBidi" w:hAnsiTheme="majorBidi" w:cstheme="majorBidi"/>
          <w:b w:val="0"/>
          <w:bCs w:val="0"/>
          <w:noProof/>
          <w:color w:val="auto"/>
          <w:sz w:val="20"/>
          <w:szCs w:val="20"/>
          <w:lang w:val="en-US"/>
        </w:rPr>
        <w:t>34</w:t>
      </w:r>
      <w:r w:rsidRPr="00511330">
        <w:rPr>
          <w:rFonts w:asciiTheme="majorBidi" w:hAnsiTheme="majorBidi" w:cstheme="majorBidi"/>
          <w:b w:val="0"/>
          <w:bCs w:val="0"/>
          <w:color w:val="auto"/>
          <w:sz w:val="20"/>
          <w:szCs w:val="20"/>
          <w:lang w:val="en-US"/>
        </w:rPr>
        <w:fldChar w:fldCharType="end"/>
      </w:r>
      <w:r w:rsidR="000C2140" w:rsidRPr="00511330">
        <w:rPr>
          <w:rFonts w:asciiTheme="majorBidi" w:hAnsiTheme="majorBidi" w:cstheme="majorBidi"/>
          <w:b w:val="0"/>
          <w:bCs w:val="0"/>
          <w:noProof/>
          <w:color w:val="auto"/>
          <w:sz w:val="20"/>
          <w:szCs w:val="20"/>
          <w:lang w:val="en-US"/>
        </w:rPr>
        <w:t>:</w:t>
      </w:r>
      <w:r w:rsidRPr="00511330">
        <w:rPr>
          <w:rFonts w:asciiTheme="majorBidi" w:hAnsiTheme="majorBidi" w:cstheme="majorBidi"/>
          <w:b w:val="0"/>
          <w:bCs w:val="0"/>
          <w:noProof/>
          <w:color w:val="auto"/>
          <w:sz w:val="20"/>
          <w:szCs w:val="20"/>
          <w:lang w:val="en-US"/>
        </w:rPr>
        <w:t xml:space="preserve"> </w:t>
      </w:r>
      <w:r w:rsidRPr="00511330">
        <w:rPr>
          <w:rFonts w:asciiTheme="majorBidi" w:hAnsiTheme="majorBidi" w:cstheme="majorBidi"/>
          <w:b w:val="0"/>
          <w:bCs w:val="0"/>
          <w:i/>
          <w:iCs/>
          <w:noProof/>
          <w:color w:val="auto"/>
          <w:sz w:val="20"/>
          <w:szCs w:val="20"/>
          <w:lang w:val="en-US"/>
        </w:rPr>
        <w:t>Validity and Reliability of the Four Barriers Constructs</w:t>
      </w:r>
      <w:bookmarkEnd w:id="1118"/>
    </w:p>
    <w:tbl>
      <w:tblPr>
        <w:tblW w:w="76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10"/>
        <w:gridCol w:w="1080"/>
        <w:gridCol w:w="1080"/>
        <w:gridCol w:w="1260"/>
        <w:gridCol w:w="1260"/>
        <w:gridCol w:w="1080"/>
      </w:tblGrid>
      <w:tr w:rsidR="00696F0A" w:rsidRPr="00511330" w14:paraId="64416B81" w14:textId="77777777" w:rsidTr="00881819">
        <w:trPr>
          <w:trHeight w:val="278"/>
        </w:trPr>
        <w:tc>
          <w:tcPr>
            <w:tcW w:w="1080" w:type="dxa"/>
            <w:shd w:val="clear" w:color="auto" w:fill="F2F2F2" w:themeFill="background1" w:themeFillShade="F2"/>
            <w:vAlign w:val="center"/>
          </w:tcPr>
          <w:p w14:paraId="64416B79" w14:textId="77777777" w:rsidR="00696F0A" w:rsidRPr="00511330" w:rsidRDefault="00696F0A" w:rsidP="00F66AF8">
            <w:pPr>
              <w:spacing w:after="0" w:line="240" w:lineRule="auto"/>
              <w:ind w:left="-90" w:right="-18"/>
              <w:jc w:val="center"/>
              <w:rPr>
                <w:rFonts w:asciiTheme="majorBidi" w:hAnsiTheme="majorBidi" w:cstheme="majorBidi"/>
                <w:b/>
                <w:bCs/>
                <w:sz w:val="20"/>
                <w:szCs w:val="20"/>
                <w:lang w:val="en-US"/>
              </w:rPr>
            </w:pPr>
            <w:r w:rsidRPr="00511330">
              <w:rPr>
                <w:rFonts w:asciiTheme="majorBidi" w:hAnsiTheme="majorBidi" w:cstheme="majorBidi"/>
                <w:b/>
                <w:bCs/>
                <w:sz w:val="20"/>
                <w:szCs w:val="20"/>
                <w:lang w:val="en-US"/>
              </w:rPr>
              <w:t>Factors</w:t>
            </w:r>
          </w:p>
        </w:tc>
        <w:tc>
          <w:tcPr>
            <w:tcW w:w="810" w:type="dxa"/>
            <w:shd w:val="clear" w:color="auto" w:fill="F2F2F2" w:themeFill="background1" w:themeFillShade="F2"/>
            <w:vAlign w:val="center"/>
          </w:tcPr>
          <w:p w14:paraId="64416B7B" w14:textId="77777777" w:rsidR="00696F0A" w:rsidRPr="00511330" w:rsidRDefault="00696F0A" w:rsidP="00F66AF8">
            <w:pPr>
              <w:spacing w:after="0" w:line="240" w:lineRule="auto"/>
              <w:ind w:left="-90" w:right="-136"/>
              <w:jc w:val="center"/>
              <w:rPr>
                <w:rFonts w:asciiTheme="majorBidi" w:hAnsiTheme="majorBidi" w:cstheme="majorBidi"/>
                <w:b/>
                <w:bCs/>
                <w:sz w:val="20"/>
                <w:szCs w:val="20"/>
                <w:lang w:val="en-US"/>
              </w:rPr>
            </w:pPr>
            <w:r w:rsidRPr="00511330">
              <w:rPr>
                <w:rFonts w:asciiTheme="majorBidi" w:hAnsiTheme="majorBidi" w:cstheme="majorBidi"/>
                <w:b/>
                <w:bCs/>
                <w:sz w:val="20"/>
                <w:szCs w:val="20"/>
                <w:lang w:val="en-US"/>
              </w:rPr>
              <w:t>CR</w:t>
            </w:r>
          </w:p>
        </w:tc>
        <w:tc>
          <w:tcPr>
            <w:tcW w:w="1080" w:type="dxa"/>
            <w:shd w:val="clear" w:color="auto" w:fill="F2F2F2" w:themeFill="background1" w:themeFillShade="F2"/>
            <w:vAlign w:val="center"/>
          </w:tcPr>
          <w:p w14:paraId="64416B7C" w14:textId="77777777" w:rsidR="00696F0A" w:rsidRPr="00511330" w:rsidRDefault="00696F0A" w:rsidP="00F66AF8">
            <w:pPr>
              <w:spacing w:after="0" w:line="240" w:lineRule="auto"/>
              <w:ind w:left="-90" w:right="-18"/>
              <w:jc w:val="center"/>
              <w:rPr>
                <w:rFonts w:asciiTheme="majorBidi" w:hAnsiTheme="majorBidi" w:cstheme="majorBidi"/>
                <w:b/>
                <w:bCs/>
                <w:sz w:val="20"/>
                <w:szCs w:val="20"/>
                <w:lang w:val="en-US"/>
              </w:rPr>
            </w:pPr>
            <w:r w:rsidRPr="00511330">
              <w:rPr>
                <w:rFonts w:asciiTheme="majorBidi" w:hAnsiTheme="majorBidi" w:cstheme="majorBidi"/>
                <w:b/>
                <w:bCs/>
                <w:sz w:val="20"/>
                <w:szCs w:val="20"/>
                <w:lang w:val="en-US"/>
              </w:rPr>
              <w:t>AVE</w:t>
            </w:r>
          </w:p>
        </w:tc>
        <w:tc>
          <w:tcPr>
            <w:tcW w:w="1080" w:type="dxa"/>
            <w:shd w:val="clear" w:color="auto" w:fill="F2F2F2" w:themeFill="background1" w:themeFillShade="F2"/>
            <w:vAlign w:val="center"/>
          </w:tcPr>
          <w:p w14:paraId="64416B7D" w14:textId="77777777" w:rsidR="00696F0A" w:rsidRPr="00511330" w:rsidRDefault="00696F0A" w:rsidP="00F66AF8">
            <w:pPr>
              <w:spacing w:after="0" w:line="240" w:lineRule="auto"/>
              <w:ind w:left="-90" w:right="72"/>
              <w:jc w:val="center"/>
              <w:rPr>
                <w:rFonts w:asciiTheme="majorBidi" w:hAnsiTheme="majorBidi" w:cstheme="majorBidi"/>
                <w:b/>
                <w:bCs/>
                <w:sz w:val="20"/>
                <w:szCs w:val="20"/>
                <w:lang w:val="en-US"/>
              </w:rPr>
            </w:pPr>
            <w:r w:rsidRPr="00511330">
              <w:rPr>
                <w:rFonts w:asciiTheme="majorBidi" w:hAnsiTheme="majorBidi" w:cstheme="majorBidi"/>
                <w:b/>
                <w:bCs/>
                <w:sz w:val="20"/>
                <w:szCs w:val="20"/>
                <w:lang w:val="en-US"/>
              </w:rPr>
              <w:t>FNP</w:t>
            </w:r>
          </w:p>
        </w:tc>
        <w:tc>
          <w:tcPr>
            <w:tcW w:w="1260" w:type="dxa"/>
            <w:shd w:val="clear" w:color="auto" w:fill="F2F2F2" w:themeFill="background1" w:themeFillShade="F2"/>
            <w:vAlign w:val="center"/>
          </w:tcPr>
          <w:p w14:paraId="64416B7E" w14:textId="77777777" w:rsidR="00696F0A" w:rsidRPr="00511330" w:rsidRDefault="00696F0A" w:rsidP="00F66AF8">
            <w:pPr>
              <w:spacing w:after="0" w:line="240" w:lineRule="auto"/>
              <w:ind w:left="-90"/>
              <w:jc w:val="center"/>
              <w:rPr>
                <w:rFonts w:asciiTheme="majorBidi" w:hAnsiTheme="majorBidi" w:cstheme="majorBidi"/>
                <w:b/>
                <w:bCs/>
                <w:sz w:val="20"/>
                <w:szCs w:val="20"/>
                <w:lang w:val="en-US"/>
              </w:rPr>
            </w:pPr>
            <w:r w:rsidRPr="00511330">
              <w:rPr>
                <w:rFonts w:asciiTheme="majorBidi" w:hAnsiTheme="majorBidi" w:cstheme="majorBidi"/>
                <w:b/>
                <w:bCs/>
                <w:sz w:val="20"/>
                <w:szCs w:val="20"/>
                <w:lang w:val="en-US"/>
              </w:rPr>
              <w:t>FC</w:t>
            </w:r>
          </w:p>
        </w:tc>
        <w:tc>
          <w:tcPr>
            <w:tcW w:w="1260" w:type="dxa"/>
            <w:shd w:val="clear" w:color="auto" w:fill="F2F2F2" w:themeFill="background1" w:themeFillShade="F2"/>
            <w:vAlign w:val="center"/>
          </w:tcPr>
          <w:p w14:paraId="64416B7F" w14:textId="77777777" w:rsidR="00696F0A" w:rsidRPr="00511330" w:rsidRDefault="00696F0A" w:rsidP="00F66AF8">
            <w:pPr>
              <w:spacing w:after="0" w:line="240" w:lineRule="auto"/>
              <w:ind w:left="-90" w:right="72"/>
              <w:jc w:val="center"/>
              <w:rPr>
                <w:rFonts w:asciiTheme="majorBidi" w:hAnsiTheme="majorBidi" w:cstheme="majorBidi"/>
                <w:b/>
                <w:bCs/>
                <w:sz w:val="20"/>
                <w:szCs w:val="20"/>
                <w:lang w:val="en-US"/>
              </w:rPr>
            </w:pPr>
            <w:r w:rsidRPr="00511330">
              <w:rPr>
                <w:rFonts w:asciiTheme="majorBidi" w:hAnsiTheme="majorBidi" w:cstheme="majorBidi"/>
                <w:b/>
                <w:bCs/>
                <w:sz w:val="20"/>
                <w:szCs w:val="20"/>
                <w:lang w:val="en-US"/>
              </w:rPr>
              <w:t>CWFC</w:t>
            </w:r>
          </w:p>
        </w:tc>
        <w:tc>
          <w:tcPr>
            <w:tcW w:w="1080" w:type="dxa"/>
            <w:shd w:val="clear" w:color="auto" w:fill="F2F2F2" w:themeFill="background1" w:themeFillShade="F2"/>
            <w:vAlign w:val="center"/>
          </w:tcPr>
          <w:p w14:paraId="64416B80" w14:textId="77777777" w:rsidR="00696F0A" w:rsidRPr="00511330" w:rsidRDefault="00696F0A" w:rsidP="00F66AF8">
            <w:pPr>
              <w:spacing w:after="0" w:line="240" w:lineRule="auto"/>
              <w:ind w:left="-90" w:right="-108"/>
              <w:jc w:val="center"/>
              <w:rPr>
                <w:rFonts w:asciiTheme="majorBidi" w:hAnsiTheme="majorBidi" w:cstheme="majorBidi"/>
                <w:b/>
                <w:bCs/>
                <w:sz w:val="20"/>
                <w:szCs w:val="20"/>
                <w:lang w:val="en-US"/>
              </w:rPr>
            </w:pPr>
            <w:r w:rsidRPr="00511330">
              <w:rPr>
                <w:rFonts w:asciiTheme="majorBidi" w:hAnsiTheme="majorBidi" w:cstheme="majorBidi"/>
                <w:b/>
                <w:bCs/>
                <w:sz w:val="20"/>
                <w:szCs w:val="20"/>
                <w:lang w:val="en-US"/>
              </w:rPr>
              <w:t>UO</w:t>
            </w:r>
          </w:p>
        </w:tc>
      </w:tr>
      <w:tr w:rsidR="00696F0A" w:rsidRPr="00511330" w14:paraId="64416B8A" w14:textId="77777777" w:rsidTr="00881819">
        <w:tc>
          <w:tcPr>
            <w:tcW w:w="1080" w:type="dxa"/>
            <w:shd w:val="clear" w:color="auto" w:fill="auto"/>
            <w:vAlign w:val="center"/>
          </w:tcPr>
          <w:p w14:paraId="64416B82" w14:textId="77777777" w:rsidR="00696F0A" w:rsidRPr="00511330" w:rsidRDefault="00696F0A" w:rsidP="000C2140">
            <w:pPr>
              <w:spacing w:after="0" w:line="240" w:lineRule="auto"/>
              <w:ind w:left="-90" w:right="-18"/>
              <w:rPr>
                <w:rFonts w:asciiTheme="majorBidi" w:hAnsiTheme="majorBidi" w:cstheme="majorBidi"/>
                <w:b/>
                <w:bCs/>
                <w:sz w:val="20"/>
                <w:szCs w:val="20"/>
                <w:lang w:val="en-US"/>
              </w:rPr>
            </w:pPr>
            <w:r w:rsidRPr="00511330">
              <w:rPr>
                <w:rFonts w:asciiTheme="majorBidi" w:hAnsiTheme="majorBidi" w:cstheme="majorBidi"/>
                <w:b/>
                <w:bCs/>
                <w:sz w:val="20"/>
                <w:szCs w:val="20"/>
                <w:lang w:val="en-US"/>
              </w:rPr>
              <w:t>FNP</w:t>
            </w:r>
          </w:p>
        </w:tc>
        <w:tc>
          <w:tcPr>
            <w:tcW w:w="810" w:type="dxa"/>
            <w:shd w:val="clear" w:color="auto" w:fill="auto"/>
            <w:vAlign w:val="center"/>
          </w:tcPr>
          <w:p w14:paraId="64416B84" w14:textId="77777777" w:rsidR="00696F0A" w:rsidRPr="00511330" w:rsidRDefault="00696F0A" w:rsidP="00F66AF8">
            <w:pPr>
              <w:spacing w:after="0" w:line="240" w:lineRule="auto"/>
              <w:ind w:right="-136"/>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.87</w:t>
            </w:r>
          </w:p>
        </w:tc>
        <w:tc>
          <w:tcPr>
            <w:tcW w:w="1080" w:type="dxa"/>
            <w:shd w:val="clear" w:color="auto" w:fill="auto"/>
            <w:vAlign w:val="center"/>
          </w:tcPr>
          <w:p w14:paraId="64416B85" w14:textId="77777777" w:rsidR="00696F0A" w:rsidRPr="00511330" w:rsidRDefault="00696F0A" w:rsidP="00F66AF8">
            <w:pPr>
              <w:spacing w:after="0" w:line="240" w:lineRule="auto"/>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.41</w:t>
            </w:r>
          </w:p>
        </w:tc>
        <w:tc>
          <w:tcPr>
            <w:tcW w:w="1080" w:type="dxa"/>
            <w:shd w:val="clear" w:color="auto" w:fill="auto"/>
            <w:vAlign w:val="center"/>
          </w:tcPr>
          <w:p w14:paraId="64416B86" w14:textId="77777777" w:rsidR="00696F0A" w:rsidRPr="00511330" w:rsidRDefault="00696F0A" w:rsidP="00F66AF8">
            <w:pPr>
              <w:spacing w:after="0" w:line="240" w:lineRule="auto"/>
              <w:ind w:right="72"/>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1</w:t>
            </w:r>
          </w:p>
        </w:tc>
        <w:tc>
          <w:tcPr>
            <w:tcW w:w="1260" w:type="dxa"/>
            <w:shd w:val="clear" w:color="auto" w:fill="auto"/>
            <w:vAlign w:val="center"/>
          </w:tcPr>
          <w:p w14:paraId="64416B87" w14:textId="77777777" w:rsidR="00696F0A" w:rsidRPr="00511330" w:rsidRDefault="00696F0A" w:rsidP="00F66AF8">
            <w:pPr>
              <w:spacing w:after="0" w:line="240" w:lineRule="auto"/>
              <w:jc w:val="center"/>
              <w:rPr>
                <w:rFonts w:asciiTheme="majorBidi" w:hAnsiTheme="majorBidi" w:cstheme="majorBidi"/>
                <w:sz w:val="20"/>
                <w:szCs w:val="20"/>
                <w:lang w:val="en-US" w:bidi="ar-AE"/>
              </w:rPr>
            </w:pPr>
          </w:p>
        </w:tc>
        <w:tc>
          <w:tcPr>
            <w:tcW w:w="1260" w:type="dxa"/>
            <w:shd w:val="clear" w:color="auto" w:fill="auto"/>
            <w:vAlign w:val="center"/>
          </w:tcPr>
          <w:p w14:paraId="64416B88" w14:textId="77777777" w:rsidR="00696F0A" w:rsidRPr="00511330" w:rsidRDefault="00696F0A" w:rsidP="00F66AF8">
            <w:pPr>
              <w:spacing w:after="0" w:line="240" w:lineRule="auto"/>
              <w:ind w:right="72"/>
              <w:jc w:val="center"/>
              <w:rPr>
                <w:rFonts w:asciiTheme="majorBidi" w:hAnsiTheme="majorBidi" w:cstheme="majorBidi"/>
                <w:sz w:val="20"/>
                <w:szCs w:val="20"/>
                <w:lang w:val="en-US" w:bidi="ar-AE"/>
              </w:rPr>
            </w:pPr>
          </w:p>
        </w:tc>
        <w:tc>
          <w:tcPr>
            <w:tcW w:w="1080" w:type="dxa"/>
            <w:shd w:val="clear" w:color="auto" w:fill="auto"/>
            <w:vAlign w:val="center"/>
          </w:tcPr>
          <w:p w14:paraId="64416B89" w14:textId="77777777" w:rsidR="00696F0A" w:rsidRPr="00511330" w:rsidRDefault="00696F0A" w:rsidP="00F66AF8">
            <w:pPr>
              <w:spacing w:after="0" w:line="240" w:lineRule="auto"/>
              <w:ind w:right="-108"/>
              <w:jc w:val="center"/>
              <w:rPr>
                <w:rFonts w:asciiTheme="majorBidi" w:hAnsiTheme="majorBidi" w:cstheme="majorBidi"/>
                <w:sz w:val="20"/>
                <w:szCs w:val="20"/>
                <w:lang w:val="en-US" w:bidi="ar-AE"/>
              </w:rPr>
            </w:pPr>
          </w:p>
        </w:tc>
      </w:tr>
      <w:tr w:rsidR="00696F0A" w:rsidRPr="00511330" w14:paraId="64416B93" w14:textId="77777777" w:rsidTr="00881819">
        <w:tc>
          <w:tcPr>
            <w:tcW w:w="1080" w:type="dxa"/>
            <w:shd w:val="clear" w:color="auto" w:fill="auto"/>
            <w:vAlign w:val="center"/>
          </w:tcPr>
          <w:p w14:paraId="64416B8B" w14:textId="77777777" w:rsidR="00696F0A" w:rsidRPr="00511330" w:rsidRDefault="00696F0A" w:rsidP="000C2140">
            <w:pPr>
              <w:spacing w:after="0" w:line="240" w:lineRule="auto"/>
              <w:ind w:left="-90" w:right="-18"/>
              <w:rPr>
                <w:rFonts w:asciiTheme="majorBidi" w:hAnsiTheme="majorBidi" w:cstheme="majorBidi"/>
                <w:b/>
                <w:bCs/>
                <w:sz w:val="20"/>
                <w:szCs w:val="20"/>
                <w:lang w:val="en-US"/>
              </w:rPr>
            </w:pPr>
            <w:r w:rsidRPr="00511330">
              <w:rPr>
                <w:rFonts w:asciiTheme="majorBidi" w:hAnsiTheme="majorBidi" w:cstheme="majorBidi"/>
                <w:b/>
                <w:bCs/>
                <w:sz w:val="20"/>
                <w:szCs w:val="20"/>
                <w:lang w:val="en-US"/>
              </w:rPr>
              <w:t>FC</w:t>
            </w:r>
          </w:p>
        </w:tc>
        <w:tc>
          <w:tcPr>
            <w:tcW w:w="810" w:type="dxa"/>
            <w:shd w:val="clear" w:color="auto" w:fill="auto"/>
            <w:vAlign w:val="center"/>
          </w:tcPr>
          <w:p w14:paraId="64416B8D" w14:textId="77777777" w:rsidR="00696F0A" w:rsidRPr="00511330" w:rsidRDefault="00696F0A" w:rsidP="00F66AF8">
            <w:pPr>
              <w:spacing w:after="0" w:line="240" w:lineRule="auto"/>
              <w:ind w:right="-136"/>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.79</w:t>
            </w:r>
          </w:p>
        </w:tc>
        <w:tc>
          <w:tcPr>
            <w:tcW w:w="1080" w:type="dxa"/>
            <w:shd w:val="clear" w:color="auto" w:fill="auto"/>
            <w:vAlign w:val="center"/>
          </w:tcPr>
          <w:p w14:paraId="64416B8E" w14:textId="77777777" w:rsidR="00696F0A" w:rsidRPr="00511330" w:rsidRDefault="00696F0A" w:rsidP="00F66AF8">
            <w:pPr>
              <w:spacing w:after="0" w:line="240" w:lineRule="auto"/>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.43</w:t>
            </w:r>
          </w:p>
        </w:tc>
        <w:tc>
          <w:tcPr>
            <w:tcW w:w="1080" w:type="dxa"/>
            <w:shd w:val="clear" w:color="auto" w:fill="auto"/>
            <w:vAlign w:val="center"/>
          </w:tcPr>
          <w:p w14:paraId="64416B8F" w14:textId="77777777" w:rsidR="00696F0A" w:rsidRPr="00511330" w:rsidRDefault="00696F0A" w:rsidP="00F66AF8">
            <w:pPr>
              <w:spacing w:after="0" w:line="240" w:lineRule="auto"/>
              <w:ind w:right="72"/>
              <w:jc w:val="center"/>
              <w:rPr>
                <w:rFonts w:asciiTheme="majorBidi" w:hAnsiTheme="majorBidi" w:cstheme="majorBidi"/>
                <w:sz w:val="20"/>
                <w:szCs w:val="20"/>
                <w:lang w:val="en-US" w:bidi="ar-AE"/>
              </w:rPr>
            </w:pPr>
            <w:r w:rsidRPr="00511330">
              <w:rPr>
                <w:rFonts w:asciiTheme="majorBidi" w:hAnsiTheme="majorBidi" w:cstheme="majorBidi"/>
                <w:color w:val="000000"/>
                <w:sz w:val="20"/>
                <w:szCs w:val="20"/>
                <w:lang w:val="en-US"/>
              </w:rPr>
              <w:t>.838</w:t>
            </w:r>
            <w:r w:rsidRPr="00511330">
              <w:rPr>
                <w:rFonts w:asciiTheme="majorBidi" w:hAnsiTheme="majorBidi" w:cstheme="majorBidi"/>
                <w:color w:val="000000"/>
                <w:sz w:val="20"/>
                <w:szCs w:val="20"/>
                <w:vertAlign w:val="superscript"/>
                <w:lang w:val="en-US"/>
              </w:rPr>
              <w:t>**</w:t>
            </w:r>
          </w:p>
        </w:tc>
        <w:tc>
          <w:tcPr>
            <w:tcW w:w="1260" w:type="dxa"/>
            <w:shd w:val="clear" w:color="auto" w:fill="auto"/>
            <w:vAlign w:val="center"/>
          </w:tcPr>
          <w:p w14:paraId="64416B90" w14:textId="77777777" w:rsidR="00696F0A" w:rsidRPr="00511330" w:rsidRDefault="00696F0A" w:rsidP="00F66AF8">
            <w:pPr>
              <w:spacing w:after="0" w:line="240" w:lineRule="auto"/>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1</w:t>
            </w:r>
          </w:p>
        </w:tc>
        <w:tc>
          <w:tcPr>
            <w:tcW w:w="1260" w:type="dxa"/>
            <w:shd w:val="clear" w:color="auto" w:fill="auto"/>
            <w:vAlign w:val="center"/>
          </w:tcPr>
          <w:p w14:paraId="64416B91" w14:textId="77777777" w:rsidR="00696F0A" w:rsidRPr="00511330" w:rsidRDefault="00696F0A" w:rsidP="00F66AF8">
            <w:pPr>
              <w:spacing w:after="0" w:line="240" w:lineRule="auto"/>
              <w:ind w:right="72"/>
              <w:jc w:val="center"/>
              <w:rPr>
                <w:rFonts w:asciiTheme="majorBidi" w:hAnsiTheme="majorBidi" w:cstheme="majorBidi"/>
                <w:sz w:val="20"/>
                <w:szCs w:val="20"/>
                <w:lang w:val="en-US" w:bidi="ar-AE"/>
              </w:rPr>
            </w:pPr>
          </w:p>
        </w:tc>
        <w:tc>
          <w:tcPr>
            <w:tcW w:w="1080" w:type="dxa"/>
            <w:shd w:val="clear" w:color="auto" w:fill="auto"/>
            <w:vAlign w:val="center"/>
          </w:tcPr>
          <w:p w14:paraId="64416B92" w14:textId="77777777" w:rsidR="00696F0A" w:rsidRPr="00511330" w:rsidRDefault="00696F0A" w:rsidP="00F66AF8">
            <w:pPr>
              <w:spacing w:after="0" w:line="240" w:lineRule="auto"/>
              <w:ind w:right="-108"/>
              <w:jc w:val="center"/>
              <w:rPr>
                <w:rFonts w:asciiTheme="majorBidi" w:hAnsiTheme="majorBidi" w:cstheme="majorBidi"/>
                <w:sz w:val="20"/>
                <w:szCs w:val="20"/>
                <w:lang w:val="en-US" w:bidi="ar-AE"/>
              </w:rPr>
            </w:pPr>
          </w:p>
        </w:tc>
      </w:tr>
      <w:tr w:rsidR="00696F0A" w:rsidRPr="00511330" w14:paraId="64416B9C" w14:textId="77777777" w:rsidTr="00881819">
        <w:tc>
          <w:tcPr>
            <w:tcW w:w="1080" w:type="dxa"/>
            <w:shd w:val="clear" w:color="auto" w:fill="auto"/>
            <w:vAlign w:val="center"/>
          </w:tcPr>
          <w:p w14:paraId="64416B94" w14:textId="77777777" w:rsidR="00696F0A" w:rsidRPr="00511330" w:rsidRDefault="00696F0A" w:rsidP="000C2140">
            <w:pPr>
              <w:spacing w:after="0" w:line="240" w:lineRule="auto"/>
              <w:ind w:left="-90" w:right="-18"/>
              <w:rPr>
                <w:rFonts w:asciiTheme="majorBidi" w:hAnsiTheme="majorBidi" w:cstheme="majorBidi"/>
                <w:b/>
                <w:bCs/>
                <w:sz w:val="20"/>
                <w:szCs w:val="20"/>
                <w:lang w:val="en-US"/>
              </w:rPr>
            </w:pPr>
            <w:r w:rsidRPr="00511330">
              <w:rPr>
                <w:rFonts w:asciiTheme="majorBidi" w:hAnsiTheme="majorBidi" w:cstheme="majorBidi"/>
                <w:b/>
                <w:bCs/>
                <w:sz w:val="20"/>
                <w:szCs w:val="20"/>
                <w:lang w:val="en-US"/>
              </w:rPr>
              <w:t>CWFC</w:t>
            </w:r>
          </w:p>
        </w:tc>
        <w:tc>
          <w:tcPr>
            <w:tcW w:w="810" w:type="dxa"/>
            <w:shd w:val="clear" w:color="auto" w:fill="auto"/>
            <w:vAlign w:val="center"/>
          </w:tcPr>
          <w:p w14:paraId="64416B96" w14:textId="77777777" w:rsidR="00696F0A" w:rsidRPr="00511330" w:rsidRDefault="00696F0A" w:rsidP="00F66AF8">
            <w:pPr>
              <w:spacing w:after="0" w:line="240" w:lineRule="auto"/>
              <w:ind w:right="-136"/>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.79</w:t>
            </w:r>
          </w:p>
        </w:tc>
        <w:tc>
          <w:tcPr>
            <w:tcW w:w="1080" w:type="dxa"/>
            <w:shd w:val="clear" w:color="auto" w:fill="auto"/>
            <w:vAlign w:val="center"/>
          </w:tcPr>
          <w:p w14:paraId="64416B97" w14:textId="77777777" w:rsidR="00696F0A" w:rsidRPr="00511330" w:rsidRDefault="00696F0A" w:rsidP="00F66AF8">
            <w:pPr>
              <w:spacing w:after="0" w:line="240" w:lineRule="auto"/>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.44</w:t>
            </w:r>
          </w:p>
        </w:tc>
        <w:tc>
          <w:tcPr>
            <w:tcW w:w="1080" w:type="dxa"/>
            <w:shd w:val="clear" w:color="auto" w:fill="auto"/>
            <w:vAlign w:val="center"/>
          </w:tcPr>
          <w:p w14:paraId="64416B98" w14:textId="77777777" w:rsidR="00696F0A" w:rsidRPr="00511330" w:rsidRDefault="00696F0A" w:rsidP="00F66AF8">
            <w:pPr>
              <w:spacing w:after="0" w:line="240" w:lineRule="auto"/>
              <w:ind w:right="72"/>
              <w:jc w:val="center"/>
              <w:rPr>
                <w:rFonts w:asciiTheme="majorBidi" w:hAnsiTheme="majorBidi" w:cstheme="majorBidi"/>
                <w:sz w:val="20"/>
                <w:szCs w:val="20"/>
                <w:lang w:val="en-US" w:bidi="ar-AE"/>
              </w:rPr>
            </w:pPr>
            <w:r w:rsidRPr="00511330">
              <w:rPr>
                <w:rFonts w:asciiTheme="majorBidi" w:hAnsiTheme="majorBidi" w:cstheme="majorBidi"/>
                <w:color w:val="000000"/>
                <w:sz w:val="20"/>
                <w:szCs w:val="20"/>
                <w:lang w:val="en-US"/>
              </w:rPr>
              <w:t>.591</w:t>
            </w:r>
            <w:r w:rsidRPr="00511330">
              <w:rPr>
                <w:rFonts w:asciiTheme="majorBidi" w:hAnsiTheme="majorBidi" w:cstheme="majorBidi"/>
                <w:color w:val="000000"/>
                <w:sz w:val="20"/>
                <w:szCs w:val="20"/>
                <w:vertAlign w:val="superscript"/>
                <w:lang w:val="en-US"/>
              </w:rPr>
              <w:t>**</w:t>
            </w:r>
          </w:p>
        </w:tc>
        <w:tc>
          <w:tcPr>
            <w:tcW w:w="1260" w:type="dxa"/>
            <w:shd w:val="clear" w:color="auto" w:fill="auto"/>
            <w:vAlign w:val="center"/>
          </w:tcPr>
          <w:p w14:paraId="64416B99" w14:textId="77777777" w:rsidR="00696F0A" w:rsidRPr="00511330" w:rsidRDefault="00696F0A" w:rsidP="00F66AF8">
            <w:pPr>
              <w:spacing w:after="0" w:line="240" w:lineRule="auto"/>
              <w:jc w:val="center"/>
              <w:rPr>
                <w:rFonts w:asciiTheme="majorBidi" w:hAnsiTheme="majorBidi" w:cstheme="majorBidi"/>
                <w:sz w:val="20"/>
                <w:szCs w:val="20"/>
                <w:lang w:val="en-US" w:bidi="ar-AE"/>
              </w:rPr>
            </w:pPr>
            <w:r w:rsidRPr="00511330">
              <w:rPr>
                <w:rFonts w:asciiTheme="majorBidi" w:hAnsiTheme="majorBidi" w:cstheme="majorBidi"/>
                <w:color w:val="000000"/>
                <w:sz w:val="20"/>
                <w:szCs w:val="20"/>
                <w:lang w:val="en-US"/>
              </w:rPr>
              <w:t>.673</w:t>
            </w:r>
            <w:r w:rsidRPr="00511330">
              <w:rPr>
                <w:rFonts w:asciiTheme="majorBidi" w:hAnsiTheme="majorBidi" w:cstheme="majorBidi"/>
                <w:color w:val="000000"/>
                <w:sz w:val="20"/>
                <w:szCs w:val="20"/>
                <w:vertAlign w:val="superscript"/>
                <w:lang w:val="en-US"/>
              </w:rPr>
              <w:t>**</w:t>
            </w:r>
          </w:p>
        </w:tc>
        <w:tc>
          <w:tcPr>
            <w:tcW w:w="1260" w:type="dxa"/>
            <w:shd w:val="clear" w:color="auto" w:fill="auto"/>
            <w:vAlign w:val="center"/>
          </w:tcPr>
          <w:p w14:paraId="64416B9A" w14:textId="77777777" w:rsidR="00696F0A" w:rsidRPr="00511330" w:rsidRDefault="00696F0A" w:rsidP="00F66AF8">
            <w:pPr>
              <w:spacing w:after="0" w:line="240" w:lineRule="auto"/>
              <w:ind w:right="72"/>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1</w:t>
            </w:r>
          </w:p>
        </w:tc>
        <w:tc>
          <w:tcPr>
            <w:tcW w:w="1080" w:type="dxa"/>
            <w:shd w:val="clear" w:color="auto" w:fill="auto"/>
            <w:vAlign w:val="center"/>
          </w:tcPr>
          <w:p w14:paraId="64416B9B" w14:textId="77777777" w:rsidR="00696F0A" w:rsidRPr="00511330" w:rsidRDefault="00696F0A" w:rsidP="00F66AF8">
            <w:pPr>
              <w:spacing w:after="0" w:line="240" w:lineRule="auto"/>
              <w:ind w:right="-108"/>
              <w:jc w:val="center"/>
              <w:rPr>
                <w:rFonts w:asciiTheme="majorBidi" w:hAnsiTheme="majorBidi" w:cstheme="majorBidi"/>
                <w:sz w:val="20"/>
                <w:szCs w:val="20"/>
                <w:lang w:val="en-US" w:bidi="ar-AE"/>
              </w:rPr>
            </w:pPr>
          </w:p>
        </w:tc>
      </w:tr>
      <w:tr w:rsidR="00696F0A" w:rsidRPr="00511330" w14:paraId="64416BA5" w14:textId="77777777" w:rsidTr="00881819">
        <w:tc>
          <w:tcPr>
            <w:tcW w:w="1080" w:type="dxa"/>
            <w:shd w:val="clear" w:color="auto" w:fill="auto"/>
            <w:vAlign w:val="center"/>
          </w:tcPr>
          <w:p w14:paraId="64416B9D" w14:textId="77777777" w:rsidR="00696F0A" w:rsidRPr="00511330" w:rsidRDefault="00696F0A" w:rsidP="000C2140">
            <w:pPr>
              <w:spacing w:after="0" w:line="240" w:lineRule="auto"/>
              <w:ind w:left="-90" w:right="-18"/>
              <w:rPr>
                <w:rFonts w:asciiTheme="majorBidi" w:hAnsiTheme="majorBidi" w:cstheme="majorBidi"/>
                <w:b/>
                <w:bCs/>
                <w:sz w:val="20"/>
                <w:szCs w:val="20"/>
                <w:lang w:val="en-US"/>
              </w:rPr>
            </w:pPr>
            <w:r w:rsidRPr="00511330">
              <w:rPr>
                <w:rFonts w:asciiTheme="majorBidi" w:hAnsiTheme="majorBidi" w:cstheme="majorBidi"/>
                <w:b/>
                <w:bCs/>
                <w:sz w:val="20"/>
                <w:szCs w:val="20"/>
                <w:lang w:val="en-US"/>
              </w:rPr>
              <w:t>UO</w:t>
            </w:r>
          </w:p>
        </w:tc>
        <w:tc>
          <w:tcPr>
            <w:tcW w:w="810" w:type="dxa"/>
            <w:shd w:val="clear" w:color="auto" w:fill="auto"/>
            <w:vAlign w:val="center"/>
          </w:tcPr>
          <w:p w14:paraId="64416B9F" w14:textId="77777777" w:rsidR="00696F0A" w:rsidRPr="00511330" w:rsidRDefault="00696F0A" w:rsidP="00F66AF8">
            <w:pPr>
              <w:spacing w:after="0" w:line="240" w:lineRule="auto"/>
              <w:ind w:right="-136"/>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.71</w:t>
            </w:r>
          </w:p>
        </w:tc>
        <w:tc>
          <w:tcPr>
            <w:tcW w:w="1080" w:type="dxa"/>
            <w:shd w:val="clear" w:color="auto" w:fill="auto"/>
            <w:vAlign w:val="center"/>
          </w:tcPr>
          <w:p w14:paraId="64416BA0" w14:textId="77777777" w:rsidR="00696F0A" w:rsidRPr="00511330" w:rsidRDefault="00696F0A" w:rsidP="00F66AF8">
            <w:pPr>
              <w:spacing w:after="0" w:line="240" w:lineRule="auto"/>
              <w:ind w:right="-1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.45</w:t>
            </w:r>
          </w:p>
        </w:tc>
        <w:tc>
          <w:tcPr>
            <w:tcW w:w="1080" w:type="dxa"/>
            <w:shd w:val="clear" w:color="auto" w:fill="auto"/>
            <w:vAlign w:val="center"/>
          </w:tcPr>
          <w:p w14:paraId="64416BA1" w14:textId="77777777" w:rsidR="00696F0A" w:rsidRPr="00511330" w:rsidRDefault="00696F0A" w:rsidP="00F66AF8">
            <w:pPr>
              <w:spacing w:after="0" w:line="240" w:lineRule="auto"/>
              <w:ind w:right="72"/>
              <w:jc w:val="center"/>
              <w:rPr>
                <w:rFonts w:asciiTheme="majorBidi" w:hAnsiTheme="majorBidi" w:cstheme="majorBidi"/>
                <w:sz w:val="20"/>
                <w:szCs w:val="20"/>
                <w:lang w:val="en-US" w:bidi="ar-AE"/>
              </w:rPr>
            </w:pPr>
            <w:r w:rsidRPr="00511330">
              <w:rPr>
                <w:rFonts w:asciiTheme="majorBidi" w:hAnsiTheme="majorBidi" w:cstheme="majorBidi"/>
                <w:color w:val="000000"/>
                <w:sz w:val="20"/>
                <w:szCs w:val="20"/>
                <w:lang w:val="en-US"/>
              </w:rPr>
              <w:t>.727</w:t>
            </w:r>
            <w:r w:rsidRPr="00511330">
              <w:rPr>
                <w:rFonts w:asciiTheme="majorBidi" w:hAnsiTheme="majorBidi" w:cstheme="majorBidi"/>
                <w:color w:val="000000"/>
                <w:sz w:val="20"/>
                <w:szCs w:val="20"/>
                <w:vertAlign w:val="superscript"/>
                <w:lang w:val="en-US"/>
              </w:rPr>
              <w:t>**</w:t>
            </w:r>
          </w:p>
        </w:tc>
        <w:tc>
          <w:tcPr>
            <w:tcW w:w="1260" w:type="dxa"/>
            <w:shd w:val="clear" w:color="auto" w:fill="auto"/>
            <w:vAlign w:val="center"/>
          </w:tcPr>
          <w:p w14:paraId="64416BA2" w14:textId="77777777" w:rsidR="00696F0A" w:rsidRPr="00511330" w:rsidRDefault="00696F0A" w:rsidP="00F66AF8">
            <w:pPr>
              <w:spacing w:after="0" w:line="240" w:lineRule="auto"/>
              <w:jc w:val="center"/>
              <w:rPr>
                <w:rFonts w:asciiTheme="majorBidi" w:hAnsiTheme="majorBidi" w:cstheme="majorBidi"/>
                <w:sz w:val="20"/>
                <w:szCs w:val="20"/>
                <w:lang w:val="en-US" w:bidi="ar-AE"/>
              </w:rPr>
            </w:pPr>
            <w:r w:rsidRPr="00511330">
              <w:rPr>
                <w:rFonts w:asciiTheme="majorBidi" w:hAnsiTheme="majorBidi" w:cstheme="majorBidi"/>
                <w:color w:val="000000"/>
                <w:sz w:val="20"/>
                <w:szCs w:val="20"/>
                <w:lang w:val="en-US"/>
              </w:rPr>
              <w:t>.724</w:t>
            </w:r>
            <w:r w:rsidRPr="00511330">
              <w:rPr>
                <w:rFonts w:asciiTheme="majorBidi" w:hAnsiTheme="majorBidi" w:cstheme="majorBidi"/>
                <w:color w:val="000000"/>
                <w:sz w:val="20"/>
                <w:szCs w:val="20"/>
                <w:vertAlign w:val="superscript"/>
                <w:lang w:val="en-US"/>
              </w:rPr>
              <w:t>**</w:t>
            </w:r>
          </w:p>
        </w:tc>
        <w:tc>
          <w:tcPr>
            <w:tcW w:w="1260" w:type="dxa"/>
            <w:shd w:val="clear" w:color="auto" w:fill="auto"/>
            <w:vAlign w:val="center"/>
          </w:tcPr>
          <w:p w14:paraId="64416BA3" w14:textId="77777777" w:rsidR="00696F0A" w:rsidRPr="00511330" w:rsidRDefault="00696F0A" w:rsidP="00F66AF8">
            <w:pPr>
              <w:spacing w:after="0" w:line="240" w:lineRule="auto"/>
              <w:ind w:right="72"/>
              <w:jc w:val="center"/>
              <w:rPr>
                <w:rFonts w:asciiTheme="majorBidi" w:hAnsiTheme="majorBidi" w:cstheme="majorBidi"/>
                <w:sz w:val="20"/>
                <w:szCs w:val="20"/>
                <w:lang w:val="en-US" w:bidi="ar-AE"/>
              </w:rPr>
            </w:pPr>
            <w:r w:rsidRPr="00511330">
              <w:rPr>
                <w:rFonts w:asciiTheme="majorBidi" w:hAnsiTheme="majorBidi" w:cstheme="majorBidi"/>
                <w:color w:val="000000"/>
                <w:sz w:val="20"/>
                <w:szCs w:val="20"/>
                <w:lang w:val="en-US"/>
              </w:rPr>
              <w:t>.533</w:t>
            </w:r>
            <w:r w:rsidRPr="00511330">
              <w:rPr>
                <w:rFonts w:asciiTheme="majorBidi" w:hAnsiTheme="majorBidi" w:cstheme="majorBidi"/>
                <w:color w:val="000000"/>
                <w:sz w:val="20"/>
                <w:szCs w:val="20"/>
                <w:vertAlign w:val="superscript"/>
                <w:lang w:val="en-US"/>
              </w:rPr>
              <w:t>**</w:t>
            </w:r>
          </w:p>
        </w:tc>
        <w:tc>
          <w:tcPr>
            <w:tcW w:w="1080" w:type="dxa"/>
            <w:shd w:val="clear" w:color="auto" w:fill="auto"/>
            <w:vAlign w:val="center"/>
          </w:tcPr>
          <w:p w14:paraId="64416BA4" w14:textId="77777777" w:rsidR="00696F0A" w:rsidRPr="00511330" w:rsidRDefault="00696F0A" w:rsidP="00F66AF8">
            <w:pPr>
              <w:spacing w:after="0" w:line="240" w:lineRule="auto"/>
              <w:ind w:right="-108"/>
              <w:jc w:val="center"/>
              <w:rPr>
                <w:rFonts w:asciiTheme="majorBidi" w:hAnsiTheme="majorBidi" w:cstheme="majorBidi"/>
                <w:sz w:val="20"/>
                <w:szCs w:val="20"/>
                <w:lang w:val="en-US" w:bidi="ar-AE"/>
              </w:rPr>
            </w:pPr>
            <w:r w:rsidRPr="00511330">
              <w:rPr>
                <w:rFonts w:asciiTheme="majorBidi" w:hAnsiTheme="majorBidi" w:cstheme="majorBidi"/>
                <w:sz w:val="20"/>
                <w:szCs w:val="20"/>
                <w:lang w:val="en-US" w:bidi="ar-AE"/>
              </w:rPr>
              <w:t>1</w:t>
            </w:r>
          </w:p>
        </w:tc>
      </w:tr>
    </w:tbl>
    <w:p w14:paraId="64416BA6" w14:textId="77777777" w:rsidR="008D3598" w:rsidRPr="00511330" w:rsidRDefault="008D3598" w:rsidP="00881819">
      <w:pPr>
        <w:ind w:left="90" w:right="-450"/>
        <w:jc w:val="both"/>
        <w:rPr>
          <w:rFonts w:asciiTheme="majorBidi" w:hAnsiTheme="majorBidi" w:cstheme="majorBidi"/>
          <w:b/>
          <w:bCs/>
          <w:lang w:val="en-US"/>
        </w:rPr>
      </w:pPr>
      <w:r w:rsidRPr="00511330">
        <w:rPr>
          <w:rFonts w:asciiTheme="majorBidi" w:hAnsiTheme="majorBidi" w:cstheme="majorBidi"/>
          <w:color w:val="000000"/>
          <w:sz w:val="18"/>
          <w:szCs w:val="18"/>
          <w:lang w:val="en-US"/>
        </w:rPr>
        <w:t>** Correlation is significant at the 0.01 level (2-tailed).</w:t>
      </w:r>
    </w:p>
    <w:p w14:paraId="64416BA7" w14:textId="77777777" w:rsidR="008D3598" w:rsidRPr="00511330" w:rsidRDefault="008D3598" w:rsidP="00881819">
      <w:pPr>
        <w:spacing w:line="240" w:lineRule="auto"/>
        <w:ind w:right="-356"/>
        <w:jc w:val="both"/>
        <w:rPr>
          <w:rFonts w:asciiTheme="majorBidi" w:hAnsiTheme="majorBidi" w:cstheme="majorBidi"/>
          <w:b/>
          <w:bCs/>
          <w:sz w:val="20"/>
          <w:szCs w:val="20"/>
          <w:lang w:val="en-US"/>
        </w:rPr>
      </w:pPr>
      <w:r w:rsidRPr="00511330">
        <w:rPr>
          <w:rFonts w:asciiTheme="majorBidi" w:hAnsiTheme="majorBidi" w:cstheme="majorBidi"/>
          <w:b/>
          <w:bCs/>
          <w:sz w:val="20"/>
          <w:szCs w:val="20"/>
          <w:lang w:val="en-US"/>
        </w:rPr>
        <w:t xml:space="preserve">Note. CR = </w:t>
      </w:r>
      <w:r w:rsidRPr="00511330">
        <w:rPr>
          <w:rFonts w:asciiTheme="majorBidi" w:hAnsiTheme="majorBidi" w:cstheme="majorBidi"/>
          <w:sz w:val="20"/>
          <w:szCs w:val="20"/>
          <w:lang w:val="en-US"/>
        </w:rPr>
        <w:t>composite reliability</w:t>
      </w:r>
      <w:r w:rsidRPr="00511330">
        <w:rPr>
          <w:rFonts w:asciiTheme="majorBidi" w:hAnsiTheme="majorBidi" w:cstheme="majorBidi"/>
          <w:b/>
          <w:bCs/>
          <w:sz w:val="20"/>
          <w:szCs w:val="20"/>
          <w:lang w:val="en-US"/>
        </w:rPr>
        <w:t xml:space="preserve">; AVE = </w:t>
      </w:r>
      <w:r w:rsidRPr="00511330">
        <w:rPr>
          <w:rFonts w:asciiTheme="majorBidi" w:hAnsiTheme="majorBidi" w:cstheme="majorBidi"/>
          <w:sz w:val="20"/>
          <w:szCs w:val="20"/>
          <w:lang w:val="en-US"/>
        </w:rPr>
        <w:t>average variance extracted</w:t>
      </w:r>
      <w:r w:rsidRPr="00511330">
        <w:rPr>
          <w:rFonts w:asciiTheme="majorBidi" w:hAnsiTheme="majorBidi" w:cstheme="majorBidi"/>
          <w:b/>
          <w:bCs/>
          <w:sz w:val="20"/>
          <w:szCs w:val="20"/>
          <w:lang w:val="en-US"/>
        </w:rPr>
        <w:t xml:space="preserve">; FNP = </w:t>
      </w:r>
      <w:r w:rsidRPr="00511330">
        <w:rPr>
          <w:rFonts w:asciiTheme="majorBidi" w:hAnsiTheme="majorBidi" w:cstheme="majorBidi"/>
          <w:sz w:val="20"/>
          <w:szCs w:val="20"/>
          <w:lang w:val="en-US"/>
        </w:rPr>
        <w:t>Fear and Negative Perception</w:t>
      </w:r>
      <w:r w:rsidRPr="00511330">
        <w:rPr>
          <w:rFonts w:asciiTheme="majorBidi" w:hAnsiTheme="majorBidi" w:cstheme="majorBidi"/>
          <w:b/>
          <w:bCs/>
          <w:sz w:val="20"/>
          <w:szCs w:val="20"/>
          <w:lang w:val="en-US"/>
        </w:rPr>
        <w:t xml:space="preserve">; FC = </w:t>
      </w:r>
      <w:r w:rsidRPr="00511330">
        <w:rPr>
          <w:rFonts w:asciiTheme="majorBidi" w:hAnsiTheme="majorBidi" w:cstheme="majorBidi"/>
          <w:i/>
          <w:iCs/>
          <w:sz w:val="20"/>
          <w:szCs w:val="20"/>
          <w:lang w:val="en-US"/>
        </w:rPr>
        <w:t>Feeble Communication</w:t>
      </w:r>
      <w:r w:rsidRPr="00511330">
        <w:rPr>
          <w:rFonts w:asciiTheme="majorBidi" w:hAnsiTheme="majorBidi" w:cstheme="majorBidi"/>
          <w:b/>
          <w:bCs/>
          <w:sz w:val="20"/>
          <w:szCs w:val="20"/>
          <w:lang w:val="en-US"/>
        </w:rPr>
        <w:t xml:space="preserve">; CWFC = </w:t>
      </w:r>
      <w:r w:rsidRPr="00511330">
        <w:rPr>
          <w:rFonts w:asciiTheme="majorBidi" w:hAnsiTheme="majorBidi" w:cstheme="majorBidi"/>
          <w:sz w:val="20"/>
          <w:szCs w:val="20"/>
          <w:lang w:val="en-US"/>
        </w:rPr>
        <w:t>conflict of workforce commitment</w:t>
      </w:r>
      <w:r w:rsidRPr="00511330">
        <w:rPr>
          <w:rFonts w:asciiTheme="majorBidi" w:hAnsiTheme="majorBidi" w:cstheme="majorBidi"/>
          <w:b/>
          <w:bCs/>
          <w:sz w:val="20"/>
          <w:szCs w:val="20"/>
          <w:lang w:val="en-US"/>
        </w:rPr>
        <w:t xml:space="preserve">; UO = </w:t>
      </w:r>
      <w:r w:rsidRPr="00511330">
        <w:rPr>
          <w:rFonts w:asciiTheme="majorBidi" w:hAnsiTheme="majorBidi" w:cstheme="majorBidi"/>
          <w:sz w:val="20"/>
          <w:szCs w:val="20"/>
          <w:lang w:val="en-US"/>
        </w:rPr>
        <w:t>Uncertain Objectives.</w:t>
      </w:r>
      <w:r w:rsidRPr="00511330">
        <w:rPr>
          <w:rFonts w:asciiTheme="majorBidi" w:hAnsiTheme="majorBidi" w:cstheme="majorBidi"/>
          <w:b/>
          <w:bCs/>
          <w:sz w:val="20"/>
          <w:szCs w:val="20"/>
          <w:lang w:val="en-US"/>
        </w:rPr>
        <w:t xml:space="preserve"> The italicized values on the diagonal indicate the square roots of the AVE.</w:t>
      </w:r>
    </w:p>
    <w:p w14:paraId="64416BA9" w14:textId="77777777" w:rsidR="008D3598" w:rsidRPr="00511330" w:rsidRDefault="008D3598" w:rsidP="00881819">
      <w:pPr>
        <w:spacing w:before="240" w:after="0" w:line="480" w:lineRule="auto"/>
        <w:ind w:right="-450"/>
        <w:jc w:val="both"/>
        <w:rPr>
          <w:rFonts w:asciiTheme="majorBidi" w:eastAsia="Calibri" w:hAnsiTheme="majorBidi" w:cstheme="majorBidi"/>
          <w:sz w:val="24"/>
          <w:szCs w:val="24"/>
          <w:lang w:val="en-US" w:bidi="ar-AE"/>
        </w:rPr>
      </w:pPr>
      <w:r w:rsidRPr="00511330">
        <w:rPr>
          <w:rFonts w:asciiTheme="majorBidi" w:eastAsia="Calibri" w:hAnsiTheme="majorBidi" w:cstheme="majorBidi"/>
          <w:sz w:val="24"/>
          <w:szCs w:val="24"/>
          <w:lang w:val="en-US" w:bidi="ar-AE"/>
        </w:rPr>
        <w:t>The existing version of this model was compared to a constrained version with an added common latent factor (representative of response bias) along with specific bias factors, subsequent to which the paths from the specific bias factors to other indicators were constrained. The result of this comparison was deemed significant (χ2 = 103, df = 22, p &lt;0.001), thus implying a significant degree of variability between the two models, indicating a non-negotiable effect of the response bias and a need to impute a factor to parcel out the effect of the bias factors.</w:t>
      </w:r>
    </w:p>
    <w:p w14:paraId="64416BAA" w14:textId="77777777" w:rsidR="008D3598" w:rsidRPr="00511330" w:rsidRDefault="008D3598" w:rsidP="00721566">
      <w:pPr>
        <w:ind w:right="-450"/>
        <w:rPr>
          <w:rFonts w:asciiTheme="majorBidi" w:hAnsiTheme="majorBidi" w:cstheme="majorBidi"/>
          <w:b/>
          <w:bCs/>
          <w:sz w:val="24"/>
          <w:szCs w:val="24"/>
          <w:lang w:val="en-US"/>
        </w:rPr>
      </w:pPr>
      <w:r w:rsidRPr="00511330">
        <w:rPr>
          <w:rFonts w:asciiTheme="majorBidi" w:hAnsiTheme="majorBidi" w:cstheme="majorBidi"/>
          <w:b/>
          <w:bCs/>
          <w:sz w:val="24"/>
          <w:szCs w:val="24"/>
          <w:lang w:val="en-US"/>
        </w:rPr>
        <w:br w:type="page"/>
      </w:r>
    </w:p>
    <w:p w14:paraId="64416BAB" w14:textId="77777777" w:rsidR="008D3598" w:rsidRPr="00511330" w:rsidRDefault="008D3598" w:rsidP="00721566">
      <w:pPr>
        <w:pStyle w:val="Heading1"/>
        <w:ind w:right="-450"/>
        <w:rPr>
          <w:lang w:val="en-US"/>
        </w:rPr>
      </w:pPr>
      <w:bookmarkStart w:id="1119" w:name="_Toc43311656"/>
      <w:r w:rsidRPr="00511330">
        <w:rPr>
          <w:lang w:val="en-US"/>
        </w:rPr>
        <w:lastRenderedPageBreak/>
        <w:t>CHAPTER FIVE: DISCUSSION AND CONCLUSION</w:t>
      </w:r>
      <w:bookmarkEnd w:id="1119"/>
    </w:p>
    <w:p w14:paraId="64416BAC" w14:textId="77777777" w:rsidR="008D3598" w:rsidRPr="00511330" w:rsidRDefault="008D3598" w:rsidP="00721566">
      <w:pPr>
        <w:spacing w:line="480" w:lineRule="auto"/>
        <w:ind w:right="-450"/>
        <w:jc w:val="both"/>
        <w:rPr>
          <w:rFonts w:asciiTheme="majorBidi" w:hAnsiTheme="majorBidi" w:cstheme="majorBidi"/>
          <w:b/>
          <w:bCs/>
          <w:sz w:val="24"/>
          <w:szCs w:val="24"/>
          <w:lang w:val="en-US"/>
        </w:rPr>
      </w:pPr>
      <w:r w:rsidRPr="00511330">
        <w:rPr>
          <w:rFonts w:asciiTheme="majorBidi" w:hAnsiTheme="majorBidi" w:cstheme="majorBidi"/>
          <w:b/>
          <w:bCs/>
          <w:sz w:val="24"/>
          <w:szCs w:val="24"/>
          <w:lang w:val="en-US"/>
        </w:rPr>
        <w:t>Structure of Chapter 5:</w:t>
      </w:r>
    </w:p>
    <w:p w14:paraId="64416BAD" w14:textId="777777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eastAsia="Calibri" w:hAnsiTheme="majorBidi" w:cstheme="majorBidi"/>
          <w:noProof/>
          <w:sz w:val="24"/>
          <w:szCs w:val="24"/>
          <w:bdr w:val="single" w:sz="18" w:space="0" w:color="auto"/>
          <w:lang w:val="en-US"/>
        </w:rPr>
        <w:drawing>
          <wp:inline distT="0" distB="0" distL="0" distR="0" wp14:anchorId="64416D60" wp14:editId="13D23D24">
            <wp:extent cx="4662311" cy="2393244"/>
            <wp:effectExtent l="0" t="0" r="24130" b="762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64416BAE" w14:textId="286C242F"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This chapter presents a brief discussion summarizing the research aims. This is followed by the implications of the research stating the benefits and effect</w:t>
      </w:r>
      <w:r w:rsidR="00DA4BDE"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of the research on other scientific and community researchers. Finally, the research will define the limitations and directions for future advancements, concluding with some recommendations to help decision</w:t>
      </w:r>
      <w:r w:rsidR="00DA4BDE" w:rsidRPr="00511330">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makers in energy and renewable energy organizations adopt the CM approach </w:t>
      </w:r>
      <w:r w:rsidR="00DA4BDE" w:rsidRPr="00511330">
        <w:rPr>
          <w:rFonts w:asciiTheme="majorBidi" w:hAnsiTheme="majorBidi" w:cstheme="majorBidi"/>
          <w:sz w:val="24"/>
          <w:szCs w:val="24"/>
          <w:lang w:val="en-US"/>
        </w:rPr>
        <w:t>effectively</w:t>
      </w:r>
      <w:r w:rsidRPr="00511330">
        <w:rPr>
          <w:rFonts w:asciiTheme="majorBidi" w:hAnsiTheme="majorBidi" w:cstheme="majorBidi"/>
          <w:sz w:val="24"/>
          <w:szCs w:val="24"/>
          <w:lang w:val="en-US"/>
        </w:rPr>
        <w:t>.</w:t>
      </w:r>
      <w:bookmarkStart w:id="1120" w:name="_Toc32091774"/>
      <w:bookmarkStart w:id="1121" w:name="_Toc32091775"/>
      <w:bookmarkStart w:id="1122" w:name="_Toc32091776"/>
      <w:bookmarkStart w:id="1123" w:name="_Toc32091777"/>
      <w:bookmarkStart w:id="1124" w:name="_Toc32091778"/>
      <w:bookmarkEnd w:id="1120"/>
      <w:bookmarkEnd w:id="1121"/>
      <w:bookmarkEnd w:id="1122"/>
      <w:bookmarkEnd w:id="1123"/>
      <w:bookmarkEnd w:id="1124"/>
    </w:p>
    <w:p w14:paraId="64416BAF" w14:textId="77777777" w:rsidR="008D3598" w:rsidRPr="00511330" w:rsidRDefault="008D3598" w:rsidP="00721566">
      <w:pPr>
        <w:pStyle w:val="Heading2"/>
        <w:numPr>
          <w:ilvl w:val="1"/>
          <w:numId w:val="17"/>
        </w:numPr>
        <w:ind w:left="540" w:right="-450" w:hanging="540"/>
        <w:rPr>
          <w:lang w:val="en-US"/>
        </w:rPr>
      </w:pPr>
      <w:bookmarkStart w:id="1125" w:name="_Toc43311657"/>
      <w:r w:rsidRPr="00511330">
        <w:rPr>
          <w:lang w:val="en-US"/>
        </w:rPr>
        <w:t>Discussion</w:t>
      </w:r>
      <w:bookmarkEnd w:id="1125"/>
    </w:p>
    <w:p w14:paraId="64416BB0" w14:textId="57B4E5A8"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This research presents an exploration of enablers of CM towards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along with an in-depth explanation of each motivating, enabling and barriers element that add</w:t>
      </w:r>
      <w:r w:rsidR="00DA4BDE"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fact base to change management success. The research also provides us a unique insight into motivators, enablers and barriers that affect the approach of CM directly driven from survey made earlier about CM in continuous evolving energy market. Each change management factors were explored in detail to break down elements that add leveraging points</w:t>
      </w:r>
      <w:r w:rsidRPr="00511330" w:rsidDel="00403DD8">
        <w:rPr>
          <w:rFonts w:asciiTheme="majorBidi" w:hAnsiTheme="majorBidi" w:cstheme="majorBidi"/>
          <w:sz w:val="24"/>
          <w:szCs w:val="24"/>
          <w:lang w:val="en-US"/>
        </w:rPr>
        <w:t>.</w:t>
      </w:r>
      <w:r w:rsidRPr="00511330">
        <w:rPr>
          <w:rFonts w:asciiTheme="majorBidi" w:hAnsiTheme="majorBidi" w:cstheme="majorBidi"/>
          <w:sz w:val="24"/>
          <w:szCs w:val="24"/>
          <w:lang w:val="en-US"/>
        </w:rPr>
        <w:t xml:space="preserve"> </w:t>
      </w:r>
    </w:p>
    <w:p w14:paraId="64416BB1" w14:textId="611512AE"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The scientific contribution of the research backed by past researches and survey</w:t>
      </w:r>
      <w:r w:rsidR="00DA4BDE"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to provide an empirical mapping of areas considered grey between leaders, employees, and customers. Since leaders and employees have their thoughts and requirements and communication is mainly based on strategy and transparency, the discussion mainly focuses on soft factors of the organization; however, the higher responsibility falls into the leaders whom we described formerly as</w:t>
      </w:r>
      <w:r w:rsidR="00F61DE4" w:rsidRPr="00511330">
        <w:rPr>
          <w:rFonts w:asciiTheme="majorBidi" w:hAnsiTheme="majorBidi" w:cstheme="majorBidi"/>
          <w:sz w:val="24"/>
          <w:szCs w:val="24"/>
          <w:lang w:val="en-US"/>
        </w:rPr>
        <w:t xml:space="preserve"> captains of the change ships -</w:t>
      </w:r>
      <w:r w:rsidRPr="00511330">
        <w:rPr>
          <w:rFonts w:asciiTheme="majorBidi" w:hAnsiTheme="majorBidi" w:cstheme="majorBidi"/>
          <w:sz w:val="24"/>
          <w:szCs w:val="24"/>
          <w:lang w:val="en-US"/>
        </w:rPr>
        <w:t xml:space="preserve"> desired to location. As an employee, the leader’s gaps in bridging the understanding of change and employee’s resistance has been foreseen. At the same time, as manager and leader, he opined that leaders must gain special skills so as to interpret change as knowledge, which requires specialized skills such as communication, understanding change theories, models of change and to face the basic resistance from employees. This, in turn, entails involving employees as part of change process. Furthermore, understanding how to approach employees with transparency, explaining change requirements for solid, understandable, transparent communication desired and convincing employees about their past experiences and psychology towards change is a step in the right direction. The final gain would be to sustain and emphasis change successfully.</w:t>
      </w:r>
    </w:p>
    <w:p w14:paraId="64416BB2" w14:textId="2DB13991"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results offer a deep insight into stakeholders’ opinions towards CM for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or </w:t>
      </w:r>
      <w:r w:rsidR="00461833"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Such opinions are extracted in balance among the stakeholders, taking consideration of their experiences, the knowledge they have, and previous changes they had undergone. Figure 5.1 illustrates the outline based on the perspectives of multiple stakeholder groups on CM towards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The decision to introduce and apply changes towards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w:t>
      </w:r>
      <w:r w:rsidRPr="00511330">
        <w:rPr>
          <w:rFonts w:asciiTheme="majorBidi" w:hAnsiTheme="majorBidi" w:cstheme="majorBidi"/>
          <w:sz w:val="24"/>
          <w:szCs w:val="24"/>
          <w:lang w:val="en-US"/>
        </w:rPr>
        <w:lastRenderedPageBreak/>
        <w:t>has had a wide effect on the UAE community, notwithstanding the changing process and structuring in energy organizations. It is possible to enhance the study further by widening the research to cover aspects of adoption on a micro-level and technical details regarding the difficulties with customers. Yet, the study identifies common factors that most of the stakeholders claim as their single objective.</w:t>
      </w:r>
    </w:p>
    <w:p w14:paraId="64416BB3" w14:textId="554AF0FD" w:rsidR="008D3598" w:rsidRPr="00511330" w:rsidRDefault="00F61DE4" w:rsidP="00721566">
      <w:pPr>
        <w:spacing w:line="480" w:lineRule="auto"/>
        <w:ind w:right="-450"/>
        <w:jc w:val="both"/>
        <w:rPr>
          <w:rFonts w:asciiTheme="majorBidi" w:hAnsiTheme="majorBidi" w:cstheme="majorBidi"/>
          <w:sz w:val="24"/>
          <w:szCs w:val="24"/>
          <w:lang w:val="en-US"/>
        </w:rPr>
      </w:pPr>
      <w:r w:rsidRPr="00511330">
        <w:rPr>
          <w:noProof/>
          <w:lang w:val="en-US"/>
        </w:rPr>
        <mc:AlternateContent>
          <mc:Choice Requires="wps">
            <w:drawing>
              <wp:anchor distT="0" distB="0" distL="114300" distR="114300" simplePos="0" relativeHeight="251664384" behindDoc="0" locked="0" layoutInCell="1" allowOverlap="1" wp14:anchorId="64416D62" wp14:editId="7C3EE117">
                <wp:simplePos x="0" y="0"/>
                <wp:positionH relativeFrom="column">
                  <wp:posOffset>-160655</wp:posOffset>
                </wp:positionH>
                <wp:positionV relativeFrom="paragraph">
                  <wp:posOffset>4804410</wp:posOffset>
                </wp:positionV>
                <wp:extent cx="4846955" cy="635"/>
                <wp:effectExtent l="0" t="0" r="0" b="0"/>
                <wp:wrapTight wrapText="bothSides">
                  <wp:wrapPolygon edited="0">
                    <wp:start x="0" y="0"/>
                    <wp:lineTo x="0" y="21600"/>
                    <wp:lineTo x="21600" y="21600"/>
                    <wp:lineTo x="21600" y="0"/>
                  </wp:wrapPolygon>
                </wp:wrapTight>
                <wp:docPr id="23" name="Text Box 23"/>
                <wp:cNvGraphicFramePr/>
                <a:graphic xmlns:a="http://schemas.openxmlformats.org/drawingml/2006/main">
                  <a:graphicData uri="http://schemas.microsoft.com/office/word/2010/wordprocessingShape">
                    <wps:wsp>
                      <wps:cNvSpPr txBox="1"/>
                      <wps:spPr>
                        <a:xfrm>
                          <a:off x="0" y="0"/>
                          <a:ext cx="4846955" cy="635"/>
                        </a:xfrm>
                        <a:prstGeom prst="rect">
                          <a:avLst/>
                        </a:prstGeom>
                        <a:solidFill>
                          <a:prstClr val="white"/>
                        </a:solidFill>
                        <a:ln>
                          <a:noFill/>
                        </a:ln>
                        <a:effectLst/>
                      </wps:spPr>
                      <wps:txbx>
                        <w:txbxContent>
                          <w:p w14:paraId="64416D74" w14:textId="1DCD4D2E" w:rsidR="008E0079" w:rsidRPr="00AC2474" w:rsidRDefault="008E0079" w:rsidP="009B744B">
                            <w:pPr>
                              <w:pStyle w:val="Caption"/>
                              <w:ind w:left="270"/>
                              <w:rPr>
                                <w:rFonts w:asciiTheme="majorBidi" w:hAnsiTheme="majorBidi" w:cstheme="majorBidi"/>
                                <w:b w:val="0"/>
                                <w:bCs w:val="0"/>
                                <w:color w:val="auto"/>
                                <w:sz w:val="20"/>
                                <w:szCs w:val="20"/>
                              </w:rPr>
                            </w:pPr>
                            <w:bookmarkStart w:id="1126" w:name="_Toc43311519"/>
                            <w:r w:rsidRPr="007B41A5">
                              <w:rPr>
                                <w:rFonts w:asciiTheme="majorBidi" w:hAnsiTheme="majorBidi" w:cstheme="majorBidi"/>
                                <w:b w:val="0"/>
                                <w:bCs w:val="0"/>
                                <w:i/>
                                <w:iCs/>
                                <w:color w:val="auto"/>
                                <w:sz w:val="20"/>
                                <w:szCs w:val="20"/>
                              </w:rPr>
                              <w:t xml:space="preserve">Figure 5. </w:t>
                            </w:r>
                            <w:r w:rsidRPr="007B41A5">
                              <w:rPr>
                                <w:rFonts w:asciiTheme="majorBidi" w:hAnsiTheme="majorBidi" w:cstheme="majorBidi"/>
                                <w:b w:val="0"/>
                                <w:bCs w:val="0"/>
                                <w:i/>
                                <w:iCs/>
                                <w:color w:val="auto"/>
                                <w:sz w:val="20"/>
                                <w:szCs w:val="20"/>
                              </w:rPr>
                              <w:fldChar w:fldCharType="begin"/>
                            </w:r>
                            <w:r w:rsidRPr="007B41A5">
                              <w:rPr>
                                <w:rFonts w:asciiTheme="majorBidi" w:hAnsiTheme="majorBidi" w:cstheme="majorBidi"/>
                                <w:b w:val="0"/>
                                <w:bCs w:val="0"/>
                                <w:i/>
                                <w:iCs/>
                                <w:color w:val="auto"/>
                                <w:sz w:val="20"/>
                                <w:szCs w:val="20"/>
                              </w:rPr>
                              <w:instrText xml:space="preserve"> SEQ Figure_5. \* ARABIC </w:instrText>
                            </w:r>
                            <w:r w:rsidRPr="007B41A5">
                              <w:rPr>
                                <w:rFonts w:asciiTheme="majorBidi" w:hAnsiTheme="majorBidi" w:cstheme="majorBidi"/>
                                <w:b w:val="0"/>
                                <w:bCs w:val="0"/>
                                <w:i/>
                                <w:iCs/>
                                <w:color w:val="auto"/>
                                <w:sz w:val="20"/>
                                <w:szCs w:val="20"/>
                              </w:rPr>
                              <w:fldChar w:fldCharType="separate"/>
                            </w:r>
                            <w:r>
                              <w:rPr>
                                <w:rFonts w:asciiTheme="majorBidi" w:hAnsiTheme="majorBidi" w:cstheme="majorBidi"/>
                                <w:b w:val="0"/>
                                <w:bCs w:val="0"/>
                                <w:i/>
                                <w:iCs/>
                                <w:noProof/>
                                <w:color w:val="auto"/>
                                <w:sz w:val="20"/>
                                <w:szCs w:val="20"/>
                              </w:rPr>
                              <w:t>1</w:t>
                            </w:r>
                            <w:r w:rsidRPr="007B41A5">
                              <w:rPr>
                                <w:rFonts w:asciiTheme="majorBidi" w:hAnsiTheme="majorBidi" w:cstheme="majorBidi"/>
                                <w:b w:val="0"/>
                                <w:bCs w:val="0"/>
                                <w:i/>
                                <w:iCs/>
                                <w:color w:val="auto"/>
                                <w:sz w:val="20"/>
                                <w:szCs w:val="20"/>
                              </w:rPr>
                              <w:fldChar w:fldCharType="end"/>
                            </w:r>
                            <w:r>
                              <w:rPr>
                                <w:rFonts w:asciiTheme="majorBidi" w:hAnsiTheme="majorBidi" w:cstheme="majorBidi"/>
                                <w:b w:val="0"/>
                                <w:bCs w:val="0"/>
                                <w:i/>
                                <w:iCs/>
                                <w:color w:val="auto"/>
                                <w:sz w:val="20"/>
                                <w:szCs w:val="20"/>
                                <w:lang w:val="en-US"/>
                              </w:rPr>
                              <w:t>:</w:t>
                            </w:r>
                            <w:r w:rsidRPr="00AC2474">
                              <w:rPr>
                                <w:rFonts w:asciiTheme="majorBidi" w:hAnsiTheme="majorBidi" w:cstheme="majorBidi"/>
                                <w:b w:val="0"/>
                                <w:bCs w:val="0"/>
                                <w:color w:val="auto"/>
                                <w:sz w:val="20"/>
                                <w:szCs w:val="20"/>
                                <w:lang w:val="en-US"/>
                              </w:rPr>
                              <w:t xml:space="preserve"> </w:t>
                            </w:r>
                            <w:r w:rsidRPr="00403DD8">
                              <w:rPr>
                                <w:rFonts w:asciiTheme="majorBidi" w:hAnsiTheme="majorBidi" w:cstheme="majorBidi"/>
                                <w:b w:val="0"/>
                                <w:bCs w:val="0"/>
                                <w:color w:val="auto"/>
                                <w:sz w:val="20"/>
                                <w:szCs w:val="20"/>
                                <w:lang w:val="en-US"/>
                              </w:rPr>
                              <w:t>Comprehensive Stakeholders’ Views of CM to Green Energy</w:t>
                            </w:r>
                            <w:bookmarkEnd w:id="1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64416D62" id="Text Box 23" o:spid="_x0000_s1033" type="#_x0000_t202" style="position:absolute;left:0;text-align:left;margin-left:-12.65pt;margin-top:378.3pt;width:381.6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" stroked="f">
                <v:textbox style="mso-fit-shape-to-text:t" inset="0,0,0,0">
                  <w:txbxContent>
                    <w:p w14:paraId="64416D74" w14:textId="1DCD4D2E" w:rsidR="008E0079" w:rsidRPr="00AC2474" w:rsidRDefault="008E0079" w:rsidP="009B744B">
                      <w:pPr>
                        <w:pStyle w:val="Caption"/>
                        <w:ind w:left="270"/>
                        <w:rPr>
                          <w:rFonts w:asciiTheme="majorBidi" w:hAnsiTheme="majorBidi" w:cstheme="majorBidi"/>
                          <w:b w:val="0"/>
                          <w:bCs w:val="0"/>
                          <w:color w:val="auto"/>
                          <w:sz w:val="20"/>
                          <w:szCs w:val="20"/>
                        </w:rPr>
                      </w:pPr>
                      <w:bookmarkStart w:id="1133" w:name="_Toc43311519"/>
                      <w:r w:rsidRPr="007B41A5">
                        <w:rPr>
                          <w:rFonts w:asciiTheme="majorBidi" w:hAnsiTheme="majorBidi" w:cstheme="majorBidi"/>
                          <w:b w:val="0"/>
                          <w:bCs w:val="0"/>
                          <w:i/>
                          <w:iCs/>
                          <w:color w:val="auto"/>
                          <w:sz w:val="20"/>
                          <w:szCs w:val="20"/>
                        </w:rPr>
                        <w:t xml:space="preserve">Figure 5. </w:t>
                      </w:r>
                      <w:r w:rsidRPr="007B41A5">
                        <w:rPr>
                          <w:rFonts w:asciiTheme="majorBidi" w:hAnsiTheme="majorBidi" w:cstheme="majorBidi"/>
                          <w:b w:val="0"/>
                          <w:bCs w:val="0"/>
                          <w:i/>
                          <w:iCs/>
                          <w:color w:val="auto"/>
                          <w:sz w:val="20"/>
                          <w:szCs w:val="20"/>
                        </w:rPr>
                        <w:fldChar w:fldCharType="begin"/>
                      </w:r>
                      <w:r w:rsidRPr="007B41A5">
                        <w:rPr>
                          <w:rFonts w:asciiTheme="majorBidi" w:hAnsiTheme="majorBidi" w:cstheme="majorBidi"/>
                          <w:b w:val="0"/>
                          <w:bCs w:val="0"/>
                          <w:i/>
                          <w:iCs/>
                          <w:color w:val="auto"/>
                          <w:sz w:val="20"/>
                          <w:szCs w:val="20"/>
                        </w:rPr>
                        <w:instrText xml:space="preserve"> SEQ Figure_5. \* ARABIC </w:instrText>
                      </w:r>
                      <w:r w:rsidRPr="007B41A5">
                        <w:rPr>
                          <w:rFonts w:asciiTheme="majorBidi" w:hAnsiTheme="majorBidi" w:cstheme="majorBidi"/>
                          <w:b w:val="0"/>
                          <w:bCs w:val="0"/>
                          <w:i/>
                          <w:iCs/>
                          <w:color w:val="auto"/>
                          <w:sz w:val="20"/>
                          <w:szCs w:val="20"/>
                        </w:rPr>
                        <w:fldChar w:fldCharType="separate"/>
                      </w:r>
                      <w:r>
                        <w:rPr>
                          <w:rFonts w:asciiTheme="majorBidi" w:hAnsiTheme="majorBidi" w:cstheme="majorBidi"/>
                          <w:b w:val="0"/>
                          <w:bCs w:val="0"/>
                          <w:i/>
                          <w:iCs/>
                          <w:noProof/>
                          <w:color w:val="auto"/>
                          <w:sz w:val="20"/>
                          <w:szCs w:val="20"/>
                        </w:rPr>
                        <w:t>1</w:t>
                      </w:r>
                      <w:r w:rsidRPr="007B41A5">
                        <w:rPr>
                          <w:rFonts w:asciiTheme="majorBidi" w:hAnsiTheme="majorBidi" w:cstheme="majorBidi"/>
                          <w:b w:val="0"/>
                          <w:bCs w:val="0"/>
                          <w:i/>
                          <w:iCs/>
                          <w:color w:val="auto"/>
                          <w:sz w:val="20"/>
                          <w:szCs w:val="20"/>
                        </w:rPr>
                        <w:fldChar w:fldCharType="end"/>
                      </w:r>
                      <w:r>
                        <w:rPr>
                          <w:rFonts w:asciiTheme="majorBidi" w:hAnsiTheme="majorBidi" w:cstheme="majorBidi"/>
                          <w:b w:val="0"/>
                          <w:bCs w:val="0"/>
                          <w:i/>
                          <w:iCs/>
                          <w:color w:val="auto"/>
                          <w:sz w:val="20"/>
                          <w:szCs w:val="20"/>
                          <w:lang w:val="en-US"/>
                        </w:rPr>
                        <w:t>:</w:t>
                      </w:r>
                      <w:r w:rsidRPr="00AC2474">
                        <w:rPr>
                          <w:rFonts w:asciiTheme="majorBidi" w:hAnsiTheme="majorBidi" w:cstheme="majorBidi"/>
                          <w:b w:val="0"/>
                          <w:bCs w:val="0"/>
                          <w:color w:val="auto"/>
                          <w:sz w:val="20"/>
                          <w:szCs w:val="20"/>
                          <w:lang w:val="en-US"/>
                        </w:rPr>
                        <w:t xml:space="preserve"> </w:t>
                      </w:r>
                      <w:r w:rsidRPr="00403DD8">
                        <w:rPr>
                          <w:rFonts w:asciiTheme="majorBidi" w:hAnsiTheme="majorBidi" w:cstheme="majorBidi"/>
                          <w:b w:val="0"/>
                          <w:bCs w:val="0"/>
                          <w:color w:val="auto"/>
                          <w:sz w:val="20"/>
                          <w:szCs w:val="20"/>
                          <w:lang w:val="en-US"/>
                        </w:rPr>
                        <w:t>Comprehensive Stakeholders’ Views of CM to Green Energy</w:t>
                      </w:r>
                      <w:bookmarkEnd w:id="1133"/>
                    </w:p>
                  </w:txbxContent>
                </v:textbox>
                <w10:wrap type="tight"/>
              </v:shape>
            </w:pict>
          </mc:Fallback>
        </mc:AlternateContent>
      </w:r>
      <w:r w:rsidRPr="00511330">
        <w:rPr>
          <w:rFonts w:asciiTheme="majorBidi" w:hAnsiTheme="majorBidi" w:cstheme="majorBidi"/>
          <w:b/>
          <w:bCs/>
          <w:noProof/>
          <w:sz w:val="24"/>
          <w:szCs w:val="24"/>
          <w:lang w:val="en-US"/>
        </w:rPr>
        <w:drawing>
          <wp:anchor distT="0" distB="0" distL="114300" distR="114300" simplePos="0" relativeHeight="251656192" behindDoc="1" locked="0" layoutInCell="1" allowOverlap="1" wp14:anchorId="64416D64" wp14:editId="134E3B1A">
            <wp:simplePos x="0" y="0"/>
            <wp:positionH relativeFrom="margin">
              <wp:posOffset>-8255</wp:posOffset>
            </wp:positionH>
            <wp:positionV relativeFrom="paragraph">
              <wp:posOffset>1686560</wp:posOffset>
            </wp:positionV>
            <wp:extent cx="4846955" cy="3051175"/>
            <wp:effectExtent l="19050" t="19050" r="10795" b="15875"/>
            <wp:wrapTight wrapText="bothSides">
              <wp:wrapPolygon edited="0">
                <wp:start x="-85" y="-135"/>
                <wp:lineTo x="-85" y="21578"/>
                <wp:lineTo x="21563" y="21578"/>
                <wp:lineTo x="21563" y="-135"/>
                <wp:lineTo x="-85" y="-135"/>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a:extLst>
                        <a:ext uri="{28A0092B-C50C-407E-A947-70E740481C1C}">
                          <a14:useLocalDpi xmlns:a14="http://schemas.microsoft.com/office/drawing/2010/main" val="0"/>
                        </a:ext>
                      </a:extLst>
                    </a:blip>
                    <a:srcRect b="6089"/>
                    <a:stretch/>
                  </pic:blipFill>
                  <pic:spPr bwMode="auto">
                    <a:xfrm>
                      <a:off x="0" y="0"/>
                      <a:ext cx="4846955" cy="305117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8D3598" w:rsidRPr="00511330">
        <w:rPr>
          <w:rFonts w:asciiTheme="majorBidi" w:hAnsiTheme="majorBidi" w:cstheme="majorBidi"/>
          <w:sz w:val="24"/>
          <w:szCs w:val="24"/>
          <w:lang w:val="en-US"/>
        </w:rPr>
        <w:t xml:space="preserve">The driving elements affecting the decision and each layer of the process has its own motives, enablers, and barriers. The importance of the study comes from analyzing each factor motivating CM to </w:t>
      </w:r>
      <w:r w:rsidR="00DD2E9F" w:rsidRPr="00511330">
        <w:rPr>
          <w:rFonts w:asciiTheme="majorBidi" w:hAnsiTheme="majorBidi" w:cstheme="majorBidi"/>
          <w:sz w:val="24"/>
          <w:szCs w:val="24"/>
          <w:lang w:val="en-US"/>
        </w:rPr>
        <w:t>renewable</w:t>
      </w:r>
      <w:r w:rsidR="008D3598" w:rsidRPr="00511330">
        <w:rPr>
          <w:rFonts w:asciiTheme="majorBidi" w:hAnsiTheme="majorBidi" w:cstheme="majorBidi"/>
          <w:sz w:val="24"/>
          <w:szCs w:val="24"/>
          <w:lang w:val="en-US"/>
        </w:rPr>
        <w:t xml:space="preserve"> energy and having the means of change towards the objective. Lastly, identifying barriers would help create a proper anticipation and troubleshooting to a single future decision for </w:t>
      </w:r>
      <w:r w:rsidR="00461833" w:rsidRPr="00511330">
        <w:rPr>
          <w:rFonts w:asciiTheme="majorBidi" w:hAnsiTheme="majorBidi" w:cstheme="majorBidi"/>
          <w:sz w:val="24"/>
          <w:szCs w:val="24"/>
          <w:lang w:val="en-US"/>
        </w:rPr>
        <w:t>renewable</w:t>
      </w:r>
      <w:r w:rsidR="008D3598" w:rsidRPr="00511330">
        <w:rPr>
          <w:rFonts w:asciiTheme="majorBidi" w:hAnsiTheme="majorBidi" w:cstheme="majorBidi"/>
          <w:sz w:val="24"/>
          <w:szCs w:val="24"/>
          <w:lang w:val="en-US"/>
        </w:rPr>
        <w:t xml:space="preserve"> energy. Also, disseminating positive attitude and supporting with available tools would make it easier to reduce or overcome barriers with fewer surges of operation and enthusiast communities. </w:t>
      </w:r>
    </w:p>
    <w:p w14:paraId="64416BB4" w14:textId="677C11DC"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The research can be further enhanced by benchmarking the factors of motives used in </w:t>
      </w:r>
      <w:r w:rsidR="009E623D"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 with other adjacent countries similar motives to drive renewable energy. The value of these benchmarks is well known in research applying behavioral approaches to the study of the adoption of green technologies and energy efficiency solutions (Cataldo et al. 2015).</w:t>
      </w:r>
    </w:p>
    <w:p w14:paraId="64416BB5" w14:textId="007A8F68"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By examining the factors and exploration of elements of enablers, it was found that the main enabler’s elements revolved around set of criteria, contributing directly and indirectly to the process of successful CM. Hervani et al. (2005) contended that there are enablers and constraints from inside and outside the organization, the so-called internal and external factors. </w:t>
      </w:r>
    </w:p>
    <w:p w14:paraId="64416BB6" w14:textId="61F76563"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importance of this research comes from analyzing each enabler factor and subcategorizing elements of each enabler of change management to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and possessing/deploying the means of change towards the stated objective. Lastly, identifying elements of enablers would create proper anticipation and troubleshooting to a set of process and regulation decisions for </w:t>
      </w:r>
      <w:r w:rsidR="00461833"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In addition, pinpointing and adapting available tools would make it easier to reduce or overcome change obstacles with fewer surges of operation and boosting enthusiasm to communities.</w:t>
      </w:r>
    </w:p>
    <w:p w14:paraId="64416BB8" w14:textId="0AB10B0F" w:rsidR="008D3598" w:rsidRPr="00511330" w:rsidRDefault="008D3598" w:rsidP="00F61DE4">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Additionally, barriers to change are always tackled on a surficial level in the renewable energy sector of the UAE, though it does not seem to pose much of a challenge. Emphasis on uncertainty and the need for more understanding to create better knowledge commonly occurs in the complexity discourse, as demonstrated by ‘troubles in translating this consensus in climate science have led to the appearance of amplified uncertainty and debate, also then permeating public and </w:t>
      </w:r>
      <w:r w:rsidRPr="00511330">
        <w:rPr>
          <w:rFonts w:asciiTheme="majorBidi" w:hAnsiTheme="majorBidi" w:cstheme="majorBidi"/>
          <w:sz w:val="24"/>
          <w:szCs w:val="24"/>
          <w:lang w:val="en-US"/>
        </w:rPr>
        <w:lastRenderedPageBreak/>
        <w:t xml:space="preserve">policy discourse’ (Boykoff, 2008). However, if barriers are not addressed, they would be the tip of an iceberg, implying that much damage can be caused to the organization in the future.  It is noteworthy that most organizations would consider barriers as an internal matter and each organization shall resolve their internal matter, such as culture, return on investment, knowledge-sharing platform rigidity and communication nature. One reason for this may be Christensen’s (2014) view that change is not a static process but is, in fact, a continuous process where it may be difficult to single out an independent initiative. Considering each organization as an independent entity from the perspective of barriers is not acceptable in modern business era and such approach would result in same failures </w:t>
      </w:r>
      <w:r w:rsidR="00DA4BDE" w:rsidRPr="00511330">
        <w:rPr>
          <w:rFonts w:asciiTheme="majorBidi" w:hAnsiTheme="majorBidi" w:cstheme="majorBidi"/>
          <w:sz w:val="24"/>
          <w:szCs w:val="24"/>
          <w:lang w:val="en-US"/>
        </w:rPr>
        <w:t>that</w:t>
      </w:r>
      <w:r w:rsidRPr="00511330">
        <w:rPr>
          <w:rFonts w:asciiTheme="majorBidi" w:hAnsiTheme="majorBidi" w:cstheme="majorBidi"/>
          <w:sz w:val="24"/>
          <w:szCs w:val="24"/>
          <w:lang w:val="en-US"/>
        </w:rPr>
        <w:t xml:space="preserve"> mos</w:t>
      </w:r>
      <w:r w:rsidR="00F61DE4" w:rsidRPr="00511330">
        <w:rPr>
          <w:rFonts w:asciiTheme="majorBidi" w:hAnsiTheme="majorBidi" w:cstheme="majorBidi"/>
          <w:sz w:val="24"/>
          <w:szCs w:val="24"/>
          <w:lang w:val="en-US"/>
        </w:rPr>
        <w:t xml:space="preserve">t organizations ended up with. </w:t>
      </w:r>
    </w:p>
    <w:p w14:paraId="64416BB9" w14:textId="3F64143F" w:rsidR="008D3598" w:rsidRPr="00511330" w:rsidRDefault="008D3598" w:rsidP="009B1F1F">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Taking into consideration all the above-mentioned reasons, leadership is also considered the key element to change process and weather leaders’ characteristics are transactional or transformational, certain skills are required to lead a successful change. As observed by Szabla (2007), different perceived leadership strategies or styles influence individuals’ reactions to change initiatives. </w:t>
      </w:r>
      <w:r w:rsidR="00AF35B5" w:rsidRPr="00511330">
        <w:rPr>
          <w:rFonts w:asciiTheme="majorBidi" w:hAnsiTheme="majorBidi" w:cstheme="majorBidi"/>
          <w:sz w:val="24"/>
          <w:szCs w:val="24"/>
          <w:lang w:val="en-US"/>
        </w:rPr>
        <w:t>P</w:t>
      </w:r>
      <w:r w:rsidRPr="00511330">
        <w:rPr>
          <w:rFonts w:asciiTheme="majorBidi" w:hAnsiTheme="majorBidi" w:cstheme="majorBidi"/>
          <w:sz w:val="24"/>
          <w:szCs w:val="24"/>
          <w:lang w:val="en-US"/>
        </w:rPr>
        <w:t xml:space="preserve">lanning change, many organizations focus on the </w:t>
      </w:r>
      <w:r w:rsidR="00AF35B5" w:rsidRPr="00511330">
        <w:rPr>
          <w:rFonts w:asciiTheme="majorBidi" w:hAnsiTheme="majorBidi" w:cstheme="majorBidi"/>
          <w:sz w:val="24"/>
          <w:szCs w:val="24"/>
          <w:lang w:val="en-US"/>
        </w:rPr>
        <w:t xml:space="preserve">blueprint of the </w:t>
      </w:r>
      <w:r w:rsidRPr="00511330">
        <w:rPr>
          <w:rFonts w:asciiTheme="majorBidi" w:hAnsiTheme="majorBidi" w:cstheme="majorBidi"/>
          <w:sz w:val="24"/>
          <w:szCs w:val="24"/>
          <w:lang w:val="en-US"/>
        </w:rPr>
        <w:t xml:space="preserve">plan and </w:t>
      </w:r>
      <w:r w:rsidR="00AF35B5" w:rsidRPr="00511330">
        <w:rPr>
          <w:rFonts w:asciiTheme="majorBidi" w:hAnsiTheme="majorBidi" w:cstheme="majorBidi"/>
          <w:sz w:val="24"/>
          <w:szCs w:val="24"/>
          <w:lang w:val="en-US"/>
        </w:rPr>
        <w:t xml:space="preserve">ignoring </w:t>
      </w:r>
      <w:r w:rsidRPr="00511330">
        <w:rPr>
          <w:rFonts w:asciiTheme="majorBidi" w:hAnsiTheme="majorBidi" w:cstheme="majorBidi"/>
          <w:sz w:val="24"/>
          <w:szCs w:val="24"/>
          <w:lang w:val="en-US"/>
        </w:rPr>
        <w:t xml:space="preserve"> people </w:t>
      </w:r>
      <w:r w:rsidR="00AF35B5" w:rsidRPr="00511330">
        <w:rPr>
          <w:rFonts w:asciiTheme="majorBidi" w:hAnsiTheme="majorBidi" w:cstheme="majorBidi"/>
          <w:sz w:val="24"/>
          <w:szCs w:val="24"/>
          <w:lang w:val="en-US"/>
        </w:rPr>
        <w:t xml:space="preserve">whos are with highest variant factors from </w:t>
      </w:r>
      <w:r w:rsidRPr="00511330">
        <w:rPr>
          <w:rFonts w:asciiTheme="majorBidi" w:hAnsiTheme="majorBidi" w:cstheme="majorBidi"/>
          <w:sz w:val="24"/>
          <w:szCs w:val="24"/>
          <w:lang w:val="en-US"/>
        </w:rPr>
        <w:t xml:space="preserve">psychological </w:t>
      </w:r>
      <w:r w:rsidR="00AF35B5" w:rsidRPr="00511330">
        <w:rPr>
          <w:rFonts w:asciiTheme="majorBidi" w:hAnsiTheme="majorBidi" w:cstheme="majorBidi"/>
          <w:sz w:val="24"/>
          <w:szCs w:val="24"/>
          <w:lang w:val="en-US"/>
        </w:rPr>
        <w:t>to experiencing each change they faced in life,</w:t>
      </w:r>
      <w:r w:rsidRPr="00511330">
        <w:rPr>
          <w:rFonts w:asciiTheme="majorBidi" w:hAnsiTheme="majorBidi" w:cstheme="majorBidi"/>
          <w:sz w:val="24"/>
          <w:szCs w:val="24"/>
          <w:lang w:val="en-US"/>
        </w:rPr>
        <w:t xml:space="preserve"> of change are not addressed, as a result of which decisions are made in the boardroom and not on the work floor (Coble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Vendl, 2016). Some perceived barriers become apparent that they will not be overcome (Barnett et al., 2015) and organizations end up with collision courses resulting from an improper analysis of change barriers. To some extent, organizations took more than a year to apply change, due to chaotic starts and lack of proper planning, as well as hazy </w:t>
      </w:r>
      <w:r w:rsidRPr="00511330">
        <w:rPr>
          <w:rFonts w:asciiTheme="majorBidi" w:hAnsiTheme="majorBidi" w:cstheme="majorBidi"/>
          <w:sz w:val="24"/>
          <w:szCs w:val="24"/>
          <w:lang w:val="en-US"/>
        </w:rPr>
        <w:lastRenderedPageBreak/>
        <w:t xml:space="preserve">transparent information communicated. Moreover, the culture of the UAE often clashes with the organizational culture that is necessary to successfully achieve change (Badawy,1980; Muna, 1980; Darwish, 1998; Yaseen </w:t>
      </w:r>
      <w:r w:rsidR="00715A2C" w:rsidRPr="00511330">
        <w:rPr>
          <w:rFonts w:asciiTheme="majorBidi" w:hAnsiTheme="majorBidi" w:cstheme="majorBidi"/>
          <w:sz w:val="24"/>
          <w:szCs w:val="24"/>
          <w:lang w:val="en-US"/>
        </w:rPr>
        <w:t>and</w:t>
      </w:r>
      <w:r w:rsidRPr="00511330">
        <w:rPr>
          <w:rFonts w:asciiTheme="majorBidi" w:hAnsiTheme="majorBidi" w:cstheme="majorBidi"/>
          <w:sz w:val="24"/>
          <w:szCs w:val="24"/>
          <w:lang w:val="en-US"/>
        </w:rPr>
        <w:t xml:space="preserve"> Okour, 2012). Meanwhile, Burnes (2014) explains the emergent change view of the determinants of successful change as incorporating culture, organizational learning, managerial behavior, power and politics and organizational structure. </w:t>
      </w:r>
    </w:p>
    <w:p w14:paraId="64416BBA" w14:textId="78F26883" w:rsidR="008D3598" w:rsidRPr="00511330" w:rsidRDefault="008D3598" w:rsidP="00721566">
      <w:pPr>
        <w:pStyle w:val="ListParagraph"/>
        <w:spacing w:line="480" w:lineRule="auto"/>
        <w:ind w:left="0" w:right="-450"/>
        <w:jc w:val="both"/>
        <w:rPr>
          <w:rFonts w:asciiTheme="majorBidi" w:hAnsiTheme="majorBidi" w:cstheme="majorBidi"/>
          <w:strike/>
          <w:sz w:val="24"/>
          <w:szCs w:val="24"/>
          <w:lang w:val="en-US"/>
        </w:rPr>
      </w:pPr>
      <w:r w:rsidRPr="00511330">
        <w:rPr>
          <w:rFonts w:asciiTheme="majorBidi" w:hAnsiTheme="majorBidi" w:cstheme="majorBidi"/>
          <w:sz w:val="24"/>
          <w:szCs w:val="24"/>
          <w:lang w:val="en-US"/>
        </w:rPr>
        <w:t xml:space="preserve">The importance of this research stems from analyzing each </w:t>
      </w:r>
      <w:r w:rsidR="00DA4BDE" w:rsidRPr="00511330">
        <w:rPr>
          <w:rFonts w:asciiTheme="majorBidi" w:hAnsiTheme="majorBidi" w:cstheme="majorBidi"/>
          <w:sz w:val="24"/>
          <w:szCs w:val="24"/>
          <w:lang w:val="en-US"/>
        </w:rPr>
        <w:t>factor</w:t>
      </w:r>
      <w:r w:rsidR="00CA6EA3" w:rsidRPr="00511330">
        <w:rPr>
          <w:rFonts w:asciiTheme="majorBidi" w:hAnsiTheme="majorBidi" w:cstheme="majorBidi"/>
          <w:sz w:val="24"/>
          <w:szCs w:val="24"/>
          <w:lang w:val="en-US"/>
        </w:rPr>
        <w:t xml:space="preserve"> from the analysis and subcategorizing them to solely serve the objectives desired from change. </w:t>
      </w:r>
      <w:r w:rsidRPr="00511330">
        <w:rPr>
          <w:rFonts w:asciiTheme="majorBidi" w:hAnsiTheme="majorBidi" w:cstheme="majorBidi"/>
          <w:sz w:val="24"/>
          <w:szCs w:val="24"/>
          <w:lang w:val="en-US"/>
        </w:rPr>
        <w:t xml:space="preserve">Lastly, identifying three elements of motives, four elements of enablers and barriers would create proper anticipation and troubleshooting to a set of process and regulation decisions for </w:t>
      </w:r>
      <w:r w:rsidR="00461833"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w:t>
      </w:r>
    </w:p>
    <w:p w14:paraId="64416BBB" w14:textId="06A070C4"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research also helps energy organizations identify the areas of motives, enablers and barriers that they need to focus </w:t>
      </w:r>
      <w:r w:rsidR="00DA4BDE" w:rsidRPr="00511330">
        <w:rPr>
          <w:rFonts w:asciiTheme="majorBidi" w:hAnsiTheme="majorBidi" w:cstheme="majorBidi"/>
          <w:sz w:val="24"/>
          <w:szCs w:val="24"/>
          <w:lang w:val="en-US"/>
        </w:rPr>
        <w:t xml:space="preserve">on </w:t>
      </w:r>
      <w:r w:rsidRPr="00511330">
        <w:rPr>
          <w:rFonts w:asciiTheme="majorBidi" w:hAnsiTheme="majorBidi" w:cstheme="majorBidi"/>
          <w:sz w:val="24"/>
          <w:szCs w:val="24"/>
          <w:lang w:val="en-US"/>
        </w:rPr>
        <w:t xml:space="preserve">creating strategies aims to leverage motivation, activate enablers and overcome barriers towards green energy. The research addresses the leveraging elements while identifying the drawbacks enabling the organizations to ensure stakeholders satisfaction. In addition, it provides energy companies with clear points they need to address while transforming and managing change. </w:t>
      </w:r>
    </w:p>
    <w:p w14:paraId="64416BBC" w14:textId="6A1FF020"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In addition, this research enables companies to anticipate the level of perpetual change, awarding and capabilities allocation of their efforts/resources towards factors that motivating meanwhile sustaining enabling with planning anticipated barriers for change management with minimizing failure risks. The research also assumes significance for energy companies to analyze their current status and apply necessary motives, enablers and overcome barriers of changes to their </w:t>
      </w:r>
      <w:r w:rsidRPr="00511330">
        <w:rPr>
          <w:rFonts w:asciiTheme="majorBidi" w:hAnsiTheme="majorBidi" w:cstheme="majorBidi"/>
          <w:sz w:val="24"/>
          <w:szCs w:val="24"/>
          <w:lang w:val="en-US"/>
        </w:rPr>
        <w:lastRenderedPageBreak/>
        <w:t xml:space="preserve">strategies, workgroups, vision, mission and resources to facilitate what is necessary and determine their current status in change process. The research </w:t>
      </w:r>
      <w:r w:rsidR="00CA6EA3" w:rsidRPr="00511330">
        <w:rPr>
          <w:rFonts w:asciiTheme="majorBidi" w:hAnsiTheme="majorBidi" w:cstheme="majorBidi"/>
          <w:sz w:val="24"/>
          <w:szCs w:val="24"/>
          <w:lang w:val="en-US"/>
        </w:rPr>
        <w:t>acts as tree root analysis for</w:t>
      </w:r>
      <w:r w:rsidRPr="00511330">
        <w:rPr>
          <w:rFonts w:asciiTheme="majorBidi" w:hAnsiTheme="majorBidi" w:cstheme="majorBidi"/>
          <w:sz w:val="24"/>
          <w:szCs w:val="24"/>
          <w:lang w:val="en-US"/>
        </w:rPr>
        <w:t xml:space="preserve"> energy organizations </w:t>
      </w:r>
      <w:r w:rsidR="00CA6EA3" w:rsidRPr="00511330">
        <w:rPr>
          <w:rFonts w:asciiTheme="majorBidi" w:hAnsiTheme="majorBidi" w:cstheme="majorBidi"/>
          <w:sz w:val="24"/>
          <w:szCs w:val="24"/>
          <w:lang w:val="en-US"/>
        </w:rPr>
        <w:t xml:space="preserve">to create a ranking of importance to which factors shall be treated with immediate effect and requires a remedial change of plan and process, avoiding being late in response to the issues that hinder change process. </w:t>
      </w:r>
      <w:bookmarkStart w:id="1127" w:name="_Toc32091780"/>
      <w:bookmarkStart w:id="1128" w:name="_Toc32091781"/>
      <w:bookmarkStart w:id="1129" w:name="_Toc32091782"/>
      <w:bookmarkStart w:id="1130" w:name="_Toc32091783"/>
      <w:bookmarkStart w:id="1131" w:name="_Toc32091784"/>
      <w:bookmarkStart w:id="1132" w:name="_Toc32091785"/>
      <w:bookmarkEnd w:id="1127"/>
      <w:bookmarkEnd w:id="1128"/>
      <w:bookmarkEnd w:id="1129"/>
      <w:bookmarkEnd w:id="1130"/>
      <w:bookmarkEnd w:id="1131"/>
      <w:bookmarkEnd w:id="1132"/>
    </w:p>
    <w:p w14:paraId="64416BBD" w14:textId="77777777" w:rsidR="008D3598" w:rsidRPr="00511330" w:rsidRDefault="008D3598" w:rsidP="00721566">
      <w:pPr>
        <w:keepNext/>
        <w:keepLines/>
        <w:spacing w:before="200" w:after="0" w:line="360" w:lineRule="auto"/>
        <w:ind w:right="-450"/>
        <w:outlineLvl w:val="1"/>
        <w:rPr>
          <w:rFonts w:asciiTheme="majorBidi" w:eastAsiaTheme="majorEastAsia" w:hAnsiTheme="majorBidi" w:cstheme="majorBidi"/>
          <w:b/>
          <w:bCs/>
          <w:vanish/>
          <w:sz w:val="28"/>
          <w:szCs w:val="26"/>
          <w:lang w:val="en-US"/>
        </w:rPr>
      </w:pPr>
    </w:p>
    <w:p w14:paraId="64416BBE" w14:textId="77777777" w:rsidR="008D3598" w:rsidRPr="00511330" w:rsidRDefault="008D3598" w:rsidP="00721566">
      <w:pPr>
        <w:pStyle w:val="Heading2"/>
        <w:numPr>
          <w:ilvl w:val="1"/>
          <w:numId w:val="17"/>
        </w:numPr>
        <w:spacing w:line="480" w:lineRule="auto"/>
        <w:ind w:left="540" w:right="-450" w:hanging="540"/>
        <w:rPr>
          <w:lang w:val="en-US"/>
        </w:rPr>
      </w:pPr>
      <w:bookmarkStart w:id="1133" w:name="_Toc43311658"/>
      <w:r w:rsidRPr="00511330">
        <w:rPr>
          <w:lang w:val="en-US"/>
        </w:rPr>
        <w:t>Implications</w:t>
      </w:r>
      <w:bookmarkEnd w:id="1133"/>
    </w:p>
    <w:p w14:paraId="64416BBF" w14:textId="5412B664"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conclusion drawn from the research and a blend </w:t>
      </w:r>
      <w:r w:rsidR="00DA4BDE" w:rsidRPr="00511330">
        <w:rPr>
          <w:rFonts w:asciiTheme="majorBidi" w:hAnsiTheme="majorBidi" w:cstheme="majorBidi"/>
          <w:sz w:val="24"/>
          <w:szCs w:val="24"/>
          <w:lang w:val="en-US"/>
        </w:rPr>
        <w:t xml:space="preserve">of </w:t>
      </w:r>
      <w:r w:rsidRPr="00511330">
        <w:rPr>
          <w:rFonts w:asciiTheme="majorBidi" w:hAnsiTheme="majorBidi" w:cstheme="majorBidi"/>
          <w:sz w:val="24"/>
          <w:szCs w:val="24"/>
          <w:lang w:val="en-US"/>
        </w:rPr>
        <w:t xml:space="preserve">questions arising from different stakeholders of renewable energy assumes significance for future changes across organizations. The fact of the matter is that there are limited studies on the impact of CM towards </w:t>
      </w:r>
      <w:r w:rsidR="00461833"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in the UAE. We considered major stakeholders of renewables deeply by investigating the governmental and organizations as the main drivers of change and initiatives in the market.</w:t>
      </w:r>
    </w:p>
    <w:p w14:paraId="64416BC0" w14:textId="0DB2281C"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There are definitive elements affecting successful change implementation in the energy sector. Similarly, </w:t>
      </w:r>
      <w:r w:rsidR="00DA4BDE" w:rsidRPr="00511330">
        <w:rPr>
          <w:rFonts w:asciiTheme="majorBidi" w:hAnsiTheme="majorBidi" w:cstheme="majorBidi"/>
          <w:sz w:val="24"/>
          <w:szCs w:val="24"/>
          <w:lang w:val="en-US"/>
        </w:rPr>
        <w:t>some elements</w:t>
      </w:r>
      <w:r w:rsidRPr="00511330">
        <w:rPr>
          <w:rFonts w:asciiTheme="majorBidi" w:hAnsiTheme="majorBidi" w:cstheme="majorBidi"/>
          <w:sz w:val="24"/>
          <w:szCs w:val="24"/>
          <w:lang w:val="en-US"/>
        </w:rPr>
        <w:t xml:space="preserve"> are moderators, connecting the missing gaps between CM factors. Consequently, organizations lay their hand research based on survey and solid analysis, so as to understand their status and know which steps they are located. Nevertheless, policymakers can also leverage this study to govern renewable energy usages, thereby creating balance between the provider and consumers.</w:t>
      </w:r>
    </w:p>
    <w:p w14:paraId="64416BC1" w14:textId="163CA21D"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study has included a limited number of participants as well as general research on government future visions; yet, most of the participants agree on factors that were mentioned chronologically. The observation and analysis of the research </w:t>
      </w:r>
      <w:r w:rsidRPr="00511330">
        <w:rPr>
          <w:rFonts w:asciiTheme="majorBidi" w:hAnsiTheme="majorBidi" w:cstheme="majorBidi"/>
          <w:sz w:val="24"/>
          <w:szCs w:val="24"/>
          <w:lang w:val="en-US"/>
        </w:rPr>
        <w:lastRenderedPageBreak/>
        <w:t>ha</w:t>
      </w:r>
      <w:r w:rsidR="00DA4BDE" w:rsidRPr="00511330">
        <w:rPr>
          <w:rFonts w:asciiTheme="majorBidi" w:hAnsiTheme="majorBidi" w:cstheme="majorBidi"/>
          <w:sz w:val="24"/>
          <w:szCs w:val="24"/>
          <w:lang w:val="en-US"/>
        </w:rPr>
        <w:t>ve</w:t>
      </w:r>
      <w:r w:rsidRPr="00511330">
        <w:rPr>
          <w:rFonts w:asciiTheme="majorBidi" w:hAnsiTheme="majorBidi" w:cstheme="majorBidi"/>
          <w:sz w:val="24"/>
          <w:szCs w:val="24"/>
          <w:lang w:val="en-US"/>
        </w:rPr>
        <w:t xml:space="preserve"> a clear implication that CM factors and elements impact the direction in which an organization progresses. </w:t>
      </w:r>
    </w:p>
    <w:p w14:paraId="64416BC2" w14:textId="7F1E75D2"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It is clear that the government has announced </w:t>
      </w:r>
      <w:r w:rsidR="00DA4BDE" w:rsidRPr="00511330">
        <w:rPr>
          <w:rFonts w:asciiTheme="majorBidi" w:hAnsiTheme="majorBidi" w:cstheme="majorBidi"/>
          <w:sz w:val="24"/>
          <w:szCs w:val="24"/>
          <w:lang w:val="en-US"/>
        </w:rPr>
        <w:t>its</w:t>
      </w:r>
      <w:r w:rsidRPr="00511330">
        <w:rPr>
          <w:rFonts w:asciiTheme="majorBidi" w:hAnsiTheme="majorBidi" w:cstheme="majorBidi"/>
          <w:sz w:val="24"/>
          <w:szCs w:val="24"/>
          <w:lang w:val="en-US"/>
        </w:rPr>
        <w:t xml:space="preserve"> long-term plans as part of national planning form to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in upcoming years, which in turn unfolds the implication for driving initiatives from normal fossil to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philosophy.  Yet the policymaking has not yet been reformed to further investigate the subject. Digitalization could have significant implications for energy demand and supply across the board, including smart energy systems facilitating consumer contributions to energy system management through demand response (IEA, 2017b).</w:t>
      </w:r>
    </w:p>
    <w:p w14:paraId="64416BC3" w14:textId="305B9977"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research </w:t>
      </w:r>
      <w:r w:rsidR="00DA4BDE" w:rsidRPr="00511330">
        <w:rPr>
          <w:rFonts w:asciiTheme="majorBidi" w:hAnsiTheme="majorBidi" w:cstheme="majorBidi"/>
          <w:sz w:val="24"/>
          <w:szCs w:val="24"/>
          <w:lang w:val="en-US"/>
        </w:rPr>
        <w:t>ha</w:t>
      </w:r>
      <w:r w:rsidRPr="00511330">
        <w:rPr>
          <w:rFonts w:asciiTheme="majorBidi" w:hAnsiTheme="majorBidi" w:cstheme="majorBidi"/>
          <w:sz w:val="24"/>
          <w:szCs w:val="24"/>
          <w:lang w:val="en-US"/>
        </w:rPr>
        <w:t xml:space="preserve">s resulted from the implication of fast changing global market trends and the worldwide approach towards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and renewable energies.</w:t>
      </w:r>
    </w:p>
    <w:p w14:paraId="64416BC4" w14:textId="451B45B8"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Apart from prediction of the experts, most researchers equivocally confirm that global warming exists. Add to that, they agree that postindustrial advancements have led to changes in lifestyle and an increase in carbon emissions of greenhouse gases, causing the scientific communities to find tools and methods to calculate and prove global warming effect in a scientific manner. There is no doubt about the fact that continuing the use of current fossil fuels will worsen the situation in the future. Time is a critical scale where researchers are racing to find solution</w:t>
      </w:r>
      <w:r w:rsidR="00DA4BDE"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to most of the transformation towards renewables, which is why this research is important because it determines and identifies the change necessities in a fast-moving world where time is a privilege that can be owned nor controlled. </w:t>
      </w:r>
    </w:p>
    <w:p w14:paraId="64416BC5" w14:textId="424E755E" w:rsidR="008D3598" w:rsidRPr="00511330" w:rsidRDefault="008D3598" w:rsidP="00721566">
      <w:pPr>
        <w:spacing w:line="480" w:lineRule="auto"/>
        <w:ind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The major implication of the study that it paves the way for future discussions for other sectors that can have an amplified effect, such as training and financial knowledge on aspect</w:t>
      </w:r>
      <w:r w:rsidR="00DA4BDE"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of the renewables.</w:t>
      </w:r>
    </w:p>
    <w:p w14:paraId="64416BC6" w14:textId="77777777" w:rsidR="008D3598" w:rsidRPr="00511330" w:rsidRDefault="008D3598" w:rsidP="00721566">
      <w:pPr>
        <w:keepNext/>
        <w:keepLines/>
        <w:spacing w:before="200" w:after="0" w:line="360" w:lineRule="auto"/>
        <w:ind w:right="-450"/>
        <w:outlineLvl w:val="1"/>
        <w:rPr>
          <w:rFonts w:asciiTheme="majorBidi" w:eastAsiaTheme="majorEastAsia" w:hAnsiTheme="majorBidi" w:cstheme="majorBidi"/>
          <w:b/>
          <w:bCs/>
          <w:vanish/>
          <w:sz w:val="28"/>
          <w:szCs w:val="26"/>
          <w:lang w:val="en-US"/>
        </w:rPr>
      </w:pPr>
      <w:bookmarkStart w:id="1134" w:name="_Toc32091787"/>
      <w:bookmarkStart w:id="1135" w:name="_Toc32091788"/>
      <w:bookmarkStart w:id="1136" w:name="_Toc32091789"/>
      <w:bookmarkStart w:id="1137" w:name="_Toc32091790"/>
      <w:bookmarkStart w:id="1138" w:name="_Toc32091791"/>
      <w:bookmarkStart w:id="1139" w:name="_Toc32091792"/>
      <w:bookmarkStart w:id="1140" w:name="_Toc32091793"/>
      <w:bookmarkEnd w:id="1134"/>
      <w:bookmarkEnd w:id="1135"/>
      <w:bookmarkEnd w:id="1136"/>
      <w:bookmarkEnd w:id="1137"/>
      <w:bookmarkEnd w:id="1138"/>
      <w:bookmarkEnd w:id="1139"/>
      <w:bookmarkEnd w:id="1140"/>
    </w:p>
    <w:p w14:paraId="64416BC7" w14:textId="77777777" w:rsidR="008D3598" w:rsidRPr="00511330" w:rsidRDefault="008D3598" w:rsidP="00721566">
      <w:pPr>
        <w:pStyle w:val="Heading2"/>
        <w:numPr>
          <w:ilvl w:val="1"/>
          <w:numId w:val="17"/>
        </w:numPr>
        <w:spacing w:line="480" w:lineRule="auto"/>
        <w:ind w:left="540" w:right="-450" w:hanging="540"/>
        <w:rPr>
          <w:lang w:val="en-US"/>
        </w:rPr>
      </w:pPr>
      <w:bookmarkStart w:id="1141" w:name="_Toc43311659"/>
      <w:r w:rsidRPr="00511330">
        <w:rPr>
          <w:lang w:val="en-US"/>
        </w:rPr>
        <w:t>Limitations and Future Research Directions</w:t>
      </w:r>
      <w:bookmarkEnd w:id="1141"/>
    </w:p>
    <w:p w14:paraId="64416BC8" w14:textId="1DC613BE" w:rsidR="008D3598" w:rsidRPr="00511330" w:rsidRDefault="008D3598" w:rsidP="00721566">
      <w:pPr>
        <w:pStyle w:val="ListParagraph"/>
        <w:spacing w:after="0"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research has several limitations which further need to be tackled by covering wider sectors to refine findings. To begin with, this research is limited to stakeholders of renewable energy in </w:t>
      </w:r>
      <w:r w:rsidR="009E623D"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UAE only. Added to that, further enhancement can be made to cover geographically adjacent countries, organizations and corporate levels that apply renewable energy so as to broaden the scope of this research. At the most, the research could extend to cover most essential international associate’s investors contributing to renewable energy as well as Independent Power Producers (IPP). Moreover, energy regulators who had different perspective</w:t>
      </w:r>
      <w:r w:rsidR="00DA4BDE" w:rsidRPr="00511330">
        <w:rPr>
          <w:rFonts w:asciiTheme="majorBidi" w:hAnsiTheme="majorBidi" w:cstheme="majorBidi"/>
          <w:sz w:val="24"/>
          <w:szCs w:val="24"/>
          <w:lang w:val="en-US"/>
        </w:rPr>
        <w:t>s</w:t>
      </w:r>
      <w:r w:rsidRPr="00511330">
        <w:rPr>
          <w:rFonts w:asciiTheme="majorBidi" w:hAnsiTheme="majorBidi" w:cstheme="majorBidi"/>
          <w:sz w:val="24"/>
          <w:szCs w:val="24"/>
          <w:lang w:val="en-US"/>
        </w:rPr>
        <w:t xml:space="preserve"> of renewable energy practices were not covered in this study.</w:t>
      </w:r>
    </w:p>
    <w:p w14:paraId="64416BC9" w14:textId="77777777"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Stakeholders of renewable energy understand that change is futile if not applied well. Therefore, understanding the articulation points of motives, enablers and barriers in change is a key success factor toward the knowledge of CM. The research can be expanded to include main the experiences of investors and adjacent countries with renewable energy using sustainability programs. In addition, benchmarking other private renewable energy organization experiences and outcomes also assume significance.</w:t>
      </w:r>
    </w:p>
    <w:p w14:paraId="64416BCA" w14:textId="77777777"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Meanwhile, this research can be enhanced further by widening the research to encompass aspects of adoption on a micro-level and detailed specifics of change management motivators, enablers and barriers elements. </w:t>
      </w:r>
    </w:p>
    <w:p w14:paraId="64416BCB" w14:textId="16A1CD3D"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This research explores the critical factors affecting CM in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from multiple stakeholders’ perspective in the </w:t>
      </w:r>
      <w:r w:rsidR="0055424E"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sector, which is why it is important for future studies to cross the boundaries and explore further areas that have not yet been studied by this research, such as the following areas:</w:t>
      </w:r>
    </w:p>
    <w:p w14:paraId="64416BCC" w14:textId="77777777" w:rsidR="008D3598" w:rsidRPr="00511330" w:rsidRDefault="008D3598" w:rsidP="00721566">
      <w:pPr>
        <w:pStyle w:val="ListParagraph"/>
        <w:numPr>
          <w:ilvl w:val="0"/>
          <w:numId w:val="2"/>
        </w:numPr>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validity of the identified factors (motivators, enablers and barriers) in other organizations and sectors, users, such as services, manufacturing etc.</w:t>
      </w:r>
    </w:p>
    <w:p w14:paraId="64416BCD" w14:textId="77777777" w:rsidR="008D3598" w:rsidRPr="00511330" w:rsidRDefault="008D3598" w:rsidP="00721566">
      <w:pPr>
        <w:pStyle w:val="ListParagraph"/>
        <w:numPr>
          <w:ilvl w:val="0"/>
          <w:numId w:val="2"/>
        </w:numPr>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similarities and differences between the same factors with neighboring countries.</w:t>
      </w:r>
    </w:p>
    <w:p w14:paraId="64416BCE" w14:textId="77777777" w:rsidR="008D3598" w:rsidRPr="00511330" w:rsidRDefault="008D3598" w:rsidP="00721566">
      <w:pPr>
        <w:pStyle w:val="ListParagraph"/>
        <w:numPr>
          <w:ilvl w:val="0"/>
          <w:numId w:val="2"/>
        </w:numPr>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A comprehensive set of factors that affect environmental, economic and social outcomes in a society.</w:t>
      </w:r>
    </w:p>
    <w:p w14:paraId="64416BCF" w14:textId="3848846A" w:rsidR="008D3598" w:rsidRPr="00511330" w:rsidRDefault="008D3598" w:rsidP="009B744B">
      <w:pPr>
        <w:pStyle w:val="ListParagraph"/>
        <w:numPr>
          <w:ilvl w:val="0"/>
          <w:numId w:val="2"/>
        </w:numPr>
        <w:spacing w:line="480" w:lineRule="auto"/>
        <w:ind w:left="0" w:right="-450"/>
        <w:rPr>
          <w:rFonts w:asciiTheme="majorBidi" w:hAnsiTheme="majorBidi" w:cstheme="majorBidi"/>
          <w:sz w:val="24"/>
          <w:szCs w:val="24"/>
          <w:lang w:val="en-US"/>
        </w:rPr>
      </w:pPr>
      <w:r w:rsidRPr="00511330">
        <w:rPr>
          <w:rFonts w:asciiTheme="majorBidi" w:hAnsiTheme="majorBidi" w:cstheme="majorBidi"/>
          <w:sz w:val="24"/>
          <w:szCs w:val="24"/>
          <w:lang w:val="en-US"/>
        </w:rPr>
        <w:t xml:space="preserve">Further research can be expanded to include the correlation between the factors and financial implications to each stakeholders group, as well as the advantages and disadvantages of using new technologies and payback viability to stakeholders. </w:t>
      </w:r>
    </w:p>
    <w:p w14:paraId="64416BD0" w14:textId="0A7D9671" w:rsidR="008D3598" w:rsidRPr="00511330" w:rsidRDefault="008D3598" w:rsidP="00721566">
      <w:pPr>
        <w:pStyle w:val="ListParagraph"/>
        <w:numPr>
          <w:ilvl w:val="0"/>
          <w:numId w:val="2"/>
        </w:numPr>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research can be enhanced further by integrating sectoral risks and political situations in adjacent countries alongside technological advancements.</w:t>
      </w:r>
    </w:p>
    <w:p w14:paraId="64416BD1" w14:textId="77777777" w:rsidR="008D3598" w:rsidRPr="00511330" w:rsidRDefault="008D3598" w:rsidP="00721566">
      <w:pPr>
        <w:pStyle w:val="ListParagraph"/>
        <w:numPr>
          <w:ilvl w:val="0"/>
          <w:numId w:val="2"/>
        </w:numPr>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research can be expanded to include a bigger sampling of stakeholders and in other sectors affected or benefited from renewable energy, such as environment ministries and transport authorities. </w:t>
      </w:r>
    </w:p>
    <w:p w14:paraId="64416BD2" w14:textId="77777777" w:rsidR="008D3598" w:rsidRPr="00511330" w:rsidRDefault="008D3598" w:rsidP="00721566">
      <w:pPr>
        <w:pStyle w:val="ListParagraph"/>
        <w:numPr>
          <w:ilvl w:val="0"/>
          <w:numId w:val="2"/>
        </w:numPr>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The research can also include leadership styles related to CM as well as the impact of each style with factors and elements that drives change.  This is important because participants of this study indicated that leadership is the key to success of any change initiatives. </w:t>
      </w:r>
    </w:p>
    <w:p w14:paraId="64416BD3" w14:textId="0F56C5C6" w:rsidR="008D3598" w:rsidRPr="00511330" w:rsidRDefault="008D3598" w:rsidP="00721566">
      <w:pPr>
        <w:pStyle w:val="ListParagraph"/>
        <w:numPr>
          <w:ilvl w:val="0"/>
          <w:numId w:val="2"/>
        </w:numPr>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The research can be further refined by including the element of culture and social system with CM, as the culture plays a vital role in accelerating the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approach, if implemented in the early education system.</w:t>
      </w:r>
    </w:p>
    <w:p w14:paraId="64416BD4" w14:textId="77777777" w:rsidR="008D3598" w:rsidRPr="00511330" w:rsidRDefault="008D3598" w:rsidP="00721566">
      <w:pPr>
        <w:pStyle w:val="ListParagraph"/>
        <w:numPr>
          <w:ilvl w:val="0"/>
          <w:numId w:val="2"/>
        </w:numPr>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research model can be used for future cultural and geographical settings to adopt systematic CM results in line with the expectations of each stakeholder.</w:t>
      </w:r>
    </w:p>
    <w:p w14:paraId="64416BD5" w14:textId="77777777" w:rsidR="008D3598" w:rsidRPr="00511330" w:rsidRDefault="008D3598" w:rsidP="00721566">
      <w:pPr>
        <w:pStyle w:val="ListParagraph"/>
        <w:numPr>
          <w:ilvl w:val="0"/>
          <w:numId w:val="2"/>
        </w:numPr>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Another critical area for examination is to determine the policies practiced for renewables within each organization in addition to the current practices for transformation.</w:t>
      </w:r>
    </w:p>
    <w:p w14:paraId="64416BD6" w14:textId="77777777" w:rsidR="008D3598" w:rsidRPr="00511330" w:rsidRDefault="008D3598" w:rsidP="00721566">
      <w:pPr>
        <w:pStyle w:val="ListParagraph"/>
        <w:numPr>
          <w:ilvl w:val="0"/>
          <w:numId w:val="2"/>
        </w:numPr>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The research can be refined by further investigating advertisements, community awareness, firm sizes, and organization behavior in each government entity.</w:t>
      </w:r>
      <w:bookmarkStart w:id="1142" w:name="_Toc32091795"/>
      <w:bookmarkStart w:id="1143" w:name="_Toc32091796"/>
      <w:bookmarkStart w:id="1144" w:name="_Toc32091797"/>
      <w:bookmarkStart w:id="1145" w:name="_Toc32091798"/>
      <w:bookmarkStart w:id="1146" w:name="_Toc32091799"/>
      <w:bookmarkStart w:id="1147" w:name="_Toc32091802"/>
      <w:bookmarkEnd w:id="1142"/>
      <w:bookmarkEnd w:id="1143"/>
      <w:bookmarkEnd w:id="1144"/>
      <w:bookmarkEnd w:id="1145"/>
      <w:bookmarkEnd w:id="1146"/>
      <w:bookmarkEnd w:id="1147"/>
    </w:p>
    <w:p w14:paraId="64416BD7" w14:textId="77777777" w:rsidR="008D3598" w:rsidRPr="00511330" w:rsidRDefault="008D3598" w:rsidP="00721566">
      <w:pPr>
        <w:pStyle w:val="Heading2"/>
        <w:numPr>
          <w:ilvl w:val="1"/>
          <w:numId w:val="17"/>
        </w:numPr>
        <w:spacing w:line="480" w:lineRule="auto"/>
        <w:ind w:left="540" w:right="-450" w:hanging="540"/>
        <w:rPr>
          <w:lang w:val="en-US"/>
        </w:rPr>
      </w:pPr>
      <w:bookmarkStart w:id="1148" w:name="_Toc43311660"/>
      <w:r w:rsidRPr="00511330">
        <w:rPr>
          <w:lang w:val="en-US"/>
        </w:rPr>
        <w:t>Conclusion</w:t>
      </w:r>
      <w:bookmarkEnd w:id="1148"/>
    </w:p>
    <w:p w14:paraId="64416BD8" w14:textId="510CA183" w:rsidR="008D3598" w:rsidRPr="00511330" w:rsidRDefault="008D3598" w:rsidP="00007735">
      <w:pPr>
        <w:pStyle w:val="ListParagraph"/>
        <w:spacing w:line="480" w:lineRule="auto"/>
        <w:ind w:left="0" w:right="-446"/>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This research presents an exploration of motives of CM towards green energy and an in-depth explanation of each enabler element that add fact base to the success of CM. More specifically, </w:t>
      </w:r>
      <w:r w:rsidR="00007735" w:rsidRPr="00511330">
        <w:rPr>
          <w:rFonts w:asciiTheme="majorBidi" w:hAnsiTheme="majorBidi" w:cstheme="majorBidi"/>
          <w:sz w:val="24"/>
          <w:szCs w:val="24"/>
          <w:lang w:val="en-US"/>
        </w:rPr>
        <w:t>an in-depth investigation into roots of CM in renewable energy market</w:t>
      </w:r>
      <w:r w:rsidR="00007735" w:rsidRPr="00511330">
        <w:rPr>
          <w:rFonts w:asciiTheme="majorBidi" w:hAnsiTheme="majorBidi" w:cstheme="majorBidi"/>
          <w:strike/>
          <w:color w:val="FF0000"/>
          <w:sz w:val="24"/>
          <w:szCs w:val="24"/>
          <w:lang w:val="en-US"/>
        </w:rPr>
        <w:t>.</w:t>
      </w:r>
      <w:r w:rsidRPr="00511330">
        <w:rPr>
          <w:rFonts w:asciiTheme="majorBidi" w:hAnsiTheme="majorBidi" w:cstheme="majorBidi"/>
          <w:sz w:val="24"/>
          <w:szCs w:val="24"/>
          <w:lang w:val="en-US"/>
        </w:rPr>
        <w:t xml:space="preserve"> Each enabler factor of CM was explored in detail to break down elements that add leveraging points, if successful motives management is desired. </w:t>
      </w:r>
    </w:p>
    <w:p w14:paraId="64416BD9" w14:textId="6C9CF19C"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By examining the factors and exploring elements of motivators, the main motives elements revolved around a set of criteria contributing directly and indirectly to the process of successful change amendment. In this regard, the research adds an orchestrated blend of external and internal motivators, enablers and barriers elements driven from factors that can jointly enable successful change with stakeholders’ starting from customers, employees, top management, and the umbrella of governments concerning the change and transformation to use </w:t>
      </w:r>
      <w:r w:rsidR="00DD2E9F" w:rsidRPr="00511330">
        <w:rPr>
          <w:rFonts w:asciiTheme="majorBidi" w:hAnsiTheme="majorBidi" w:cstheme="majorBidi"/>
          <w:sz w:val="24"/>
          <w:szCs w:val="24"/>
          <w:lang w:val="en-US"/>
        </w:rPr>
        <w:t>renewable</w:t>
      </w:r>
      <w:r w:rsidRPr="00511330">
        <w:rPr>
          <w:rFonts w:asciiTheme="majorBidi" w:hAnsiTheme="majorBidi" w:cstheme="majorBidi"/>
          <w:sz w:val="24"/>
          <w:szCs w:val="24"/>
          <w:lang w:val="en-US"/>
        </w:rPr>
        <w:t xml:space="preserve"> energy in the UAE.</w:t>
      </w:r>
    </w:p>
    <w:p w14:paraId="64416BDA" w14:textId="52F02C4D" w:rsidR="008D3598" w:rsidRPr="00511330" w:rsidRDefault="008D3598" w:rsidP="00721566">
      <w:pPr>
        <w:pStyle w:val="ListParagraph"/>
        <w:spacing w:line="480" w:lineRule="auto"/>
        <w:ind w:left="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As a recommendation, this research must be further enhanced to accommodate a detailed view of the region. By following this recommendation, CM will take a more successful approach in the future of </w:t>
      </w:r>
      <w:r w:rsidR="009E623D" w:rsidRPr="00511330">
        <w:rPr>
          <w:rFonts w:asciiTheme="majorBidi" w:hAnsiTheme="majorBidi" w:cstheme="majorBidi"/>
          <w:sz w:val="24"/>
          <w:szCs w:val="24"/>
          <w:lang w:val="en-US"/>
        </w:rPr>
        <w:t xml:space="preserve">the </w:t>
      </w:r>
      <w:r w:rsidRPr="00511330">
        <w:rPr>
          <w:rFonts w:asciiTheme="majorBidi" w:hAnsiTheme="majorBidi" w:cstheme="majorBidi"/>
          <w:sz w:val="24"/>
          <w:szCs w:val="24"/>
          <w:lang w:val="en-US"/>
        </w:rPr>
        <w:t xml:space="preserve">UAE alongside other adjacent regions. The recommendations are the missing dots in a full-scale picture of the </w:t>
      </w:r>
      <w:r w:rsidR="00F61DE4" w:rsidRPr="00511330">
        <w:rPr>
          <w:rFonts w:asciiTheme="majorBidi" w:hAnsiTheme="majorBidi" w:cstheme="majorBidi"/>
          <w:sz w:val="24"/>
          <w:szCs w:val="24"/>
          <w:lang w:val="en-US"/>
        </w:rPr>
        <w:t>limitation that</w:t>
      </w:r>
      <w:r w:rsidRPr="00511330">
        <w:rPr>
          <w:rFonts w:asciiTheme="majorBidi" w:hAnsiTheme="majorBidi" w:cstheme="majorBidi"/>
          <w:sz w:val="24"/>
          <w:szCs w:val="24"/>
          <w:lang w:val="en-US"/>
        </w:rPr>
        <w:t xml:space="preserve"> will allow the art of CM to clearly manifest.</w:t>
      </w:r>
    </w:p>
    <w:p w14:paraId="64416BDB" w14:textId="56E153E9" w:rsidR="008D3598" w:rsidRPr="00511330" w:rsidRDefault="008D3598" w:rsidP="00721566">
      <w:pPr>
        <w:ind w:right="-450"/>
        <w:rPr>
          <w:rFonts w:asciiTheme="majorBidi" w:hAnsiTheme="majorBidi" w:cstheme="majorBidi"/>
          <w:b/>
          <w:bCs/>
          <w:sz w:val="32"/>
          <w:szCs w:val="32"/>
          <w:lang w:val="en-US"/>
        </w:rPr>
      </w:pPr>
    </w:p>
    <w:p w14:paraId="4A2B1013" w14:textId="77777777" w:rsidR="00105DF3" w:rsidRPr="00511330" w:rsidRDefault="00105DF3">
      <w:pPr>
        <w:rPr>
          <w:rFonts w:asciiTheme="majorBidi" w:hAnsiTheme="majorBidi" w:cstheme="majorBidi"/>
          <w:b/>
          <w:bCs/>
          <w:sz w:val="24"/>
          <w:szCs w:val="24"/>
          <w:lang w:val="en-US"/>
        </w:rPr>
      </w:pPr>
      <w:r w:rsidRPr="00511330">
        <w:rPr>
          <w:rFonts w:asciiTheme="majorBidi" w:hAnsiTheme="majorBidi" w:cstheme="majorBidi"/>
          <w:b/>
          <w:bCs/>
          <w:sz w:val="24"/>
          <w:szCs w:val="24"/>
          <w:lang w:val="en-US"/>
        </w:rPr>
        <w:br w:type="page"/>
      </w:r>
    </w:p>
    <w:p w14:paraId="64416BDC" w14:textId="6DA27B0F" w:rsidR="008D3598" w:rsidRPr="00511330" w:rsidRDefault="008D3598" w:rsidP="00105DF3">
      <w:pPr>
        <w:pStyle w:val="Heading1"/>
        <w:rPr>
          <w:lang w:val="en-US"/>
        </w:rPr>
      </w:pPr>
      <w:bookmarkStart w:id="1149" w:name="_Toc43311661"/>
      <w:r w:rsidRPr="00511330">
        <w:rPr>
          <w:lang w:val="en-US"/>
        </w:rPr>
        <w:lastRenderedPageBreak/>
        <w:t>R</w:t>
      </w:r>
      <w:r w:rsidR="00105DF3" w:rsidRPr="00511330">
        <w:rPr>
          <w:lang w:val="en-US"/>
        </w:rPr>
        <w:t>EFERENCES</w:t>
      </w:r>
      <w:bookmarkEnd w:id="1149"/>
    </w:p>
    <w:p w14:paraId="40BB97F3" w14:textId="77777777" w:rsidR="005F6780" w:rsidRPr="00511330" w:rsidRDefault="005F6780" w:rsidP="005F6780">
      <w:pPr>
        <w:pStyle w:val="ListParagraph"/>
        <w:numPr>
          <w:ilvl w:val="0"/>
          <w:numId w:val="10"/>
        </w:numPr>
        <w:spacing w:after="0" w:line="240" w:lineRule="auto"/>
        <w:ind w:left="450" w:right="-450"/>
        <w:jc w:val="both"/>
        <w:rPr>
          <w:rFonts w:asciiTheme="majorBidi" w:eastAsia="Arial Unicode MS" w:hAnsiTheme="majorBidi" w:cstheme="majorBidi"/>
          <w:sz w:val="24"/>
          <w:szCs w:val="24"/>
          <w:bdr w:val="none" w:sz="0" w:space="0" w:color="auto" w:frame="1"/>
          <w:lang w:val="en-US"/>
        </w:rPr>
      </w:pPr>
      <w:r w:rsidRPr="00511330">
        <w:rPr>
          <w:rFonts w:asciiTheme="majorBidi" w:eastAsia="Arial Unicode MS" w:hAnsiTheme="majorBidi" w:cstheme="majorBidi"/>
          <w:sz w:val="24"/>
          <w:szCs w:val="24"/>
          <w:bdr w:val="none" w:sz="0" w:space="0" w:color="auto" w:frame="1"/>
          <w:lang w:val="en-US"/>
        </w:rPr>
        <w:t>Abbas, W., &amp; Imran, A. (2010). The Role of Leadership in Organizational Change. Master's Thesis in Industrial Engineering and Management, University of Gavle.</w:t>
      </w:r>
    </w:p>
    <w:p w14:paraId="05BD0C93" w14:textId="23038652" w:rsidR="0005127A" w:rsidRPr="00511330" w:rsidRDefault="0005127A" w:rsidP="005F6780">
      <w:pPr>
        <w:pStyle w:val="ListParagraph"/>
        <w:numPr>
          <w:ilvl w:val="0"/>
          <w:numId w:val="10"/>
        </w:numPr>
        <w:spacing w:after="0" w:line="240" w:lineRule="auto"/>
        <w:ind w:left="450" w:right="-450"/>
        <w:jc w:val="both"/>
        <w:rPr>
          <w:rFonts w:asciiTheme="majorBidi" w:eastAsia="Arial Unicode MS" w:hAnsiTheme="majorBidi" w:cstheme="majorBidi"/>
          <w:sz w:val="24"/>
          <w:szCs w:val="24"/>
          <w:bdr w:val="none" w:sz="0" w:space="0" w:color="auto" w:frame="1"/>
          <w:lang w:val="en-US"/>
        </w:rPr>
      </w:pPr>
      <w:r w:rsidRPr="00511330">
        <w:rPr>
          <w:rFonts w:asciiTheme="majorBidi" w:hAnsiTheme="majorBidi" w:cstheme="majorBidi"/>
          <w:sz w:val="24"/>
          <w:szCs w:val="24"/>
        </w:rPr>
        <w:t>AbdulKader B. UAE raises clean energy target to 27% by 2021 [Online]. Available: Gulf News; 23 October 2016. 2017, www.gulfnews</w:t>
      </w:r>
    </w:p>
    <w:p w14:paraId="2F0723F4" w14:textId="77777777" w:rsidR="005F6780" w:rsidRPr="00511330" w:rsidRDefault="005F6780" w:rsidP="005F6780">
      <w:pPr>
        <w:pStyle w:val="ListParagraph"/>
        <w:numPr>
          <w:ilvl w:val="0"/>
          <w:numId w:val="10"/>
        </w:numPr>
        <w:spacing w:after="0" w:line="240"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Abratt, R., &amp; Mingione, M. (2017). Corporate identity, strategy and change. </w:t>
      </w:r>
      <w:r w:rsidRPr="00511330">
        <w:rPr>
          <w:rFonts w:asciiTheme="majorBidi" w:hAnsiTheme="majorBidi" w:cstheme="majorBidi"/>
          <w:i/>
          <w:iCs/>
          <w:sz w:val="24"/>
          <w:szCs w:val="24"/>
          <w:lang w:val="en-US"/>
        </w:rPr>
        <w:t>Journal of Brand Management, 24</w:t>
      </w:r>
      <w:r w:rsidRPr="00511330">
        <w:rPr>
          <w:rFonts w:asciiTheme="majorBidi" w:hAnsiTheme="majorBidi" w:cstheme="majorBidi"/>
          <w:sz w:val="24"/>
          <w:szCs w:val="24"/>
          <w:lang w:val="en-US"/>
        </w:rPr>
        <w:t xml:space="preserve">(2), 129-139. </w:t>
      </w:r>
    </w:p>
    <w:p w14:paraId="77C123C2" w14:textId="77777777" w:rsidR="005F6780" w:rsidRPr="00511330" w:rsidRDefault="005F6780" w:rsidP="005F6780">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Abu Dhabi Education Council. (2013c). Strategic Plan. Retrieved from http://www.adec.ac.ae/en/ Education/HigherEducation/Pages/Strategic-Plan.aspx.</w:t>
      </w:r>
    </w:p>
    <w:p w14:paraId="4785CB8D" w14:textId="77777777" w:rsidR="005F6780" w:rsidRPr="00511330" w:rsidRDefault="005F6780" w:rsidP="005F6780">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rPr>
        <w:t>Abu Dhabi Education Council. (2013d). Teaching and Learning Resources.Retrieved from http://www.adec.ac.ae/en/Students/PS/Pages/Teaching-and-Learning-Resources.aspx.</w:t>
      </w:r>
    </w:p>
    <w:p w14:paraId="6777B3C1" w14:textId="77777777" w:rsidR="005F6780" w:rsidRPr="00511330" w:rsidRDefault="005F6780" w:rsidP="005F6780">
      <w:pPr>
        <w:pStyle w:val="ListParagraph"/>
        <w:numPr>
          <w:ilvl w:val="0"/>
          <w:numId w:val="10"/>
        </w:numPr>
        <w:spacing w:line="256" w:lineRule="auto"/>
        <w:ind w:left="450" w:right="-450"/>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ADCED (2008), The Abu Dhabi economic vision 2030. </w:t>
      </w:r>
      <w:r w:rsidRPr="00511330">
        <w:rPr>
          <w:rFonts w:asciiTheme="majorBidi" w:hAnsiTheme="majorBidi" w:cstheme="majorBidi"/>
          <w:i/>
          <w:iCs/>
          <w:sz w:val="24"/>
          <w:szCs w:val="24"/>
          <w:lang w:val="en-US"/>
        </w:rPr>
        <w:t xml:space="preserve">Abu Dhabi Council for Economic Development: </w:t>
      </w:r>
      <w:r w:rsidRPr="00511330">
        <w:rPr>
          <w:rFonts w:asciiTheme="majorBidi" w:hAnsiTheme="majorBidi" w:cstheme="majorBidi"/>
          <w:sz w:val="24"/>
          <w:szCs w:val="24"/>
          <w:lang w:val="en-US"/>
        </w:rPr>
        <w:t>Abu Dhabi.</w:t>
      </w:r>
    </w:p>
    <w:p w14:paraId="1F32C74B" w14:textId="77777777" w:rsidR="005F6780" w:rsidRPr="00511330" w:rsidRDefault="005F6780" w:rsidP="005F6780">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Adger, W. N., S. Dessai, M. Goulden, M. Hulme, I. Lorenzoni,D. R. Nelson, L. O. Naess, J. Wolf., &amp; A. Wreford. (2009a). Are there social limits to adaptation to climate change? </w:t>
      </w:r>
      <w:r w:rsidRPr="00511330">
        <w:rPr>
          <w:rFonts w:asciiTheme="majorBidi" w:hAnsiTheme="majorBidi" w:cstheme="majorBidi"/>
          <w:i/>
          <w:iCs/>
          <w:sz w:val="24"/>
          <w:szCs w:val="24"/>
          <w:lang w:val="en-US"/>
        </w:rPr>
        <w:t>Climatic Change</w:t>
      </w:r>
      <w:r w:rsidRPr="00511330">
        <w:rPr>
          <w:rFonts w:asciiTheme="majorBidi" w:hAnsiTheme="majorBidi" w:cstheme="majorBidi"/>
          <w:sz w:val="24"/>
          <w:szCs w:val="24"/>
          <w:lang w:val="en-US"/>
        </w:rPr>
        <w:t xml:space="preserve"> 93, 335-354.</w:t>
      </w:r>
    </w:p>
    <w:p w14:paraId="09E3897E" w14:textId="77777777" w:rsidR="00932547" w:rsidRPr="00511330" w:rsidRDefault="005F6780" w:rsidP="00932547">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ADH, Abu Dhabi Habitat Mapping—2016. Retrieved from: </w:t>
      </w:r>
      <w:hyperlink r:id="rId59" w:history="1">
        <w:r w:rsidR="00932547" w:rsidRPr="00511330">
          <w:rPr>
            <w:rStyle w:val="Hyperlink"/>
            <w:rFonts w:asciiTheme="majorBidi" w:hAnsiTheme="majorBidi" w:cstheme="majorBidi"/>
            <w:sz w:val="24"/>
            <w:szCs w:val="24"/>
            <w:lang w:val="en-US"/>
          </w:rPr>
          <w:t>https://www.ead.ae/Publications/Abu Dhabi Habitat Mapping 2016/Habitat Book English Web.pdf</w:t>
        </w:r>
      </w:hyperlink>
    </w:p>
    <w:p w14:paraId="775D8CDF" w14:textId="791E5F31" w:rsidR="00932547" w:rsidRPr="00511330" w:rsidRDefault="00932547" w:rsidP="00932547">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Adner, R. (2002). When are technologies disruptive? A demand-based view of the emergence of competition, </w:t>
      </w:r>
      <w:r w:rsidRPr="00511330">
        <w:rPr>
          <w:rFonts w:asciiTheme="majorBidi" w:hAnsiTheme="majorBidi" w:cstheme="majorBidi"/>
          <w:i/>
          <w:iCs/>
          <w:sz w:val="24"/>
          <w:szCs w:val="24"/>
          <w:lang w:val="en-US"/>
        </w:rPr>
        <w:t>Strategic Manag. J</w:t>
      </w:r>
      <w:r w:rsidRPr="00511330">
        <w:rPr>
          <w:rFonts w:asciiTheme="majorBidi" w:hAnsiTheme="majorBidi" w:cstheme="majorBidi"/>
          <w:sz w:val="24"/>
          <w:szCs w:val="24"/>
          <w:lang w:val="en-US"/>
        </w:rPr>
        <w:t xml:space="preserve">, 23(8), 667–688. </w:t>
      </w:r>
    </w:p>
    <w:p w14:paraId="0520CFB0" w14:textId="77777777" w:rsidR="005F6780" w:rsidRPr="00511330" w:rsidRDefault="005F6780" w:rsidP="005F6780">
      <w:pPr>
        <w:pStyle w:val="ListParagraph"/>
        <w:numPr>
          <w:ilvl w:val="0"/>
          <w:numId w:val="10"/>
        </w:numPr>
        <w:spacing w:line="256" w:lineRule="auto"/>
        <w:ind w:left="450" w:right="-450"/>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Ahire, S.L., Golhar, D.Y., &amp; Waller, M.A. (1996). Development and validation of TQM implementation constructs. </w:t>
      </w:r>
      <w:r w:rsidRPr="00511330">
        <w:rPr>
          <w:rFonts w:asciiTheme="majorBidi" w:hAnsiTheme="majorBidi" w:cstheme="majorBidi"/>
          <w:i/>
          <w:iCs/>
          <w:sz w:val="24"/>
          <w:szCs w:val="24"/>
          <w:lang w:val="en-US"/>
        </w:rPr>
        <w:t>Decision Sciences</w:t>
      </w:r>
      <w:r w:rsidRPr="00511330">
        <w:rPr>
          <w:rFonts w:asciiTheme="majorBidi" w:hAnsiTheme="majorBidi" w:cstheme="majorBidi"/>
          <w:sz w:val="24"/>
          <w:szCs w:val="24"/>
          <w:lang w:val="en-US"/>
        </w:rPr>
        <w:t>, 27(1), 23-56.</w:t>
      </w:r>
    </w:p>
    <w:p w14:paraId="749101AC" w14:textId="77777777" w:rsidR="005F6780" w:rsidRPr="00511330" w:rsidRDefault="005F6780" w:rsidP="005F6780">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Ajmal, M. M., Khan, M., Hussain, M., &amp; Helo, P.T. (2018). Conceptualizing and incorporating social sustainability in the business world. </w:t>
      </w:r>
      <w:r w:rsidRPr="00511330">
        <w:rPr>
          <w:rFonts w:asciiTheme="majorBidi" w:hAnsiTheme="majorBidi" w:cstheme="majorBidi"/>
          <w:i/>
          <w:iCs/>
          <w:sz w:val="24"/>
          <w:szCs w:val="24"/>
          <w:lang w:val="en-US"/>
        </w:rPr>
        <w:t>International Journal of Sustainable Development &amp; World Ecology</w:t>
      </w:r>
      <w:r w:rsidRPr="00511330">
        <w:rPr>
          <w:rFonts w:asciiTheme="majorBidi" w:hAnsiTheme="majorBidi" w:cstheme="majorBidi"/>
          <w:sz w:val="24"/>
          <w:szCs w:val="24"/>
          <w:lang w:val="en-US"/>
        </w:rPr>
        <w:t>. 25, (4) 327-339.</w:t>
      </w:r>
    </w:p>
    <w:p w14:paraId="59416320" w14:textId="77777777" w:rsidR="005F6780" w:rsidRPr="00511330" w:rsidRDefault="005F6780" w:rsidP="005F6780">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Akchurina, V. (2019). Renewables vs. Oil: Numbers Speaking. </w:t>
      </w:r>
      <w:r w:rsidRPr="00511330">
        <w:rPr>
          <w:rFonts w:asciiTheme="majorBidi" w:hAnsiTheme="majorBidi" w:cstheme="majorBidi"/>
          <w:i/>
          <w:iCs/>
          <w:sz w:val="24"/>
          <w:szCs w:val="24"/>
          <w:lang w:val="en-US"/>
        </w:rPr>
        <w:t>Geopolitics.</w:t>
      </w:r>
    </w:p>
    <w:p w14:paraId="586EB5F5" w14:textId="77777777" w:rsidR="005F6780" w:rsidRPr="00511330" w:rsidRDefault="005F6780" w:rsidP="005F6780">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Akkermans, H., Bogerd, P. and Vos, B. (1999), “Virtuous and vicious cycles on the road towards international supply chain management”, </w:t>
      </w:r>
      <w:r w:rsidRPr="00511330">
        <w:rPr>
          <w:rFonts w:asciiTheme="majorBidi" w:hAnsiTheme="majorBidi" w:cstheme="majorBidi"/>
          <w:i/>
          <w:iCs/>
          <w:sz w:val="24"/>
          <w:szCs w:val="24"/>
        </w:rPr>
        <w:t xml:space="preserve">International Journal of Operations &amp; Production Management, Vol. 19 </w:t>
      </w:r>
      <w:r w:rsidRPr="00511330">
        <w:rPr>
          <w:rFonts w:asciiTheme="majorBidi" w:hAnsiTheme="majorBidi" w:cstheme="majorBidi"/>
          <w:sz w:val="24"/>
          <w:szCs w:val="24"/>
        </w:rPr>
        <w:t>Nos 5/6, pp. 565-81.</w:t>
      </w:r>
    </w:p>
    <w:p w14:paraId="6717293A" w14:textId="77777777" w:rsidR="005F6780" w:rsidRPr="00511330" w:rsidRDefault="005F6780" w:rsidP="005F6780">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Al Alami, S. (2013). </w:t>
      </w:r>
      <w:r w:rsidRPr="00511330">
        <w:rPr>
          <w:rFonts w:asciiTheme="majorBidi" w:hAnsiTheme="majorBidi" w:cstheme="majorBidi"/>
          <w:i/>
          <w:iCs/>
          <w:sz w:val="24"/>
          <w:szCs w:val="24"/>
          <w:lang w:val="en-US"/>
        </w:rPr>
        <w:t>Utilising Fiction to Promote English Language Acquisition</w:t>
      </w:r>
      <w:r w:rsidRPr="00511330">
        <w:rPr>
          <w:rFonts w:asciiTheme="majorBidi" w:hAnsiTheme="majorBidi" w:cstheme="majorBidi"/>
          <w:sz w:val="24"/>
          <w:szCs w:val="24"/>
          <w:lang w:val="en-US"/>
        </w:rPr>
        <w:t>. UK: Cambridge Scholars Publishing.</w:t>
      </w:r>
    </w:p>
    <w:p w14:paraId="56FC667E" w14:textId="77777777" w:rsidR="005F6780" w:rsidRPr="00511330" w:rsidRDefault="005F6780" w:rsidP="005F6780">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Al-Ali, A.A., Singh, S.K. Al-Nahyan, M., &amp; Sohal, S.A. (2017). Change management through leadership: the mediating role of organizational culture. </w:t>
      </w:r>
      <w:r w:rsidRPr="00511330">
        <w:rPr>
          <w:rFonts w:asciiTheme="majorBidi" w:hAnsiTheme="majorBidi" w:cstheme="majorBidi"/>
          <w:i/>
          <w:iCs/>
          <w:sz w:val="24"/>
          <w:szCs w:val="24"/>
          <w:lang w:val="en-US"/>
        </w:rPr>
        <w:t>International Journal of Organizational Analysis</w:t>
      </w:r>
      <w:r w:rsidRPr="00511330">
        <w:rPr>
          <w:rFonts w:asciiTheme="majorBidi" w:hAnsiTheme="majorBidi" w:cstheme="majorBidi"/>
          <w:sz w:val="24"/>
          <w:szCs w:val="24"/>
          <w:lang w:val="en-US"/>
        </w:rPr>
        <w:t>, 25(4),723-739.</w:t>
      </w:r>
    </w:p>
    <w:p w14:paraId="4DC68134" w14:textId="77777777" w:rsidR="005F6780" w:rsidRPr="00511330" w:rsidRDefault="005F6780" w:rsidP="005F6780">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Al-Amor, R., &amp; Hussain, M.  (2017). An assessment of green practices in a hotel supply chain: A study of UAE hotels. </w:t>
      </w:r>
      <w:r w:rsidRPr="00511330">
        <w:rPr>
          <w:rFonts w:asciiTheme="majorBidi" w:hAnsiTheme="majorBidi" w:cstheme="majorBidi"/>
          <w:i/>
          <w:sz w:val="24"/>
          <w:szCs w:val="24"/>
          <w:lang w:val="en-US"/>
        </w:rPr>
        <w:t>Journal of Hospitality and Tourism Management</w:t>
      </w:r>
      <w:r w:rsidRPr="00511330">
        <w:rPr>
          <w:rFonts w:asciiTheme="majorBidi" w:hAnsiTheme="majorBidi" w:cstheme="majorBidi"/>
          <w:sz w:val="24"/>
          <w:szCs w:val="24"/>
          <w:lang w:val="en-US"/>
        </w:rPr>
        <w:t>, 32, 71-81.</w:t>
      </w:r>
    </w:p>
    <w:p w14:paraId="3A6C34EB" w14:textId="77777777" w:rsidR="005F6780" w:rsidRPr="00511330" w:rsidRDefault="005F6780" w:rsidP="005F6780">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Alasadi, R., &amp; Askary, S. (2014) Employee Involvement and the Barriers to Organizational Change, </w:t>
      </w:r>
      <w:r w:rsidRPr="00511330">
        <w:rPr>
          <w:rFonts w:asciiTheme="majorBidi" w:hAnsiTheme="majorBidi" w:cstheme="majorBidi"/>
          <w:i/>
          <w:iCs/>
          <w:sz w:val="24"/>
          <w:szCs w:val="24"/>
          <w:lang w:val="en-US"/>
        </w:rPr>
        <w:t>International Journal of Information, Business and Management, 6</w:t>
      </w:r>
      <w:r w:rsidRPr="00511330">
        <w:rPr>
          <w:rFonts w:asciiTheme="majorBidi" w:hAnsiTheme="majorBidi" w:cstheme="majorBidi"/>
          <w:sz w:val="24"/>
          <w:szCs w:val="24"/>
          <w:lang w:val="en-US"/>
        </w:rPr>
        <w:t xml:space="preserve"> (1-10).</w:t>
      </w:r>
    </w:p>
    <w:p w14:paraId="3717C5E6" w14:textId="77777777" w:rsidR="005F6780" w:rsidRPr="00511330" w:rsidRDefault="005F6780" w:rsidP="005F6780">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Al Harahsheh, M.. A. (2014). The relationship between leadership skills and successful change management skills: a survey study on Police Sciences. </w:t>
      </w:r>
      <w:r w:rsidRPr="00511330">
        <w:rPr>
          <w:rFonts w:asciiTheme="majorBidi" w:hAnsiTheme="majorBidi" w:cstheme="majorBidi"/>
          <w:i/>
          <w:iCs/>
          <w:sz w:val="24"/>
          <w:szCs w:val="24"/>
          <w:lang w:val="en-US"/>
        </w:rPr>
        <w:t xml:space="preserve">Academy in Sharjah, UAE of Emerging Trends in Economics and Management Sciences, </w:t>
      </w:r>
      <w:r w:rsidRPr="00511330">
        <w:rPr>
          <w:rFonts w:asciiTheme="majorBidi" w:hAnsiTheme="majorBidi" w:cstheme="majorBidi"/>
          <w:sz w:val="24"/>
          <w:szCs w:val="24"/>
          <w:lang w:val="en-US"/>
        </w:rPr>
        <w:t>5, 490-497.</w:t>
      </w:r>
    </w:p>
    <w:p w14:paraId="67931744"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Al-Hummadi, B. A. (2013). Leadership, employee satisfaction and turnover in the UAE public sector (Doctoral dissertation, The British University in Dubai (BUiD)).</w:t>
      </w:r>
    </w:p>
    <w:p w14:paraId="5165E50E" w14:textId="77777777" w:rsidR="0005127A"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Alkaraan, F. (2018). Public financial management reform: An ongoing journey towards good governance. </w:t>
      </w:r>
      <w:r w:rsidRPr="00511330">
        <w:rPr>
          <w:rFonts w:asciiTheme="majorBidi" w:hAnsiTheme="majorBidi" w:cstheme="majorBidi"/>
          <w:i/>
          <w:iCs/>
          <w:sz w:val="24"/>
          <w:szCs w:val="24"/>
          <w:lang w:val="en-US"/>
        </w:rPr>
        <w:t>Journal of Financial Reporting and Accounting, 16</w:t>
      </w:r>
      <w:r w:rsidRPr="00511330">
        <w:rPr>
          <w:rFonts w:asciiTheme="majorBidi" w:hAnsiTheme="majorBidi" w:cstheme="majorBidi"/>
          <w:sz w:val="24"/>
          <w:szCs w:val="24"/>
          <w:lang w:val="en-US"/>
        </w:rPr>
        <w:t>(4), 585-609.</w:t>
      </w:r>
    </w:p>
    <w:p w14:paraId="4273DAFB" w14:textId="2509735E" w:rsidR="003175B3" w:rsidRPr="00511330" w:rsidRDefault="0005127A"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 Al Maktoum, S.M. (2016), “Why UAE ministers for happiness, tolerance, youth and the future?”, Gulf News, February 27, available at: http://gulfnews.com/opinion/thinkers/mohammad-bin-rashid-why-uaeministers-for-happiness-tolerance-youth-and-the-future-1.1680133 (accessed April 23, 2016.</w:t>
      </w:r>
    </w:p>
    <w:p w14:paraId="2389CADC"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AlManei, M., Salonitis, K., &amp; Tsinopoulos, C. (2018). A conceptual lean implementation framework based on change management theory. </w:t>
      </w:r>
      <w:r w:rsidRPr="00511330">
        <w:rPr>
          <w:rFonts w:asciiTheme="majorBidi" w:eastAsia="Arial Unicode MS" w:hAnsiTheme="majorBidi" w:cstheme="majorBidi"/>
          <w:i/>
          <w:iCs/>
          <w:sz w:val="24"/>
          <w:szCs w:val="24"/>
          <w:bdr w:val="none" w:sz="0" w:space="0" w:color="auto" w:frame="1"/>
          <w:lang w:val="en-US"/>
        </w:rPr>
        <w:t>Procedia CIRP</w:t>
      </w:r>
      <w:r w:rsidRPr="00511330">
        <w:rPr>
          <w:rFonts w:asciiTheme="majorBidi" w:eastAsia="Arial Unicode MS" w:hAnsiTheme="majorBidi" w:cstheme="majorBidi"/>
          <w:sz w:val="24"/>
          <w:szCs w:val="24"/>
          <w:bdr w:val="none" w:sz="0" w:space="0" w:color="auto" w:frame="1"/>
          <w:lang w:val="en-US"/>
        </w:rPr>
        <w:t>, 72, 1160-1165.</w:t>
      </w:r>
    </w:p>
    <w:p w14:paraId="0132BCB5"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Almatrooshi, S., Hussain, M., Ajmal, M., &amp; Tehsin, M. (2018). Role of public policies in promoting csr: Empirical evidence from business and civil society of uae. Corporate Governance: </w:t>
      </w:r>
      <w:r w:rsidRPr="00511330">
        <w:rPr>
          <w:rFonts w:asciiTheme="majorBidi" w:hAnsiTheme="majorBidi" w:cstheme="majorBidi"/>
          <w:i/>
          <w:iCs/>
          <w:sz w:val="24"/>
          <w:szCs w:val="24"/>
          <w:lang w:val="en-US" w:eastAsia="en-GB"/>
        </w:rPr>
        <w:t>The International Journal of Business in Society</w:t>
      </w:r>
      <w:r w:rsidRPr="00511330">
        <w:rPr>
          <w:rFonts w:asciiTheme="majorBidi" w:hAnsiTheme="majorBidi" w:cstheme="majorBidi"/>
          <w:sz w:val="24"/>
          <w:szCs w:val="24"/>
          <w:lang w:val="en-US" w:eastAsia="en-GB"/>
        </w:rPr>
        <w:t>, 18(6), 1107-1123. doi:10.1108/CG-08-2017-0175.</w:t>
      </w:r>
    </w:p>
    <w:p w14:paraId="4A54F3C6"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AlMazrouei, H.., &amp; Pech, R.J. (2015). Working in the UAE: expatriate management experiences. </w:t>
      </w:r>
      <w:r w:rsidRPr="00511330">
        <w:rPr>
          <w:rFonts w:asciiTheme="majorBidi" w:hAnsiTheme="majorBidi" w:cstheme="majorBidi"/>
          <w:i/>
          <w:iCs/>
          <w:sz w:val="24"/>
          <w:szCs w:val="24"/>
          <w:lang w:val="en-US" w:eastAsia="en-GB"/>
        </w:rPr>
        <w:t>Journal of Islamic Accounting and Business Research, (6</w:t>
      </w:r>
      <w:r w:rsidRPr="00511330">
        <w:rPr>
          <w:rFonts w:asciiTheme="majorBidi" w:hAnsiTheme="majorBidi" w:cstheme="majorBidi"/>
          <w:sz w:val="24"/>
          <w:szCs w:val="24"/>
          <w:lang w:val="en-US" w:eastAsia="en-GB"/>
        </w:rPr>
        <w:t>)1, 73-93.</w:t>
      </w:r>
    </w:p>
    <w:p w14:paraId="2D570FB2"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Al Naqbi, S., Tsai, I., &amp; Mezher, T. (2019). Market design for successful implementation of uae 2050 energy strategy. </w:t>
      </w:r>
      <w:r w:rsidRPr="00511330">
        <w:rPr>
          <w:rFonts w:asciiTheme="majorBidi" w:hAnsiTheme="majorBidi" w:cstheme="majorBidi"/>
          <w:i/>
          <w:iCs/>
          <w:sz w:val="24"/>
          <w:szCs w:val="24"/>
          <w:lang w:val="en-US" w:eastAsia="en-GB"/>
        </w:rPr>
        <w:t>Renewable and Sustainable Energy Reviews</w:t>
      </w:r>
      <w:r w:rsidRPr="00511330">
        <w:rPr>
          <w:rFonts w:asciiTheme="majorBidi" w:hAnsiTheme="majorBidi" w:cstheme="majorBidi"/>
          <w:sz w:val="24"/>
          <w:szCs w:val="24"/>
          <w:lang w:val="en-US" w:eastAsia="en-GB"/>
        </w:rPr>
        <w:t xml:space="preserve">. </w:t>
      </w:r>
      <w:hyperlink r:id="rId60" w:history="1">
        <w:r w:rsidRPr="00511330">
          <w:rPr>
            <w:rStyle w:val="Hyperlink"/>
            <w:rFonts w:asciiTheme="majorBidi" w:hAnsiTheme="majorBidi" w:cstheme="majorBidi"/>
            <w:sz w:val="24"/>
            <w:szCs w:val="24"/>
            <w:lang w:val="en-US" w:eastAsia="en-GB"/>
          </w:rPr>
          <w:t>https://www.doi.org.10.1016/j.rser.2019.109429</w:t>
        </w:r>
      </w:hyperlink>
      <w:r w:rsidRPr="00511330">
        <w:rPr>
          <w:rFonts w:asciiTheme="majorBidi" w:hAnsiTheme="majorBidi" w:cstheme="majorBidi"/>
          <w:sz w:val="24"/>
          <w:szCs w:val="24"/>
          <w:lang w:val="en-US" w:eastAsia="en-GB"/>
        </w:rPr>
        <w:t>.</w:t>
      </w:r>
    </w:p>
    <w:p w14:paraId="518F9CE8"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rPr>
        <w:t>Al Remeithi, N. (2016), “UAE minister aims to maintain happiness established by leaders”, The National, March 23, available at: www.thenational.ae/uae/government/uae-minister-aims-tomaintain-happiness-established-by-leaders (accessed April 22, 2016).</w:t>
      </w:r>
    </w:p>
    <w:p w14:paraId="7EA4E94B"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Al-Sarihi, A. (2018). Integrating Climate Change Policies with Economic Diversification Strategies: Challenges and Opportunities in Oman and the UAE. </w:t>
      </w:r>
      <w:r w:rsidRPr="00511330">
        <w:rPr>
          <w:rFonts w:asciiTheme="majorBidi" w:hAnsiTheme="majorBidi" w:cstheme="majorBidi"/>
          <w:i/>
          <w:iCs/>
          <w:sz w:val="24"/>
          <w:szCs w:val="24"/>
          <w:lang w:val="en-US" w:eastAsia="en-GB"/>
        </w:rPr>
        <w:t>Issue Brief,</w:t>
      </w:r>
      <w:r w:rsidRPr="00511330">
        <w:rPr>
          <w:rFonts w:asciiTheme="majorBidi" w:hAnsiTheme="majorBidi" w:cstheme="majorBidi"/>
          <w:sz w:val="24"/>
          <w:szCs w:val="24"/>
          <w:lang w:val="en-US" w:eastAsia="en-GB"/>
        </w:rPr>
        <w:t xml:space="preserve"> 7.</w:t>
      </w:r>
    </w:p>
    <w:p w14:paraId="27E9EC52"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Al Suwaidi, M.A. (2018) Home Automation Awareness in United Arab Emirates. Diss. The British University in Dubai (BUiD).</w:t>
      </w:r>
    </w:p>
    <w:p w14:paraId="39D5AB7C"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Alzaabi, M., Rizk, Z., &amp; Mezher, T. (2019). Linking Smart Cities Concept to Energy-Water-Food Nexus: The Case of Masdar City in Abu Dhabi, UAE. </w:t>
      </w:r>
      <w:r w:rsidRPr="00511330">
        <w:rPr>
          <w:rFonts w:asciiTheme="majorBidi" w:hAnsiTheme="majorBidi" w:cstheme="majorBidi"/>
          <w:i/>
          <w:iCs/>
          <w:sz w:val="24"/>
          <w:szCs w:val="24"/>
          <w:lang w:val="en-US" w:eastAsia="en-GB"/>
        </w:rPr>
        <w:t>In Smart Cities in the Gulf</w:t>
      </w:r>
      <w:r w:rsidRPr="00511330">
        <w:rPr>
          <w:rFonts w:asciiTheme="majorBidi" w:hAnsiTheme="majorBidi" w:cstheme="majorBidi"/>
          <w:sz w:val="24"/>
          <w:szCs w:val="24"/>
          <w:lang w:val="en-US" w:eastAsia="en-GB"/>
        </w:rPr>
        <w:t xml:space="preserve"> (pp. 85-106). Palgrave Macmillan, Singapore.</w:t>
      </w:r>
    </w:p>
    <w:p w14:paraId="03BF5FF9"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American Management Association. (1994). Survey on Change Management, AMA, New York.</w:t>
      </w:r>
    </w:p>
    <w:p w14:paraId="5C7BB811" w14:textId="77777777" w:rsidR="003175B3" w:rsidRPr="00511330" w:rsidRDefault="003175B3"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lastRenderedPageBreak/>
        <w:t>Anderson</w:t>
      </w:r>
      <w:r w:rsidRPr="00511330">
        <w:rPr>
          <w:rFonts w:asciiTheme="majorBidi" w:hAnsiTheme="majorBidi" w:cstheme="majorBidi"/>
          <w:sz w:val="24"/>
          <w:szCs w:val="24"/>
          <w:rtl/>
          <w:lang w:val="en-US" w:eastAsia="en-GB"/>
        </w:rPr>
        <w:t xml:space="preserve"> </w:t>
      </w:r>
      <w:r w:rsidRPr="00511330">
        <w:rPr>
          <w:rFonts w:asciiTheme="majorBidi" w:hAnsiTheme="majorBidi" w:cstheme="majorBidi"/>
          <w:sz w:val="24"/>
          <w:szCs w:val="24"/>
          <w:lang w:val="en-US" w:eastAsia="en-GB"/>
        </w:rPr>
        <w:t xml:space="preserve">, E. W., Fornell, C., &amp; R. Roland, T. (1997). Customer satisfaction, productivity, and profitability: </w:t>
      </w:r>
      <w:r w:rsidRPr="00511330">
        <w:rPr>
          <w:rFonts w:asciiTheme="majorBidi" w:hAnsiTheme="majorBidi" w:cstheme="majorBidi"/>
          <w:i/>
          <w:iCs/>
          <w:sz w:val="24"/>
          <w:szCs w:val="24"/>
          <w:lang w:val="en-US" w:eastAsia="en-GB"/>
        </w:rPr>
        <w:t>Differences between goods and services. Marketing Science, 16</w:t>
      </w:r>
      <w:r w:rsidRPr="00511330">
        <w:rPr>
          <w:rFonts w:asciiTheme="majorBidi" w:hAnsiTheme="majorBidi" w:cstheme="majorBidi"/>
          <w:sz w:val="24"/>
          <w:szCs w:val="24"/>
          <w:lang w:val="en-US" w:eastAsia="en-GB"/>
        </w:rPr>
        <w:t>(2),129–145.</w:t>
      </w:r>
    </w:p>
    <w:p w14:paraId="6F3D03E0" w14:textId="77777777" w:rsidR="003175B3" w:rsidRPr="00511330" w:rsidRDefault="003175B3"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Anderson D., &amp; and Anderson, L.A. (2001). </w:t>
      </w:r>
      <w:r w:rsidRPr="00511330">
        <w:rPr>
          <w:rFonts w:asciiTheme="majorBidi" w:hAnsiTheme="majorBidi" w:cstheme="majorBidi"/>
          <w:i/>
          <w:iCs/>
          <w:sz w:val="24"/>
          <w:szCs w:val="24"/>
          <w:lang w:val="en-US" w:eastAsia="en-GB"/>
        </w:rPr>
        <w:t>Beyond Change Management; Advance Strategies for Todays Transformational Leader.</w:t>
      </w:r>
      <w:r w:rsidRPr="00511330">
        <w:rPr>
          <w:rFonts w:asciiTheme="majorBidi" w:hAnsiTheme="majorBidi" w:cstheme="majorBidi"/>
          <w:sz w:val="24"/>
          <w:szCs w:val="24"/>
          <w:lang w:val="en-US" w:eastAsia="en-GB"/>
        </w:rPr>
        <w:t xml:space="preserve">  San Francisco, CA: Jossey-Bass/Pfeiffer.</w:t>
      </w:r>
    </w:p>
    <w:p w14:paraId="0E0C52B2" w14:textId="77777777" w:rsidR="003175B3" w:rsidRPr="00511330" w:rsidRDefault="003175B3"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Anderson, D.R. (2005). Managing sustainability risks is critical”, </w:t>
      </w:r>
      <w:r w:rsidRPr="00511330">
        <w:rPr>
          <w:rFonts w:asciiTheme="majorBidi" w:hAnsiTheme="majorBidi" w:cstheme="majorBidi"/>
          <w:i/>
          <w:iCs/>
          <w:sz w:val="24"/>
          <w:szCs w:val="24"/>
          <w:lang w:val="en-US" w:eastAsia="en-GB"/>
        </w:rPr>
        <w:t>Business Insurance</w:t>
      </w:r>
      <w:r w:rsidRPr="00511330">
        <w:rPr>
          <w:rFonts w:asciiTheme="majorBidi" w:hAnsiTheme="majorBidi" w:cstheme="majorBidi"/>
          <w:sz w:val="24"/>
          <w:szCs w:val="24"/>
          <w:lang w:val="en-US" w:eastAsia="en-GB"/>
        </w:rPr>
        <w:t>, 39(46).38-40.</w:t>
      </w:r>
    </w:p>
    <w:p w14:paraId="7BFED45F" w14:textId="77777777" w:rsidR="003175B3" w:rsidRPr="00511330" w:rsidRDefault="003175B3"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Andrews, R., &amp; Beynon, M. (2017). Managerial networking and stakeholder support in public service organizations. </w:t>
      </w:r>
      <w:r w:rsidRPr="00511330">
        <w:rPr>
          <w:rFonts w:asciiTheme="majorBidi" w:hAnsiTheme="majorBidi" w:cstheme="majorBidi"/>
          <w:i/>
          <w:iCs/>
          <w:sz w:val="24"/>
          <w:szCs w:val="24"/>
          <w:lang w:val="en-US" w:eastAsia="en-GB"/>
        </w:rPr>
        <w:t>Public Organization Review: A Global Journal, 17</w:t>
      </w:r>
      <w:r w:rsidRPr="00511330">
        <w:rPr>
          <w:rFonts w:asciiTheme="majorBidi" w:hAnsiTheme="majorBidi" w:cstheme="majorBidi"/>
          <w:sz w:val="24"/>
          <w:szCs w:val="24"/>
          <w:lang w:val="en-US" w:eastAsia="en-GB"/>
        </w:rPr>
        <w:t>(2), 237-254.</w:t>
      </w:r>
    </w:p>
    <w:p w14:paraId="06288313" w14:textId="7A2649C7" w:rsidR="003175B3" w:rsidRPr="00511330" w:rsidRDefault="003175B3"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il"/>
        </w:rPr>
        <w:t xml:space="preserve">Appelbaum, S.H., Habashy, S., Malo, J.-L. and Shafiq, H. (2012), “Back to the future: revisiting Kotter’s 1996 change model”, </w:t>
      </w:r>
      <w:r w:rsidRPr="00511330">
        <w:rPr>
          <w:rFonts w:asciiTheme="majorBidi" w:eastAsia="Arial Unicode MS" w:hAnsiTheme="majorBidi" w:cstheme="majorBidi"/>
          <w:i/>
          <w:iCs/>
          <w:sz w:val="24"/>
          <w:szCs w:val="24"/>
          <w:bdr w:val="nil"/>
        </w:rPr>
        <w:t>Journal of Management Development</w:t>
      </w:r>
      <w:r w:rsidRPr="00511330">
        <w:rPr>
          <w:rFonts w:asciiTheme="majorBidi" w:eastAsia="Arial Unicode MS" w:hAnsiTheme="majorBidi" w:cstheme="majorBidi"/>
          <w:sz w:val="24"/>
          <w:szCs w:val="24"/>
          <w:bdr w:val="nil"/>
        </w:rPr>
        <w:t>, Vol. 31 No. 8, pp. 764-782.</w:t>
      </w:r>
    </w:p>
    <w:p w14:paraId="5F219C4F"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Armenakis A.A., &amp; Bedeian, A.G. (1999) Organizational change: a review of theory and research in the 1990s. </w:t>
      </w:r>
      <w:r w:rsidRPr="00511330">
        <w:rPr>
          <w:rFonts w:asciiTheme="majorBidi" w:hAnsiTheme="majorBidi" w:cstheme="majorBidi"/>
          <w:i/>
          <w:iCs/>
          <w:sz w:val="24"/>
          <w:szCs w:val="24"/>
          <w:lang w:val="en-US" w:eastAsia="en-GB"/>
        </w:rPr>
        <w:t>J Manag</w:t>
      </w:r>
      <w:r w:rsidRPr="00511330">
        <w:rPr>
          <w:rFonts w:asciiTheme="majorBidi" w:hAnsiTheme="majorBidi" w:cstheme="majorBidi"/>
          <w:sz w:val="24"/>
          <w:szCs w:val="24"/>
          <w:lang w:val="en-US" w:eastAsia="en-GB"/>
        </w:rPr>
        <w:t xml:space="preserve"> 25(3):293–315</w:t>
      </w:r>
    </w:p>
    <w:p w14:paraId="678FF6BE"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Armenakis A.A. &amp; Harris S.G. (2002). Crafting a Change Message to Create rans formational Readiness.  </w:t>
      </w:r>
      <w:r w:rsidRPr="00511330">
        <w:rPr>
          <w:rFonts w:asciiTheme="majorBidi" w:hAnsiTheme="majorBidi" w:cstheme="majorBidi"/>
          <w:i/>
          <w:iCs/>
          <w:sz w:val="24"/>
          <w:szCs w:val="24"/>
          <w:lang w:val="en-US" w:eastAsia="en-GB"/>
        </w:rPr>
        <w:t>Journal of Organizational Change Management</w:t>
      </w:r>
      <w:r w:rsidRPr="00511330">
        <w:rPr>
          <w:rFonts w:asciiTheme="majorBidi" w:hAnsiTheme="majorBidi" w:cstheme="majorBidi"/>
          <w:sz w:val="24"/>
          <w:szCs w:val="24"/>
          <w:lang w:val="en-US" w:eastAsia="en-GB"/>
        </w:rPr>
        <w:t>, 15(2), 169-83.</w:t>
      </w:r>
    </w:p>
    <w:p w14:paraId="56B97A4F"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Arnett, D. B., Sandvik, I. L., &amp; Sandvik, K. (2018). Two paths to organizational effectiveness–Product advantage and life-cycle flexibility. Journal of Business Research, 84, 285-292.</w:t>
      </w:r>
    </w:p>
    <w:p w14:paraId="71115482"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Attaran, M. (2004), “Nurturing the supply chain”, </w:t>
      </w:r>
      <w:r w:rsidRPr="00511330">
        <w:rPr>
          <w:rFonts w:asciiTheme="majorBidi" w:hAnsiTheme="majorBidi" w:cstheme="majorBidi"/>
          <w:i/>
          <w:iCs/>
          <w:sz w:val="24"/>
          <w:szCs w:val="24"/>
        </w:rPr>
        <w:t>Industrial  anagement, Vol. 46</w:t>
      </w:r>
      <w:r w:rsidRPr="00511330">
        <w:rPr>
          <w:rFonts w:asciiTheme="majorBidi" w:hAnsiTheme="majorBidi" w:cstheme="majorBidi"/>
          <w:sz w:val="24"/>
          <w:szCs w:val="24"/>
        </w:rPr>
        <w:t xml:space="preserve"> No. 5, pp. 16-21.</w:t>
      </w:r>
    </w:p>
    <w:p w14:paraId="3C41974C"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Aurum, A., F. Daneshgar., &amp; J. Ward (2008). Investigating Knowledge Management in software development organizations –An Australia experience. </w:t>
      </w:r>
      <w:r w:rsidRPr="00511330">
        <w:rPr>
          <w:rFonts w:asciiTheme="majorBidi" w:hAnsiTheme="majorBidi" w:cstheme="majorBidi"/>
          <w:i/>
          <w:iCs/>
          <w:sz w:val="24"/>
          <w:szCs w:val="24"/>
          <w:lang w:val="en-US" w:eastAsia="en-GB"/>
        </w:rPr>
        <w:t>Information and Software Technology, 50</w:t>
      </w:r>
      <w:r w:rsidRPr="00511330">
        <w:rPr>
          <w:rFonts w:asciiTheme="majorBidi" w:hAnsiTheme="majorBidi" w:cstheme="majorBidi"/>
          <w:sz w:val="24"/>
          <w:szCs w:val="24"/>
          <w:lang w:val="en-US" w:eastAsia="en-GB"/>
        </w:rPr>
        <w:t xml:space="preserve"> (6), 511-533.</w:t>
      </w:r>
    </w:p>
    <w:p w14:paraId="0EB8644F"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il"/>
        </w:rPr>
        <w:t xml:space="preserve">Austin, M.J. et al., (1997), “Guiding organizational change”, </w:t>
      </w:r>
      <w:r w:rsidRPr="00511330">
        <w:rPr>
          <w:rFonts w:asciiTheme="majorBidi" w:eastAsia="Arial Unicode MS" w:hAnsiTheme="majorBidi" w:cstheme="majorBidi"/>
          <w:i/>
          <w:iCs/>
          <w:sz w:val="24"/>
          <w:szCs w:val="24"/>
          <w:bdr w:val="nil"/>
        </w:rPr>
        <w:t>New Directions for Higher Education</w:t>
      </w:r>
      <w:r w:rsidRPr="00511330">
        <w:rPr>
          <w:rFonts w:asciiTheme="majorBidi" w:eastAsia="Arial Unicode MS" w:hAnsiTheme="majorBidi" w:cstheme="majorBidi"/>
          <w:sz w:val="24"/>
          <w:szCs w:val="24"/>
          <w:bdr w:val="nil"/>
        </w:rPr>
        <w:t>, No. 98, pp. 31-56.</w:t>
      </w:r>
    </w:p>
    <w:p w14:paraId="7DE7BD5F"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Avlonitis G. J., P. G. Papastathopoulous., &amp; Gounaris, S.P (2001). An empirically-based typology of product innovativeness for new financial services: Success and failures scenarios</w:t>
      </w:r>
      <w:r w:rsidRPr="00511330">
        <w:rPr>
          <w:rFonts w:asciiTheme="majorBidi" w:hAnsiTheme="majorBidi" w:cstheme="majorBidi"/>
          <w:i/>
          <w:iCs/>
          <w:sz w:val="24"/>
          <w:szCs w:val="24"/>
          <w:lang w:val="en-US" w:eastAsia="en-GB"/>
        </w:rPr>
        <w:t>. J. Product Innov. Manag, 18</w:t>
      </w:r>
      <w:r w:rsidRPr="00511330">
        <w:rPr>
          <w:rFonts w:asciiTheme="majorBidi" w:hAnsiTheme="majorBidi" w:cstheme="majorBidi"/>
          <w:sz w:val="24"/>
          <w:szCs w:val="24"/>
          <w:lang w:val="en-US" w:eastAsia="en-GB"/>
        </w:rPr>
        <w:t xml:space="preserve"> (5), 324–342, 2001.</w:t>
      </w:r>
    </w:p>
    <w:p w14:paraId="6C34ED05"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Azad N., Ghandvar P., &amp; Rahimi Z. (2017). Online Search Behaviour of Customers in Shoe Market. </w:t>
      </w:r>
      <w:r w:rsidRPr="00511330">
        <w:rPr>
          <w:rFonts w:asciiTheme="majorBidi" w:hAnsiTheme="majorBidi" w:cstheme="majorBidi"/>
          <w:i/>
          <w:iCs/>
          <w:sz w:val="24"/>
          <w:szCs w:val="24"/>
          <w:lang w:val="en-US" w:eastAsia="en-GB"/>
        </w:rPr>
        <w:t>Astra Salvensis, Supplement</w:t>
      </w:r>
      <w:r w:rsidRPr="00511330">
        <w:rPr>
          <w:rFonts w:asciiTheme="majorBidi" w:hAnsiTheme="majorBidi" w:cstheme="majorBidi"/>
          <w:sz w:val="24"/>
          <w:szCs w:val="24"/>
          <w:lang w:val="en-US" w:eastAsia="en-GB"/>
        </w:rPr>
        <w:t xml:space="preserve"> 2, 793.</w:t>
      </w:r>
    </w:p>
    <w:p w14:paraId="2F44501C"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Babbie, E. (1990). </w:t>
      </w:r>
      <w:r w:rsidRPr="00511330">
        <w:rPr>
          <w:rFonts w:asciiTheme="majorBidi" w:hAnsiTheme="majorBidi" w:cstheme="majorBidi"/>
          <w:i/>
          <w:iCs/>
          <w:sz w:val="24"/>
          <w:szCs w:val="24"/>
          <w:lang w:val="en-US" w:eastAsia="en-GB"/>
        </w:rPr>
        <w:t>The practice of social research</w:t>
      </w:r>
      <w:r w:rsidRPr="00511330">
        <w:rPr>
          <w:rFonts w:asciiTheme="majorBidi" w:hAnsiTheme="majorBidi" w:cstheme="majorBidi"/>
          <w:sz w:val="24"/>
          <w:szCs w:val="24"/>
          <w:lang w:val="en-US" w:eastAsia="en-GB"/>
        </w:rPr>
        <w:t xml:space="preserve"> (2nd ed.). Belmont, CA: Wadsworth.</w:t>
      </w:r>
    </w:p>
    <w:p w14:paraId="07675DA9"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rPr>
        <w:t>Babbie, Earl R. (1998) "</w:t>
      </w:r>
      <w:r w:rsidRPr="00511330">
        <w:rPr>
          <w:rFonts w:asciiTheme="majorBidi" w:hAnsiTheme="majorBidi" w:cstheme="majorBidi"/>
          <w:i/>
          <w:iCs/>
          <w:sz w:val="24"/>
          <w:szCs w:val="24"/>
        </w:rPr>
        <w:t>The practice of social research</w:t>
      </w:r>
      <w:r w:rsidRPr="00511330">
        <w:rPr>
          <w:rFonts w:asciiTheme="majorBidi" w:hAnsiTheme="majorBidi" w:cstheme="majorBidi"/>
          <w:sz w:val="24"/>
          <w:szCs w:val="24"/>
        </w:rPr>
        <w:t xml:space="preserve"> (Vol. 112)." Belmont, CA (1998).</w:t>
      </w:r>
    </w:p>
    <w:p w14:paraId="32D902F4"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Badawy, M.K. (1980), Styles of Midwestern managers. </w:t>
      </w:r>
      <w:r w:rsidRPr="00511330">
        <w:rPr>
          <w:rFonts w:asciiTheme="majorBidi" w:eastAsia="Arial Unicode MS" w:hAnsiTheme="majorBidi" w:cstheme="majorBidi"/>
          <w:i/>
          <w:iCs/>
          <w:sz w:val="24"/>
          <w:szCs w:val="24"/>
          <w:bdr w:val="none" w:sz="0" w:space="0" w:color="auto" w:frame="1"/>
          <w:lang w:val="en-US"/>
        </w:rPr>
        <w:t>California Management Review</w:t>
      </w:r>
      <w:r w:rsidRPr="00511330">
        <w:rPr>
          <w:rFonts w:asciiTheme="majorBidi" w:eastAsia="Arial Unicode MS" w:hAnsiTheme="majorBidi" w:cstheme="majorBidi"/>
          <w:sz w:val="24"/>
          <w:szCs w:val="24"/>
          <w:bdr w:val="none" w:sz="0" w:space="0" w:color="auto" w:frame="1"/>
          <w:lang w:val="en-US"/>
        </w:rPr>
        <w:t>, 22(3), 51-58.</w:t>
      </w:r>
    </w:p>
    <w:p w14:paraId="5E2438A2"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Baddah, A. (2016). The Direction of Change Management in United Arab Emirates. </w:t>
      </w:r>
      <w:r w:rsidRPr="00511330">
        <w:rPr>
          <w:rFonts w:asciiTheme="majorBidi" w:hAnsiTheme="majorBidi" w:cstheme="majorBidi"/>
          <w:i/>
          <w:iCs/>
          <w:sz w:val="24"/>
          <w:szCs w:val="24"/>
          <w:lang w:val="en-US" w:eastAsia="en-GB"/>
        </w:rPr>
        <w:t>International Journal of Business and Management</w:t>
      </w:r>
      <w:r w:rsidRPr="00511330">
        <w:rPr>
          <w:rFonts w:asciiTheme="majorBidi" w:hAnsiTheme="majorBidi" w:cstheme="majorBidi"/>
          <w:sz w:val="24"/>
          <w:szCs w:val="24"/>
          <w:lang w:val="en-US" w:eastAsia="en-GB"/>
        </w:rPr>
        <w:t>, 11. 126.</w:t>
      </w:r>
    </w:p>
    <w:p w14:paraId="24DC685C"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Bagozzi, R.P., Yi, Y., &amp; Phillips, L.W. (1991). Assessing construct validity in organizational research. </w:t>
      </w:r>
      <w:r w:rsidRPr="00511330">
        <w:rPr>
          <w:rFonts w:asciiTheme="majorBidi" w:hAnsiTheme="majorBidi" w:cstheme="majorBidi"/>
          <w:i/>
          <w:iCs/>
          <w:sz w:val="24"/>
          <w:szCs w:val="24"/>
          <w:lang w:val="en-US" w:eastAsia="en-GB"/>
        </w:rPr>
        <w:t>Administrative Science Quarterly, 36(</w:t>
      </w:r>
      <w:r w:rsidRPr="00511330">
        <w:rPr>
          <w:rFonts w:asciiTheme="majorBidi" w:hAnsiTheme="majorBidi" w:cstheme="majorBidi"/>
          <w:sz w:val="24"/>
          <w:szCs w:val="24"/>
          <w:lang w:val="en-US" w:eastAsia="en-GB"/>
        </w:rPr>
        <w:t>3), 421-458.</w:t>
      </w:r>
    </w:p>
    <w:p w14:paraId="4DE91514"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lastRenderedPageBreak/>
        <w:t xml:space="preserve">Bahgat, G. (2015). </w:t>
      </w:r>
      <w:r w:rsidRPr="00511330">
        <w:rPr>
          <w:rFonts w:asciiTheme="majorBidi" w:hAnsiTheme="majorBidi" w:cstheme="majorBidi"/>
          <w:i/>
          <w:iCs/>
          <w:sz w:val="24"/>
          <w:szCs w:val="24"/>
          <w:lang w:val="en-US" w:eastAsia="en-GB"/>
        </w:rPr>
        <w:t>The Changing Energy Landscape in the Gulf: Strategic Implications</w:t>
      </w:r>
      <w:r w:rsidRPr="00511330">
        <w:rPr>
          <w:rFonts w:asciiTheme="majorBidi" w:hAnsiTheme="majorBidi" w:cstheme="majorBidi"/>
          <w:sz w:val="24"/>
          <w:szCs w:val="24"/>
          <w:lang w:val="en-US" w:eastAsia="en-GB"/>
        </w:rPr>
        <w:t>. Berlin, Germany: Gerlach Press.</w:t>
      </w:r>
    </w:p>
    <w:p w14:paraId="5492CCB4"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Bakker, A. B., &amp; Demerouti, E. (2017). Job demands-resources theory: Taking stock and looking forward. </w:t>
      </w:r>
      <w:r w:rsidRPr="00511330">
        <w:rPr>
          <w:rFonts w:asciiTheme="majorBidi" w:hAnsiTheme="majorBidi" w:cstheme="majorBidi"/>
          <w:i/>
          <w:iCs/>
          <w:sz w:val="24"/>
          <w:szCs w:val="24"/>
          <w:lang w:val="en-US" w:eastAsia="en-GB"/>
        </w:rPr>
        <w:t>Journal of Occupational Health Psychology</w:t>
      </w:r>
      <w:r w:rsidRPr="00511330">
        <w:rPr>
          <w:rFonts w:asciiTheme="majorBidi" w:hAnsiTheme="majorBidi" w:cstheme="majorBidi"/>
          <w:sz w:val="24"/>
          <w:szCs w:val="24"/>
          <w:lang w:val="en-US" w:eastAsia="en-GB"/>
        </w:rPr>
        <w:t>, 22(8), 273–285.</w:t>
      </w:r>
    </w:p>
    <w:p w14:paraId="6361152A"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Balducci, C., Shaufeli, W. B., &amp; Fraccaroli, F. (2011). The job-demands-resources model and counterproductive work behavior: The role of job-related affect. </w:t>
      </w:r>
      <w:r w:rsidRPr="00511330">
        <w:rPr>
          <w:rFonts w:asciiTheme="majorBidi" w:hAnsiTheme="majorBidi" w:cstheme="majorBidi"/>
          <w:i/>
          <w:iCs/>
          <w:sz w:val="24"/>
          <w:szCs w:val="24"/>
          <w:lang w:val="en-US" w:eastAsia="en-GB"/>
        </w:rPr>
        <w:t>European Journal of Work and Organizational Psychology</w:t>
      </w:r>
      <w:r w:rsidRPr="00511330">
        <w:rPr>
          <w:rFonts w:asciiTheme="majorBidi" w:hAnsiTheme="majorBidi" w:cstheme="majorBidi"/>
          <w:sz w:val="24"/>
          <w:szCs w:val="24"/>
          <w:lang w:val="en-US" w:eastAsia="en-GB"/>
        </w:rPr>
        <w:t>,</w:t>
      </w:r>
      <w:r w:rsidRPr="00511330">
        <w:rPr>
          <w:rFonts w:asciiTheme="majorBidi" w:hAnsiTheme="majorBidi" w:cstheme="majorBidi"/>
          <w:i/>
          <w:iCs/>
          <w:sz w:val="24"/>
          <w:szCs w:val="24"/>
          <w:lang w:val="en-US" w:eastAsia="en-GB"/>
        </w:rPr>
        <w:t xml:space="preserve"> 20</w:t>
      </w:r>
      <w:r w:rsidRPr="00511330">
        <w:rPr>
          <w:rFonts w:asciiTheme="majorBidi" w:hAnsiTheme="majorBidi" w:cstheme="majorBidi"/>
          <w:sz w:val="24"/>
          <w:szCs w:val="24"/>
          <w:lang w:val="en-US" w:eastAsia="en-GB"/>
        </w:rPr>
        <w:t>(4), 467–496.</w:t>
      </w:r>
    </w:p>
    <w:p w14:paraId="1FBEF998" w14:textId="77777777" w:rsidR="003175B3" w:rsidRPr="00511330" w:rsidRDefault="005F6780"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Balogun, J., &amp; Hope, H.V. (2014). </w:t>
      </w:r>
      <w:r w:rsidRPr="00511330">
        <w:rPr>
          <w:rFonts w:asciiTheme="majorBidi" w:hAnsiTheme="majorBidi" w:cstheme="majorBidi"/>
          <w:i/>
          <w:iCs/>
          <w:sz w:val="24"/>
          <w:szCs w:val="24"/>
          <w:lang w:val="en-US"/>
        </w:rPr>
        <w:t>Landing Transformational Change. Chartered Institute of Personnel and Development</w:t>
      </w:r>
      <w:r w:rsidRPr="00511330">
        <w:rPr>
          <w:rFonts w:asciiTheme="majorBidi" w:hAnsiTheme="majorBidi" w:cstheme="majorBidi"/>
          <w:sz w:val="24"/>
          <w:szCs w:val="24"/>
          <w:lang w:val="en-US"/>
        </w:rPr>
        <w:t>, London: CIPD.</w:t>
      </w:r>
    </w:p>
    <w:p w14:paraId="5E80717F" w14:textId="7C79F935" w:rsidR="003175B3" w:rsidRPr="00511330" w:rsidRDefault="003175B3" w:rsidP="003175B3">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Bansal, P. (2005). Evolving sustainably: a longitudinal study of corporate sustainable development. </w:t>
      </w:r>
      <w:r w:rsidRPr="00511330">
        <w:rPr>
          <w:rFonts w:asciiTheme="majorBidi" w:hAnsiTheme="majorBidi" w:cstheme="majorBidi"/>
          <w:i/>
          <w:iCs/>
          <w:sz w:val="24"/>
          <w:szCs w:val="24"/>
          <w:lang w:val="en-US" w:eastAsia="en-GB"/>
        </w:rPr>
        <w:t>Strategic Management Journal 26</w:t>
      </w:r>
      <w:r w:rsidRPr="00511330">
        <w:rPr>
          <w:rFonts w:asciiTheme="majorBidi" w:hAnsiTheme="majorBidi" w:cstheme="majorBidi"/>
          <w:sz w:val="24"/>
          <w:szCs w:val="24"/>
          <w:lang w:val="en-US" w:eastAsia="en-GB"/>
        </w:rPr>
        <w:t>(3), 197–218.</w:t>
      </w:r>
    </w:p>
    <w:p w14:paraId="35EE0571"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Barnett, J., Evans, L., Gross, C., Kiem, A., Kingsford, R., Palutikof., &amp; J., Smithers, S. (2015). From barriers to limits to climate change adaptation: </w:t>
      </w:r>
      <w:r w:rsidRPr="00511330">
        <w:rPr>
          <w:rFonts w:asciiTheme="majorBidi" w:eastAsia="Arial Unicode MS" w:hAnsiTheme="majorBidi" w:cstheme="majorBidi"/>
          <w:i/>
          <w:iCs/>
          <w:sz w:val="24"/>
          <w:szCs w:val="24"/>
          <w:bdr w:val="none" w:sz="0" w:space="0" w:color="auto" w:frame="1"/>
          <w:lang w:val="en-US"/>
        </w:rPr>
        <w:t>Path dependency and the speed of change</w:t>
      </w:r>
      <w:r w:rsidRPr="00511330">
        <w:rPr>
          <w:rFonts w:asciiTheme="majorBidi" w:eastAsia="Arial Unicode MS" w:hAnsiTheme="majorBidi" w:cstheme="majorBidi"/>
          <w:sz w:val="24"/>
          <w:szCs w:val="24"/>
          <w:bdr w:val="none" w:sz="0" w:space="0" w:color="auto" w:frame="1"/>
          <w:lang w:val="en-US"/>
        </w:rPr>
        <w:t xml:space="preserve">. </w:t>
      </w:r>
      <w:r w:rsidRPr="00511330">
        <w:rPr>
          <w:rFonts w:asciiTheme="majorBidi" w:eastAsia="Arial Unicode MS" w:hAnsiTheme="majorBidi" w:cstheme="majorBidi"/>
          <w:i/>
          <w:iCs/>
          <w:sz w:val="24"/>
          <w:szCs w:val="24"/>
          <w:bdr w:val="none" w:sz="0" w:space="0" w:color="auto" w:frame="1"/>
          <w:lang w:val="en-US"/>
        </w:rPr>
        <w:t>Ecology &amp; Society</w:t>
      </w:r>
      <w:r w:rsidRPr="00511330">
        <w:rPr>
          <w:rFonts w:asciiTheme="majorBidi" w:eastAsia="Arial Unicode MS" w:hAnsiTheme="majorBidi" w:cstheme="majorBidi"/>
          <w:sz w:val="24"/>
          <w:szCs w:val="24"/>
          <w:bdr w:val="none" w:sz="0" w:space="0" w:color="auto" w:frame="1"/>
          <w:lang w:val="en-US"/>
        </w:rPr>
        <w:t>, 20(3).</w:t>
      </w:r>
    </w:p>
    <w:p w14:paraId="3945960D"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Barone, M.J., Norman, A.T., &amp; Miyazaki, A.D. (2007) Consumer response to retailer use of cause-related marketing: is more fit better? </w:t>
      </w:r>
      <w:r w:rsidRPr="00511330">
        <w:rPr>
          <w:rFonts w:asciiTheme="majorBidi" w:eastAsia="Arial Unicode MS" w:hAnsiTheme="majorBidi" w:cstheme="majorBidi"/>
          <w:i/>
          <w:iCs/>
          <w:sz w:val="24"/>
          <w:szCs w:val="24"/>
          <w:bdr w:val="none" w:sz="0" w:space="0" w:color="auto" w:frame="1"/>
          <w:lang w:val="en-US"/>
        </w:rPr>
        <w:t>Journal of Retailing, 83</w:t>
      </w:r>
      <w:r w:rsidRPr="00511330">
        <w:rPr>
          <w:rFonts w:asciiTheme="majorBidi" w:eastAsia="Arial Unicode MS" w:hAnsiTheme="majorBidi" w:cstheme="majorBidi"/>
          <w:sz w:val="24"/>
          <w:szCs w:val="24"/>
          <w:bdr w:val="none" w:sz="0" w:space="0" w:color="auto" w:frame="1"/>
          <w:lang w:val="en-US"/>
        </w:rPr>
        <w:t>(4), 437-45</w:t>
      </w:r>
    </w:p>
    <w:p w14:paraId="605AB692"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Bartunek, J.M., Balogun, J., &amp; Do, B. (2011). Considering planned change anew: stretching large group interventions strategically, emotionally, and meaningfully. </w:t>
      </w:r>
      <w:r w:rsidRPr="00511330">
        <w:rPr>
          <w:rFonts w:asciiTheme="majorBidi" w:hAnsiTheme="majorBidi" w:cstheme="majorBidi"/>
          <w:i/>
          <w:iCs/>
          <w:sz w:val="24"/>
          <w:szCs w:val="24"/>
          <w:lang w:val="en-US"/>
        </w:rPr>
        <w:t>The Academy of Management Annals, 5(</w:t>
      </w:r>
      <w:r w:rsidRPr="00511330">
        <w:rPr>
          <w:rFonts w:asciiTheme="majorBidi" w:hAnsiTheme="majorBidi" w:cstheme="majorBidi"/>
          <w:sz w:val="24"/>
          <w:szCs w:val="24"/>
          <w:lang w:val="en-US"/>
        </w:rPr>
        <w:t>1), 1-52.</w:t>
      </w:r>
    </w:p>
    <w:p w14:paraId="4F925A87"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Bass, B. (1997). Does the transactional-transformational leadership paradigm transcend organizational and national boundaries? </w:t>
      </w:r>
      <w:r w:rsidRPr="00511330">
        <w:rPr>
          <w:rFonts w:asciiTheme="majorBidi" w:hAnsiTheme="majorBidi" w:cstheme="majorBidi"/>
          <w:i/>
          <w:iCs/>
          <w:sz w:val="24"/>
          <w:szCs w:val="24"/>
          <w:lang w:val="en-US"/>
        </w:rPr>
        <w:t>American Psychologist, 52</w:t>
      </w:r>
      <w:r w:rsidRPr="00511330">
        <w:rPr>
          <w:rFonts w:asciiTheme="majorBidi" w:hAnsiTheme="majorBidi" w:cstheme="majorBidi"/>
          <w:sz w:val="24"/>
          <w:szCs w:val="24"/>
          <w:lang w:val="en-US"/>
        </w:rPr>
        <w:t>(2), 30-139.</w:t>
      </w:r>
    </w:p>
    <w:p w14:paraId="1CAD2672"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rPr>
        <w:t>Bass, B. M. (2008). The Bass handbook of leadership: Theory, research, &amp; managerial applications (4th ed.). New York, NY: Free Press.</w:t>
      </w:r>
    </w:p>
    <w:p w14:paraId="6312C7BC"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Bass, B. M. (2000). The future of leadership in learning organizations. </w:t>
      </w:r>
      <w:r w:rsidRPr="00511330">
        <w:rPr>
          <w:rFonts w:asciiTheme="majorBidi" w:hAnsiTheme="majorBidi" w:cstheme="majorBidi"/>
          <w:i/>
          <w:iCs/>
          <w:sz w:val="24"/>
          <w:szCs w:val="24"/>
        </w:rPr>
        <w:t>Journal of Leadership &amp; Organizational Studies, 7(3)</w:t>
      </w:r>
      <w:r w:rsidRPr="00511330">
        <w:rPr>
          <w:rFonts w:asciiTheme="majorBidi" w:hAnsiTheme="majorBidi" w:cstheme="majorBidi"/>
          <w:sz w:val="24"/>
          <w:szCs w:val="24"/>
        </w:rPr>
        <w:t xml:space="preserve">, 18-40. </w:t>
      </w:r>
    </w:p>
    <w:p w14:paraId="7AAE7B39" w14:textId="77777777" w:rsidR="007A7265" w:rsidRPr="00511330" w:rsidRDefault="003175B3"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Baumgartner H., &amp; Steenkamp, J. B. E. M. (2001). Response styles in marketing research: a cross-national investigation. </w:t>
      </w:r>
      <w:r w:rsidRPr="00511330">
        <w:rPr>
          <w:rFonts w:asciiTheme="majorBidi" w:hAnsiTheme="majorBidi" w:cstheme="majorBidi"/>
          <w:i/>
          <w:iCs/>
          <w:sz w:val="24"/>
          <w:szCs w:val="24"/>
          <w:lang w:val="en-US" w:eastAsia="en-GB"/>
        </w:rPr>
        <w:t>Journal of Marketing Research, 38</w:t>
      </w:r>
      <w:r w:rsidRPr="00511330">
        <w:rPr>
          <w:rFonts w:asciiTheme="majorBidi" w:hAnsiTheme="majorBidi" w:cstheme="majorBidi"/>
          <w:sz w:val="24"/>
          <w:szCs w:val="24"/>
          <w:lang w:val="en-US" w:eastAsia="en-GB"/>
        </w:rPr>
        <w:t>,143–56</w:t>
      </w:r>
    </w:p>
    <w:p w14:paraId="17BDB4FC"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Becker-Olsen, K.L., Cudmore, A.B., &amp; Hill, R.P. (2006). The impact of perceived corporate social responsibility on consumer behavior, </w:t>
      </w:r>
      <w:r w:rsidRPr="00511330">
        <w:rPr>
          <w:rFonts w:asciiTheme="majorBidi" w:hAnsiTheme="majorBidi" w:cstheme="majorBidi"/>
          <w:i/>
          <w:iCs/>
          <w:sz w:val="24"/>
          <w:szCs w:val="24"/>
          <w:lang w:val="en-US"/>
        </w:rPr>
        <w:t>Journal of Business Research, 59</w:t>
      </w:r>
      <w:r w:rsidRPr="00511330">
        <w:rPr>
          <w:rFonts w:asciiTheme="majorBidi" w:hAnsiTheme="majorBidi" w:cstheme="majorBidi"/>
          <w:sz w:val="24"/>
          <w:szCs w:val="24"/>
          <w:lang w:val="en-US"/>
        </w:rPr>
        <w:t>(1), 46-53.</w:t>
      </w:r>
    </w:p>
    <w:p w14:paraId="1B530A38"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Beer, M. &amp; Nohria, N. (2000). Cracking the code of change. </w:t>
      </w:r>
      <w:r w:rsidRPr="00511330">
        <w:rPr>
          <w:rFonts w:asciiTheme="majorBidi" w:hAnsiTheme="majorBidi" w:cstheme="majorBidi"/>
          <w:i/>
          <w:iCs/>
          <w:sz w:val="24"/>
          <w:szCs w:val="24"/>
          <w:u w:val="single"/>
          <w:lang w:val="en-US"/>
        </w:rPr>
        <w:t>Harvard Business Review</w:t>
      </w:r>
      <w:r w:rsidRPr="00511330">
        <w:rPr>
          <w:rFonts w:asciiTheme="majorBidi" w:hAnsiTheme="majorBidi" w:cstheme="majorBidi"/>
          <w:sz w:val="24"/>
          <w:szCs w:val="24"/>
          <w:lang w:val="en-US"/>
        </w:rPr>
        <w:t>, 1-8.</w:t>
      </w:r>
    </w:p>
    <w:p w14:paraId="67F5D6AA"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Beer, M., Russel., A.E., &amp; Bert, S. (1990). Why changed programs don’t produce change. </w:t>
      </w:r>
      <w:r w:rsidRPr="00511330">
        <w:rPr>
          <w:rFonts w:asciiTheme="majorBidi" w:hAnsiTheme="majorBidi" w:cstheme="majorBidi"/>
          <w:i/>
          <w:iCs/>
          <w:sz w:val="24"/>
          <w:szCs w:val="24"/>
          <w:lang w:val="en-US"/>
        </w:rPr>
        <w:t>Harvard Business Review</w:t>
      </w:r>
      <w:r w:rsidRPr="00511330">
        <w:rPr>
          <w:rFonts w:asciiTheme="majorBidi" w:hAnsiTheme="majorBidi" w:cstheme="majorBidi"/>
          <w:sz w:val="24"/>
          <w:szCs w:val="24"/>
          <w:lang w:val="en-US"/>
        </w:rPr>
        <w:t xml:space="preserve">, </w:t>
      </w:r>
      <w:r w:rsidRPr="00511330">
        <w:rPr>
          <w:rFonts w:asciiTheme="majorBidi" w:hAnsiTheme="majorBidi" w:cstheme="majorBidi"/>
          <w:i/>
          <w:iCs/>
          <w:sz w:val="24"/>
          <w:szCs w:val="24"/>
          <w:lang w:val="en-US"/>
        </w:rPr>
        <w:t>68</w:t>
      </w:r>
      <w:r w:rsidRPr="00511330">
        <w:rPr>
          <w:rFonts w:asciiTheme="majorBidi" w:hAnsiTheme="majorBidi" w:cstheme="majorBidi"/>
          <w:sz w:val="24"/>
          <w:szCs w:val="24"/>
          <w:lang w:val="en-US"/>
        </w:rPr>
        <w:t>(6), 158-166.</w:t>
      </w:r>
    </w:p>
    <w:p w14:paraId="197243A3"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Behery, M.H. (2009). Person/organization job-fitting and affective commitment to the organization: perspectives from the UAE. </w:t>
      </w:r>
      <w:r w:rsidRPr="00511330">
        <w:rPr>
          <w:rFonts w:asciiTheme="majorBidi" w:hAnsiTheme="majorBidi" w:cstheme="majorBidi"/>
          <w:i/>
          <w:iCs/>
          <w:sz w:val="24"/>
          <w:szCs w:val="24"/>
          <w:lang w:val="en-US"/>
        </w:rPr>
        <w:t>Cross Cultural Management: An International Journal, 16</w:t>
      </w:r>
      <w:r w:rsidRPr="00511330">
        <w:rPr>
          <w:rFonts w:asciiTheme="majorBidi" w:hAnsiTheme="majorBidi" w:cstheme="majorBidi"/>
          <w:sz w:val="24"/>
          <w:szCs w:val="24"/>
          <w:lang w:val="en-US"/>
        </w:rPr>
        <w:t>(2), 179-196.</w:t>
      </w:r>
    </w:p>
    <w:p w14:paraId="3ACF7A6D"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Bentler, P. (1992). On the fit of models to covariance. </w:t>
      </w:r>
      <w:r w:rsidRPr="00511330">
        <w:rPr>
          <w:rFonts w:asciiTheme="majorBidi" w:hAnsiTheme="majorBidi" w:cstheme="majorBidi"/>
          <w:i/>
          <w:iCs/>
          <w:sz w:val="24"/>
          <w:szCs w:val="24"/>
          <w:lang w:val="en-US"/>
        </w:rPr>
        <w:t>Psychological Bulletin, 3</w:t>
      </w:r>
      <w:r w:rsidRPr="00511330">
        <w:rPr>
          <w:rFonts w:asciiTheme="majorBidi" w:hAnsiTheme="majorBidi" w:cstheme="majorBidi"/>
          <w:sz w:val="24"/>
          <w:szCs w:val="24"/>
          <w:lang w:val="en-US"/>
        </w:rPr>
        <w:t>, 588-606.</w:t>
      </w:r>
    </w:p>
    <w:p w14:paraId="27284898"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Bishop, J., &amp; D. Bouchlaghem, J. (2008). Glass and I. Isao Matsumoto. Ensuring the effectiveness of a knowledge management initiative. </w:t>
      </w:r>
      <w:r w:rsidRPr="00511330">
        <w:rPr>
          <w:rFonts w:asciiTheme="majorBidi" w:hAnsiTheme="majorBidi" w:cstheme="majorBidi"/>
          <w:i/>
          <w:iCs/>
          <w:sz w:val="24"/>
          <w:szCs w:val="24"/>
          <w:lang w:val="en-US"/>
        </w:rPr>
        <w:t>Journal of Knowledge Management 12(4):</w:t>
      </w:r>
      <w:r w:rsidRPr="00511330">
        <w:rPr>
          <w:rFonts w:asciiTheme="majorBidi" w:hAnsiTheme="majorBidi" w:cstheme="majorBidi"/>
          <w:sz w:val="24"/>
          <w:szCs w:val="24"/>
          <w:lang w:val="en-US"/>
        </w:rPr>
        <w:t>16–29.</w:t>
      </w:r>
    </w:p>
    <w:p w14:paraId="4497F72F"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color w:val="333333"/>
          <w:sz w:val="24"/>
          <w:szCs w:val="24"/>
          <w:shd w:val="clear" w:color="auto" w:fill="FFFFFF"/>
          <w:lang w:val="en-US"/>
        </w:rPr>
        <w:t xml:space="preserve">Bin Taher, B., Krotov, V. and Silva, L. (2015). A framework for leading change in the UAE public sector. </w:t>
      </w:r>
      <w:r w:rsidRPr="00511330">
        <w:rPr>
          <w:rFonts w:asciiTheme="majorBidi" w:hAnsiTheme="majorBidi" w:cstheme="majorBidi"/>
          <w:i/>
          <w:iCs/>
          <w:color w:val="333333"/>
          <w:sz w:val="24"/>
          <w:szCs w:val="24"/>
          <w:shd w:val="clear" w:color="auto" w:fill="FFFFFF"/>
          <w:lang w:val="en-US"/>
        </w:rPr>
        <w:t>International Journal of Organizational Analysis, 23</w:t>
      </w:r>
      <w:r w:rsidRPr="00511330">
        <w:rPr>
          <w:rFonts w:asciiTheme="majorBidi" w:hAnsiTheme="majorBidi" w:cstheme="majorBidi"/>
          <w:color w:val="333333"/>
          <w:sz w:val="24"/>
          <w:szCs w:val="24"/>
          <w:shd w:val="clear" w:color="auto" w:fill="FFFFFF"/>
          <w:lang w:val="en-US"/>
        </w:rPr>
        <w:t>(3), 348 – 363. </w:t>
      </w:r>
    </w:p>
    <w:p w14:paraId="5CC43F35"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Blair, J., Blair, S., Fottler, M., Nix, T., Payne, G., &amp; Savage, G. (2002). </w:t>
      </w:r>
      <w:r w:rsidRPr="00511330">
        <w:rPr>
          <w:rFonts w:asciiTheme="majorBidi" w:hAnsiTheme="majorBidi" w:cstheme="majorBidi"/>
          <w:i/>
          <w:iCs/>
          <w:sz w:val="24"/>
          <w:szCs w:val="24"/>
          <w:lang w:val="en-US"/>
        </w:rPr>
        <w:t>Advances in Healthcare Management, Elsevier Science</w:t>
      </w:r>
      <w:r w:rsidRPr="00511330">
        <w:rPr>
          <w:rFonts w:asciiTheme="majorBidi" w:hAnsiTheme="majorBidi" w:cstheme="majorBidi"/>
          <w:sz w:val="24"/>
          <w:szCs w:val="24"/>
          <w:lang w:val="en-US"/>
        </w:rPr>
        <w:t>, 3, 317-344.</w:t>
      </w:r>
    </w:p>
    <w:p w14:paraId="5DC06474"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Blanchard, K. (2010). </w:t>
      </w:r>
      <w:r w:rsidRPr="00511330">
        <w:rPr>
          <w:rFonts w:asciiTheme="majorBidi" w:hAnsiTheme="majorBidi" w:cstheme="majorBidi"/>
          <w:i/>
          <w:iCs/>
          <w:sz w:val="24"/>
          <w:szCs w:val="24"/>
          <w:lang w:val="en-US"/>
        </w:rPr>
        <w:t>Mastering the art of change</w:t>
      </w:r>
      <w:r w:rsidRPr="00511330">
        <w:rPr>
          <w:rFonts w:asciiTheme="majorBidi" w:hAnsiTheme="majorBidi" w:cstheme="majorBidi"/>
          <w:sz w:val="24"/>
          <w:szCs w:val="24"/>
          <w:lang w:val="en-US"/>
        </w:rPr>
        <w:t xml:space="preserve">, 45-47. Retrieved from: </w:t>
      </w:r>
      <w:hyperlink r:id="rId61" w:history="1">
        <w:r w:rsidRPr="00511330">
          <w:rPr>
            <w:rStyle w:val="Hyperlink"/>
            <w:rFonts w:asciiTheme="majorBidi" w:hAnsiTheme="majorBidi" w:cstheme="majorBidi"/>
            <w:sz w:val="24"/>
            <w:szCs w:val="24"/>
            <w:lang w:val="en-US"/>
          </w:rPr>
          <w:t>www.trainingjournal.com</w:t>
        </w:r>
      </w:hyperlink>
      <w:r w:rsidRPr="00511330">
        <w:rPr>
          <w:rFonts w:asciiTheme="majorBidi" w:hAnsiTheme="majorBidi" w:cstheme="majorBidi"/>
          <w:sz w:val="24"/>
          <w:szCs w:val="24"/>
          <w:lang w:val="en-US"/>
        </w:rPr>
        <w:t>.</w:t>
      </w:r>
    </w:p>
    <w:p w14:paraId="76FD561E"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il"/>
        </w:rPr>
        <w:t xml:space="preserve">Boardman, C., Gray, D., &amp; Rivers, D. (2013). Cooperative research centers and technical innovation: Government policies, industry strategies, and organizational dynamics. New York, NY: </w:t>
      </w:r>
      <w:r w:rsidRPr="00511330">
        <w:rPr>
          <w:rFonts w:asciiTheme="majorBidi" w:eastAsia="Arial Unicode MS" w:hAnsiTheme="majorBidi" w:cstheme="majorBidi"/>
          <w:i/>
          <w:iCs/>
          <w:sz w:val="24"/>
          <w:szCs w:val="24"/>
          <w:bdr w:val="nil"/>
        </w:rPr>
        <w:t>Springer.</w:t>
      </w:r>
      <w:r w:rsidRPr="00511330">
        <w:rPr>
          <w:rFonts w:asciiTheme="majorBidi" w:eastAsia="Arial Unicode MS" w:hAnsiTheme="majorBidi" w:cstheme="majorBidi"/>
          <w:sz w:val="24"/>
          <w:szCs w:val="24"/>
          <w:bdr w:val="nil"/>
        </w:rPr>
        <w:t xml:space="preserve"> doi:10.1007/978-1-4614-4388-9</w:t>
      </w:r>
    </w:p>
    <w:p w14:paraId="3E6B36B2"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Bolognese, A.F. (2002). Employee resistance to organizational change. </w:t>
      </w:r>
      <w:r w:rsidRPr="00511330">
        <w:rPr>
          <w:rFonts w:asciiTheme="majorBidi" w:hAnsiTheme="majorBidi" w:cstheme="majorBidi"/>
          <w:i/>
          <w:iCs/>
          <w:sz w:val="24"/>
          <w:szCs w:val="24"/>
          <w:lang w:val="en-US"/>
        </w:rPr>
        <w:t>New foundations</w:t>
      </w:r>
      <w:r w:rsidRPr="00511330">
        <w:rPr>
          <w:rFonts w:asciiTheme="majorBidi" w:hAnsiTheme="majorBidi" w:cstheme="majorBidi"/>
          <w:sz w:val="24"/>
          <w:szCs w:val="24"/>
          <w:lang w:val="en-US"/>
        </w:rPr>
        <w:t xml:space="preserve">. Retrieved from: www.newfoundations.com.  </w:t>
      </w:r>
    </w:p>
    <w:p w14:paraId="4FBCE94F"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Bordia, P., Jones, E., Gallois, C., Callan, V., &amp; Difonzo, N. (2006). Management Are Aliens! Rumors and Stress during Organizational Change. </w:t>
      </w:r>
      <w:r w:rsidRPr="00511330">
        <w:rPr>
          <w:rFonts w:asciiTheme="majorBidi" w:hAnsiTheme="majorBidi" w:cstheme="majorBidi"/>
          <w:i/>
          <w:iCs/>
          <w:sz w:val="24"/>
          <w:szCs w:val="24"/>
          <w:lang w:val="en-US"/>
        </w:rPr>
        <w:t>Group and Organization Management,</w:t>
      </w:r>
      <w:r w:rsidRPr="00511330">
        <w:rPr>
          <w:rFonts w:asciiTheme="majorBidi" w:hAnsiTheme="majorBidi" w:cstheme="majorBidi"/>
          <w:sz w:val="24"/>
          <w:szCs w:val="24"/>
          <w:lang w:val="en-US"/>
        </w:rPr>
        <w:t xml:space="preserve"> 31.</w:t>
      </w:r>
    </w:p>
    <w:p w14:paraId="4E81C375"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Bouckenooghe, D. (2010). Positioning Change Recipients’ Attitudes Toward Change in the Organizational Change Literature</w:t>
      </w:r>
      <w:r w:rsidRPr="00511330">
        <w:rPr>
          <w:rFonts w:asciiTheme="majorBidi" w:hAnsiTheme="majorBidi" w:cstheme="majorBidi"/>
          <w:i/>
          <w:iCs/>
          <w:sz w:val="24"/>
          <w:szCs w:val="24"/>
          <w:lang w:val="en-US"/>
        </w:rPr>
        <w:t>. The Journal of Applied Behavioral Science, 46</w:t>
      </w:r>
      <w:r w:rsidRPr="00511330">
        <w:rPr>
          <w:rFonts w:asciiTheme="majorBidi" w:hAnsiTheme="majorBidi" w:cstheme="majorBidi"/>
          <w:sz w:val="24"/>
          <w:szCs w:val="24"/>
          <w:lang w:val="en-US"/>
        </w:rPr>
        <w:t>(4), 500–531.</w:t>
      </w:r>
    </w:p>
    <w:p w14:paraId="6322900B" w14:textId="3FFCCEB6" w:rsidR="007A7265" w:rsidRPr="00511330" w:rsidRDefault="007A7265"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Bovey, W.H. and Andy, H. (2001b). Resistance to organizational change: the role of </w:t>
      </w:r>
      <w:r w:rsidRPr="00511330">
        <w:rPr>
          <w:rFonts w:asciiTheme="majorBidi" w:eastAsia="Arial Unicode MS" w:hAnsiTheme="majorBidi" w:cstheme="majorBidi"/>
          <w:noProof/>
          <w:sz w:val="24"/>
          <w:szCs w:val="24"/>
          <w:bdr w:val="none" w:sz="0" w:space="0" w:color="auto" w:frame="1"/>
          <w:lang w:val="en-US"/>
        </w:rPr>
        <w:t>defence</w:t>
      </w:r>
      <w:r w:rsidRPr="00511330">
        <w:rPr>
          <w:rFonts w:asciiTheme="majorBidi" w:eastAsia="Arial Unicode MS" w:hAnsiTheme="majorBidi" w:cstheme="majorBidi"/>
          <w:sz w:val="24"/>
          <w:szCs w:val="24"/>
          <w:bdr w:val="none" w:sz="0" w:space="0" w:color="auto" w:frame="1"/>
          <w:lang w:val="en-US"/>
        </w:rPr>
        <w:t xml:space="preserve"> mechanisms</w:t>
      </w:r>
      <w:r w:rsidRPr="00511330">
        <w:rPr>
          <w:rFonts w:asciiTheme="majorBidi" w:eastAsia="Arial Unicode MS" w:hAnsiTheme="majorBidi" w:cstheme="majorBidi"/>
          <w:i/>
          <w:iCs/>
          <w:sz w:val="24"/>
          <w:szCs w:val="24"/>
          <w:bdr w:val="none" w:sz="0" w:space="0" w:color="auto" w:frame="1"/>
          <w:lang w:val="en-US"/>
        </w:rPr>
        <w:t>. Journal of Managerial Psychology</w:t>
      </w:r>
      <w:r w:rsidRPr="00511330">
        <w:rPr>
          <w:rFonts w:asciiTheme="majorBidi" w:eastAsia="Arial Unicode MS" w:hAnsiTheme="majorBidi" w:cstheme="majorBidi"/>
          <w:sz w:val="24"/>
          <w:szCs w:val="24"/>
          <w:bdr w:val="none" w:sz="0" w:space="0" w:color="auto" w:frame="1"/>
          <w:lang w:val="en-US"/>
        </w:rPr>
        <w:t xml:space="preserve">, </w:t>
      </w:r>
      <w:r w:rsidRPr="00511330">
        <w:rPr>
          <w:rFonts w:asciiTheme="majorBidi" w:eastAsia="Arial Unicode MS" w:hAnsiTheme="majorBidi" w:cstheme="majorBidi"/>
          <w:i/>
          <w:iCs/>
          <w:sz w:val="24"/>
          <w:szCs w:val="24"/>
          <w:bdr w:val="none" w:sz="0" w:space="0" w:color="auto" w:frame="1"/>
          <w:lang w:val="en-US"/>
        </w:rPr>
        <w:t>16</w:t>
      </w:r>
      <w:r w:rsidRPr="00511330">
        <w:rPr>
          <w:rFonts w:asciiTheme="majorBidi" w:eastAsia="Arial Unicode MS" w:hAnsiTheme="majorBidi" w:cstheme="majorBidi"/>
          <w:sz w:val="24"/>
          <w:szCs w:val="24"/>
          <w:bdr w:val="none" w:sz="0" w:space="0" w:color="auto" w:frame="1"/>
          <w:lang w:val="en-US"/>
        </w:rPr>
        <w:t>(7),534-548</w:t>
      </w:r>
    </w:p>
    <w:p w14:paraId="6F3191EE"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Boykoff, M. (2008). Lost in translation?: United States television news coverage of anthropogenic climate change from 1995–2004. </w:t>
      </w:r>
      <w:r w:rsidRPr="00511330">
        <w:rPr>
          <w:rFonts w:asciiTheme="majorBidi" w:hAnsiTheme="majorBidi" w:cstheme="majorBidi"/>
          <w:i/>
          <w:iCs/>
          <w:sz w:val="24"/>
          <w:szCs w:val="24"/>
          <w:lang w:val="en-US"/>
        </w:rPr>
        <w:t>Clim Chang</w:t>
      </w:r>
      <w:r w:rsidRPr="00511330">
        <w:rPr>
          <w:rFonts w:asciiTheme="majorBidi" w:hAnsiTheme="majorBidi" w:cstheme="majorBidi"/>
          <w:sz w:val="24"/>
          <w:szCs w:val="24"/>
          <w:lang w:val="en-US"/>
        </w:rPr>
        <w:t>, 86, 1–11.</w:t>
      </w:r>
    </w:p>
    <w:p w14:paraId="0704D9F4"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Brod, M., Pohlman, B., &amp; Tesler Waldman, L. (2014). Qualitative Research and Content Validity. In: Michalos A.C. (eds) Encyclopedia of Quality of Life and Well-Being Research. </w:t>
      </w:r>
      <w:r w:rsidRPr="00511330">
        <w:rPr>
          <w:rFonts w:asciiTheme="majorBidi" w:hAnsiTheme="majorBidi" w:cstheme="majorBidi"/>
          <w:i/>
          <w:sz w:val="24"/>
          <w:szCs w:val="24"/>
          <w:lang w:val="en-US"/>
        </w:rPr>
        <w:t>Springer, Dordrecht.</w:t>
      </w:r>
    </w:p>
    <w:p w14:paraId="6E2477FB" w14:textId="77777777" w:rsidR="007A7265" w:rsidRPr="00511330" w:rsidRDefault="007A7265"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Brown T. A. (2006). </w:t>
      </w:r>
      <w:r w:rsidRPr="00511330">
        <w:rPr>
          <w:rFonts w:asciiTheme="majorBidi" w:eastAsia="Arial Unicode MS" w:hAnsiTheme="majorBidi" w:cstheme="majorBidi"/>
          <w:i/>
          <w:iCs/>
          <w:sz w:val="24"/>
          <w:szCs w:val="24"/>
          <w:bdr w:val="none" w:sz="0" w:space="0" w:color="auto" w:frame="1"/>
          <w:lang w:val="en-US"/>
        </w:rPr>
        <w:t>Confirmatory factor analysis for applied research</w:t>
      </w:r>
      <w:r w:rsidRPr="00511330">
        <w:rPr>
          <w:rFonts w:asciiTheme="majorBidi" w:eastAsia="Arial Unicode MS" w:hAnsiTheme="majorBidi" w:cstheme="majorBidi"/>
          <w:sz w:val="24"/>
          <w:szCs w:val="24"/>
          <w:bdr w:val="none" w:sz="0" w:space="0" w:color="auto" w:frame="1"/>
          <w:lang w:val="en-US"/>
        </w:rPr>
        <w:t>. New York, NY: Guilford.</w:t>
      </w:r>
    </w:p>
    <w:p w14:paraId="7BA2D9BA" w14:textId="77777777" w:rsidR="007A7265" w:rsidRPr="00511330" w:rsidRDefault="007A7265"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Brown, D. (2014). An </w:t>
      </w:r>
      <w:r w:rsidRPr="00511330">
        <w:rPr>
          <w:rFonts w:asciiTheme="majorBidi" w:hAnsiTheme="majorBidi" w:cstheme="majorBidi"/>
          <w:i/>
          <w:iCs/>
          <w:sz w:val="24"/>
          <w:szCs w:val="24"/>
          <w:lang w:val="en-US"/>
        </w:rPr>
        <w:t>exploration of the role of ethics in leadership decision-making in Queensland Government Owned Corporations</w:t>
      </w:r>
      <w:r w:rsidRPr="00511330">
        <w:rPr>
          <w:rFonts w:asciiTheme="majorBidi" w:hAnsiTheme="majorBidi" w:cstheme="majorBidi"/>
          <w:sz w:val="24"/>
          <w:szCs w:val="24"/>
          <w:lang w:val="en-US"/>
        </w:rPr>
        <w:t>. PhD thesis, University of Southern Queensland, Toowoomba.</w:t>
      </w:r>
    </w:p>
    <w:p w14:paraId="2E540F9B" w14:textId="77777777" w:rsidR="007A7265" w:rsidRPr="00511330" w:rsidRDefault="007A7265"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Brown, T.J. and Dacin, P.A. (1997) The company and the product: corporate associations and consumer product responses</w:t>
      </w:r>
      <w:r w:rsidRPr="00511330">
        <w:rPr>
          <w:rFonts w:asciiTheme="majorBidi" w:hAnsiTheme="majorBidi" w:cstheme="majorBidi"/>
          <w:i/>
          <w:iCs/>
          <w:sz w:val="24"/>
          <w:szCs w:val="24"/>
          <w:lang w:val="en-US"/>
        </w:rPr>
        <w:t>, Journal of Marketing, 61</w:t>
      </w:r>
      <w:r w:rsidRPr="00511330">
        <w:rPr>
          <w:rFonts w:asciiTheme="majorBidi" w:hAnsiTheme="majorBidi" w:cstheme="majorBidi"/>
          <w:sz w:val="24"/>
          <w:szCs w:val="24"/>
          <w:lang w:val="en-US"/>
        </w:rPr>
        <w:t>(1), 68-84.</w:t>
      </w:r>
    </w:p>
    <w:p w14:paraId="4F3B26DE"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Brunsson, N. (1995). Ideas and actions: Just "cation and hypocrisy as alternatives to control. In: Bacharach, S. B., Gagliardi, P., &amp; Mundell, B. L. (Eds.), </w:t>
      </w:r>
      <w:r w:rsidRPr="00511330">
        <w:rPr>
          <w:rFonts w:asciiTheme="majorBidi" w:eastAsia="Arial Unicode MS" w:hAnsiTheme="majorBidi" w:cstheme="majorBidi"/>
          <w:i/>
          <w:iCs/>
          <w:sz w:val="24"/>
          <w:szCs w:val="24"/>
          <w:bdr w:val="none" w:sz="0" w:space="0" w:color="auto" w:frame="1"/>
          <w:lang w:val="en-US"/>
        </w:rPr>
        <w:t>Research in the sociology of organizations</w:t>
      </w:r>
      <w:r w:rsidRPr="00511330">
        <w:rPr>
          <w:rFonts w:asciiTheme="majorBidi" w:eastAsia="Arial Unicode MS" w:hAnsiTheme="majorBidi" w:cstheme="majorBidi"/>
          <w:sz w:val="24"/>
          <w:szCs w:val="24"/>
          <w:bdr w:val="none" w:sz="0" w:space="0" w:color="auto" w:frame="1"/>
          <w:lang w:val="en-US"/>
        </w:rPr>
        <w:t>. Greenwich, CT</w:t>
      </w:r>
      <w:r w:rsidRPr="00511330">
        <w:rPr>
          <w:rFonts w:asciiTheme="majorBidi" w:eastAsia="Arial Unicode MS" w:hAnsiTheme="majorBidi" w:cstheme="majorBidi"/>
          <w:noProof/>
          <w:sz w:val="24"/>
          <w:szCs w:val="24"/>
          <w:bdr w:val="none" w:sz="0" w:space="0" w:color="auto" w:frame="1"/>
          <w:lang w:val="en-US"/>
        </w:rPr>
        <w:t>: JAI</w:t>
      </w:r>
      <w:r w:rsidRPr="00511330">
        <w:rPr>
          <w:rFonts w:asciiTheme="majorBidi" w:eastAsia="Arial Unicode MS" w:hAnsiTheme="majorBidi" w:cstheme="majorBidi"/>
          <w:sz w:val="24"/>
          <w:szCs w:val="24"/>
          <w:bdr w:val="none" w:sz="0" w:space="0" w:color="auto" w:frame="1"/>
          <w:lang w:val="en-US"/>
        </w:rPr>
        <w:t xml:space="preserve"> Press.</w:t>
      </w:r>
    </w:p>
    <w:p w14:paraId="4A5951EC"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Bruskin, S. (2019). A drifting phenomenon: Organizational change failure in a becoming view. Journal of Organizational Change Management, 32(6), 605-620.</w:t>
      </w:r>
    </w:p>
    <w:p w14:paraId="7759E7E9"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Bugubayeva, R., Sansyzbayevna, R., &amp; Teczke, M. (2017). Approaches and models for change management. Jagiellonian </w:t>
      </w:r>
      <w:r w:rsidRPr="00511330">
        <w:rPr>
          <w:rFonts w:asciiTheme="majorBidi" w:hAnsiTheme="majorBidi" w:cstheme="majorBidi"/>
          <w:i/>
          <w:iCs/>
          <w:sz w:val="24"/>
          <w:szCs w:val="24"/>
          <w:lang w:val="en-US"/>
        </w:rPr>
        <w:t>Journal of Management.</w:t>
      </w:r>
      <w:r w:rsidRPr="00511330">
        <w:rPr>
          <w:rFonts w:asciiTheme="majorBidi" w:hAnsiTheme="majorBidi" w:cstheme="majorBidi"/>
          <w:sz w:val="24"/>
          <w:szCs w:val="24"/>
          <w:lang w:val="en-US"/>
        </w:rPr>
        <w:t xml:space="preserve"> 3, 195-208.</w:t>
      </w:r>
    </w:p>
    <w:p w14:paraId="2353455E" w14:textId="77777777" w:rsidR="007A7265" w:rsidRPr="00511330" w:rsidRDefault="007A7265"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Burke, W.W. (2013), Organization Change: </w:t>
      </w:r>
      <w:r w:rsidRPr="00511330">
        <w:rPr>
          <w:rFonts w:asciiTheme="majorBidi" w:hAnsiTheme="majorBidi" w:cstheme="majorBidi"/>
          <w:i/>
          <w:iCs/>
          <w:sz w:val="24"/>
          <w:szCs w:val="24"/>
          <w:lang w:val="en-US"/>
        </w:rPr>
        <w:t>Theory and Practice</w:t>
      </w:r>
      <w:r w:rsidRPr="00511330">
        <w:rPr>
          <w:rFonts w:asciiTheme="majorBidi" w:hAnsiTheme="majorBidi" w:cstheme="majorBidi"/>
          <w:sz w:val="24"/>
          <w:szCs w:val="24"/>
          <w:lang w:val="en-US"/>
        </w:rPr>
        <w:t>, Sage Publications.</w:t>
      </w:r>
    </w:p>
    <w:p w14:paraId="47EB0E95"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Burnes, B. (2004). Emergent change and planned change – competitors or allies?: the case of XYZ construction”, International </w:t>
      </w:r>
      <w:r w:rsidRPr="00511330">
        <w:rPr>
          <w:rFonts w:asciiTheme="majorBidi" w:hAnsiTheme="majorBidi" w:cstheme="majorBidi"/>
          <w:i/>
          <w:iCs/>
          <w:sz w:val="24"/>
          <w:szCs w:val="24"/>
          <w:lang w:val="en-US"/>
        </w:rPr>
        <w:t>Journal of Operations &amp; Production Management</w:t>
      </w:r>
      <w:r w:rsidRPr="00511330">
        <w:rPr>
          <w:rFonts w:asciiTheme="majorBidi" w:hAnsiTheme="majorBidi" w:cstheme="majorBidi"/>
          <w:sz w:val="24"/>
          <w:szCs w:val="24"/>
          <w:lang w:val="en-US"/>
        </w:rPr>
        <w:t>, 24 (9), 886-902.</w:t>
      </w:r>
    </w:p>
    <w:p w14:paraId="32F0DCDA"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Burnes, B. (2004). </w:t>
      </w:r>
      <w:r w:rsidRPr="00511330">
        <w:rPr>
          <w:rFonts w:asciiTheme="majorBidi" w:hAnsiTheme="majorBidi" w:cstheme="majorBidi"/>
          <w:i/>
          <w:iCs/>
          <w:sz w:val="24"/>
          <w:szCs w:val="24"/>
          <w:lang w:val="en-US"/>
        </w:rPr>
        <w:t>Managing Change: A Strategic Approach to Organizational Dynamics</w:t>
      </w:r>
      <w:r w:rsidRPr="00511330">
        <w:rPr>
          <w:rFonts w:asciiTheme="majorBidi" w:hAnsiTheme="majorBidi" w:cstheme="majorBidi"/>
          <w:sz w:val="24"/>
          <w:szCs w:val="24"/>
          <w:lang w:val="en-US"/>
        </w:rPr>
        <w:t xml:space="preserve"> (4th </w:t>
      </w:r>
      <w:r w:rsidRPr="00511330">
        <w:rPr>
          <w:rFonts w:asciiTheme="majorBidi" w:hAnsiTheme="majorBidi" w:cstheme="majorBidi"/>
          <w:noProof/>
          <w:sz w:val="24"/>
          <w:szCs w:val="24"/>
          <w:lang w:val="en-US"/>
        </w:rPr>
        <w:t>edn).</w:t>
      </w:r>
      <w:r w:rsidRPr="00511330">
        <w:rPr>
          <w:rFonts w:asciiTheme="majorBidi" w:hAnsiTheme="majorBidi" w:cstheme="majorBidi"/>
          <w:sz w:val="24"/>
          <w:szCs w:val="24"/>
          <w:lang w:val="en-US"/>
        </w:rPr>
        <w:t xml:space="preserve"> Harlow: Prentice Hall.</w:t>
      </w:r>
    </w:p>
    <w:p w14:paraId="1EA5D1FA"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Burnes, B. (2005) Complexity theories and organizational change, </w:t>
      </w:r>
      <w:r w:rsidRPr="00511330">
        <w:rPr>
          <w:rFonts w:asciiTheme="majorBidi" w:hAnsiTheme="majorBidi" w:cstheme="majorBidi"/>
          <w:i/>
          <w:iCs/>
          <w:sz w:val="24"/>
          <w:szCs w:val="24"/>
          <w:lang w:val="en-US"/>
        </w:rPr>
        <w:t>International Journal of Management Reviews, 7</w:t>
      </w:r>
      <w:r w:rsidRPr="00511330">
        <w:rPr>
          <w:rFonts w:asciiTheme="majorBidi" w:hAnsiTheme="majorBidi" w:cstheme="majorBidi"/>
          <w:sz w:val="24"/>
          <w:szCs w:val="24"/>
          <w:lang w:val="en-US"/>
        </w:rPr>
        <w:t>(2), 73-90.</w:t>
      </w:r>
    </w:p>
    <w:p w14:paraId="1760D0BC"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Burnes, B. (2009). </w:t>
      </w:r>
      <w:r w:rsidRPr="00511330">
        <w:rPr>
          <w:rFonts w:asciiTheme="majorBidi" w:hAnsiTheme="majorBidi" w:cstheme="majorBidi"/>
          <w:i/>
          <w:iCs/>
          <w:sz w:val="24"/>
          <w:szCs w:val="24"/>
          <w:lang w:val="en-US"/>
        </w:rPr>
        <w:t>Managing Change</w:t>
      </w:r>
      <w:r w:rsidRPr="00511330">
        <w:rPr>
          <w:rFonts w:asciiTheme="majorBidi" w:hAnsiTheme="majorBidi" w:cstheme="majorBidi"/>
          <w:sz w:val="24"/>
          <w:szCs w:val="24"/>
          <w:lang w:val="en-US"/>
        </w:rPr>
        <w:t xml:space="preserve"> (5th edn.). London: FT/Prentice Hall.</w:t>
      </w:r>
    </w:p>
    <w:p w14:paraId="4292658D" w14:textId="46D688DC"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Burnes, B., Jackson, P. (2011). Success and failure in organizational change: an exploration of the role of values. </w:t>
      </w:r>
      <w:r w:rsidRPr="00511330">
        <w:rPr>
          <w:rFonts w:asciiTheme="majorBidi" w:hAnsiTheme="majorBidi" w:cstheme="majorBidi"/>
          <w:i/>
          <w:iCs/>
          <w:sz w:val="24"/>
          <w:szCs w:val="24"/>
          <w:lang w:val="en-US"/>
        </w:rPr>
        <w:t>Journal of Change Management,</w:t>
      </w:r>
      <w:r w:rsidRPr="00511330">
        <w:rPr>
          <w:rFonts w:asciiTheme="majorBidi" w:hAnsiTheme="majorBidi" w:cstheme="majorBidi"/>
          <w:sz w:val="24"/>
          <w:szCs w:val="24"/>
          <w:lang w:val="en-US"/>
        </w:rPr>
        <w:t xml:space="preserve"> 11(2). 133-162). Retrieved from </w:t>
      </w:r>
      <w:hyperlink r:id="rId62" w:history="1">
        <w:r w:rsidR="007A7265" w:rsidRPr="00511330">
          <w:rPr>
            <w:rStyle w:val="Hyperlink"/>
            <w:rFonts w:asciiTheme="majorBidi" w:hAnsiTheme="majorBidi" w:cstheme="majorBidi"/>
            <w:sz w:val="24"/>
            <w:szCs w:val="24"/>
            <w:lang w:val="en-US"/>
          </w:rPr>
          <w:t>https://doi.org/10.1080/14697017.2010.524655</w:t>
        </w:r>
      </w:hyperlink>
      <w:r w:rsidRPr="00511330">
        <w:rPr>
          <w:rFonts w:asciiTheme="majorBidi" w:hAnsiTheme="majorBidi" w:cstheme="majorBidi"/>
          <w:sz w:val="24"/>
          <w:szCs w:val="24"/>
          <w:lang w:val="en-US"/>
        </w:rPr>
        <w:t>.</w:t>
      </w:r>
    </w:p>
    <w:p w14:paraId="717CEC7C"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Burnes, B. (2014). Managing Change (6th ed.). Prentice-Hall, Essex.</w:t>
      </w:r>
    </w:p>
    <w:p w14:paraId="3FA25E79"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Cady, S. H., &amp; Neubert, M. J. (2001). Program commitment: A multi-study longitudinal field investigation of its impact and antecedents. </w:t>
      </w:r>
      <w:r w:rsidRPr="00511330">
        <w:rPr>
          <w:rFonts w:asciiTheme="majorBidi" w:hAnsiTheme="majorBidi" w:cstheme="majorBidi"/>
          <w:sz w:val="24"/>
          <w:szCs w:val="24"/>
          <w:u w:val="single"/>
          <w:lang w:val="en-US"/>
        </w:rPr>
        <w:t>Personnel Psychology</w:t>
      </w:r>
      <w:r w:rsidRPr="00511330">
        <w:rPr>
          <w:rFonts w:asciiTheme="majorBidi" w:hAnsiTheme="majorBidi" w:cstheme="majorBidi"/>
          <w:sz w:val="24"/>
          <w:szCs w:val="24"/>
          <w:lang w:val="en-US"/>
        </w:rPr>
        <w:t>, 54, 421–448.</w:t>
      </w:r>
    </w:p>
    <w:p w14:paraId="1CA69AFD" w14:textId="77777777"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Campbell, D. T., &amp; Fiske, D. (1959). Convergent and discriminant validation by the multitrait–multimethod matrix. </w:t>
      </w:r>
      <w:r w:rsidRPr="00511330">
        <w:rPr>
          <w:rFonts w:asciiTheme="majorBidi" w:hAnsiTheme="majorBidi" w:cstheme="majorBidi"/>
          <w:i/>
          <w:iCs/>
          <w:sz w:val="24"/>
          <w:szCs w:val="24"/>
          <w:lang w:val="en-US"/>
        </w:rPr>
        <w:t>Psychological Bulletin, 56</w:t>
      </w:r>
      <w:r w:rsidRPr="00511330">
        <w:rPr>
          <w:rFonts w:asciiTheme="majorBidi" w:hAnsiTheme="majorBidi" w:cstheme="majorBidi"/>
          <w:sz w:val="24"/>
          <w:szCs w:val="24"/>
          <w:lang w:val="en-US"/>
        </w:rPr>
        <w:t>, 81-105.</w:t>
      </w:r>
    </w:p>
    <w:p w14:paraId="0C29C05F" w14:textId="027BC861" w:rsidR="007A7265" w:rsidRPr="00511330" w:rsidRDefault="005F6780" w:rsidP="007A7265">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Canvas Network (2014). Motivational Interviewing (Advanced). Retrieved from </w:t>
      </w:r>
      <w:hyperlink r:id="rId63" w:history="1">
        <w:r w:rsidR="007A7265" w:rsidRPr="00511330">
          <w:rPr>
            <w:rStyle w:val="Hyperlink"/>
            <w:rFonts w:asciiTheme="majorBidi" w:hAnsiTheme="majorBidi" w:cstheme="majorBidi"/>
            <w:sz w:val="24"/>
            <w:szCs w:val="24"/>
            <w:lang w:val="en-US"/>
          </w:rPr>
          <w:t>https://learn.canvas.net/courses/393/pages/motivational-interviewing-advanced</w:t>
        </w:r>
      </w:hyperlink>
      <w:r w:rsidRPr="00511330">
        <w:rPr>
          <w:rFonts w:asciiTheme="majorBidi" w:hAnsiTheme="majorBidi" w:cstheme="majorBidi"/>
          <w:sz w:val="24"/>
          <w:szCs w:val="24"/>
          <w:lang w:val="en-US"/>
        </w:rPr>
        <w:t>.</w:t>
      </w:r>
    </w:p>
    <w:p w14:paraId="4A39D196" w14:textId="07964A69" w:rsidR="003A49E2" w:rsidRPr="00511330" w:rsidRDefault="005F6780" w:rsidP="003A49E2">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Carla M., Patricia, H., and Magala, S. (2012),"Sustainability and the need for change: organizational change and transformational vision", Journal of Organizational Change Management. 25(4), 489 – 500. </w:t>
      </w:r>
      <w:hyperlink r:id="rId64" w:history="1">
        <w:r w:rsidR="003A49E2" w:rsidRPr="00511330">
          <w:rPr>
            <w:rStyle w:val="Hyperlink"/>
            <w:rFonts w:asciiTheme="majorBidi" w:hAnsiTheme="majorBidi" w:cstheme="majorBidi"/>
            <w:sz w:val="24"/>
            <w:szCs w:val="24"/>
            <w:lang w:val="en-US"/>
          </w:rPr>
          <w:t>http://dx.doi.org/10.1108/09534811211239272</w:t>
        </w:r>
      </w:hyperlink>
      <w:r w:rsidRPr="00511330">
        <w:rPr>
          <w:rFonts w:asciiTheme="majorBidi" w:hAnsiTheme="majorBidi" w:cstheme="majorBidi"/>
          <w:sz w:val="24"/>
          <w:szCs w:val="24"/>
          <w:lang w:val="en-US"/>
        </w:rPr>
        <w:t>.</w:t>
      </w:r>
    </w:p>
    <w:p w14:paraId="397D4964" w14:textId="77777777" w:rsidR="003A49E2" w:rsidRPr="00511330" w:rsidRDefault="005F6780" w:rsidP="003A49E2">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Caroline, B., &amp; Schuster, C. (2003):  Change Management, Effective Leadership Behaviour and Corporate Success. </w:t>
      </w:r>
      <w:r w:rsidRPr="00511330">
        <w:rPr>
          <w:rFonts w:asciiTheme="majorBidi" w:hAnsiTheme="majorBidi" w:cstheme="majorBidi"/>
          <w:i/>
          <w:iCs/>
          <w:sz w:val="24"/>
          <w:szCs w:val="24"/>
          <w:lang w:val="en-US"/>
        </w:rPr>
        <w:t>Technische Universität, Darmstadt</w:t>
      </w:r>
      <w:r w:rsidRPr="00511330">
        <w:rPr>
          <w:rFonts w:asciiTheme="majorBidi" w:hAnsiTheme="majorBidi" w:cstheme="majorBidi"/>
          <w:sz w:val="24"/>
          <w:szCs w:val="24"/>
          <w:lang w:val="en-US"/>
        </w:rPr>
        <w:t>. [Ph.D. Thesis].</w:t>
      </w:r>
    </w:p>
    <w:p w14:paraId="60A455E8" w14:textId="77777777" w:rsidR="003A49E2" w:rsidRPr="00511330" w:rsidRDefault="005F6780" w:rsidP="003A49E2">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Carter, E. (2008), Successful change requires more than change management. </w:t>
      </w:r>
      <w:r w:rsidRPr="00511330">
        <w:rPr>
          <w:rFonts w:asciiTheme="majorBidi" w:hAnsiTheme="majorBidi" w:cstheme="majorBidi"/>
          <w:i/>
          <w:iCs/>
          <w:sz w:val="24"/>
          <w:szCs w:val="24"/>
          <w:lang w:val="en-US"/>
        </w:rPr>
        <w:t>The Journal for Quality and Participation</w:t>
      </w:r>
      <w:r w:rsidRPr="00511330">
        <w:rPr>
          <w:rFonts w:asciiTheme="majorBidi" w:hAnsiTheme="majorBidi" w:cstheme="majorBidi"/>
          <w:sz w:val="24"/>
          <w:szCs w:val="24"/>
          <w:lang w:val="en-US"/>
        </w:rPr>
        <w:t>, 31(1), 20-23.</w:t>
      </w:r>
    </w:p>
    <w:p w14:paraId="68DA757F" w14:textId="1B809E5E" w:rsidR="005F6780" w:rsidRPr="00511330" w:rsidRDefault="005F6780" w:rsidP="003A49E2">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Carter, C., &amp; Rogers, D. (2008). A framework of sustainable supply chain management: Moving toward new theory.</w:t>
      </w:r>
      <w:r w:rsidRPr="00511330">
        <w:rPr>
          <w:rFonts w:asciiTheme="majorBidi" w:hAnsiTheme="majorBidi" w:cstheme="majorBidi"/>
          <w:i/>
          <w:iCs/>
          <w:sz w:val="24"/>
          <w:szCs w:val="24"/>
          <w:lang w:val="en-US"/>
        </w:rPr>
        <w:t xml:space="preserve"> International Journal of Physical Distribution and Logistics Management, 38</w:t>
      </w:r>
      <w:r w:rsidRPr="00511330">
        <w:rPr>
          <w:rFonts w:asciiTheme="majorBidi" w:hAnsiTheme="majorBidi" w:cstheme="majorBidi"/>
          <w:sz w:val="24"/>
          <w:szCs w:val="24"/>
          <w:lang w:val="en-US"/>
        </w:rPr>
        <w:t>(5), 360-387.</w:t>
      </w:r>
    </w:p>
    <w:p w14:paraId="2984E4E0" w14:textId="77777777" w:rsidR="003A49E2" w:rsidRPr="00511330" w:rsidRDefault="003A49E2" w:rsidP="003A49E2">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Cataldo A., Scattolini. R., &amp; Tolio T (2015). An energy consumption evaluation methodology for a manufacturing. CIRP J Manuf </w:t>
      </w:r>
      <w:r w:rsidRPr="00511330">
        <w:rPr>
          <w:rFonts w:asciiTheme="majorBidi" w:hAnsiTheme="majorBidi" w:cstheme="majorBidi"/>
          <w:i/>
          <w:iCs/>
          <w:sz w:val="24"/>
          <w:szCs w:val="24"/>
          <w:lang w:val="en-US"/>
        </w:rPr>
        <w:t>SciTechnol 11:</w:t>
      </w:r>
      <w:r w:rsidRPr="00511330">
        <w:rPr>
          <w:rFonts w:asciiTheme="majorBidi" w:hAnsiTheme="majorBidi" w:cstheme="majorBidi"/>
          <w:sz w:val="24"/>
          <w:szCs w:val="24"/>
          <w:lang w:val="en-US"/>
        </w:rPr>
        <w:t>53–61.</w:t>
      </w:r>
    </w:p>
    <w:p w14:paraId="12BBECED" w14:textId="77777777" w:rsidR="003A49E2" w:rsidRPr="00511330" w:rsidRDefault="005F6780" w:rsidP="003A49E2">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Chang, R., Zuo, J., Zhao, Z., Zillante, G., Gan, X., &amp; Soebarto, V. (2017). Evolving theories of sustainability and firms: History, future directions and implications for renewable energy research. </w:t>
      </w:r>
      <w:r w:rsidRPr="00511330">
        <w:rPr>
          <w:rFonts w:asciiTheme="majorBidi" w:eastAsia="Arial Unicode MS" w:hAnsiTheme="majorBidi" w:cstheme="majorBidi"/>
          <w:i/>
          <w:iCs/>
          <w:sz w:val="24"/>
          <w:szCs w:val="24"/>
          <w:bdr w:val="none" w:sz="0" w:space="0" w:color="auto" w:frame="1"/>
          <w:lang w:val="en-US"/>
        </w:rPr>
        <w:t>Renewable and Sustainable Energy Reviews</w:t>
      </w:r>
      <w:r w:rsidRPr="00511330">
        <w:rPr>
          <w:rFonts w:asciiTheme="majorBidi" w:eastAsia="Arial Unicode MS" w:hAnsiTheme="majorBidi" w:cstheme="majorBidi"/>
          <w:sz w:val="24"/>
          <w:szCs w:val="24"/>
          <w:bdr w:val="none" w:sz="0" w:space="0" w:color="auto" w:frame="1"/>
          <w:lang w:val="en-US"/>
        </w:rPr>
        <w:t>, 72, 48-56.</w:t>
      </w:r>
    </w:p>
    <w:p w14:paraId="5E8217BB" w14:textId="77777777" w:rsidR="003A49E2" w:rsidRPr="00511330" w:rsidRDefault="005F6780" w:rsidP="003A49E2">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Change Management Institute (2010), Challenge of Change: Australia, Change Management Institute, Sydney.</w:t>
      </w:r>
    </w:p>
    <w:p w14:paraId="3DF37D3C" w14:textId="213B4729" w:rsidR="003A49E2" w:rsidRPr="00511330" w:rsidRDefault="005F6780" w:rsidP="003A49E2">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Chaudhry, Smita (2018) Managing Employee Attitude for a Successful Information System implementation: A Change Management Perspective. </w:t>
      </w:r>
      <w:r w:rsidRPr="00511330">
        <w:rPr>
          <w:rFonts w:asciiTheme="majorBidi" w:hAnsiTheme="majorBidi" w:cstheme="majorBidi"/>
          <w:i/>
          <w:iCs/>
          <w:sz w:val="24"/>
          <w:szCs w:val="24"/>
          <w:lang w:val="en-US"/>
        </w:rPr>
        <w:t>Journal of International Technology and Information Management, 27</w:t>
      </w:r>
      <w:r w:rsidRPr="00511330">
        <w:rPr>
          <w:rFonts w:asciiTheme="majorBidi" w:hAnsiTheme="majorBidi" w:cstheme="majorBidi"/>
          <w:sz w:val="24"/>
          <w:szCs w:val="24"/>
          <w:lang w:val="en-US"/>
        </w:rPr>
        <w:t xml:space="preserve">(1). Retrieved from </w:t>
      </w:r>
      <w:hyperlink r:id="rId65" w:history="1">
        <w:r w:rsidR="003A49E2" w:rsidRPr="00511330">
          <w:rPr>
            <w:rStyle w:val="Hyperlink"/>
            <w:rFonts w:asciiTheme="majorBidi" w:hAnsiTheme="majorBidi" w:cstheme="majorBidi"/>
            <w:sz w:val="24"/>
            <w:szCs w:val="24"/>
            <w:lang w:val="en-US"/>
          </w:rPr>
          <w:t>https://scholarworks.lib.csusb.edu/jitim/vol27/iss1/3</w:t>
        </w:r>
      </w:hyperlink>
      <w:r w:rsidRPr="00511330">
        <w:rPr>
          <w:rFonts w:asciiTheme="majorBidi" w:hAnsiTheme="majorBidi" w:cstheme="majorBidi"/>
          <w:sz w:val="24"/>
          <w:szCs w:val="24"/>
          <w:lang w:val="en-US"/>
        </w:rPr>
        <w:t>.</w:t>
      </w:r>
    </w:p>
    <w:p w14:paraId="60D4A6BA" w14:textId="77777777" w:rsidR="003A49E2" w:rsidRPr="00511330" w:rsidRDefault="005F6780" w:rsidP="003A49E2">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Chesbrough, H.W., Vanhaverbeke. W., &amp; West J. (eds). (2006). </w:t>
      </w:r>
      <w:r w:rsidRPr="00511330">
        <w:rPr>
          <w:rFonts w:asciiTheme="majorBidi" w:hAnsiTheme="majorBidi" w:cstheme="majorBidi"/>
          <w:i/>
          <w:iCs/>
          <w:sz w:val="24"/>
          <w:szCs w:val="24"/>
          <w:lang w:val="en-US"/>
        </w:rPr>
        <w:t>Open innovation: researching a new paradigm</w:t>
      </w:r>
      <w:r w:rsidRPr="00511330">
        <w:rPr>
          <w:rFonts w:asciiTheme="majorBidi" w:hAnsiTheme="majorBidi" w:cstheme="majorBidi"/>
          <w:sz w:val="24"/>
          <w:szCs w:val="24"/>
          <w:lang w:val="en-US"/>
        </w:rPr>
        <w:t>. Oxford: Oxford University Press.</w:t>
      </w:r>
    </w:p>
    <w:p w14:paraId="51B99871" w14:textId="77777777" w:rsidR="003A49E2" w:rsidRPr="00511330" w:rsidRDefault="005F6780" w:rsidP="003A49E2">
      <w:pPr>
        <w:pStyle w:val="ListParagraph"/>
        <w:numPr>
          <w:ilvl w:val="0"/>
          <w:numId w:val="10"/>
        </w:numPr>
        <w:spacing w:line="256" w:lineRule="auto"/>
        <w:ind w:left="450" w:right="-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Chesbrough. H.W. (2003). </w:t>
      </w:r>
      <w:r w:rsidRPr="00511330">
        <w:rPr>
          <w:rFonts w:asciiTheme="majorBidi" w:hAnsiTheme="majorBidi" w:cstheme="majorBidi"/>
          <w:i/>
          <w:iCs/>
          <w:sz w:val="24"/>
          <w:szCs w:val="24"/>
          <w:lang w:val="en-US"/>
        </w:rPr>
        <w:t>Open innovation: the new imperative for creating and pro ﬁ ting from technology</w:t>
      </w:r>
      <w:r w:rsidRPr="00511330">
        <w:rPr>
          <w:rFonts w:asciiTheme="majorBidi" w:hAnsiTheme="majorBidi" w:cstheme="majorBidi"/>
          <w:sz w:val="24"/>
          <w:szCs w:val="24"/>
          <w:lang w:val="en-US"/>
        </w:rPr>
        <w:t>. Boston: Harvard Business School Press.</w:t>
      </w:r>
    </w:p>
    <w:p w14:paraId="02A85FC8" w14:textId="77777777" w:rsidR="003A49E2" w:rsidRPr="00511330" w:rsidRDefault="005F6780" w:rsidP="003A49E2">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Chiesa, V. and Manzini, R. (1998), “Organizing for technological collaborations: a managerial perspective”, </w:t>
      </w:r>
      <w:r w:rsidRPr="00511330">
        <w:rPr>
          <w:rFonts w:asciiTheme="majorBidi" w:hAnsiTheme="majorBidi" w:cstheme="majorBidi"/>
          <w:i/>
          <w:iCs/>
          <w:sz w:val="24"/>
          <w:szCs w:val="24"/>
        </w:rPr>
        <w:t>R&amp;D Management</w:t>
      </w:r>
      <w:r w:rsidRPr="00511330">
        <w:rPr>
          <w:rFonts w:asciiTheme="majorBidi" w:hAnsiTheme="majorBidi" w:cstheme="majorBidi"/>
          <w:sz w:val="24"/>
          <w:szCs w:val="24"/>
        </w:rPr>
        <w:t>, Vol. 28 No. 3, pp. 199-212.</w:t>
      </w:r>
    </w:p>
    <w:p w14:paraId="329C54CA"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Christensen, M. (2014). Communication as a strategic tool in change processes. </w:t>
      </w:r>
      <w:r w:rsidRPr="00511330">
        <w:rPr>
          <w:rFonts w:asciiTheme="majorBidi" w:hAnsiTheme="majorBidi" w:cstheme="majorBidi"/>
          <w:i/>
          <w:iCs/>
          <w:sz w:val="24"/>
          <w:szCs w:val="24"/>
          <w:lang w:val="en-US"/>
        </w:rPr>
        <w:t>International Journal of Business Communication</w:t>
      </w:r>
      <w:r w:rsidRPr="00511330">
        <w:rPr>
          <w:rFonts w:asciiTheme="majorBidi" w:hAnsiTheme="majorBidi" w:cstheme="majorBidi"/>
          <w:sz w:val="24"/>
          <w:szCs w:val="24"/>
          <w:lang w:val="en-US"/>
        </w:rPr>
        <w:t>,</w:t>
      </w:r>
      <w:r w:rsidRPr="00511330">
        <w:rPr>
          <w:rFonts w:asciiTheme="majorBidi" w:hAnsiTheme="majorBidi" w:cstheme="majorBidi"/>
          <w:i/>
          <w:iCs/>
          <w:sz w:val="24"/>
          <w:szCs w:val="24"/>
          <w:lang w:val="en-US"/>
        </w:rPr>
        <w:t xml:space="preserve"> 51</w:t>
      </w:r>
      <w:r w:rsidRPr="00511330">
        <w:rPr>
          <w:rFonts w:asciiTheme="majorBidi" w:hAnsiTheme="majorBidi" w:cstheme="majorBidi"/>
          <w:sz w:val="24"/>
          <w:szCs w:val="24"/>
          <w:lang w:val="en-US"/>
        </w:rPr>
        <w:t xml:space="preserve"> (4), 359-385.</w:t>
      </w:r>
    </w:p>
    <w:p w14:paraId="12DE67E2"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Clayton, S. (2018). The role of perceived justice, political ideology, and individual or collective framing in support for environmental policies. Social Justice Research, 31(3), 219-237.</w:t>
      </w:r>
    </w:p>
    <w:p w14:paraId="76FA0D5D"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Clegg, C., &amp; Walsh, S. (2004). Change management: time for a change! </w:t>
      </w:r>
      <w:r w:rsidRPr="00511330">
        <w:rPr>
          <w:rFonts w:asciiTheme="majorBidi" w:hAnsiTheme="majorBidi" w:cstheme="majorBidi"/>
          <w:i/>
          <w:iCs/>
          <w:sz w:val="24"/>
          <w:szCs w:val="24"/>
          <w:lang w:val="en-US"/>
        </w:rPr>
        <w:t>European Journal of Work and Organizational Psychology,</w:t>
      </w:r>
      <w:r w:rsidRPr="00511330">
        <w:rPr>
          <w:rFonts w:asciiTheme="majorBidi" w:hAnsiTheme="majorBidi" w:cstheme="majorBidi"/>
          <w:sz w:val="24"/>
          <w:szCs w:val="24"/>
          <w:lang w:val="en-US"/>
        </w:rPr>
        <w:t xml:space="preserve"> 13 (2), 217-39.</w:t>
      </w:r>
    </w:p>
    <w:p w14:paraId="2AD2FC85"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Coble, J., &amp; Vendl, A. (2016). Overcoming Barriers to Behavior Change. Alexandria, VA: </w:t>
      </w:r>
      <w:r w:rsidRPr="00511330">
        <w:rPr>
          <w:rFonts w:asciiTheme="majorBidi" w:hAnsiTheme="majorBidi" w:cstheme="majorBidi"/>
          <w:i/>
          <w:iCs/>
          <w:sz w:val="24"/>
          <w:szCs w:val="24"/>
          <w:lang w:val="en-US"/>
        </w:rPr>
        <w:t>Association For Talent Development</w:t>
      </w:r>
      <w:r w:rsidRPr="00511330">
        <w:rPr>
          <w:rFonts w:asciiTheme="majorBidi" w:hAnsiTheme="majorBidi" w:cstheme="majorBidi"/>
          <w:sz w:val="24"/>
          <w:szCs w:val="24"/>
          <w:lang w:val="en-US"/>
        </w:rPr>
        <w:t>.</w:t>
      </w:r>
    </w:p>
    <w:p w14:paraId="7CC22548"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Cochran, P.L. (2007). The evolution of corporate social responsibility. </w:t>
      </w:r>
      <w:r w:rsidRPr="00511330">
        <w:rPr>
          <w:rFonts w:asciiTheme="majorBidi" w:hAnsiTheme="majorBidi" w:cstheme="majorBidi"/>
          <w:i/>
          <w:iCs/>
          <w:sz w:val="24"/>
          <w:szCs w:val="24"/>
          <w:lang w:val="en-US"/>
        </w:rPr>
        <w:t>Business Horizons</w:t>
      </w:r>
      <w:r w:rsidRPr="00511330">
        <w:rPr>
          <w:rFonts w:asciiTheme="majorBidi" w:hAnsiTheme="majorBidi" w:cstheme="majorBidi"/>
          <w:sz w:val="24"/>
          <w:szCs w:val="24"/>
          <w:lang w:val="en-US"/>
        </w:rPr>
        <w:t>,</w:t>
      </w:r>
      <w:r w:rsidRPr="00511330">
        <w:rPr>
          <w:rFonts w:asciiTheme="majorBidi" w:hAnsiTheme="majorBidi" w:cstheme="majorBidi"/>
          <w:i/>
          <w:iCs/>
          <w:sz w:val="24"/>
          <w:szCs w:val="24"/>
          <w:lang w:val="en-US"/>
        </w:rPr>
        <w:t xml:space="preserve"> 50</w:t>
      </w:r>
      <w:r w:rsidRPr="00511330">
        <w:rPr>
          <w:rFonts w:asciiTheme="majorBidi" w:hAnsiTheme="majorBidi" w:cstheme="majorBidi"/>
          <w:sz w:val="24"/>
          <w:szCs w:val="24"/>
          <w:lang w:val="en-US"/>
        </w:rPr>
        <w:t>, 449-54.</w:t>
      </w:r>
    </w:p>
    <w:p w14:paraId="6C6C1C02"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Cooper, M.C., Douglas, M.L., Janus, D.P. (1997). Supply chain management: more than a new name for logistics. </w:t>
      </w:r>
      <w:r w:rsidRPr="00511330">
        <w:rPr>
          <w:rFonts w:asciiTheme="majorBidi" w:hAnsiTheme="majorBidi" w:cstheme="majorBidi"/>
          <w:i/>
          <w:iCs/>
          <w:sz w:val="24"/>
          <w:szCs w:val="24"/>
          <w:lang w:val="en-US"/>
        </w:rPr>
        <w:t>The International Journal of Logistics Management, 8</w:t>
      </w:r>
      <w:r w:rsidRPr="00511330">
        <w:rPr>
          <w:rFonts w:asciiTheme="majorBidi" w:hAnsiTheme="majorBidi" w:cstheme="majorBidi"/>
          <w:sz w:val="24"/>
          <w:szCs w:val="24"/>
          <w:lang w:val="en-US"/>
        </w:rPr>
        <w:t>(1), 1-14.</w:t>
      </w:r>
    </w:p>
    <w:p w14:paraId="536568F0"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Cooper, R. N. (2012). Financing for climate change. </w:t>
      </w:r>
      <w:r w:rsidRPr="00511330">
        <w:rPr>
          <w:rFonts w:asciiTheme="majorBidi" w:hAnsiTheme="majorBidi" w:cstheme="majorBidi"/>
          <w:i/>
          <w:iCs/>
          <w:sz w:val="24"/>
          <w:szCs w:val="24"/>
          <w:lang w:val="en-US"/>
        </w:rPr>
        <w:t>Energy Economics</w:t>
      </w:r>
      <w:r w:rsidRPr="00511330">
        <w:rPr>
          <w:rFonts w:asciiTheme="majorBidi" w:hAnsiTheme="majorBidi" w:cstheme="majorBidi"/>
          <w:sz w:val="24"/>
          <w:szCs w:val="24"/>
          <w:lang w:val="en-US"/>
        </w:rPr>
        <w:t>, 34. Elsevier BV. doi:10.1016/j.eneco.2012.08.040.</w:t>
      </w:r>
    </w:p>
    <w:p w14:paraId="3B6126A6"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Cote, J. A., &amp; Buckley, R. (1988). Measurement error and theory testing in consumer research: An illustration of the importance of construct validation. </w:t>
      </w:r>
      <w:r w:rsidRPr="00511330">
        <w:rPr>
          <w:rFonts w:asciiTheme="majorBidi" w:hAnsiTheme="majorBidi" w:cstheme="majorBidi"/>
          <w:i/>
          <w:iCs/>
          <w:sz w:val="24"/>
          <w:szCs w:val="24"/>
          <w:lang w:val="en-US"/>
        </w:rPr>
        <w:t>Journal of Consumer Research, 14</w:t>
      </w:r>
      <w:r w:rsidRPr="00511330">
        <w:rPr>
          <w:rFonts w:asciiTheme="majorBidi" w:hAnsiTheme="majorBidi" w:cstheme="majorBidi"/>
          <w:sz w:val="24"/>
          <w:szCs w:val="24"/>
          <w:lang w:val="en-US"/>
        </w:rPr>
        <w:t>, 579-582.</w:t>
      </w:r>
    </w:p>
    <w:p w14:paraId="522692C5"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Cummings, T. G., &amp; Worley, C. G. (2012). </w:t>
      </w:r>
      <w:r w:rsidRPr="00511330">
        <w:rPr>
          <w:rFonts w:asciiTheme="majorBidi" w:hAnsiTheme="majorBidi" w:cstheme="majorBidi"/>
          <w:i/>
          <w:iCs/>
          <w:sz w:val="24"/>
          <w:szCs w:val="24"/>
          <w:lang w:val="en-US"/>
        </w:rPr>
        <w:t>Theory of Organization Development and Change</w:t>
      </w:r>
      <w:r w:rsidRPr="00511330">
        <w:rPr>
          <w:rFonts w:asciiTheme="majorBidi" w:hAnsiTheme="majorBidi" w:cstheme="majorBidi"/>
          <w:sz w:val="24"/>
          <w:szCs w:val="24"/>
          <w:lang w:val="en-US"/>
        </w:rPr>
        <w:t xml:space="preserve"> (9th ed.). New Delhi: Cengage Learning.</w:t>
      </w:r>
    </w:p>
    <w:p w14:paraId="71089EA8"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Daft, R.L., &amp; Marcic, D. (2004). Understanding management (4th Edn.). </w:t>
      </w:r>
      <w:r w:rsidRPr="00511330">
        <w:rPr>
          <w:rFonts w:asciiTheme="majorBidi" w:eastAsia="Arial Unicode MS" w:hAnsiTheme="majorBidi" w:cstheme="majorBidi"/>
          <w:i/>
          <w:iCs/>
          <w:sz w:val="24"/>
          <w:szCs w:val="24"/>
          <w:bdr w:val="none" w:sz="0" w:space="0" w:color="auto" w:frame="1"/>
          <w:lang w:val="en-US"/>
        </w:rPr>
        <w:t>Mason</w:t>
      </w:r>
      <w:r w:rsidRPr="00511330">
        <w:rPr>
          <w:rFonts w:asciiTheme="majorBidi" w:eastAsia="Arial Unicode MS" w:hAnsiTheme="majorBidi" w:cstheme="majorBidi"/>
          <w:sz w:val="24"/>
          <w:szCs w:val="24"/>
          <w:bdr w:val="none" w:sz="0" w:space="0" w:color="auto" w:frame="1"/>
          <w:lang w:val="en-US"/>
        </w:rPr>
        <w:t>, OH: South-Western.</w:t>
      </w:r>
    </w:p>
    <w:p w14:paraId="79D6FFE7"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Dakheel, J. A., Aoul, K. T., &amp; Hassan, A. (2018). Enhancing green building rating of a school under the hot climate of UAE; renewable energy application and system integration. </w:t>
      </w:r>
      <w:r w:rsidRPr="00511330">
        <w:rPr>
          <w:rFonts w:asciiTheme="majorBidi" w:hAnsiTheme="majorBidi" w:cstheme="majorBidi"/>
          <w:i/>
          <w:iCs/>
          <w:sz w:val="24"/>
          <w:szCs w:val="24"/>
          <w:lang w:val="en-US"/>
        </w:rPr>
        <w:t>Energies, 11(</w:t>
      </w:r>
      <w:r w:rsidRPr="00511330">
        <w:rPr>
          <w:rFonts w:asciiTheme="majorBidi" w:hAnsiTheme="majorBidi" w:cstheme="majorBidi"/>
          <w:sz w:val="24"/>
          <w:szCs w:val="24"/>
          <w:lang w:val="en-US"/>
        </w:rPr>
        <w:t>9), 1-14.</w:t>
      </w:r>
    </w:p>
    <w:p w14:paraId="3A2B1A36"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Daly, J.P., &amp; Geyer, P.D. (1994). The role of fairness in implementing large-scale change: employee evaluations of process and outcome in seven facility relocations. </w:t>
      </w:r>
      <w:r w:rsidRPr="00511330">
        <w:rPr>
          <w:rFonts w:asciiTheme="majorBidi" w:hAnsiTheme="majorBidi" w:cstheme="majorBidi"/>
          <w:i/>
          <w:iCs/>
          <w:sz w:val="24"/>
          <w:szCs w:val="24"/>
          <w:lang w:val="en-US"/>
        </w:rPr>
        <w:t>Journal of Organizational Behavior, 15</w:t>
      </w:r>
      <w:r w:rsidRPr="00511330">
        <w:rPr>
          <w:rFonts w:asciiTheme="majorBidi" w:hAnsiTheme="majorBidi" w:cstheme="majorBidi"/>
          <w:sz w:val="24"/>
          <w:szCs w:val="24"/>
          <w:lang w:val="en-US"/>
        </w:rPr>
        <w:t>(7), 623-638.</w:t>
      </w:r>
    </w:p>
    <w:p w14:paraId="7892FD5B"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Daniela, E., &amp; Baumgartner, R.J. 2008</w:t>
      </w:r>
      <w:r w:rsidRPr="00511330">
        <w:rPr>
          <w:rFonts w:asciiTheme="majorBidi" w:hAnsiTheme="majorBidi" w:cstheme="majorBidi"/>
          <w:i/>
          <w:iCs/>
          <w:sz w:val="24"/>
          <w:szCs w:val="24"/>
          <w:lang w:val="en-US"/>
        </w:rPr>
        <w:t>. The relationship between Sustainable Development and Corporate Social Responsibility</w:t>
      </w:r>
      <w:r w:rsidRPr="00511330">
        <w:rPr>
          <w:rFonts w:asciiTheme="majorBidi" w:hAnsiTheme="majorBidi" w:cstheme="majorBidi"/>
          <w:sz w:val="24"/>
          <w:szCs w:val="24"/>
          <w:lang w:val="en-US"/>
        </w:rPr>
        <w:t>. Corporate Responsibility Research Conference 2006, 4th-5th September, Dublin. Queen's University Belfast.</w:t>
      </w:r>
    </w:p>
    <w:p w14:paraId="36DB5E35"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Darwish, A.Y. (1998). Predictors of decision-making styles in a non-western country. </w:t>
      </w:r>
      <w:r w:rsidRPr="00511330">
        <w:rPr>
          <w:rFonts w:asciiTheme="majorBidi" w:eastAsia="Arial Unicode MS" w:hAnsiTheme="majorBidi" w:cstheme="majorBidi"/>
          <w:i/>
          <w:iCs/>
          <w:sz w:val="24"/>
          <w:szCs w:val="24"/>
          <w:bdr w:val="none" w:sz="0" w:space="0" w:color="auto" w:frame="1"/>
          <w:lang w:val="en-US"/>
        </w:rPr>
        <w:t>Leadership &amp; Organization Development Journal</w:t>
      </w:r>
      <w:r w:rsidRPr="00511330">
        <w:rPr>
          <w:rFonts w:asciiTheme="majorBidi" w:eastAsia="Arial Unicode MS" w:hAnsiTheme="majorBidi" w:cstheme="majorBidi"/>
          <w:sz w:val="24"/>
          <w:szCs w:val="24"/>
          <w:bdr w:val="none" w:sz="0" w:space="0" w:color="auto" w:frame="1"/>
          <w:lang w:val="en-US"/>
        </w:rPr>
        <w:t>, 19(7), 366-373.</w:t>
      </w:r>
    </w:p>
    <w:p w14:paraId="154C114F" w14:textId="77777777" w:rsidR="008D2DF6" w:rsidRPr="00511330" w:rsidRDefault="008D2DF6"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Daugherty, P.J., Richey, R.G., Genchev, S.E. and Chen, H. (2005), “Reverse logistics: superior performance through focused resource commitments to information technology”, Transportation Research: Part E, Vol. 41 No. 2, pp. 77-93.</w:t>
      </w:r>
    </w:p>
    <w:p w14:paraId="0E8E8D31"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Davies, C. (2011). The role of sponser. Retrieved from: </w:t>
      </w:r>
      <w:hyperlink r:id="rId66" w:history="1">
        <w:r w:rsidRPr="00511330">
          <w:rPr>
            <w:rStyle w:val="Hyperlink"/>
            <w:rFonts w:asciiTheme="majorBidi" w:hAnsiTheme="majorBidi" w:cstheme="majorBidi"/>
            <w:sz w:val="24"/>
            <w:szCs w:val="24"/>
            <w:lang w:val="en-US"/>
          </w:rPr>
          <w:t>www.pmi.org/business-solutions//media/PDF/Business-Solutions/ExecutiveEngagement_FINAL.ashx</w:t>
        </w:r>
      </w:hyperlink>
      <w:r w:rsidRPr="00511330">
        <w:rPr>
          <w:rFonts w:asciiTheme="majorBidi" w:hAnsiTheme="majorBidi" w:cstheme="majorBidi"/>
          <w:sz w:val="24"/>
          <w:szCs w:val="24"/>
          <w:lang w:val="en-US"/>
        </w:rPr>
        <w:t>.</w:t>
      </w:r>
    </w:p>
    <w:p w14:paraId="1FBA285F"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il"/>
        </w:rPr>
        <w:t xml:space="preserve">Day, G. S. (2014). An outside-in approach to resource-based theories. </w:t>
      </w:r>
      <w:r w:rsidRPr="00511330">
        <w:rPr>
          <w:rFonts w:asciiTheme="majorBidi" w:eastAsia="Arial Unicode MS" w:hAnsiTheme="majorBidi" w:cstheme="majorBidi"/>
          <w:i/>
          <w:iCs/>
          <w:sz w:val="24"/>
          <w:szCs w:val="24"/>
          <w:bdr w:val="nil"/>
        </w:rPr>
        <w:t>Journal of the Academy of Marketing Science</w:t>
      </w:r>
      <w:r w:rsidRPr="00511330">
        <w:rPr>
          <w:rFonts w:asciiTheme="majorBidi" w:eastAsia="Arial Unicode MS" w:hAnsiTheme="majorBidi" w:cstheme="majorBidi"/>
          <w:sz w:val="24"/>
          <w:szCs w:val="24"/>
          <w:bdr w:val="nil"/>
        </w:rPr>
        <w:t>, 42(1), 27–28.</w:t>
      </w:r>
    </w:p>
    <w:p w14:paraId="437B83B8"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Del Rio, P., &amp; Burguillo M. (2009). An empirical analysis of the impact of renewable energy deployment on local sustainability. </w:t>
      </w:r>
      <w:r w:rsidRPr="00511330">
        <w:rPr>
          <w:rFonts w:asciiTheme="majorBidi" w:hAnsiTheme="majorBidi" w:cstheme="majorBidi"/>
          <w:i/>
          <w:iCs/>
          <w:sz w:val="24"/>
          <w:szCs w:val="24"/>
          <w:lang w:val="en-US"/>
        </w:rPr>
        <w:t>Renew Sustain Energy Rev, 13</w:t>
      </w:r>
      <w:r w:rsidRPr="00511330">
        <w:rPr>
          <w:rFonts w:asciiTheme="majorBidi" w:hAnsiTheme="majorBidi" w:cstheme="majorBidi"/>
          <w:sz w:val="24"/>
          <w:szCs w:val="24"/>
          <w:lang w:val="en-US"/>
        </w:rPr>
        <w:t>(6–7):1314–25.</w:t>
      </w:r>
    </w:p>
    <w:p w14:paraId="5B194E84"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Denise, S. (2004). Primary and Secondary Barriers to the Evaluation of Change: Evidence from Two Public Sector Organizations. </w:t>
      </w:r>
      <w:r w:rsidRPr="00511330">
        <w:rPr>
          <w:rFonts w:asciiTheme="majorBidi" w:hAnsiTheme="majorBidi" w:cstheme="majorBidi"/>
          <w:i/>
          <w:iCs/>
          <w:sz w:val="24"/>
          <w:szCs w:val="24"/>
          <w:lang w:val="en-US"/>
        </w:rPr>
        <w:t>Journal of Management, 10</w:t>
      </w:r>
      <w:r w:rsidRPr="00511330">
        <w:rPr>
          <w:rFonts w:asciiTheme="majorBidi" w:hAnsiTheme="majorBidi" w:cstheme="majorBidi"/>
          <w:sz w:val="24"/>
          <w:szCs w:val="24"/>
          <w:lang w:val="en-US"/>
        </w:rPr>
        <w:t xml:space="preserve">(2), 135-154.  </w:t>
      </w:r>
    </w:p>
    <w:p w14:paraId="592A4EEA"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DEWA (2019). Slab Tariff- Electricity Tariff- Residential and Commercial, Government of Dubai, Dubai Electricity and Water Authority. Retrieved from: </w:t>
      </w:r>
      <w:hyperlink r:id="rId67" w:history="1">
        <w:r w:rsidRPr="00511330">
          <w:rPr>
            <w:rStyle w:val="Hyperlink"/>
            <w:rFonts w:asciiTheme="majorBidi" w:hAnsiTheme="majorBidi" w:cstheme="majorBidi"/>
            <w:sz w:val="24"/>
            <w:szCs w:val="24"/>
            <w:lang w:val="en-US"/>
          </w:rPr>
          <w:t>www.dewa.gov.ae</w:t>
        </w:r>
      </w:hyperlink>
      <w:r w:rsidRPr="00511330">
        <w:rPr>
          <w:rFonts w:asciiTheme="majorBidi" w:hAnsiTheme="majorBidi" w:cstheme="majorBidi"/>
          <w:sz w:val="24"/>
          <w:szCs w:val="24"/>
          <w:lang w:val="en-US"/>
        </w:rPr>
        <w:t>.</w:t>
      </w:r>
    </w:p>
    <w:p w14:paraId="48B5B403"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De Waal, A., &amp; Frijns, M. (2016). The influence of the uae context on management practice in uae business</w:t>
      </w:r>
      <w:r w:rsidRPr="00511330">
        <w:rPr>
          <w:rFonts w:asciiTheme="majorBidi" w:eastAsia="Arial Unicode MS" w:hAnsiTheme="majorBidi" w:cstheme="majorBidi"/>
          <w:i/>
          <w:iCs/>
          <w:sz w:val="24"/>
          <w:szCs w:val="24"/>
          <w:bdr w:val="none" w:sz="0" w:space="0" w:color="auto" w:frame="1"/>
          <w:lang w:val="en-US"/>
        </w:rPr>
        <w:t>. International Journal of Islamic and Middle Eastern Finance and Management</w:t>
      </w:r>
      <w:r w:rsidRPr="00511330">
        <w:rPr>
          <w:rFonts w:asciiTheme="majorBidi" w:eastAsia="Arial Unicode MS" w:hAnsiTheme="majorBidi" w:cstheme="majorBidi"/>
          <w:sz w:val="24"/>
          <w:szCs w:val="24"/>
          <w:bdr w:val="none" w:sz="0" w:space="0" w:color="auto" w:frame="1"/>
          <w:lang w:val="en-US"/>
        </w:rPr>
        <w:t xml:space="preserve">, </w:t>
      </w:r>
      <w:r w:rsidRPr="00511330">
        <w:rPr>
          <w:rFonts w:asciiTheme="majorBidi" w:eastAsia="Arial Unicode MS" w:hAnsiTheme="majorBidi" w:cstheme="majorBidi"/>
          <w:i/>
          <w:iCs/>
          <w:sz w:val="24"/>
          <w:szCs w:val="24"/>
          <w:bdr w:val="none" w:sz="0" w:space="0" w:color="auto" w:frame="1"/>
          <w:lang w:val="en-US"/>
        </w:rPr>
        <w:t>9</w:t>
      </w:r>
      <w:r w:rsidRPr="00511330">
        <w:rPr>
          <w:rFonts w:asciiTheme="majorBidi" w:eastAsia="Arial Unicode MS" w:hAnsiTheme="majorBidi" w:cstheme="majorBidi"/>
          <w:sz w:val="24"/>
          <w:szCs w:val="24"/>
          <w:bdr w:val="none" w:sz="0" w:space="0" w:color="auto" w:frame="1"/>
          <w:lang w:val="en-US"/>
        </w:rPr>
        <w:t xml:space="preserve">(2), 236-253. </w:t>
      </w:r>
    </w:p>
    <w:p w14:paraId="5E3953F0"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Díaz, P., Adler C., &amp; Patt A. (2017) Do stakeholders’ perspectives on renewable energy infrastructure pose a risk to energy policy implementation? A case of a hydropower plant in Switzerland. </w:t>
      </w:r>
      <w:r w:rsidRPr="00511330">
        <w:rPr>
          <w:rFonts w:asciiTheme="majorBidi" w:hAnsiTheme="majorBidi" w:cstheme="majorBidi"/>
          <w:i/>
          <w:iCs/>
          <w:sz w:val="24"/>
          <w:szCs w:val="24"/>
          <w:lang w:val="en-US"/>
        </w:rPr>
        <w:t>Energy Policy</w:t>
      </w:r>
      <w:r w:rsidRPr="00511330">
        <w:rPr>
          <w:rFonts w:asciiTheme="majorBidi" w:hAnsiTheme="majorBidi" w:cstheme="majorBidi"/>
          <w:sz w:val="24"/>
          <w:szCs w:val="24"/>
          <w:lang w:val="en-US"/>
        </w:rPr>
        <w:t>, 108, 21–28.</w:t>
      </w:r>
    </w:p>
    <w:p w14:paraId="15AC771A" w14:textId="58560091" w:rsidR="005F6780"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bidi="ar-AE"/>
        </w:rPr>
        <w:t>Dick, R.., Van, Drzensky, F., &amp; Egold, N. (2012). Ready for a Change? A Longitudinal Study of Antecedents, Consequences and Contingencies of Readiness for Change</w:t>
      </w:r>
      <w:r w:rsidRPr="00511330">
        <w:rPr>
          <w:rFonts w:asciiTheme="majorBidi" w:hAnsiTheme="majorBidi" w:cstheme="majorBidi"/>
          <w:i/>
          <w:iCs/>
          <w:sz w:val="24"/>
          <w:szCs w:val="24"/>
          <w:lang w:val="en-US" w:bidi="ar-AE"/>
        </w:rPr>
        <w:t>. Journal of Change Management</w:t>
      </w:r>
      <w:r w:rsidRPr="00511330">
        <w:rPr>
          <w:rFonts w:asciiTheme="majorBidi" w:hAnsiTheme="majorBidi" w:cstheme="majorBidi"/>
          <w:sz w:val="24"/>
          <w:szCs w:val="24"/>
          <w:lang w:val="en-US" w:bidi="ar-AE"/>
        </w:rPr>
        <w:t>, 12, 37–41.</w:t>
      </w:r>
    </w:p>
    <w:p w14:paraId="41DE2C95"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Dickinson, J. L., McLeod, P., Bloomfield, R., &amp; Allred, S. (2016). Which moral foundations predict willingness to make lifestyle changes to avert climate change in the USA? </w:t>
      </w:r>
      <w:r w:rsidRPr="00511330">
        <w:rPr>
          <w:rFonts w:asciiTheme="majorBidi" w:hAnsiTheme="majorBidi" w:cstheme="majorBidi"/>
          <w:i/>
          <w:iCs/>
          <w:sz w:val="24"/>
          <w:szCs w:val="24"/>
          <w:lang w:val="en-US"/>
        </w:rPr>
        <w:t>PLoS ONE</w:t>
      </w:r>
      <w:r w:rsidRPr="00511330">
        <w:rPr>
          <w:rFonts w:asciiTheme="majorBidi" w:hAnsiTheme="majorBidi" w:cstheme="majorBidi"/>
          <w:sz w:val="24"/>
          <w:szCs w:val="24"/>
          <w:lang w:val="en-US"/>
        </w:rPr>
        <w:t>, 11(10), e0163852.</w:t>
      </w:r>
    </w:p>
    <w:p w14:paraId="6A3163FC" w14:textId="03611B10" w:rsidR="008D2DF6" w:rsidRPr="00511330" w:rsidRDefault="008D2DF6"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il"/>
        </w:rPr>
        <w:t>Diefenbach Thomas, (2007)</w:t>
      </w:r>
      <w:r w:rsidRPr="00511330">
        <w:rPr>
          <w:rFonts w:asciiTheme="majorBidi" w:eastAsia="Arial Unicode MS" w:hAnsiTheme="majorBidi" w:cstheme="majorBidi"/>
          <w:noProof/>
          <w:sz w:val="24"/>
          <w:szCs w:val="24"/>
          <w:bdr w:val="nil"/>
        </w:rPr>
        <w:t>,"</w:t>
      </w:r>
      <w:r w:rsidRPr="00511330">
        <w:rPr>
          <w:rFonts w:asciiTheme="majorBidi" w:eastAsia="Arial Unicode MS" w:hAnsiTheme="majorBidi" w:cstheme="majorBidi"/>
          <w:sz w:val="24"/>
          <w:szCs w:val="24"/>
          <w:bdr w:val="nil"/>
        </w:rPr>
        <w:t xml:space="preserve">The </w:t>
      </w:r>
      <w:r w:rsidRPr="00511330">
        <w:rPr>
          <w:rFonts w:asciiTheme="majorBidi" w:eastAsia="Arial Unicode MS" w:hAnsiTheme="majorBidi" w:cstheme="majorBidi"/>
          <w:noProof/>
          <w:sz w:val="24"/>
          <w:szCs w:val="24"/>
          <w:bdr w:val="nil"/>
        </w:rPr>
        <w:t>managerialistic</w:t>
      </w:r>
      <w:r w:rsidRPr="00511330">
        <w:rPr>
          <w:rFonts w:asciiTheme="majorBidi" w:eastAsia="Arial Unicode MS" w:hAnsiTheme="majorBidi" w:cstheme="majorBidi"/>
          <w:sz w:val="24"/>
          <w:szCs w:val="24"/>
          <w:bdr w:val="nil"/>
        </w:rPr>
        <w:t xml:space="preserve"> ideology of </w:t>
      </w:r>
      <w:r w:rsidRPr="00511330">
        <w:rPr>
          <w:rFonts w:asciiTheme="majorBidi" w:eastAsia="Arial Unicode MS" w:hAnsiTheme="majorBidi" w:cstheme="majorBidi"/>
          <w:noProof/>
          <w:sz w:val="24"/>
          <w:szCs w:val="24"/>
          <w:bdr w:val="nil"/>
        </w:rPr>
        <w:t>organisational</w:t>
      </w:r>
      <w:r w:rsidRPr="00511330">
        <w:rPr>
          <w:rFonts w:asciiTheme="majorBidi" w:eastAsia="Arial Unicode MS" w:hAnsiTheme="majorBidi" w:cstheme="majorBidi"/>
          <w:sz w:val="24"/>
          <w:szCs w:val="24"/>
          <w:bdr w:val="nil"/>
        </w:rPr>
        <w:t xml:space="preserve"> change management", </w:t>
      </w:r>
      <w:r w:rsidRPr="00511330">
        <w:rPr>
          <w:rFonts w:asciiTheme="majorBidi" w:eastAsia="Arial Unicode MS" w:hAnsiTheme="majorBidi" w:cstheme="majorBidi"/>
          <w:i/>
          <w:iCs/>
          <w:sz w:val="24"/>
          <w:szCs w:val="24"/>
          <w:bdr w:val="nil"/>
        </w:rPr>
        <w:t>Journal of Organizational Change Management, Vol. 20</w:t>
      </w:r>
      <w:r w:rsidRPr="00511330">
        <w:rPr>
          <w:rFonts w:asciiTheme="majorBidi" w:eastAsia="Arial Unicode MS" w:hAnsiTheme="majorBidi" w:cstheme="majorBidi"/>
          <w:sz w:val="24"/>
          <w:szCs w:val="24"/>
          <w:bdr w:val="nil"/>
        </w:rPr>
        <w:t xml:space="preserve"> Iss 1 pp. 126 – 144.</w:t>
      </w:r>
    </w:p>
    <w:p w14:paraId="0F387C76"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Dijk, V.R., &amp;Dick, R. (2009). Navigating organizational change: change leaders, employee resistance and work-based identities. </w:t>
      </w:r>
      <w:r w:rsidRPr="00511330">
        <w:rPr>
          <w:rFonts w:asciiTheme="majorBidi" w:hAnsiTheme="majorBidi" w:cstheme="majorBidi"/>
          <w:i/>
          <w:iCs/>
          <w:sz w:val="24"/>
          <w:szCs w:val="24"/>
          <w:lang w:val="en-US"/>
        </w:rPr>
        <w:t>Journal of Change Management: An International Journal, 9</w:t>
      </w:r>
      <w:r w:rsidRPr="00511330">
        <w:rPr>
          <w:rFonts w:asciiTheme="majorBidi" w:hAnsiTheme="majorBidi" w:cstheme="majorBidi"/>
          <w:sz w:val="24"/>
          <w:szCs w:val="24"/>
          <w:lang w:val="en-US"/>
        </w:rPr>
        <w:t>(2), 143-163.</w:t>
      </w:r>
    </w:p>
    <w:p w14:paraId="27A0693D"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Dixit, A., Routroy, S., &amp; Dubey, S. (2019). A systematic literature review of healthcare supply chain and implications of future research</w:t>
      </w:r>
      <w:r w:rsidRPr="00511330">
        <w:rPr>
          <w:rFonts w:asciiTheme="majorBidi" w:hAnsiTheme="majorBidi" w:cstheme="majorBidi"/>
          <w:i/>
          <w:iCs/>
          <w:sz w:val="24"/>
          <w:szCs w:val="24"/>
          <w:lang w:val="en-US"/>
        </w:rPr>
        <w:t>. International Journal of Pharmaceutical and Healthcare Marketing, 13</w:t>
      </w:r>
      <w:r w:rsidRPr="00511330">
        <w:rPr>
          <w:rFonts w:asciiTheme="majorBidi" w:hAnsiTheme="majorBidi" w:cstheme="majorBidi"/>
          <w:sz w:val="24"/>
          <w:szCs w:val="24"/>
          <w:lang w:val="en-US"/>
        </w:rPr>
        <w:t>(4), 405-435.</w:t>
      </w:r>
    </w:p>
    <w:p w14:paraId="3FCBCB50"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Douglas, M. (1996). </w:t>
      </w:r>
      <w:r w:rsidRPr="00511330">
        <w:rPr>
          <w:rFonts w:asciiTheme="majorBidi" w:hAnsiTheme="majorBidi" w:cstheme="majorBidi"/>
          <w:i/>
          <w:iCs/>
          <w:sz w:val="24"/>
          <w:szCs w:val="24"/>
          <w:lang w:val="en-US"/>
        </w:rPr>
        <w:t>Thought styles: Critical essays on good taste.</w:t>
      </w:r>
      <w:r w:rsidRPr="00511330">
        <w:rPr>
          <w:rFonts w:asciiTheme="majorBidi" w:hAnsiTheme="majorBidi" w:cstheme="majorBidi"/>
          <w:sz w:val="24"/>
          <w:szCs w:val="24"/>
          <w:lang w:val="en-US"/>
        </w:rPr>
        <w:t xml:space="preserve"> London: Sage.</w:t>
      </w:r>
    </w:p>
    <w:p w14:paraId="34B37A15"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Doukas, H., Makarouni, I., Karakosta, C., Marinakis, V., &amp; Psarras, J. (2012). EU-GCC clean energy cooperation: from concept to action in Tortora, M. (Ed.), </w:t>
      </w:r>
      <w:r w:rsidRPr="00511330">
        <w:rPr>
          <w:rFonts w:asciiTheme="majorBidi" w:hAnsiTheme="majorBidi" w:cstheme="majorBidi"/>
          <w:i/>
          <w:iCs/>
          <w:sz w:val="24"/>
          <w:szCs w:val="24"/>
          <w:lang w:val="en-US"/>
        </w:rPr>
        <w:t>Sustainable Systems and Energy Management at the Regional Level: Comparative Approaches</w:t>
      </w:r>
      <w:r w:rsidRPr="00511330">
        <w:rPr>
          <w:rFonts w:asciiTheme="majorBidi" w:hAnsiTheme="majorBidi" w:cstheme="majorBidi"/>
          <w:sz w:val="24"/>
          <w:szCs w:val="24"/>
          <w:lang w:val="en-US"/>
        </w:rPr>
        <w:t>, Chapter 15, University of Florence, 288-308.</w:t>
      </w:r>
    </w:p>
    <w:p w14:paraId="5051AD53" w14:textId="4394BED8"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DPM. 2019. Estidama. Department of Urban Planning and Municipalities, Abu Dhabi. Retrieved from: </w:t>
      </w:r>
      <w:hyperlink r:id="rId68" w:history="1">
        <w:r w:rsidR="008D2DF6" w:rsidRPr="00511330">
          <w:rPr>
            <w:rStyle w:val="Hyperlink"/>
            <w:rFonts w:asciiTheme="majorBidi" w:hAnsiTheme="majorBidi" w:cstheme="majorBidi"/>
            <w:sz w:val="24"/>
            <w:szCs w:val="24"/>
            <w:lang w:val="en-US"/>
          </w:rPr>
          <w:t>https://www.dpm.gov.abudhabi</w:t>
        </w:r>
      </w:hyperlink>
      <w:r w:rsidRPr="00511330">
        <w:rPr>
          <w:rFonts w:asciiTheme="majorBidi" w:hAnsiTheme="majorBidi" w:cstheme="majorBidi"/>
          <w:sz w:val="24"/>
          <w:szCs w:val="24"/>
          <w:lang w:val="en-US"/>
        </w:rPr>
        <w:t>.</w:t>
      </w:r>
    </w:p>
    <w:p w14:paraId="3341D701"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Duan, Q., Ji, B.-Y., &amp; Liu, Y. Fan. (2018). Energy investment risk assessment for nations along China's Belt &amp; Road Initiative, J</w:t>
      </w:r>
      <w:r w:rsidRPr="00511330">
        <w:rPr>
          <w:rFonts w:asciiTheme="majorBidi" w:hAnsiTheme="majorBidi" w:cstheme="majorBidi"/>
          <w:i/>
          <w:iCs/>
          <w:sz w:val="24"/>
          <w:szCs w:val="24"/>
          <w:lang w:val="en-US"/>
        </w:rPr>
        <w:t>. Clean. Prod. 170</w:t>
      </w:r>
      <w:r w:rsidRPr="00511330">
        <w:rPr>
          <w:rFonts w:asciiTheme="majorBidi" w:hAnsiTheme="majorBidi" w:cstheme="majorBidi"/>
          <w:sz w:val="24"/>
          <w:szCs w:val="24"/>
          <w:lang w:val="en-US"/>
        </w:rPr>
        <w:t>, 535–547.</w:t>
      </w:r>
    </w:p>
    <w:p w14:paraId="51398C7B" w14:textId="77777777" w:rsidR="008D2DF6" w:rsidRPr="00511330" w:rsidRDefault="005F6780" w:rsidP="008D2DF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Dubey, R., Gunasekaran, A., Childe, S., Papadopoulos, T., &amp; Fosso Wamba, S. (2017). World class sustainable supply chain management: Critical review and further research directions</w:t>
      </w:r>
      <w:r w:rsidRPr="00511330">
        <w:rPr>
          <w:rFonts w:asciiTheme="majorBidi" w:hAnsiTheme="majorBidi" w:cstheme="majorBidi"/>
          <w:i/>
          <w:iCs/>
          <w:sz w:val="24"/>
          <w:szCs w:val="24"/>
        </w:rPr>
        <w:t>. International Journal of Logistics Management, 28(2)</w:t>
      </w:r>
      <w:r w:rsidRPr="00511330">
        <w:rPr>
          <w:rFonts w:asciiTheme="majorBidi" w:hAnsiTheme="majorBidi" w:cstheme="majorBidi"/>
          <w:sz w:val="24"/>
          <w:szCs w:val="24"/>
        </w:rPr>
        <w:t>.</w:t>
      </w:r>
    </w:p>
    <w:p w14:paraId="568CF95F" w14:textId="77777777" w:rsidR="00232EF1" w:rsidRPr="00511330" w:rsidRDefault="005F6780" w:rsidP="00232EF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Duffy, Ganster M. K., D. C., &amp; Pagon, M. (2002). Social undermining in the workplace. </w:t>
      </w:r>
      <w:r w:rsidRPr="00511330">
        <w:rPr>
          <w:rFonts w:asciiTheme="majorBidi" w:hAnsiTheme="majorBidi" w:cstheme="majorBidi"/>
          <w:i/>
          <w:iCs/>
          <w:sz w:val="24"/>
          <w:szCs w:val="24"/>
          <w:lang w:val="en-US"/>
        </w:rPr>
        <w:t>Academy of Management Journal,</w:t>
      </w:r>
      <w:r w:rsidRPr="00511330">
        <w:rPr>
          <w:rFonts w:asciiTheme="majorBidi" w:hAnsiTheme="majorBidi" w:cstheme="majorBidi"/>
          <w:sz w:val="24"/>
          <w:szCs w:val="24"/>
          <w:lang w:val="en-US"/>
        </w:rPr>
        <w:t xml:space="preserve"> 45,331–351.</w:t>
      </w:r>
    </w:p>
    <w:p w14:paraId="7F090FC1" w14:textId="77777777" w:rsidR="00232EF1" w:rsidRPr="00511330" w:rsidRDefault="005F6780" w:rsidP="00232EF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Duncan, T., Moriarty, S.E. (1998). A communication-based marketing model for managing relationships. </w:t>
      </w:r>
      <w:r w:rsidRPr="00511330">
        <w:rPr>
          <w:rFonts w:asciiTheme="majorBidi" w:hAnsiTheme="majorBidi" w:cstheme="majorBidi"/>
          <w:i/>
          <w:iCs/>
          <w:sz w:val="24"/>
          <w:szCs w:val="24"/>
          <w:lang w:val="en-US"/>
        </w:rPr>
        <w:t>Journal of Marketing,</w:t>
      </w:r>
      <w:r w:rsidRPr="00511330">
        <w:rPr>
          <w:rFonts w:asciiTheme="majorBidi" w:hAnsiTheme="majorBidi" w:cstheme="majorBidi"/>
          <w:sz w:val="24"/>
          <w:szCs w:val="24"/>
          <w:lang w:val="en-US"/>
        </w:rPr>
        <w:t xml:space="preserve"> 62, 1-13.</w:t>
      </w:r>
    </w:p>
    <w:p w14:paraId="3489811B" w14:textId="77777777" w:rsidR="00232EF1" w:rsidRPr="00511330" w:rsidRDefault="005F6780" w:rsidP="00232EF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Edmons, J. (2011). </w:t>
      </w:r>
      <w:r w:rsidRPr="00511330">
        <w:rPr>
          <w:rFonts w:asciiTheme="majorBidi" w:hAnsiTheme="majorBidi" w:cstheme="majorBidi"/>
          <w:i/>
          <w:iCs/>
          <w:sz w:val="24"/>
          <w:szCs w:val="24"/>
        </w:rPr>
        <w:t>Managing successful change. Industrial and Commercial Training, 43</w:t>
      </w:r>
      <w:r w:rsidRPr="00511330">
        <w:rPr>
          <w:rFonts w:asciiTheme="majorBidi" w:hAnsiTheme="majorBidi" w:cstheme="majorBidi"/>
          <w:sz w:val="24"/>
          <w:szCs w:val="24"/>
        </w:rPr>
        <w:t xml:space="preserve"> (6), 394-353.</w:t>
      </w:r>
    </w:p>
    <w:p w14:paraId="55E07D07" w14:textId="77777777" w:rsidR="00232EF1" w:rsidRPr="00511330" w:rsidRDefault="005F6780" w:rsidP="00232EF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Egan, R. W., &amp; Fjermestad, J. (2005). "Change and Resistance Help for the Practitioner of Change," </w:t>
      </w:r>
      <w:r w:rsidRPr="00511330">
        <w:rPr>
          <w:rFonts w:asciiTheme="majorBidi" w:eastAsia="Arial Unicode MS" w:hAnsiTheme="majorBidi" w:cstheme="majorBidi"/>
          <w:i/>
          <w:iCs/>
          <w:sz w:val="24"/>
          <w:szCs w:val="24"/>
          <w:bdr w:val="none" w:sz="0" w:space="0" w:color="auto" w:frame="1"/>
          <w:lang w:val="en-US"/>
        </w:rPr>
        <w:t>Proceedings of the 38th Annual Hawaii International Conference on System Sciences</w:t>
      </w:r>
      <w:r w:rsidRPr="00511330">
        <w:rPr>
          <w:rFonts w:asciiTheme="majorBidi" w:eastAsia="Arial Unicode MS" w:hAnsiTheme="majorBidi" w:cstheme="majorBidi"/>
          <w:sz w:val="24"/>
          <w:szCs w:val="24"/>
          <w:bdr w:val="none" w:sz="0" w:space="0" w:color="auto" w:frame="1"/>
          <w:lang w:val="en-US"/>
        </w:rPr>
        <w:t>, Big Island, HI, USA, 2005, pp. 219c-219c.</w:t>
      </w:r>
    </w:p>
    <w:p w14:paraId="550B5187" w14:textId="77777777" w:rsidR="00232EF1" w:rsidRPr="00511330" w:rsidRDefault="005F6780" w:rsidP="00232EF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Eggers, W., &amp; Bellman, J. (2016). </w:t>
      </w:r>
      <w:r w:rsidRPr="00511330">
        <w:rPr>
          <w:rFonts w:asciiTheme="majorBidi" w:hAnsiTheme="majorBidi" w:cstheme="majorBidi"/>
          <w:i/>
          <w:iCs/>
          <w:sz w:val="24"/>
          <w:szCs w:val="24"/>
          <w:lang w:val="en-US"/>
        </w:rPr>
        <w:t xml:space="preserve">The Journey to Government’s Digital Transformation. </w:t>
      </w:r>
      <w:r w:rsidRPr="00511330">
        <w:rPr>
          <w:rFonts w:asciiTheme="majorBidi" w:hAnsiTheme="majorBidi" w:cstheme="majorBidi"/>
          <w:sz w:val="24"/>
          <w:szCs w:val="24"/>
          <w:lang w:val="en-US"/>
        </w:rPr>
        <w:t>Deloitte University Press.</w:t>
      </w:r>
    </w:p>
    <w:p w14:paraId="2382F2C6" w14:textId="77777777" w:rsidR="00232EF1" w:rsidRPr="00511330" w:rsidRDefault="005F6780" w:rsidP="00232EF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Elving, W.J.L. (2005), “The role of communication in organisational change”, Corporate Communications, Vol. 10 No. 2, p. 129.</w:t>
      </w:r>
    </w:p>
    <w:p w14:paraId="65094472" w14:textId="77777777" w:rsidR="00232EF1" w:rsidRPr="00511330" w:rsidRDefault="005F6780" w:rsidP="00232EF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Ennis, C. A. (2018). Reading entrepreneurial power in small Gulf states: Qatar and the UAE. </w:t>
      </w:r>
      <w:r w:rsidRPr="00511330">
        <w:rPr>
          <w:rFonts w:asciiTheme="majorBidi" w:hAnsiTheme="majorBidi" w:cstheme="majorBidi"/>
          <w:i/>
          <w:iCs/>
          <w:sz w:val="24"/>
          <w:szCs w:val="24"/>
          <w:lang w:val="en-US"/>
        </w:rPr>
        <w:t>International Journal, 73(</w:t>
      </w:r>
      <w:r w:rsidRPr="00511330">
        <w:rPr>
          <w:rFonts w:asciiTheme="majorBidi" w:hAnsiTheme="majorBidi" w:cstheme="majorBidi"/>
          <w:sz w:val="24"/>
          <w:szCs w:val="24"/>
          <w:lang w:val="en-US"/>
        </w:rPr>
        <w:t>4), 573-595.</w:t>
      </w:r>
    </w:p>
    <w:p w14:paraId="7BEB3A31" w14:textId="77777777" w:rsidR="00232EF1" w:rsidRPr="00511330" w:rsidRDefault="005F6780" w:rsidP="00232EF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Ertürk, A. (2008). A trust-based approach to promote employees’ openness to organizational change in Turkey. </w:t>
      </w:r>
      <w:r w:rsidRPr="00511330">
        <w:rPr>
          <w:rFonts w:asciiTheme="majorBidi" w:hAnsiTheme="majorBidi" w:cstheme="majorBidi"/>
          <w:i/>
          <w:iCs/>
          <w:sz w:val="24"/>
          <w:szCs w:val="24"/>
          <w:lang w:val="en-US"/>
        </w:rPr>
        <w:t>International Journal of Manpower, 29</w:t>
      </w:r>
      <w:r w:rsidRPr="00511330">
        <w:rPr>
          <w:rFonts w:asciiTheme="majorBidi" w:hAnsiTheme="majorBidi" w:cstheme="majorBidi"/>
          <w:sz w:val="24"/>
          <w:szCs w:val="24"/>
          <w:lang w:val="en-US"/>
        </w:rPr>
        <w:t>(5), 462–483.</w:t>
      </w:r>
    </w:p>
    <w:p w14:paraId="51FEC79E" w14:textId="77777777" w:rsidR="00232EF1" w:rsidRPr="00511330" w:rsidRDefault="005F6780" w:rsidP="00232EF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Eser, B., Hage, B., McKenna, M., &amp; Wilckzynski, H. (2007). Performance-Improvement Initiatives: Three Best Practices for Project Success, Atlanta.</w:t>
      </w:r>
    </w:p>
    <w:p w14:paraId="08D7A281" w14:textId="77777777" w:rsidR="00232EF1" w:rsidRPr="00511330" w:rsidRDefault="005F6780" w:rsidP="00232EF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EWS-WWF (2018). Ministry Of Energy and Industries, 2018. Enabling the UAE Energy Transitions. Top Ten renewable areas for renewable energy policy makers. P. 5</w:t>
      </w:r>
    </w:p>
    <w:p w14:paraId="06240DDD"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Expósito-Langa, M., Tomás-Miquel, J., &amp; Molina-Morales, F. (2015). Leadership role and employee acceptance of change. </w:t>
      </w:r>
      <w:r w:rsidRPr="00511330">
        <w:rPr>
          <w:rFonts w:asciiTheme="majorBidi" w:hAnsiTheme="majorBidi" w:cstheme="majorBidi"/>
          <w:i/>
          <w:iCs/>
          <w:sz w:val="24"/>
          <w:szCs w:val="24"/>
          <w:lang w:val="en-US"/>
        </w:rPr>
        <w:t>Journal of Organizational Change Management, 28</w:t>
      </w:r>
      <w:r w:rsidRPr="00511330">
        <w:rPr>
          <w:rFonts w:asciiTheme="majorBidi" w:hAnsiTheme="majorBidi" w:cstheme="majorBidi"/>
          <w:sz w:val="24"/>
          <w:szCs w:val="24"/>
          <w:lang w:val="en-US"/>
        </w:rPr>
        <w:t>(1).</w:t>
      </w:r>
    </w:p>
    <w:p w14:paraId="43E2C6D9" w14:textId="3034806C" w:rsidR="00C83119" w:rsidRPr="00511330" w:rsidRDefault="00C83119"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Farrell, J.B., Flood, P.C., MacCurtain, S.M., Hannigan, A., Dawson, J., &amp; West, M. (2005). </w:t>
      </w:r>
      <w:r w:rsidRPr="00511330">
        <w:rPr>
          <w:rFonts w:asciiTheme="majorBidi" w:hAnsiTheme="majorBidi" w:cstheme="majorBidi"/>
          <w:i/>
          <w:iCs/>
          <w:sz w:val="24"/>
          <w:szCs w:val="24"/>
          <w:lang w:val="en-US"/>
        </w:rPr>
        <w:t>CEO leadership, top team trust and the combination and exchange of information. The Irish Journal of Management, 26</w:t>
      </w:r>
      <w:r w:rsidRPr="00511330">
        <w:rPr>
          <w:rFonts w:asciiTheme="majorBidi" w:hAnsiTheme="majorBidi" w:cstheme="majorBidi"/>
          <w:sz w:val="24"/>
          <w:szCs w:val="24"/>
          <w:lang w:val="en-US"/>
        </w:rPr>
        <w:t>, 22-40.</w:t>
      </w:r>
    </w:p>
    <w:p w14:paraId="4366AFBA"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lastRenderedPageBreak/>
        <w:t>Ferdows, K., Lewis, M.A. and Machuca, J.A.D. (2004), “</w:t>
      </w:r>
      <w:r w:rsidRPr="00511330">
        <w:rPr>
          <w:rFonts w:asciiTheme="majorBidi" w:hAnsiTheme="majorBidi" w:cstheme="majorBidi"/>
          <w:i/>
          <w:iCs/>
          <w:sz w:val="24"/>
          <w:szCs w:val="24"/>
        </w:rPr>
        <w:t>Rapid-ﬁre fullﬁllment”, Harvard Business Review, Vol. 82</w:t>
      </w:r>
      <w:r w:rsidRPr="00511330">
        <w:rPr>
          <w:rFonts w:asciiTheme="majorBidi" w:hAnsiTheme="majorBidi" w:cstheme="majorBidi"/>
          <w:sz w:val="24"/>
          <w:szCs w:val="24"/>
        </w:rPr>
        <w:t xml:space="preserve"> No. 11, pp. 104-10.</w:t>
      </w:r>
    </w:p>
    <w:p w14:paraId="594FF4BD"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Ferroukhi R., Noor, G-A, Androulaki, S. Hawila, D., &amp; Mezher, T. (2013) Renewable energy in the GCC: status and challenges. </w:t>
      </w:r>
      <w:r w:rsidRPr="00511330">
        <w:rPr>
          <w:rFonts w:asciiTheme="majorBidi" w:hAnsiTheme="majorBidi" w:cstheme="majorBidi"/>
          <w:i/>
          <w:iCs/>
          <w:sz w:val="24"/>
          <w:szCs w:val="24"/>
          <w:lang w:val="en-US"/>
        </w:rPr>
        <w:t>International Journal of Energy Sector Management</w:t>
      </w:r>
      <w:r w:rsidRPr="00511330">
        <w:rPr>
          <w:rFonts w:asciiTheme="majorBidi" w:hAnsiTheme="majorBidi" w:cstheme="majorBidi"/>
          <w:sz w:val="24"/>
          <w:szCs w:val="24"/>
          <w:lang w:val="en-US"/>
        </w:rPr>
        <w:t xml:space="preserve">, 7(1), 84-112. </w:t>
      </w:r>
    </w:p>
    <w:p w14:paraId="3344A8FD"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Fine, J., &amp; Tomi, W.  (2014). Drivers of change in construction training: How significant is the sustainability agenda?. PROSPECTS. </w:t>
      </w:r>
      <w:r w:rsidRPr="00511330">
        <w:rPr>
          <w:rFonts w:asciiTheme="majorBidi" w:hAnsiTheme="majorBidi" w:cstheme="majorBidi"/>
          <w:i/>
          <w:iCs/>
          <w:sz w:val="24"/>
          <w:szCs w:val="24"/>
          <w:lang w:val="en-US"/>
        </w:rPr>
        <w:t>Quarterly Review of Comparative Education, 44</w:t>
      </w:r>
      <w:r w:rsidRPr="00511330">
        <w:rPr>
          <w:rFonts w:asciiTheme="majorBidi" w:hAnsiTheme="majorBidi" w:cstheme="majorBidi"/>
          <w:sz w:val="24"/>
          <w:szCs w:val="24"/>
          <w:lang w:val="en-US"/>
        </w:rPr>
        <w:t xml:space="preserve"> (2), 211-219.</w:t>
      </w:r>
    </w:p>
    <w:p w14:paraId="72A3FC14"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Fine, C.H. (2000), “The clock speed chronicles”, Supply Chain Management Review, Vol. 4 No. 2, pp. 60-4.</w:t>
      </w:r>
    </w:p>
    <w:p w14:paraId="22094C3C"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Flamos, A. (2010). The clean development mechanism – catalyst for wide spread deployment of renewable energy technologies? or misnomer?, </w:t>
      </w:r>
      <w:r w:rsidRPr="00511330">
        <w:rPr>
          <w:rFonts w:asciiTheme="majorBidi" w:hAnsiTheme="majorBidi" w:cstheme="majorBidi"/>
          <w:i/>
          <w:iCs/>
          <w:sz w:val="24"/>
          <w:szCs w:val="24"/>
          <w:lang w:val="en-US"/>
        </w:rPr>
        <w:t>International Journal, Environment, Development and Sustainability</w:t>
      </w:r>
      <w:r w:rsidRPr="00511330">
        <w:rPr>
          <w:rFonts w:asciiTheme="majorBidi" w:hAnsiTheme="majorBidi" w:cstheme="majorBidi"/>
          <w:sz w:val="24"/>
          <w:szCs w:val="24"/>
          <w:lang w:val="en-US"/>
        </w:rPr>
        <w:t>, 12(1), 89-102.</w:t>
      </w:r>
    </w:p>
    <w:p w14:paraId="53BE185C" w14:textId="59BE5237" w:rsidR="00C83119" w:rsidRPr="00511330" w:rsidRDefault="00C83119"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Foley, T. (2007). Environmental conﬂict resolution: Relational and environmental attentiveness as measures of success. </w:t>
      </w:r>
      <w:r w:rsidRPr="00511330">
        <w:rPr>
          <w:rFonts w:asciiTheme="majorBidi" w:eastAsia="Arial Unicode MS" w:hAnsiTheme="majorBidi" w:cstheme="majorBidi"/>
          <w:i/>
          <w:iCs/>
          <w:sz w:val="24"/>
          <w:szCs w:val="24"/>
          <w:bdr w:val="none" w:sz="0" w:space="0" w:color="auto" w:frame="1"/>
          <w:lang w:val="en-US"/>
        </w:rPr>
        <w:t>Conﬂict Resolution Quarterly, 24</w:t>
      </w:r>
      <w:r w:rsidRPr="00511330">
        <w:rPr>
          <w:rFonts w:asciiTheme="majorBidi" w:eastAsia="Arial Unicode MS" w:hAnsiTheme="majorBidi" w:cstheme="majorBidi"/>
          <w:sz w:val="24"/>
          <w:szCs w:val="24"/>
          <w:bdr w:val="none" w:sz="0" w:space="0" w:color="auto" w:frame="1"/>
          <w:lang w:val="en-US"/>
        </w:rPr>
        <w:t>(4), 485–504.</w:t>
      </w:r>
    </w:p>
    <w:p w14:paraId="051FB82D"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Folger, R., Skarlicki, D.P. (1999). Unfairness and resistance to change: hardship as mistreatment</w:t>
      </w:r>
      <w:r w:rsidRPr="00511330">
        <w:rPr>
          <w:rFonts w:asciiTheme="majorBidi" w:eastAsia="Arial Unicode MS" w:hAnsiTheme="majorBidi" w:cstheme="majorBidi"/>
          <w:i/>
          <w:iCs/>
          <w:sz w:val="24"/>
          <w:szCs w:val="24"/>
          <w:bdr w:val="none" w:sz="0" w:space="0" w:color="auto" w:frame="1"/>
          <w:lang w:val="en-US"/>
        </w:rPr>
        <w:t>, Journal of Organizational Change Manageme</w:t>
      </w:r>
      <w:r w:rsidRPr="00511330">
        <w:rPr>
          <w:rFonts w:asciiTheme="majorBidi" w:eastAsia="Arial Unicode MS" w:hAnsiTheme="majorBidi" w:cstheme="majorBidi"/>
          <w:sz w:val="24"/>
          <w:szCs w:val="24"/>
          <w:bdr w:val="none" w:sz="0" w:space="0" w:color="auto" w:frame="1"/>
          <w:lang w:val="en-US"/>
        </w:rPr>
        <w:t>nt</w:t>
      </w:r>
      <w:r w:rsidRPr="00511330">
        <w:rPr>
          <w:rFonts w:asciiTheme="majorBidi" w:eastAsia="Arial Unicode MS" w:hAnsiTheme="majorBidi" w:cstheme="majorBidi"/>
          <w:i/>
          <w:iCs/>
          <w:sz w:val="24"/>
          <w:szCs w:val="24"/>
          <w:bdr w:val="none" w:sz="0" w:space="0" w:color="auto" w:frame="1"/>
          <w:lang w:val="en-US"/>
        </w:rPr>
        <w:t>, 12</w:t>
      </w:r>
      <w:r w:rsidRPr="00511330">
        <w:rPr>
          <w:rFonts w:asciiTheme="majorBidi" w:eastAsia="Arial Unicode MS" w:hAnsiTheme="majorBidi" w:cstheme="majorBidi"/>
          <w:sz w:val="24"/>
          <w:szCs w:val="24"/>
          <w:bdr w:val="none" w:sz="0" w:space="0" w:color="auto" w:frame="1"/>
          <w:lang w:val="en-US"/>
        </w:rPr>
        <w:t>(1), 35-50.</w:t>
      </w:r>
    </w:p>
    <w:p w14:paraId="24A1842F"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Ford, J., Ford, L., &amp; D’amelio, A. (2008). Resistance to Change: The Rest of the Story. </w:t>
      </w:r>
      <w:r w:rsidRPr="00511330">
        <w:rPr>
          <w:rFonts w:asciiTheme="majorBidi" w:eastAsia="Arial Unicode MS" w:hAnsiTheme="majorBidi" w:cstheme="majorBidi"/>
          <w:i/>
          <w:iCs/>
          <w:sz w:val="24"/>
          <w:szCs w:val="24"/>
          <w:bdr w:val="none" w:sz="0" w:space="0" w:color="auto" w:frame="1"/>
          <w:lang w:val="en-US"/>
        </w:rPr>
        <w:t>Academy of Management Review, 33(2)</w:t>
      </w:r>
      <w:r w:rsidRPr="00511330">
        <w:rPr>
          <w:rFonts w:asciiTheme="majorBidi" w:eastAsia="Arial Unicode MS" w:hAnsiTheme="majorBidi" w:cstheme="majorBidi"/>
          <w:sz w:val="24"/>
          <w:szCs w:val="24"/>
          <w:bdr w:val="none" w:sz="0" w:space="0" w:color="auto" w:frame="1"/>
          <w:lang w:val="en-US"/>
        </w:rPr>
        <w:t>, 362-377.</w:t>
      </w:r>
    </w:p>
    <w:p w14:paraId="33826B80"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il"/>
        </w:rPr>
        <w:t>Ford, J., Ford, L. and McNamara, R. (2002), "Resistance and the background conversations of change", </w:t>
      </w:r>
      <w:r w:rsidRPr="00511330">
        <w:rPr>
          <w:rFonts w:asciiTheme="majorBidi" w:eastAsia="Arial Unicode MS" w:hAnsiTheme="majorBidi" w:cstheme="majorBidi"/>
          <w:i/>
          <w:iCs/>
          <w:sz w:val="24"/>
          <w:szCs w:val="24"/>
          <w:bdr w:val="nil"/>
        </w:rPr>
        <w:t>Journal of Organizational Change Management</w:t>
      </w:r>
      <w:r w:rsidRPr="00511330">
        <w:rPr>
          <w:rFonts w:asciiTheme="majorBidi" w:eastAsia="Arial Unicode MS" w:hAnsiTheme="majorBidi" w:cstheme="majorBidi"/>
          <w:sz w:val="24"/>
          <w:szCs w:val="24"/>
          <w:bdr w:val="nil"/>
        </w:rPr>
        <w:t>, Vol. 15 No. 2, pp. 105-121.</w:t>
      </w:r>
    </w:p>
    <w:p w14:paraId="0867C583"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Foster, J.B. (2002). </w:t>
      </w:r>
      <w:r w:rsidRPr="00511330">
        <w:rPr>
          <w:rFonts w:asciiTheme="majorBidi" w:eastAsia="Arial Unicode MS" w:hAnsiTheme="majorBidi" w:cstheme="majorBidi"/>
          <w:i/>
          <w:iCs/>
          <w:sz w:val="24"/>
          <w:szCs w:val="24"/>
          <w:bdr w:val="none" w:sz="0" w:space="0" w:color="auto" w:frame="1"/>
          <w:lang w:val="en-US"/>
        </w:rPr>
        <w:t>Ecology against capitalism.</w:t>
      </w:r>
      <w:r w:rsidRPr="00511330">
        <w:rPr>
          <w:rFonts w:asciiTheme="majorBidi" w:eastAsia="Arial Unicode MS" w:hAnsiTheme="majorBidi" w:cstheme="majorBidi"/>
          <w:sz w:val="24"/>
          <w:szCs w:val="24"/>
          <w:bdr w:val="none" w:sz="0" w:space="0" w:color="auto" w:frame="1"/>
          <w:lang w:val="en-US"/>
        </w:rPr>
        <w:t xml:space="preserve"> New York: Monthly Review.</w:t>
      </w:r>
    </w:p>
    <w:p w14:paraId="5FE6EE05"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Frederick, B. N. (1999). Partitioning variance in the multivariate case: A step-by-step guide to canonical commonality analysis.  In B. Thompson (Ed.), Advances in social sciences methodology, Stamford, CT: </w:t>
      </w:r>
      <w:r w:rsidRPr="00511330">
        <w:rPr>
          <w:rFonts w:asciiTheme="majorBidi" w:eastAsia="Arial Unicode MS" w:hAnsiTheme="majorBidi" w:cstheme="majorBidi"/>
          <w:i/>
          <w:iCs/>
          <w:sz w:val="24"/>
          <w:szCs w:val="24"/>
          <w:bdr w:val="none" w:sz="0" w:space="0" w:color="auto" w:frame="1"/>
          <w:lang w:val="en-US"/>
        </w:rPr>
        <w:t>JAI Press. 5</w:t>
      </w:r>
      <w:r w:rsidRPr="00511330">
        <w:rPr>
          <w:rFonts w:asciiTheme="majorBidi" w:eastAsia="Arial Unicode MS" w:hAnsiTheme="majorBidi" w:cstheme="majorBidi"/>
          <w:sz w:val="24"/>
          <w:szCs w:val="24"/>
          <w:bdr w:val="none" w:sz="0" w:space="0" w:color="auto" w:frame="1"/>
          <w:lang w:val="en-US"/>
        </w:rPr>
        <w:t>, 305-318.</w:t>
      </w:r>
    </w:p>
    <w:p w14:paraId="6E02C167"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Freeman, R.E. (1984</w:t>
      </w:r>
      <w:r w:rsidRPr="00511330">
        <w:rPr>
          <w:rFonts w:asciiTheme="majorBidi" w:hAnsiTheme="majorBidi" w:cstheme="majorBidi"/>
          <w:i/>
          <w:iCs/>
          <w:sz w:val="24"/>
          <w:szCs w:val="24"/>
          <w:lang w:val="en-US"/>
        </w:rPr>
        <w:t>). Strategic Management: A Stakeholder Approach</w:t>
      </w:r>
      <w:r w:rsidRPr="00511330">
        <w:rPr>
          <w:rFonts w:asciiTheme="majorBidi" w:hAnsiTheme="majorBidi" w:cstheme="majorBidi"/>
          <w:sz w:val="24"/>
          <w:szCs w:val="24"/>
          <w:lang w:val="en-US"/>
        </w:rPr>
        <w:t>. Boston: Pitman Publishing, Boston.</w:t>
      </w:r>
    </w:p>
    <w:p w14:paraId="00B11CCB"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Friess, A.W., &amp; Rakhshan, K. (2017). A review of passive envelope measures for improved building energy efficiency in the UAE. Renew. Sustain. Energy Rev, 72, 485–496.</w:t>
      </w:r>
    </w:p>
    <w:p w14:paraId="5A24E55F"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Frinsdorf, O., Zuo, J., &amp; Xia, B. (2014). Critical factors for project efficiency in a defence environment. </w:t>
      </w:r>
      <w:r w:rsidRPr="00511330">
        <w:rPr>
          <w:rFonts w:asciiTheme="majorBidi" w:hAnsiTheme="majorBidi" w:cstheme="majorBidi"/>
          <w:i/>
          <w:iCs/>
          <w:sz w:val="24"/>
          <w:szCs w:val="24"/>
          <w:lang w:val="en-US"/>
        </w:rPr>
        <w:t>International Journal of Project Management,</w:t>
      </w:r>
      <w:r w:rsidRPr="00511330">
        <w:rPr>
          <w:rFonts w:asciiTheme="majorBidi" w:hAnsiTheme="majorBidi" w:cstheme="majorBidi"/>
          <w:sz w:val="24"/>
          <w:szCs w:val="24"/>
          <w:lang w:val="en-US"/>
        </w:rPr>
        <w:t xml:space="preserve"> 32(5), 803-814.</w:t>
      </w:r>
    </w:p>
    <w:p w14:paraId="2B74D371"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Geels, F.W. (2014). Reconceptualising the co-evolution of firms-in-industries and their environments: developing an inter-disciplinary Triple Embeddedness Framework. </w:t>
      </w:r>
      <w:r w:rsidRPr="00511330">
        <w:rPr>
          <w:rFonts w:asciiTheme="majorBidi" w:hAnsiTheme="majorBidi" w:cstheme="majorBidi"/>
          <w:i/>
          <w:iCs/>
          <w:sz w:val="24"/>
          <w:szCs w:val="24"/>
          <w:lang w:val="en-US"/>
        </w:rPr>
        <w:t>Res Policy,</w:t>
      </w:r>
      <w:r w:rsidRPr="00511330">
        <w:rPr>
          <w:rFonts w:asciiTheme="majorBidi" w:hAnsiTheme="majorBidi" w:cstheme="majorBidi"/>
          <w:sz w:val="24"/>
          <w:szCs w:val="24"/>
          <w:lang w:val="en-US"/>
        </w:rPr>
        <w:t xml:space="preserve"> 43, 261–77.</w:t>
      </w:r>
    </w:p>
    <w:p w14:paraId="1C92F90B"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Ghiselli, E.E., Campbell, J.P. &amp; Zedeck, S. (1981). Measurement Theory for the Behavioral Sciences. San Francisco: WH Freeman.</w:t>
      </w:r>
    </w:p>
    <w:p w14:paraId="60E8EFF7" w14:textId="4C1F7FE8"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lastRenderedPageBreak/>
        <w:t xml:space="preserve">Gilley, A., Gilley, J., &amp; McMillan, H. (2009). Organizational Change: Motivation, Communication, and Leadership Effectiveness. </w:t>
      </w:r>
      <w:r w:rsidRPr="00511330">
        <w:rPr>
          <w:rFonts w:asciiTheme="majorBidi" w:eastAsia="Arial Unicode MS" w:hAnsiTheme="majorBidi" w:cstheme="majorBidi"/>
          <w:i/>
          <w:iCs/>
          <w:sz w:val="24"/>
          <w:szCs w:val="24"/>
          <w:bdr w:val="none" w:sz="0" w:space="0" w:color="auto" w:frame="1"/>
          <w:lang w:val="en-US"/>
        </w:rPr>
        <w:t>Performance Improvement</w:t>
      </w:r>
      <w:r w:rsidRPr="00511330">
        <w:rPr>
          <w:rFonts w:asciiTheme="majorBidi" w:eastAsia="Arial Unicode MS" w:hAnsiTheme="majorBidi" w:cstheme="majorBidi"/>
          <w:sz w:val="24"/>
          <w:szCs w:val="24"/>
          <w:bdr w:val="none" w:sz="0" w:space="0" w:color="auto" w:frame="1"/>
          <w:lang w:val="en-US"/>
        </w:rPr>
        <w:t xml:space="preserve">, 75-94. </w:t>
      </w:r>
      <w:hyperlink r:id="rId69" w:history="1">
        <w:r w:rsidR="00C83119" w:rsidRPr="00511330">
          <w:rPr>
            <w:rStyle w:val="Hyperlink"/>
            <w:rFonts w:asciiTheme="majorBidi" w:eastAsia="Arial Unicode MS" w:hAnsiTheme="majorBidi" w:cstheme="majorBidi"/>
            <w:sz w:val="24"/>
            <w:szCs w:val="24"/>
            <w:bdr w:val="none" w:sz="0" w:space="0" w:color="auto" w:frame="1"/>
            <w:lang w:val="en-US"/>
          </w:rPr>
          <w:t>http://dx.doi.org/10.1002/piq.20039</w:t>
        </w:r>
      </w:hyperlink>
      <w:r w:rsidRPr="00511330">
        <w:rPr>
          <w:rFonts w:asciiTheme="majorBidi" w:eastAsia="Arial Unicode MS" w:hAnsiTheme="majorBidi" w:cstheme="majorBidi"/>
          <w:sz w:val="24"/>
          <w:szCs w:val="24"/>
          <w:bdr w:val="none" w:sz="0" w:space="0" w:color="auto" w:frame="1"/>
          <w:lang w:val="en-US"/>
        </w:rPr>
        <w:t>.</w:t>
      </w:r>
    </w:p>
    <w:p w14:paraId="3CB04C89"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Goby, V.P., &amp; Nickerson, C. (2016), Conceptualization of CSR among Muslim consumers in Dubai: evolving from philanthropy to ethical and economic orientations. </w:t>
      </w:r>
      <w:r w:rsidRPr="00511330">
        <w:rPr>
          <w:rFonts w:asciiTheme="majorBidi" w:eastAsia="Arial Unicode MS" w:hAnsiTheme="majorBidi" w:cstheme="majorBidi"/>
          <w:i/>
          <w:iCs/>
          <w:sz w:val="24"/>
          <w:szCs w:val="24"/>
          <w:bdr w:val="none" w:sz="0" w:space="0" w:color="auto" w:frame="1"/>
          <w:lang w:val="en-US"/>
        </w:rPr>
        <w:t>Journal of Business Ethics, 136</w:t>
      </w:r>
      <w:r w:rsidRPr="00511330">
        <w:rPr>
          <w:rFonts w:asciiTheme="majorBidi" w:eastAsia="Arial Unicode MS" w:hAnsiTheme="majorBidi" w:cstheme="majorBidi"/>
          <w:sz w:val="24"/>
          <w:szCs w:val="24"/>
          <w:bdr w:val="none" w:sz="0" w:space="0" w:color="auto" w:frame="1"/>
          <w:lang w:val="en-US"/>
        </w:rPr>
        <w:t>(1), 167-179.</w:t>
      </w:r>
    </w:p>
    <w:p w14:paraId="58B0A8F0"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Gomez, E. A., &amp; Turoff, M. (2007). Community crisis response teams: Leveraging local resources through ICT e-readiness. In: </w:t>
      </w:r>
      <w:r w:rsidRPr="00511330">
        <w:rPr>
          <w:rFonts w:asciiTheme="majorBidi" w:eastAsia="Arial Unicode MS" w:hAnsiTheme="majorBidi" w:cstheme="majorBidi"/>
          <w:i/>
          <w:iCs/>
          <w:sz w:val="24"/>
          <w:szCs w:val="24"/>
          <w:bdr w:val="none" w:sz="0" w:space="0" w:color="auto" w:frame="1"/>
          <w:lang w:val="en-US"/>
        </w:rPr>
        <w:t>Proceedings of the 40th Hawaii International Conference on System Sciences</w:t>
      </w:r>
      <w:r w:rsidRPr="00511330">
        <w:rPr>
          <w:rFonts w:asciiTheme="majorBidi" w:eastAsia="Arial Unicode MS" w:hAnsiTheme="majorBidi" w:cstheme="majorBidi"/>
          <w:sz w:val="24"/>
          <w:szCs w:val="24"/>
          <w:bdr w:val="none" w:sz="0" w:space="0" w:color="auto" w:frame="1"/>
          <w:lang w:val="en-US"/>
        </w:rPr>
        <w:t xml:space="preserve"> (HICSS), 1–10.</w:t>
      </w:r>
    </w:p>
    <w:p w14:paraId="18915855" w14:textId="0C4DE8FD" w:rsidR="00C83119" w:rsidRPr="00511330" w:rsidRDefault="00C83119"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Gond, J. P., El-Akremi, A., Igalens, J., &amp; Swaen, V. (2010). </w:t>
      </w:r>
      <w:r w:rsidRPr="00511330">
        <w:rPr>
          <w:rFonts w:asciiTheme="majorBidi" w:eastAsia="Arial Unicode MS" w:hAnsiTheme="majorBidi" w:cstheme="majorBidi"/>
          <w:i/>
          <w:iCs/>
          <w:sz w:val="24"/>
          <w:szCs w:val="24"/>
          <w:bdr w:val="none" w:sz="0" w:space="0" w:color="auto" w:frame="1"/>
          <w:lang w:val="en-US"/>
        </w:rPr>
        <w:t>Corporate social responsibility influence on employees</w:t>
      </w:r>
      <w:r w:rsidRPr="00511330">
        <w:rPr>
          <w:rFonts w:asciiTheme="majorBidi" w:eastAsia="Arial Unicode MS" w:hAnsiTheme="majorBidi" w:cstheme="majorBidi"/>
          <w:sz w:val="24"/>
          <w:szCs w:val="24"/>
          <w:bdr w:val="none" w:sz="0" w:space="0" w:color="auto" w:frame="1"/>
          <w:lang w:val="en-US"/>
        </w:rPr>
        <w:t>. Research Paper Series. International Centre for Corporate Social Responsibility. Nottingham University.</w:t>
      </w:r>
    </w:p>
    <w:p w14:paraId="01E5C66D"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Graetz, F. (2000). Strategic change leadership. </w:t>
      </w:r>
      <w:r w:rsidRPr="00511330">
        <w:rPr>
          <w:rFonts w:asciiTheme="majorBidi" w:hAnsiTheme="majorBidi" w:cstheme="majorBidi"/>
          <w:i/>
          <w:iCs/>
          <w:sz w:val="24"/>
          <w:szCs w:val="24"/>
          <w:lang w:val="en-US"/>
        </w:rPr>
        <w:t>Management Decision, 38</w:t>
      </w:r>
      <w:r w:rsidRPr="00511330">
        <w:rPr>
          <w:rFonts w:asciiTheme="majorBidi" w:hAnsiTheme="majorBidi" w:cstheme="majorBidi"/>
          <w:sz w:val="24"/>
          <w:szCs w:val="24"/>
          <w:lang w:val="en-US"/>
        </w:rPr>
        <w:t>(8), pp. 550–62.</w:t>
      </w:r>
    </w:p>
    <w:p w14:paraId="7DBCA8B1"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Greene, R. J. (2018</w:t>
      </w:r>
      <w:r w:rsidRPr="00511330">
        <w:rPr>
          <w:rFonts w:asciiTheme="majorBidi" w:hAnsiTheme="majorBidi" w:cstheme="majorBidi"/>
          <w:i/>
          <w:iCs/>
          <w:sz w:val="24"/>
          <w:szCs w:val="24"/>
          <w:lang w:val="en-US"/>
        </w:rPr>
        <w:t>). Rewarding performance: Guiding principles; custom strategies</w:t>
      </w:r>
      <w:r w:rsidRPr="00511330">
        <w:rPr>
          <w:rFonts w:asciiTheme="majorBidi" w:hAnsiTheme="majorBidi" w:cstheme="majorBidi"/>
          <w:sz w:val="24"/>
          <w:szCs w:val="24"/>
          <w:lang w:val="en-US"/>
        </w:rPr>
        <w:t>. New York: Routledge.</w:t>
      </w:r>
    </w:p>
    <w:p w14:paraId="1E4324EE" w14:textId="49A0775A" w:rsidR="005F6780"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Greenberg, J. (1993). The social side of fairness: Interpersonal and informational classes of organizational justice. In R. Cropanzano (Ed.), </w:t>
      </w:r>
      <w:r w:rsidRPr="00511330">
        <w:rPr>
          <w:rFonts w:asciiTheme="majorBidi" w:hAnsiTheme="majorBidi" w:cstheme="majorBidi"/>
          <w:i/>
          <w:iCs/>
          <w:sz w:val="24"/>
          <w:szCs w:val="24"/>
          <w:lang w:val="en-US"/>
        </w:rPr>
        <w:t>Justice in the workplace: Approaching fairness in human resource management</w:t>
      </w:r>
      <w:r w:rsidRPr="00511330">
        <w:rPr>
          <w:rFonts w:asciiTheme="majorBidi" w:hAnsiTheme="majorBidi" w:cstheme="majorBidi"/>
          <w:sz w:val="24"/>
          <w:szCs w:val="24"/>
          <w:lang w:val="en-US"/>
        </w:rPr>
        <w:t xml:space="preserve"> (pp. 79-103). Hillsdale, NJ: Lawrence Erlbaum Associates.</w:t>
      </w:r>
    </w:p>
    <w:p w14:paraId="4268D542" w14:textId="77777777" w:rsidR="00C83119" w:rsidRPr="00511330" w:rsidRDefault="00C83119"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Griffin, C., Green, A., &amp; Martins, M. (2016). </w:t>
      </w:r>
      <w:r w:rsidRPr="00511330">
        <w:rPr>
          <w:rFonts w:asciiTheme="majorBidi" w:eastAsia="Arial Unicode MS" w:hAnsiTheme="majorBidi" w:cstheme="majorBidi"/>
          <w:i/>
          <w:iCs/>
          <w:sz w:val="24"/>
          <w:szCs w:val="24"/>
          <w:bdr w:val="none" w:sz="0" w:space="0" w:color="auto" w:frame="1"/>
          <w:lang w:val="en-US"/>
        </w:rPr>
        <w:t>Advanced science and the future of government.</w:t>
      </w:r>
      <w:r w:rsidRPr="00511330">
        <w:rPr>
          <w:rFonts w:asciiTheme="majorBidi" w:eastAsia="Arial Unicode MS" w:hAnsiTheme="majorBidi" w:cstheme="majorBidi"/>
          <w:sz w:val="24"/>
          <w:szCs w:val="24"/>
          <w:bdr w:val="none" w:sz="0" w:space="0" w:color="auto" w:frame="1"/>
          <w:lang w:val="en-US"/>
        </w:rPr>
        <w:t xml:space="preserve"> Dubai: Intelligence Unit Limited.</w:t>
      </w:r>
    </w:p>
    <w:p w14:paraId="3451668A" w14:textId="77777777" w:rsidR="00C83119" w:rsidRPr="00511330" w:rsidRDefault="005F6780" w:rsidP="00C8311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Guion, D. T., Scammon, D. L., Borders, A.L. (2007). Weathering the storm: A social marketing perspective on disaster preparedness and response with lessons from Hurricane Katrina. </w:t>
      </w:r>
      <w:r w:rsidRPr="00511330">
        <w:rPr>
          <w:rFonts w:asciiTheme="majorBidi" w:hAnsiTheme="majorBidi" w:cstheme="majorBidi"/>
          <w:i/>
          <w:iCs/>
          <w:sz w:val="24"/>
          <w:szCs w:val="24"/>
          <w:lang w:val="en-US"/>
        </w:rPr>
        <w:t>Journal of Public Policy &amp; Marketing 26</w:t>
      </w:r>
      <w:r w:rsidRPr="00511330">
        <w:rPr>
          <w:rFonts w:asciiTheme="majorBidi" w:hAnsiTheme="majorBidi" w:cstheme="majorBidi"/>
          <w:sz w:val="24"/>
          <w:szCs w:val="24"/>
          <w:lang w:val="en-US"/>
        </w:rPr>
        <w:t>(1), 20–32.</w:t>
      </w:r>
    </w:p>
    <w:p w14:paraId="093A5A03" w14:textId="7E878731" w:rsidR="009F1816" w:rsidRPr="00511330" w:rsidRDefault="0005127A" w:rsidP="0005127A">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Gulf News. (2018, January 17). UAE will always be a global leader in clean energy. </w:t>
      </w:r>
      <w:hyperlink r:id="rId70" w:history="1">
        <w:r w:rsidRPr="00511330">
          <w:rPr>
            <w:rStyle w:val="Hyperlink"/>
            <w:rFonts w:asciiTheme="majorBidi" w:eastAsia="Arial Unicode MS" w:hAnsiTheme="majorBidi" w:cstheme="majorBidi"/>
            <w:sz w:val="24"/>
            <w:szCs w:val="24"/>
            <w:bdr w:val="none" w:sz="0" w:space="0" w:color="auto" w:frame="1"/>
            <w:lang w:val="en-US"/>
          </w:rPr>
          <w:t>https://gulfnews.com/uae/government/uae</w:t>
        </w:r>
      </w:hyperlink>
      <w:r w:rsidR="005F6780" w:rsidRPr="00511330">
        <w:rPr>
          <w:rFonts w:asciiTheme="majorBidi" w:eastAsia="Arial Unicode MS" w:hAnsiTheme="majorBidi" w:cstheme="majorBidi"/>
          <w:sz w:val="24"/>
          <w:szCs w:val="24"/>
          <w:bdr w:val="none" w:sz="0" w:space="0" w:color="auto" w:frame="1"/>
          <w:lang w:val="en-US"/>
        </w:rPr>
        <w:t>.</w:t>
      </w:r>
      <w:r w:rsidR="005F6780" w:rsidRPr="00511330">
        <w:rPr>
          <w:rFonts w:asciiTheme="majorBidi" w:hAnsiTheme="majorBidi" w:cstheme="majorBidi"/>
          <w:sz w:val="24"/>
          <w:szCs w:val="24"/>
        </w:rPr>
        <w:t xml:space="preserve">. </w:t>
      </w:r>
    </w:p>
    <w:p w14:paraId="29708007"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Gumpert, G. (2014). A Review of General Semantics. The ambiguity of perception. Et Cetera, 71(1), 77-89.</w:t>
      </w:r>
    </w:p>
    <w:p w14:paraId="5782AD85"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Hair, J. F., Black, W. C., Babin, B. J., &amp; Anderson, R. E. (2010). </w:t>
      </w:r>
      <w:r w:rsidRPr="00511330">
        <w:rPr>
          <w:rFonts w:asciiTheme="majorBidi" w:hAnsiTheme="majorBidi" w:cstheme="majorBidi"/>
          <w:i/>
          <w:iCs/>
          <w:sz w:val="24"/>
          <w:szCs w:val="24"/>
        </w:rPr>
        <w:t>Multivariate Data Analysis</w:t>
      </w:r>
      <w:r w:rsidRPr="00511330">
        <w:rPr>
          <w:rFonts w:asciiTheme="majorBidi" w:hAnsiTheme="majorBidi" w:cstheme="majorBidi"/>
          <w:sz w:val="24"/>
          <w:szCs w:val="24"/>
        </w:rPr>
        <w:t>. Pearson Education Limited.</w:t>
      </w:r>
    </w:p>
    <w:p w14:paraId="50C9AA3C"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Hammer, M.C.J. (1993), </w:t>
      </w:r>
      <w:r w:rsidRPr="00511330">
        <w:rPr>
          <w:rFonts w:asciiTheme="majorBidi" w:hAnsiTheme="majorBidi" w:cstheme="majorBidi"/>
          <w:i/>
          <w:iCs/>
          <w:sz w:val="24"/>
          <w:szCs w:val="24"/>
        </w:rPr>
        <w:t>Reengineering the Corporation: A Manifesto for Business Revolution</w:t>
      </w:r>
      <w:r w:rsidRPr="00511330">
        <w:rPr>
          <w:rFonts w:asciiTheme="majorBidi" w:hAnsiTheme="majorBidi" w:cstheme="majorBidi"/>
          <w:sz w:val="24"/>
          <w:szCs w:val="24"/>
        </w:rPr>
        <w:t>, Harper Business, New York, NY.</w:t>
      </w:r>
    </w:p>
    <w:p w14:paraId="3436CA83"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Hanan Albuflasa, (2015). The Potential Role of the Gulf Countries on Re-Shaping the Global Renewable Energy Landscape. 10.2307/j.ctt1df4hgg.10.</w:t>
      </w:r>
    </w:p>
    <w:p w14:paraId="231DAC40" w14:textId="3503C082" w:rsidR="009F1816" w:rsidRPr="00511330" w:rsidRDefault="009F1816"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Hans, H.J., Owen, L., &amp; Neus, A. (2009). Stop improvising change management! </w:t>
      </w:r>
      <w:r w:rsidRPr="00511330">
        <w:rPr>
          <w:rFonts w:asciiTheme="majorBidi" w:hAnsiTheme="majorBidi" w:cstheme="majorBidi"/>
          <w:i/>
          <w:iCs/>
          <w:sz w:val="24"/>
          <w:szCs w:val="24"/>
          <w:lang w:val="en-US"/>
        </w:rPr>
        <w:t>Strategy &amp; Leadership, 37</w:t>
      </w:r>
      <w:r w:rsidRPr="00511330">
        <w:rPr>
          <w:rFonts w:asciiTheme="majorBidi" w:hAnsiTheme="majorBidi" w:cstheme="majorBidi"/>
          <w:sz w:val="24"/>
          <w:szCs w:val="24"/>
          <w:lang w:val="en-US"/>
        </w:rPr>
        <w:t xml:space="preserve">(2), 38-44, </w:t>
      </w:r>
      <w:hyperlink r:id="rId71" w:history="1">
        <w:r w:rsidRPr="00511330">
          <w:rPr>
            <w:rStyle w:val="Hyperlink"/>
            <w:rFonts w:asciiTheme="majorBidi" w:hAnsiTheme="majorBidi" w:cstheme="majorBidi"/>
            <w:sz w:val="24"/>
            <w:szCs w:val="24"/>
            <w:lang w:val="en-US"/>
          </w:rPr>
          <w:t>https://doi.org/10.1108/10878570910941217</w:t>
        </w:r>
      </w:hyperlink>
      <w:r w:rsidRPr="00511330">
        <w:rPr>
          <w:rFonts w:asciiTheme="majorBidi" w:hAnsiTheme="majorBidi" w:cstheme="majorBidi"/>
          <w:sz w:val="24"/>
          <w:szCs w:val="24"/>
          <w:lang w:val="en-US"/>
        </w:rPr>
        <w:t>.</w:t>
      </w:r>
    </w:p>
    <w:p w14:paraId="16CF68E7"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Hanss, D. &amp; Böhm, G. (2011). Sustainability seen from the perspective of consumers. </w:t>
      </w:r>
      <w:r w:rsidRPr="00511330">
        <w:rPr>
          <w:rFonts w:asciiTheme="majorBidi" w:eastAsia="Arial Unicode MS" w:hAnsiTheme="majorBidi" w:cstheme="majorBidi"/>
          <w:i/>
          <w:iCs/>
          <w:sz w:val="24"/>
          <w:szCs w:val="24"/>
          <w:bdr w:val="none" w:sz="0" w:space="0" w:color="auto" w:frame="1"/>
          <w:lang w:val="en-US"/>
        </w:rPr>
        <w:t xml:space="preserve">International Journal of Consumer Studies, </w:t>
      </w:r>
      <w:r w:rsidRPr="00511330">
        <w:rPr>
          <w:rFonts w:asciiTheme="majorBidi" w:eastAsia="Arial Unicode MS" w:hAnsiTheme="majorBidi" w:cstheme="majorBidi"/>
          <w:sz w:val="24"/>
          <w:szCs w:val="24"/>
          <w:bdr w:val="none" w:sz="0" w:space="0" w:color="auto" w:frame="1"/>
          <w:lang w:val="en-US"/>
        </w:rPr>
        <w:t>36: 678–687.</w:t>
      </w:r>
    </w:p>
    <w:p w14:paraId="3E4DF49C"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Hartnell, C. A., Ou, A. Y., &amp; Kinicki, A. (2011). Organizational culture and organizational effectiveness: A meta-analytic investigation of the competing values framework’s theoretical suppositions.</w:t>
      </w:r>
      <w:r w:rsidRPr="00511330">
        <w:rPr>
          <w:rFonts w:asciiTheme="majorBidi" w:hAnsiTheme="majorBidi" w:cstheme="majorBidi"/>
          <w:i/>
          <w:iCs/>
          <w:sz w:val="24"/>
          <w:szCs w:val="24"/>
        </w:rPr>
        <w:t xml:space="preserve"> Journal of Applied Psychology, </w:t>
      </w:r>
      <w:r w:rsidRPr="00511330">
        <w:rPr>
          <w:rFonts w:asciiTheme="majorBidi" w:hAnsiTheme="majorBidi" w:cstheme="majorBidi"/>
          <w:sz w:val="24"/>
          <w:szCs w:val="24"/>
        </w:rPr>
        <w:t>96(4), 677.</w:t>
      </w:r>
    </w:p>
    <w:p w14:paraId="6365C4C7"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Hassan, S., Mahsud, R., Yukl, G., &amp; Prussia, G. E. (2013). Ethical and empowering leadership and leader effectiveness. </w:t>
      </w:r>
      <w:r w:rsidRPr="00511330">
        <w:rPr>
          <w:rFonts w:asciiTheme="majorBidi" w:hAnsiTheme="majorBidi" w:cstheme="majorBidi"/>
          <w:i/>
          <w:iCs/>
          <w:sz w:val="24"/>
          <w:szCs w:val="24"/>
          <w:lang w:val="en-US"/>
        </w:rPr>
        <w:t>Journal of Managerial Psychology, 28</w:t>
      </w:r>
      <w:r w:rsidRPr="00511330">
        <w:rPr>
          <w:rFonts w:asciiTheme="majorBidi" w:hAnsiTheme="majorBidi" w:cstheme="majorBidi"/>
          <w:sz w:val="24"/>
          <w:szCs w:val="24"/>
          <w:lang w:val="en-US"/>
        </w:rPr>
        <w:t>(2), 133–146.</w:t>
      </w:r>
    </w:p>
    <w:p w14:paraId="1F23125E"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Hau, L.N., &amp; Thuy, P.N. (2016). Customer participation to co-create value in human transformative services: a study of higher education and health care services. </w:t>
      </w:r>
      <w:r w:rsidRPr="00511330">
        <w:rPr>
          <w:rFonts w:asciiTheme="majorBidi" w:hAnsiTheme="majorBidi" w:cstheme="majorBidi"/>
          <w:i/>
          <w:iCs/>
          <w:sz w:val="24"/>
          <w:szCs w:val="24"/>
          <w:lang w:val="en-US"/>
        </w:rPr>
        <w:t>Serv Bus 10</w:t>
      </w:r>
      <w:r w:rsidRPr="00511330">
        <w:rPr>
          <w:rFonts w:asciiTheme="majorBidi" w:hAnsiTheme="majorBidi" w:cstheme="majorBidi"/>
          <w:sz w:val="24"/>
          <w:szCs w:val="24"/>
          <w:lang w:val="en-US"/>
        </w:rPr>
        <w:t>(3):603–628</w:t>
      </w:r>
    </w:p>
    <w:p w14:paraId="594D18E4"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Hau, L.N., &amp; Thuy, P.N. (2017). The effects of interaction behaviors of service frontliners on customer participation in the value co-creation: a study of health care service. </w:t>
      </w:r>
      <w:r w:rsidRPr="00511330">
        <w:rPr>
          <w:rFonts w:asciiTheme="majorBidi" w:hAnsiTheme="majorBidi" w:cstheme="majorBidi"/>
          <w:i/>
          <w:iCs/>
          <w:sz w:val="24"/>
          <w:szCs w:val="24"/>
          <w:lang w:val="en-US"/>
        </w:rPr>
        <w:t>Serv Bus 11</w:t>
      </w:r>
      <w:r w:rsidRPr="00511330">
        <w:rPr>
          <w:rFonts w:asciiTheme="majorBidi" w:hAnsiTheme="majorBidi" w:cstheme="majorBidi"/>
          <w:sz w:val="24"/>
          <w:szCs w:val="24"/>
          <w:lang w:val="en-US"/>
        </w:rPr>
        <w:t>(2):253–277.</w:t>
      </w:r>
    </w:p>
    <w:p w14:paraId="04862906"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Hawken, P., Lovins, A.B., &amp; Lovins, L.H. (1999</w:t>
      </w:r>
      <w:r w:rsidRPr="00511330">
        <w:rPr>
          <w:rFonts w:asciiTheme="majorBidi" w:hAnsiTheme="majorBidi" w:cstheme="majorBidi"/>
          <w:i/>
          <w:iCs/>
          <w:sz w:val="24"/>
          <w:szCs w:val="24"/>
          <w:lang w:val="en-US"/>
        </w:rPr>
        <w:t>). Natural Capitalism: The Next Industrial Revolution</w:t>
      </w:r>
      <w:r w:rsidRPr="00511330">
        <w:rPr>
          <w:rFonts w:asciiTheme="majorBidi" w:hAnsiTheme="majorBidi" w:cstheme="majorBidi"/>
          <w:sz w:val="24"/>
          <w:szCs w:val="24"/>
          <w:lang w:val="en-US"/>
        </w:rPr>
        <w:t>. New York: Little, Brown.</w:t>
      </w:r>
    </w:p>
    <w:p w14:paraId="17DB355B"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Hertog, S., &amp; Luciani, G. (2009). Energy and sustainability policies in the GCC.</w:t>
      </w:r>
    </w:p>
    <w:p w14:paraId="76DAD377"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Hervani, A.A., Helms, M.M., &amp; Sarkis, J. (2005), </w:t>
      </w:r>
      <w:r w:rsidRPr="00511330">
        <w:rPr>
          <w:rFonts w:asciiTheme="majorBidi" w:hAnsiTheme="majorBidi" w:cstheme="majorBidi"/>
          <w:i/>
          <w:iCs/>
          <w:sz w:val="24"/>
          <w:szCs w:val="24"/>
          <w:lang w:val="en-US"/>
        </w:rPr>
        <w:t>“Performance measurement for green supply chain management”, Benchmarking: An International Journal, 12</w:t>
      </w:r>
      <w:r w:rsidRPr="00511330">
        <w:rPr>
          <w:rFonts w:asciiTheme="majorBidi" w:hAnsiTheme="majorBidi" w:cstheme="majorBidi"/>
          <w:sz w:val="24"/>
          <w:szCs w:val="24"/>
          <w:lang w:val="en-US"/>
        </w:rPr>
        <w:t xml:space="preserve"> (4), 330-353.</w:t>
      </w:r>
    </w:p>
    <w:p w14:paraId="6510764B"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Hogg, M, A., Kruglanski, A., and van den Bos, K. (2013) Uncertainty and the Roots of Extremism. </w:t>
      </w:r>
      <w:r w:rsidRPr="00511330">
        <w:rPr>
          <w:rFonts w:asciiTheme="majorBidi" w:eastAsia="Arial Unicode MS" w:hAnsiTheme="majorBidi" w:cstheme="majorBidi"/>
          <w:i/>
          <w:iCs/>
          <w:sz w:val="24"/>
          <w:szCs w:val="24"/>
          <w:bdr w:val="none" w:sz="0" w:space="0" w:color="auto" w:frame="1"/>
          <w:lang w:val="en-US"/>
        </w:rPr>
        <w:t xml:space="preserve">The Journal of Social Issues </w:t>
      </w:r>
      <w:r w:rsidRPr="00511330">
        <w:rPr>
          <w:rFonts w:asciiTheme="majorBidi" w:eastAsia="Arial Unicode MS" w:hAnsiTheme="majorBidi" w:cstheme="majorBidi"/>
          <w:sz w:val="24"/>
          <w:szCs w:val="24"/>
          <w:bdr w:val="none" w:sz="0" w:space="0" w:color="auto" w:frame="1"/>
          <w:lang w:val="en-US"/>
        </w:rPr>
        <w:t>69(3):407.</w:t>
      </w:r>
    </w:p>
    <w:p w14:paraId="160E1472"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Hu, L., &amp; Bentler, P. M. (1999). Cutoff criteria for fit indices in covariance structure analysis: Conventional criteria versus new alternatives. Structural Equation Modelling, 6, 1-55.</w:t>
      </w:r>
    </w:p>
    <w:p w14:paraId="7D819F1D"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Hudescu, L., &amp; Ilies, L. (2011). Challenges in Choosing an Effective Change Management Approach. </w:t>
      </w:r>
      <w:r w:rsidRPr="00511330">
        <w:rPr>
          <w:rFonts w:asciiTheme="majorBidi" w:hAnsiTheme="majorBidi" w:cstheme="majorBidi"/>
          <w:i/>
          <w:iCs/>
          <w:sz w:val="24"/>
          <w:szCs w:val="24"/>
          <w:lang w:val="en-US"/>
        </w:rPr>
        <w:t>Managerial Challenges of the Contemporary Society,</w:t>
      </w:r>
      <w:r w:rsidRPr="00511330">
        <w:rPr>
          <w:rFonts w:asciiTheme="majorBidi" w:hAnsiTheme="majorBidi" w:cstheme="majorBidi"/>
          <w:sz w:val="24"/>
          <w:szCs w:val="24"/>
          <w:lang w:val="en-US"/>
        </w:rPr>
        <w:t xml:space="preserve"> (2), 125-129.</w:t>
      </w:r>
    </w:p>
    <w:p w14:paraId="29C6686B"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Huq, F.A., Stevenson, M., Zorzini, &amp; M. (2014). Social sustainability in developing country suppliers: an exploratory study in the readymade garments industry of Bangladesh. </w:t>
      </w:r>
      <w:r w:rsidRPr="00511330">
        <w:rPr>
          <w:rFonts w:asciiTheme="majorBidi" w:hAnsiTheme="majorBidi" w:cstheme="majorBidi"/>
          <w:i/>
          <w:iCs/>
          <w:sz w:val="24"/>
          <w:szCs w:val="24"/>
          <w:lang w:val="en-US"/>
        </w:rPr>
        <w:t>Int. J. Oper. Prod. Manage.</w:t>
      </w:r>
      <w:r w:rsidRPr="00511330">
        <w:rPr>
          <w:rFonts w:asciiTheme="majorBidi" w:hAnsiTheme="majorBidi" w:cstheme="majorBidi"/>
          <w:sz w:val="24"/>
          <w:szCs w:val="24"/>
          <w:lang w:val="en-US"/>
        </w:rPr>
        <w:t xml:space="preserve"> 34, 610–638.</w:t>
      </w:r>
    </w:p>
    <w:p w14:paraId="6F469766"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Hyo, (2005). Organizational Structure and Internal Communication as antecedents of Employee </w:t>
      </w:r>
      <w:r w:rsidRPr="00511330">
        <w:rPr>
          <w:rFonts w:asciiTheme="majorBidi" w:hAnsiTheme="majorBidi" w:cstheme="majorBidi"/>
          <w:i/>
          <w:iCs/>
          <w:sz w:val="24"/>
          <w:szCs w:val="24"/>
        </w:rPr>
        <w:t>Organization Relationships In the Context of Organizational Justice</w:t>
      </w:r>
      <w:r w:rsidRPr="00511330">
        <w:rPr>
          <w:rFonts w:asciiTheme="majorBidi" w:hAnsiTheme="majorBidi" w:cstheme="majorBidi"/>
          <w:sz w:val="24"/>
          <w:szCs w:val="24"/>
        </w:rPr>
        <w:t xml:space="preserve">: </w:t>
      </w:r>
      <w:r w:rsidRPr="00511330">
        <w:rPr>
          <w:rFonts w:asciiTheme="majorBidi" w:hAnsiTheme="majorBidi" w:cstheme="majorBidi"/>
          <w:noProof/>
          <w:sz w:val="24"/>
          <w:szCs w:val="24"/>
        </w:rPr>
        <w:t>Multi Level</w:t>
      </w:r>
      <w:r w:rsidRPr="00511330">
        <w:rPr>
          <w:rFonts w:asciiTheme="majorBidi" w:hAnsiTheme="majorBidi" w:cstheme="majorBidi"/>
          <w:sz w:val="24"/>
          <w:szCs w:val="24"/>
        </w:rPr>
        <w:t xml:space="preserve">. University of Maryland, College Park, in partial </w:t>
      </w:r>
      <w:r w:rsidRPr="00511330">
        <w:rPr>
          <w:rFonts w:asciiTheme="majorBidi" w:hAnsiTheme="majorBidi" w:cstheme="majorBidi"/>
          <w:noProof/>
          <w:sz w:val="24"/>
          <w:szCs w:val="24"/>
        </w:rPr>
        <w:t>fulfilment</w:t>
      </w:r>
      <w:r w:rsidRPr="00511330">
        <w:rPr>
          <w:rFonts w:asciiTheme="majorBidi" w:hAnsiTheme="majorBidi" w:cstheme="majorBidi"/>
          <w:sz w:val="24"/>
          <w:szCs w:val="24"/>
        </w:rPr>
        <w:t xml:space="preserve"> of the requirements for the degree of Doctor of Philosophy 2005.</w:t>
      </w:r>
    </w:p>
    <w:p w14:paraId="068FEED4" w14:textId="21FE129C"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IEA. (2017e). The Future of Trucks – Implications for Energy and the Environment, OECD/IEA, Paris. Retrieved from: </w:t>
      </w:r>
      <w:hyperlink r:id="rId72" w:history="1">
        <w:r w:rsidR="009F1816" w:rsidRPr="00511330">
          <w:rPr>
            <w:rStyle w:val="Hyperlink"/>
            <w:rFonts w:asciiTheme="majorBidi" w:hAnsiTheme="majorBidi" w:cstheme="majorBidi"/>
            <w:sz w:val="24"/>
            <w:szCs w:val="24"/>
            <w:lang w:val="en-US"/>
          </w:rPr>
          <w:t>www.iea.org/publications/freepublications/publication/TheFutureofTrucksImplicationsforEnergyandtheEnvironment.pdf</w:t>
        </w:r>
      </w:hyperlink>
      <w:r w:rsidRPr="00511330">
        <w:rPr>
          <w:rFonts w:asciiTheme="majorBidi" w:hAnsiTheme="majorBidi" w:cstheme="majorBidi"/>
          <w:sz w:val="24"/>
          <w:szCs w:val="24"/>
          <w:lang w:val="en-US"/>
        </w:rPr>
        <w:t>.</w:t>
      </w:r>
    </w:p>
    <w:p w14:paraId="571373CD"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IEO. (2018). Presentation, P. 6, </w:t>
      </w:r>
      <w:r w:rsidRPr="00511330">
        <w:rPr>
          <w:rFonts w:asciiTheme="majorBidi" w:hAnsiTheme="majorBidi" w:cstheme="majorBidi"/>
          <w:i/>
          <w:iCs/>
          <w:sz w:val="24"/>
          <w:szCs w:val="24"/>
          <w:lang w:val="en-US"/>
        </w:rPr>
        <w:t>EIA, International Energy Outlook 2018 annual report and presentation.</w:t>
      </w:r>
    </w:p>
    <w:p w14:paraId="2DB3034C" w14:textId="55FC2CB0" w:rsidR="009F1816" w:rsidRPr="00511330" w:rsidRDefault="009F1816"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IISD </w:t>
      </w:r>
      <w:r w:rsidR="005F6780" w:rsidRPr="00511330">
        <w:rPr>
          <w:rFonts w:asciiTheme="majorBidi" w:hAnsiTheme="majorBidi" w:cstheme="majorBidi"/>
          <w:sz w:val="24"/>
          <w:szCs w:val="24"/>
        </w:rPr>
        <w:t xml:space="preserve">(International Institute for Sustainable Development) (2017), </w:t>
      </w:r>
      <w:hyperlink r:id="rId73" w:history="1">
        <w:r w:rsidR="005F6780" w:rsidRPr="00511330">
          <w:rPr>
            <w:rStyle w:val="Hyperlink"/>
            <w:rFonts w:asciiTheme="majorBidi" w:hAnsiTheme="majorBidi" w:cstheme="majorBidi"/>
            <w:sz w:val="24"/>
            <w:szCs w:val="24"/>
          </w:rPr>
          <w:t>http://www.iisd.org</w:t>
        </w:r>
      </w:hyperlink>
      <w:r w:rsidR="005F6780" w:rsidRPr="00511330">
        <w:rPr>
          <w:rFonts w:asciiTheme="majorBidi" w:hAnsiTheme="majorBidi" w:cstheme="majorBidi"/>
          <w:sz w:val="24"/>
          <w:szCs w:val="24"/>
        </w:rPr>
        <w:t>. 1. Sustainable Development [Viewed 2017-02-07].http://www.iisd.org/topic/sustainable-development</w:t>
      </w:r>
      <w:r w:rsidRPr="00511330">
        <w:rPr>
          <w:rFonts w:asciiTheme="majorBidi" w:hAnsiTheme="majorBidi" w:cstheme="majorBidi"/>
          <w:sz w:val="24"/>
          <w:szCs w:val="24"/>
        </w:rPr>
        <w:t>.</w:t>
      </w:r>
    </w:p>
    <w:p w14:paraId="6DF6A66B"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IWP. (2019). Dewa appoints consultancies for hassyan desalination IWP project. (2019). UAE Government News.</w:t>
      </w:r>
    </w:p>
    <w:p w14:paraId="41E3445A"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Jacobs, G., Witteloostuijn, A., &amp; Christe-Zeyse, J. (2013). A theoretical framework of organizational change. </w:t>
      </w:r>
      <w:r w:rsidRPr="00511330">
        <w:rPr>
          <w:rFonts w:asciiTheme="majorBidi" w:hAnsiTheme="majorBidi" w:cstheme="majorBidi"/>
          <w:i/>
          <w:iCs/>
          <w:sz w:val="24"/>
          <w:szCs w:val="24"/>
          <w:lang w:val="en-US"/>
        </w:rPr>
        <w:t>Journal of Organizational Change Management, 26</w:t>
      </w:r>
      <w:r w:rsidRPr="00511330">
        <w:rPr>
          <w:rFonts w:asciiTheme="majorBidi" w:hAnsiTheme="majorBidi" w:cstheme="majorBidi"/>
          <w:sz w:val="24"/>
          <w:szCs w:val="24"/>
          <w:lang w:val="en-US"/>
        </w:rPr>
        <w:t>(5),772 – 792.</w:t>
      </w:r>
    </w:p>
    <w:p w14:paraId="61A24466"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Jamali, D., Khoury, G., &amp; Sahyoun, H. (2006). From bureaucratic organizations to learning organizations: an evolutionary roadmap. The Learning Organization, 13(4), 337-52.</w:t>
      </w:r>
    </w:p>
    <w:p w14:paraId="777504A6"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Jamil, M., Ahmad, F., &amp; Jeon, Y. (2016). Renewable energy technologies adopted by the uae: Prospects and challenges - a comprehensive overview. </w:t>
      </w:r>
      <w:r w:rsidRPr="00511330">
        <w:rPr>
          <w:rFonts w:asciiTheme="majorBidi" w:hAnsiTheme="majorBidi" w:cstheme="majorBidi"/>
          <w:i/>
          <w:iCs/>
          <w:sz w:val="24"/>
          <w:szCs w:val="24"/>
          <w:lang w:val="en-US"/>
        </w:rPr>
        <w:t>Renewable and Sustainable Energy Reviews</w:t>
      </w:r>
      <w:r w:rsidRPr="00511330">
        <w:rPr>
          <w:rFonts w:asciiTheme="majorBidi" w:hAnsiTheme="majorBidi" w:cstheme="majorBidi"/>
          <w:sz w:val="24"/>
          <w:szCs w:val="24"/>
          <w:lang w:val="en-US"/>
        </w:rPr>
        <w:t>, 55, 1181-1194.</w:t>
      </w:r>
    </w:p>
    <w:p w14:paraId="7D4BD1CF" w14:textId="6644A4AF"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Jaros, S. J. (2010). Commitment to organizational change: A critical review. </w:t>
      </w:r>
      <w:r w:rsidRPr="00511330">
        <w:rPr>
          <w:rFonts w:asciiTheme="majorBidi" w:hAnsiTheme="majorBidi" w:cstheme="majorBidi"/>
          <w:i/>
          <w:iCs/>
          <w:sz w:val="24"/>
          <w:szCs w:val="24"/>
          <w:lang w:val="en-US"/>
        </w:rPr>
        <w:t>Journal of Change Management, 10</w:t>
      </w:r>
      <w:r w:rsidRPr="00511330">
        <w:rPr>
          <w:rFonts w:asciiTheme="majorBidi" w:hAnsiTheme="majorBidi" w:cstheme="majorBidi"/>
          <w:sz w:val="24"/>
          <w:szCs w:val="24"/>
          <w:lang w:val="en-US"/>
        </w:rPr>
        <w:t xml:space="preserve">, 79–108. </w:t>
      </w:r>
      <w:hyperlink r:id="rId74" w:history="1">
        <w:r w:rsidR="009F1816" w:rsidRPr="00511330">
          <w:rPr>
            <w:rStyle w:val="Hyperlink"/>
            <w:rFonts w:asciiTheme="majorBidi" w:hAnsiTheme="majorBidi" w:cstheme="majorBidi"/>
            <w:sz w:val="24"/>
            <w:szCs w:val="24"/>
            <w:lang w:val="en-US"/>
          </w:rPr>
          <w:t>https://doi.org/10.1080/14697010903549457</w:t>
        </w:r>
      </w:hyperlink>
    </w:p>
    <w:p w14:paraId="3EBC326C"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Jiang, J., Gao, A., &amp; Yang, B. (2018). Employees’ Critical Thinking, Leaders’ Inspirational Motivation, and Voice Behavior. Journal of Personnel Psychology.</w:t>
      </w:r>
    </w:p>
    <w:p w14:paraId="2439C930"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Johannsdottir, L., Olafsson, S., &amp; Davidsdottir, B. (2015). Leadership role and employee acceptance of change: implementing environmental sustainability strategies within Nordic insurance companies. </w:t>
      </w:r>
      <w:r w:rsidRPr="00511330">
        <w:rPr>
          <w:rFonts w:asciiTheme="majorBidi" w:hAnsiTheme="majorBidi" w:cstheme="majorBidi"/>
          <w:i/>
          <w:iCs/>
          <w:sz w:val="24"/>
          <w:szCs w:val="24"/>
          <w:lang w:val="en-US"/>
        </w:rPr>
        <w:t>Journal of Organizational Change Management</w:t>
      </w:r>
      <w:r w:rsidRPr="00511330">
        <w:rPr>
          <w:rFonts w:asciiTheme="majorBidi" w:hAnsiTheme="majorBidi" w:cstheme="majorBidi"/>
          <w:sz w:val="24"/>
          <w:szCs w:val="24"/>
          <w:lang w:val="en-US"/>
        </w:rPr>
        <w:t>, 28(1), 72–96.</w:t>
      </w:r>
    </w:p>
    <w:p w14:paraId="1CC7C9A4" w14:textId="77777777" w:rsidR="009F1816" w:rsidRPr="00511330" w:rsidRDefault="005F6780" w:rsidP="009F1816">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Jones-Schenk, J. (2019). 70% Failure Rate: An Imperative for Better Change Management. </w:t>
      </w:r>
      <w:r w:rsidRPr="00511330">
        <w:rPr>
          <w:rFonts w:asciiTheme="majorBidi" w:eastAsia="Arial Unicode MS" w:hAnsiTheme="majorBidi" w:cstheme="majorBidi"/>
          <w:i/>
          <w:iCs/>
          <w:sz w:val="24"/>
          <w:szCs w:val="24"/>
          <w:bdr w:val="none" w:sz="0" w:space="0" w:color="auto" w:frame="1"/>
          <w:lang w:val="en-US"/>
        </w:rPr>
        <w:t>The Journal of Continuing Education in Nursing</w:t>
      </w:r>
      <w:r w:rsidRPr="00511330">
        <w:rPr>
          <w:rFonts w:asciiTheme="majorBidi" w:eastAsia="Arial Unicode MS" w:hAnsiTheme="majorBidi" w:cstheme="majorBidi"/>
          <w:sz w:val="24"/>
          <w:szCs w:val="24"/>
          <w:bdr w:val="none" w:sz="0" w:space="0" w:color="auto" w:frame="1"/>
          <w:lang w:val="en-US"/>
        </w:rPr>
        <w:t xml:space="preserve">, 50. 148-149. </w:t>
      </w:r>
    </w:p>
    <w:p w14:paraId="22B2950E"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Jones, J., Firth, J., Hannibal, C., &amp;&amp; Ogunseyin, M. (2018). Factors contributing to organizational change success or failure: a qualitative meta-analysis of 200 reflective case studies. In Hamlin, R., Ellinger, A. and Jones, J. (Eds), </w:t>
      </w:r>
      <w:r w:rsidRPr="00511330">
        <w:rPr>
          <w:rFonts w:asciiTheme="majorBidi" w:hAnsiTheme="majorBidi" w:cstheme="majorBidi"/>
          <w:i/>
          <w:iCs/>
          <w:sz w:val="24"/>
          <w:szCs w:val="24"/>
          <w:lang w:val="en-US"/>
        </w:rPr>
        <w:t>Evidence-Based Initiatives for Organizational Change and Development</w:t>
      </w:r>
      <w:r w:rsidRPr="00511330">
        <w:rPr>
          <w:rFonts w:asciiTheme="majorBidi" w:hAnsiTheme="majorBidi" w:cstheme="majorBidi"/>
          <w:sz w:val="24"/>
          <w:szCs w:val="24"/>
          <w:lang w:val="en-US"/>
        </w:rPr>
        <w:t>, IGI Global, Hershey, PA, pp. 155-178. https://doi.org/ 10.4018/978-1-5225-6155-2.ch008.</w:t>
      </w:r>
    </w:p>
    <w:p w14:paraId="3CF11673"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Jones, R. A., Jimmieson, N. L., &amp; Griffiths, A. (2005). The impact of organizational culture and reshaping capabilities on change implementation success: The mediating role of readiness for change. </w:t>
      </w:r>
      <w:r w:rsidRPr="00511330">
        <w:rPr>
          <w:rFonts w:asciiTheme="majorBidi" w:hAnsiTheme="majorBidi" w:cstheme="majorBidi"/>
          <w:i/>
          <w:iCs/>
          <w:sz w:val="24"/>
          <w:szCs w:val="24"/>
          <w:lang w:val="en-US"/>
        </w:rPr>
        <w:t>Journal of Management Studies Vol. 42, No. 2</w:t>
      </w:r>
      <w:r w:rsidRPr="00511330">
        <w:rPr>
          <w:rFonts w:asciiTheme="majorBidi" w:hAnsiTheme="majorBidi" w:cstheme="majorBidi"/>
          <w:sz w:val="24"/>
          <w:szCs w:val="24"/>
          <w:lang w:val="en-US"/>
        </w:rPr>
        <w:t>, 361-387.</w:t>
      </w:r>
    </w:p>
    <w:p w14:paraId="485BFC29"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Joseph, C. (2015). </w:t>
      </w:r>
      <w:r w:rsidRPr="00511330">
        <w:rPr>
          <w:rFonts w:asciiTheme="majorBidi" w:hAnsiTheme="majorBidi" w:cstheme="majorBidi"/>
          <w:i/>
          <w:iCs/>
          <w:sz w:val="24"/>
          <w:szCs w:val="24"/>
          <w:lang w:val="en-US"/>
        </w:rPr>
        <w:t>Strategy &amp; Leadership. Emerald Group Publishing Limited, 43</w:t>
      </w:r>
      <w:r w:rsidRPr="00511330">
        <w:rPr>
          <w:rFonts w:asciiTheme="majorBidi" w:hAnsiTheme="majorBidi" w:cstheme="majorBidi"/>
          <w:sz w:val="24"/>
          <w:szCs w:val="24"/>
          <w:lang w:val="en-US"/>
        </w:rPr>
        <w:t>(1), 26-35.</w:t>
      </w:r>
    </w:p>
    <w:p w14:paraId="05AF4127"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Justin Dargin, (2010). Addressing the UAE Natural Gas Crisis: Strategies for a Rational Energy Policy. Dubai Initiative – Policy Brief. </w:t>
      </w:r>
      <w:r w:rsidRPr="00511330">
        <w:rPr>
          <w:rFonts w:asciiTheme="majorBidi" w:hAnsiTheme="majorBidi" w:cstheme="majorBidi"/>
          <w:i/>
          <w:iCs/>
          <w:sz w:val="24"/>
          <w:szCs w:val="24"/>
          <w:lang w:val="en-US"/>
        </w:rPr>
        <w:t>Better Centre for Science and International Affairs Harvard University.</w:t>
      </w:r>
    </w:p>
    <w:p w14:paraId="71D9B4B1"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Kabasakal, H., Dastmalchian, A., Karacay, G., &amp; Bayraktar, S., 2012. Leadership and culture in the MENA region: an analysis of the GLOBE project.</w:t>
      </w:r>
      <w:r w:rsidRPr="00511330">
        <w:rPr>
          <w:rFonts w:asciiTheme="majorBidi" w:hAnsiTheme="majorBidi" w:cstheme="majorBidi"/>
          <w:i/>
          <w:iCs/>
          <w:sz w:val="24"/>
          <w:szCs w:val="24"/>
          <w:lang w:val="en-US"/>
        </w:rPr>
        <w:t xml:space="preserve"> J. World Bus, 47</w:t>
      </w:r>
      <w:r w:rsidRPr="00511330">
        <w:rPr>
          <w:rFonts w:asciiTheme="majorBidi" w:hAnsiTheme="majorBidi" w:cstheme="majorBidi"/>
          <w:sz w:val="24"/>
          <w:szCs w:val="24"/>
          <w:lang w:val="en-US"/>
        </w:rPr>
        <w:t xml:space="preserve"> (4) 519–529.</w:t>
      </w:r>
    </w:p>
    <w:p w14:paraId="78273102" w14:textId="47F5F165" w:rsidR="008E0079" w:rsidRPr="00511330" w:rsidRDefault="008E0079"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Kacso-Vidrean, Lorand (2018). "Change Management Aspects in Solar Energy Implementation." </w:t>
      </w:r>
      <w:r w:rsidRPr="00511330">
        <w:rPr>
          <w:rFonts w:asciiTheme="majorBidi" w:hAnsiTheme="majorBidi" w:cstheme="majorBidi"/>
          <w:i/>
          <w:iCs/>
          <w:sz w:val="24"/>
          <w:szCs w:val="24"/>
        </w:rPr>
        <w:t>Procedia-Social and Behavioral Sciences</w:t>
      </w:r>
      <w:r w:rsidRPr="00511330">
        <w:rPr>
          <w:rFonts w:asciiTheme="majorBidi" w:hAnsiTheme="majorBidi" w:cstheme="majorBidi"/>
          <w:sz w:val="24"/>
          <w:szCs w:val="24"/>
        </w:rPr>
        <w:t xml:space="preserve"> 238 (2018): 432-441.</w:t>
      </w:r>
    </w:p>
    <w:p w14:paraId="2CB7F60A"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Kailash J. (2005). Understanding User Resistance and Acceptance during the Implementation of an Order Management System: A Case Study Using the </w:t>
      </w:r>
      <w:r w:rsidRPr="00511330">
        <w:rPr>
          <w:rFonts w:asciiTheme="majorBidi" w:hAnsiTheme="majorBidi" w:cstheme="majorBidi"/>
          <w:sz w:val="24"/>
          <w:szCs w:val="24"/>
          <w:lang w:val="en-US"/>
        </w:rPr>
        <w:lastRenderedPageBreak/>
        <w:t xml:space="preserve">Equity Implementation Model, </w:t>
      </w:r>
      <w:r w:rsidRPr="00511330">
        <w:rPr>
          <w:rFonts w:asciiTheme="majorBidi" w:hAnsiTheme="majorBidi" w:cstheme="majorBidi"/>
          <w:i/>
          <w:iCs/>
          <w:sz w:val="24"/>
          <w:szCs w:val="24"/>
          <w:lang w:val="en-US"/>
        </w:rPr>
        <w:t>Journal of Information Technology Case and Application Research,</w:t>
      </w:r>
      <w:r w:rsidRPr="00511330">
        <w:rPr>
          <w:rFonts w:asciiTheme="majorBidi" w:hAnsiTheme="majorBidi" w:cstheme="majorBidi"/>
          <w:sz w:val="24"/>
          <w:szCs w:val="24"/>
          <w:lang w:val="en-US"/>
        </w:rPr>
        <w:t xml:space="preserve"> </w:t>
      </w:r>
      <w:r w:rsidRPr="00511330">
        <w:rPr>
          <w:rFonts w:asciiTheme="majorBidi" w:hAnsiTheme="majorBidi" w:cstheme="majorBidi"/>
          <w:i/>
          <w:iCs/>
          <w:sz w:val="24"/>
          <w:szCs w:val="24"/>
          <w:lang w:val="en-US"/>
        </w:rPr>
        <w:t>7</w:t>
      </w:r>
      <w:r w:rsidRPr="00511330">
        <w:rPr>
          <w:rFonts w:asciiTheme="majorBidi" w:hAnsiTheme="majorBidi" w:cstheme="majorBidi"/>
          <w:sz w:val="24"/>
          <w:szCs w:val="24"/>
          <w:lang w:val="en-US"/>
        </w:rPr>
        <w:t>(1), 6-20.</w:t>
      </w:r>
    </w:p>
    <w:p w14:paraId="25D8C902"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Kanter, R.M. (1989).  When giants learn to dance. NY: Touchstone.</w:t>
      </w:r>
    </w:p>
    <w:p w14:paraId="523D16F6"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Karacay, G., Bayraktar, S., Kabasakal, H., &amp; Dastmalchian, A. (2019). Role of leaders as agents of negotiation for counterbalancing cultural dissonance in the middle east and north africa region</w:t>
      </w:r>
      <w:r w:rsidRPr="00511330">
        <w:rPr>
          <w:rFonts w:asciiTheme="majorBidi" w:eastAsia="Arial Unicode MS" w:hAnsiTheme="majorBidi" w:cstheme="majorBidi"/>
          <w:i/>
          <w:iCs/>
          <w:sz w:val="24"/>
          <w:szCs w:val="24"/>
          <w:bdr w:val="none" w:sz="0" w:space="0" w:color="auto" w:frame="1"/>
          <w:lang w:val="en-US"/>
        </w:rPr>
        <w:t>. Journal of International Management</w:t>
      </w:r>
      <w:r w:rsidRPr="00511330">
        <w:rPr>
          <w:rFonts w:asciiTheme="majorBidi" w:eastAsia="Arial Unicode MS" w:hAnsiTheme="majorBidi" w:cstheme="majorBidi"/>
          <w:sz w:val="24"/>
          <w:szCs w:val="24"/>
          <w:bdr w:val="none" w:sz="0" w:space="0" w:color="auto" w:frame="1"/>
          <w:lang w:val="en-US"/>
        </w:rPr>
        <w:t>, 25(4).</w:t>
      </w:r>
    </w:p>
    <w:p w14:paraId="5062C6B0"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Karacay, G., Ertenü, B., &amp; Kabasakal, H. (2018). Follower gender and authentic leadership: perspectives from the Middle East. In: Cotter-Lockard, D. (Ed.), </w:t>
      </w:r>
      <w:r w:rsidRPr="00511330">
        <w:rPr>
          <w:rFonts w:asciiTheme="majorBidi" w:eastAsia="Arial Unicode MS" w:hAnsiTheme="majorBidi" w:cstheme="majorBidi"/>
          <w:i/>
          <w:iCs/>
          <w:sz w:val="24"/>
          <w:szCs w:val="24"/>
          <w:bdr w:val="none" w:sz="0" w:space="0" w:color="auto" w:frame="1"/>
          <w:lang w:val="en-US"/>
        </w:rPr>
        <w:t>Authentic Leadership and Followership. Palgrave Studies in Leadership and Followership</w:t>
      </w:r>
      <w:r w:rsidRPr="00511330">
        <w:rPr>
          <w:rFonts w:asciiTheme="majorBidi" w:eastAsia="Arial Unicode MS" w:hAnsiTheme="majorBidi" w:cstheme="majorBidi"/>
          <w:sz w:val="24"/>
          <w:szCs w:val="24"/>
          <w:bdr w:val="none" w:sz="0" w:space="0" w:color="auto" w:frame="1"/>
          <w:lang w:val="en-US"/>
        </w:rPr>
        <w:t>. Palgrave Macmillan, Cham.</w:t>
      </w:r>
    </w:p>
    <w:p w14:paraId="2A5946AB"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Karahanna, E., &amp; Polites, G. L. (2012). Shackled To The Status Quo: The Inhibiting Effects Of Incumbent System Habit, Switching Costs, And Inertia On New System Acceptance. </w:t>
      </w:r>
      <w:r w:rsidRPr="00511330">
        <w:rPr>
          <w:rFonts w:asciiTheme="majorBidi" w:hAnsiTheme="majorBidi" w:cstheme="majorBidi"/>
          <w:i/>
          <w:iCs/>
          <w:sz w:val="24"/>
          <w:szCs w:val="24"/>
          <w:lang w:val="en-US"/>
        </w:rPr>
        <w:t>MIS Quarterly, 36</w:t>
      </w:r>
      <w:r w:rsidRPr="00511330">
        <w:rPr>
          <w:rFonts w:asciiTheme="majorBidi" w:hAnsiTheme="majorBidi" w:cstheme="majorBidi"/>
          <w:sz w:val="24"/>
          <w:szCs w:val="24"/>
          <w:lang w:val="en-US"/>
        </w:rPr>
        <w:t>(1), 21–42.</w:t>
      </w:r>
    </w:p>
    <w:p w14:paraId="3E845038"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Kassem, R., &amp; Abu Dhabi University. College of Business Administration. (2016). Assessing the impact of organizational culture on achieving business excellence with a moderating role for information and communication technology (</w:t>
      </w:r>
      <w:r w:rsidRPr="00511330">
        <w:rPr>
          <w:rFonts w:asciiTheme="majorBidi" w:eastAsia="Arial Unicode MS" w:hAnsiTheme="majorBidi" w:cstheme="majorBidi"/>
          <w:i/>
          <w:iCs/>
          <w:sz w:val="24"/>
          <w:szCs w:val="24"/>
          <w:bdr w:val="none" w:sz="0" w:space="0" w:color="auto" w:frame="1"/>
          <w:lang w:val="en-US"/>
        </w:rPr>
        <w:t>Doctoral dissertation, Abu Dhabi University</w:t>
      </w:r>
      <w:r w:rsidRPr="00511330">
        <w:rPr>
          <w:rFonts w:asciiTheme="majorBidi" w:eastAsia="Arial Unicode MS" w:hAnsiTheme="majorBidi" w:cstheme="majorBidi"/>
          <w:sz w:val="24"/>
          <w:szCs w:val="24"/>
          <w:bdr w:val="none" w:sz="0" w:space="0" w:color="auto" w:frame="1"/>
          <w:lang w:val="en-US"/>
        </w:rPr>
        <w:t>, 2016). ADU.</w:t>
      </w:r>
    </w:p>
    <w:p w14:paraId="24BC0EC3"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Kim, H.-W., &amp; Kankanhalli, A. (2009). Investigating User Resistance To Information Systems Implementation: A Status Quo Bias Perspective. </w:t>
      </w:r>
      <w:r w:rsidRPr="00511330">
        <w:rPr>
          <w:rFonts w:asciiTheme="majorBidi" w:hAnsiTheme="majorBidi" w:cstheme="majorBidi"/>
          <w:i/>
          <w:iCs/>
          <w:sz w:val="24"/>
          <w:szCs w:val="24"/>
          <w:lang w:val="en-US"/>
        </w:rPr>
        <w:t>MIS Quarterly, 33</w:t>
      </w:r>
      <w:r w:rsidRPr="00511330">
        <w:rPr>
          <w:rFonts w:asciiTheme="majorBidi" w:hAnsiTheme="majorBidi" w:cstheme="majorBidi"/>
          <w:sz w:val="24"/>
          <w:szCs w:val="24"/>
          <w:lang w:val="en-US"/>
        </w:rPr>
        <w:t>(3), 567–582.</w:t>
      </w:r>
    </w:p>
    <w:p w14:paraId="772CCD6D"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Kiruja, E. K., &amp; Mukuru, E. (2018). Effect of motivation on employee performance in public middle level Technical Training Institutions in Kenya. </w:t>
      </w:r>
      <w:r w:rsidRPr="00511330">
        <w:rPr>
          <w:rFonts w:asciiTheme="majorBidi" w:hAnsiTheme="majorBidi" w:cstheme="majorBidi"/>
          <w:i/>
          <w:iCs/>
          <w:sz w:val="24"/>
          <w:szCs w:val="24"/>
          <w:lang w:val="en-US"/>
        </w:rPr>
        <w:t>IJAME.</w:t>
      </w:r>
    </w:p>
    <w:p w14:paraId="5AD52DEE"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Kitchen, P.J., &amp; Schultz, D.E. (2003). Integrated corporate and product brand communication. </w:t>
      </w:r>
      <w:r w:rsidRPr="00511330">
        <w:rPr>
          <w:rFonts w:asciiTheme="majorBidi" w:hAnsiTheme="majorBidi" w:cstheme="majorBidi"/>
          <w:i/>
          <w:iCs/>
          <w:sz w:val="24"/>
          <w:szCs w:val="24"/>
          <w:lang w:val="en-US"/>
        </w:rPr>
        <w:t>Advances in Competitiveness Research, 11</w:t>
      </w:r>
      <w:r w:rsidRPr="00511330">
        <w:rPr>
          <w:rFonts w:asciiTheme="majorBidi" w:hAnsiTheme="majorBidi" w:cstheme="majorBidi"/>
          <w:sz w:val="24"/>
          <w:szCs w:val="24"/>
          <w:lang w:val="en-US"/>
        </w:rPr>
        <w:t>(1), 66-86.</w:t>
      </w:r>
    </w:p>
    <w:p w14:paraId="2F11D032"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Kleindorfer, P.R., Singhal, K., &amp; van Wassenhove, L.N. (2005). Sustainable operations management. </w:t>
      </w:r>
      <w:r w:rsidRPr="00511330">
        <w:rPr>
          <w:rFonts w:asciiTheme="majorBidi" w:hAnsiTheme="majorBidi" w:cstheme="majorBidi"/>
          <w:i/>
          <w:iCs/>
          <w:sz w:val="24"/>
          <w:szCs w:val="24"/>
          <w:lang w:val="en-US"/>
        </w:rPr>
        <w:t>Production and Operations Management 14</w:t>
      </w:r>
      <w:r w:rsidRPr="00511330">
        <w:rPr>
          <w:rFonts w:asciiTheme="majorBidi" w:hAnsiTheme="majorBidi" w:cstheme="majorBidi"/>
          <w:sz w:val="24"/>
          <w:szCs w:val="24"/>
          <w:lang w:val="en-US"/>
        </w:rPr>
        <w:t xml:space="preserve"> (4), 482–492.</w:t>
      </w:r>
    </w:p>
    <w:p w14:paraId="44CF74F7"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Kotter, J. P. (1990b). </w:t>
      </w:r>
      <w:r w:rsidRPr="00511330">
        <w:rPr>
          <w:rFonts w:asciiTheme="majorBidi" w:hAnsiTheme="majorBidi" w:cstheme="majorBidi"/>
          <w:i/>
          <w:iCs/>
          <w:sz w:val="24"/>
          <w:szCs w:val="24"/>
          <w:lang w:val="en-US"/>
        </w:rPr>
        <w:t>A Force for Change: How Leadership Differs from Management</w:t>
      </w:r>
      <w:r w:rsidRPr="00511330">
        <w:rPr>
          <w:rFonts w:asciiTheme="majorBidi" w:hAnsiTheme="majorBidi" w:cstheme="majorBidi"/>
          <w:sz w:val="24"/>
          <w:szCs w:val="24"/>
          <w:lang w:val="en-US"/>
        </w:rPr>
        <w:t>. New York: Free Press.</w:t>
      </w:r>
    </w:p>
    <w:p w14:paraId="71B6D3CA"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Kotter, J. P. (1990b) A Force for Change: How Leadership Differs from Management, Free Press, New York. Kotter, J. P. (1995a) ‘Leading Change’, </w:t>
      </w:r>
      <w:r w:rsidRPr="00511330">
        <w:rPr>
          <w:rFonts w:asciiTheme="majorBidi" w:hAnsiTheme="majorBidi" w:cstheme="majorBidi"/>
          <w:i/>
          <w:iCs/>
          <w:sz w:val="24"/>
          <w:szCs w:val="24"/>
        </w:rPr>
        <w:t>Harvard Business Review</w:t>
      </w:r>
      <w:r w:rsidRPr="00511330">
        <w:rPr>
          <w:rFonts w:asciiTheme="majorBidi" w:hAnsiTheme="majorBidi" w:cstheme="majorBidi"/>
          <w:sz w:val="24"/>
          <w:szCs w:val="24"/>
        </w:rPr>
        <w:t>, March–April.</w:t>
      </w:r>
    </w:p>
    <w:p w14:paraId="47F1EDA9"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Kotter, J. P. (1995a). </w:t>
      </w:r>
      <w:r w:rsidRPr="00511330">
        <w:rPr>
          <w:rFonts w:asciiTheme="majorBidi" w:hAnsiTheme="majorBidi" w:cstheme="majorBidi"/>
          <w:i/>
          <w:iCs/>
          <w:sz w:val="24"/>
          <w:szCs w:val="24"/>
          <w:lang w:val="en-US"/>
        </w:rPr>
        <w:t>Leading Change.</w:t>
      </w:r>
      <w:r w:rsidRPr="00511330">
        <w:rPr>
          <w:rFonts w:asciiTheme="majorBidi" w:hAnsiTheme="majorBidi" w:cstheme="majorBidi"/>
          <w:sz w:val="24"/>
          <w:szCs w:val="24"/>
          <w:lang w:val="en-US"/>
        </w:rPr>
        <w:t xml:space="preserve"> Boston, MA: Harvard Business Review.</w:t>
      </w:r>
    </w:p>
    <w:p w14:paraId="02D4C856"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Kotter, J. P. (1995b) The New Rules: How to Succeed in Today’s Post-Corporate World, </w:t>
      </w:r>
      <w:r w:rsidRPr="00511330">
        <w:rPr>
          <w:rFonts w:asciiTheme="majorBidi" w:hAnsiTheme="majorBidi" w:cstheme="majorBidi"/>
          <w:i/>
          <w:iCs/>
          <w:sz w:val="24"/>
          <w:szCs w:val="24"/>
        </w:rPr>
        <w:t>Free Press</w:t>
      </w:r>
      <w:r w:rsidRPr="00511330">
        <w:rPr>
          <w:rFonts w:asciiTheme="majorBidi" w:hAnsiTheme="majorBidi" w:cstheme="majorBidi"/>
          <w:sz w:val="24"/>
          <w:szCs w:val="24"/>
        </w:rPr>
        <w:t>, New York.</w:t>
      </w:r>
    </w:p>
    <w:p w14:paraId="5A78D1B8" w14:textId="77777777" w:rsidR="008E0079" w:rsidRPr="00511330" w:rsidRDefault="008E0079"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Kotter’s 1996 change model. </w:t>
      </w:r>
      <w:r w:rsidRPr="00511330">
        <w:rPr>
          <w:rFonts w:asciiTheme="majorBidi" w:hAnsiTheme="majorBidi" w:cstheme="majorBidi"/>
          <w:i/>
          <w:iCs/>
          <w:sz w:val="24"/>
          <w:szCs w:val="24"/>
        </w:rPr>
        <w:t xml:space="preserve">Journal of Management </w:t>
      </w:r>
      <w:r w:rsidRPr="00511330">
        <w:rPr>
          <w:rFonts w:asciiTheme="majorBidi" w:hAnsiTheme="majorBidi" w:cstheme="majorBidi"/>
          <w:sz w:val="24"/>
          <w:szCs w:val="24"/>
        </w:rPr>
        <w:t>Development, 31, 764-782. doi:10.1108/02621711211253231.</w:t>
      </w:r>
    </w:p>
    <w:p w14:paraId="2DE07704"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Kotter, J. P. (2008). </w:t>
      </w:r>
      <w:r w:rsidRPr="00511330">
        <w:rPr>
          <w:rFonts w:asciiTheme="majorBidi" w:hAnsiTheme="majorBidi" w:cstheme="majorBidi"/>
          <w:i/>
          <w:iCs/>
          <w:sz w:val="24"/>
          <w:szCs w:val="24"/>
          <w:lang w:val="en-US"/>
        </w:rPr>
        <w:t>A sense of urgency</w:t>
      </w:r>
      <w:r w:rsidRPr="00511330">
        <w:rPr>
          <w:rFonts w:asciiTheme="majorBidi" w:hAnsiTheme="majorBidi" w:cstheme="majorBidi"/>
          <w:sz w:val="24"/>
          <w:szCs w:val="24"/>
          <w:lang w:val="en-US"/>
        </w:rPr>
        <w:t>. Boston, MA: Harvard Business Press.</w:t>
      </w:r>
    </w:p>
    <w:p w14:paraId="667F32A7" w14:textId="77777777" w:rsidR="008E0079" w:rsidRPr="00511330" w:rsidRDefault="008E0079"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Kotter, J.P., Schlesinger, L.A. (2008). Choosing Strategies for Change. </w:t>
      </w:r>
      <w:r w:rsidRPr="00511330">
        <w:rPr>
          <w:rFonts w:asciiTheme="majorBidi" w:hAnsiTheme="majorBidi" w:cstheme="majorBidi"/>
          <w:i/>
          <w:iCs/>
          <w:sz w:val="24"/>
          <w:szCs w:val="24"/>
          <w:lang w:val="en-US"/>
        </w:rPr>
        <w:t>Harvard Business Review</w:t>
      </w:r>
      <w:r w:rsidRPr="00511330">
        <w:rPr>
          <w:rFonts w:asciiTheme="majorBidi" w:hAnsiTheme="majorBidi" w:cstheme="majorBidi"/>
          <w:sz w:val="24"/>
          <w:szCs w:val="24"/>
          <w:lang w:val="en-US"/>
        </w:rPr>
        <w:t>, 86(7/8), 130–139.</w:t>
      </w:r>
    </w:p>
    <w:p w14:paraId="071EDD38"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Kovel, J. (1999). The Justifiers: A Critique of Julian Simon, Stephan Schmidheiny, and Paul Hawken on Capitalism and Nature. Capitalism, Nature, </w:t>
      </w:r>
      <w:r w:rsidRPr="00511330">
        <w:rPr>
          <w:rFonts w:asciiTheme="majorBidi" w:hAnsiTheme="majorBidi" w:cstheme="majorBidi"/>
          <w:i/>
          <w:iCs/>
          <w:sz w:val="24"/>
          <w:szCs w:val="24"/>
          <w:lang w:val="en-US"/>
        </w:rPr>
        <w:t>Socialism 10</w:t>
      </w:r>
      <w:r w:rsidRPr="00511330">
        <w:rPr>
          <w:rFonts w:asciiTheme="majorBidi" w:hAnsiTheme="majorBidi" w:cstheme="majorBidi"/>
          <w:sz w:val="24"/>
          <w:szCs w:val="24"/>
          <w:lang w:val="en-US"/>
        </w:rPr>
        <w:t>(3):3–36.</w:t>
      </w:r>
    </w:p>
    <w:p w14:paraId="51FE097C" w14:textId="77777777" w:rsidR="008E0079" w:rsidRPr="00511330" w:rsidRDefault="008E0079"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Kraft, A., Sparr, J., &amp; Peus, C. (2018). Giving and making sense about change: The back and forth between leaders and employees. </w:t>
      </w:r>
      <w:r w:rsidRPr="00511330">
        <w:rPr>
          <w:rFonts w:asciiTheme="majorBidi" w:hAnsiTheme="majorBidi" w:cstheme="majorBidi"/>
          <w:i/>
          <w:iCs/>
          <w:sz w:val="24"/>
          <w:szCs w:val="24"/>
          <w:lang w:val="en-US"/>
        </w:rPr>
        <w:t>Journal of Business and Psychology, 33</w:t>
      </w:r>
      <w:r w:rsidRPr="00511330">
        <w:rPr>
          <w:rFonts w:asciiTheme="majorBidi" w:hAnsiTheme="majorBidi" w:cstheme="majorBidi"/>
          <w:sz w:val="24"/>
          <w:szCs w:val="24"/>
          <w:lang w:val="en-US"/>
        </w:rPr>
        <w:t>(1), 71-87. doi:10.1007/s10869-016-9474-5.</w:t>
      </w:r>
    </w:p>
    <w:p w14:paraId="180574B8"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Krane, J. (2014). An Expensive Diversion: Abu Dhabi's Renewable Energy Investments Amid a Context of Challenging Demand.</w:t>
      </w:r>
    </w:p>
    <w:p w14:paraId="1DE0D483" w14:textId="14EF8AD4" w:rsidR="005F6780"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Krupa, J. R. (2019). </w:t>
      </w:r>
      <w:r w:rsidRPr="00511330">
        <w:rPr>
          <w:rFonts w:asciiTheme="majorBidi" w:hAnsiTheme="majorBidi" w:cstheme="majorBidi"/>
          <w:i/>
          <w:iCs/>
          <w:sz w:val="24"/>
          <w:szCs w:val="24"/>
        </w:rPr>
        <w:t>The Intersection of Renewable Energy Finance and Governance: Solutions to the Multi-trillion Dollar Challenges</w:t>
      </w:r>
      <w:r w:rsidRPr="00511330">
        <w:rPr>
          <w:rFonts w:asciiTheme="majorBidi" w:hAnsiTheme="majorBidi" w:cstheme="majorBidi"/>
          <w:sz w:val="24"/>
          <w:szCs w:val="24"/>
        </w:rPr>
        <w:t xml:space="preserve"> (Doctoral dissertation).</w:t>
      </w:r>
    </w:p>
    <w:p w14:paraId="794A13F6" w14:textId="77777777" w:rsidR="008E0079" w:rsidRPr="00511330" w:rsidRDefault="008E0079"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Kurland, N. B., &amp; Pelled, L. S. (2000). Passing the word: Toward a model of gossip and power in the workplace</w:t>
      </w:r>
      <w:r w:rsidRPr="00511330">
        <w:rPr>
          <w:rFonts w:asciiTheme="majorBidi" w:hAnsiTheme="majorBidi" w:cstheme="majorBidi"/>
          <w:i/>
          <w:iCs/>
          <w:sz w:val="24"/>
          <w:szCs w:val="24"/>
          <w:lang w:val="en-US"/>
        </w:rPr>
        <w:t>. Academy of Management Review</w:t>
      </w:r>
      <w:r w:rsidRPr="00511330">
        <w:rPr>
          <w:rFonts w:asciiTheme="majorBidi" w:hAnsiTheme="majorBidi" w:cstheme="majorBidi"/>
          <w:sz w:val="24"/>
          <w:szCs w:val="24"/>
          <w:lang w:val="en-US"/>
        </w:rPr>
        <w:t>, 25, 428-438.</w:t>
      </w:r>
    </w:p>
    <w:p w14:paraId="5416072A"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Lebcir, M. (2006). A framework for project complexity in new product development (NPD) projects.</w:t>
      </w:r>
    </w:p>
    <w:p w14:paraId="326840E9"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Ledger, A., Edwards, J., &amp; Morley, M. (2013). A change management perspective on the introduction of music therapy to interprofessional teams. </w:t>
      </w:r>
      <w:r w:rsidRPr="00511330">
        <w:rPr>
          <w:rFonts w:asciiTheme="majorBidi" w:hAnsiTheme="majorBidi" w:cstheme="majorBidi"/>
          <w:i/>
          <w:iCs/>
          <w:sz w:val="24"/>
          <w:szCs w:val="24"/>
          <w:lang w:val="en-US"/>
        </w:rPr>
        <w:t>Journal of Health Organization and Management,</w:t>
      </w:r>
      <w:r w:rsidRPr="00511330">
        <w:rPr>
          <w:rFonts w:asciiTheme="majorBidi" w:hAnsiTheme="majorBidi" w:cstheme="majorBidi"/>
          <w:sz w:val="24"/>
          <w:szCs w:val="24"/>
          <w:lang w:val="en-US"/>
        </w:rPr>
        <w:t xml:space="preserve"> 27(6), 714-32. </w:t>
      </w:r>
    </w:p>
    <w:p w14:paraId="3425478B"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Lee. M.D.P. (2008). A review of the theories of corporate social responsibility: its evolutionary path and the road ahead. </w:t>
      </w:r>
      <w:r w:rsidRPr="00511330">
        <w:rPr>
          <w:rFonts w:asciiTheme="majorBidi" w:hAnsiTheme="majorBidi" w:cstheme="majorBidi"/>
          <w:i/>
          <w:iCs/>
          <w:sz w:val="24"/>
          <w:szCs w:val="24"/>
          <w:lang w:val="en-US"/>
        </w:rPr>
        <w:t>Int J Manag Rev,</w:t>
      </w:r>
      <w:r w:rsidRPr="00511330">
        <w:rPr>
          <w:rFonts w:asciiTheme="majorBidi" w:hAnsiTheme="majorBidi" w:cstheme="majorBidi"/>
          <w:sz w:val="24"/>
          <w:szCs w:val="24"/>
          <w:lang w:val="en-US"/>
        </w:rPr>
        <w:t xml:space="preserve"> 10:53–73.</w:t>
      </w:r>
    </w:p>
    <w:p w14:paraId="317BCDB2"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Leonard, L.N.K. and Cronan, T.P. (2002), “A study of the value and impact of electronic commerce: electronic versus traditional replenishment in supply chains”, </w:t>
      </w:r>
      <w:r w:rsidRPr="00511330">
        <w:rPr>
          <w:rFonts w:asciiTheme="majorBidi" w:hAnsiTheme="majorBidi" w:cstheme="majorBidi"/>
          <w:i/>
          <w:iCs/>
          <w:sz w:val="24"/>
          <w:szCs w:val="24"/>
        </w:rPr>
        <w:t>Journal of Organizational Computing and Electronic Commerce, Vol. 12</w:t>
      </w:r>
      <w:r w:rsidRPr="00511330">
        <w:rPr>
          <w:rFonts w:asciiTheme="majorBidi" w:hAnsiTheme="majorBidi" w:cstheme="majorBidi"/>
          <w:sz w:val="24"/>
          <w:szCs w:val="24"/>
        </w:rPr>
        <w:t xml:space="preserve"> No. 4, pp. 307-28.</w:t>
      </w:r>
    </w:p>
    <w:p w14:paraId="478B61D9"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Levasseur, R.E. (2001). People skills: change management tools – Lewin’s change model, </w:t>
      </w:r>
      <w:r w:rsidRPr="00511330">
        <w:rPr>
          <w:rFonts w:asciiTheme="majorBidi" w:hAnsiTheme="majorBidi" w:cstheme="majorBidi"/>
          <w:i/>
          <w:iCs/>
          <w:sz w:val="24"/>
          <w:szCs w:val="24"/>
          <w:lang w:val="en-US"/>
        </w:rPr>
        <w:t>Interfaces,31</w:t>
      </w:r>
      <w:r w:rsidRPr="00511330">
        <w:rPr>
          <w:rFonts w:asciiTheme="majorBidi" w:hAnsiTheme="majorBidi" w:cstheme="majorBidi"/>
          <w:sz w:val="24"/>
          <w:szCs w:val="24"/>
          <w:lang w:val="en-US"/>
        </w:rPr>
        <w:t>(4),71-83.</w:t>
      </w:r>
    </w:p>
    <w:p w14:paraId="00D00BA9"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Levin, I. M. (2000). Vision revisited: Telling the story of the future. </w:t>
      </w:r>
      <w:r w:rsidRPr="00511330">
        <w:rPr>
          <w:rFonts w:asciiTheme="majorBidi" w:hAnsiTheme="majorBidi" w:cstheme="majorBidi"/>
          <w:i/>
          <w:iCs/>
          <w:sz w:val="24"/>
          <w:szCs w:val="24"/>
          <w:lang w:val="en-US"/>
        </w:rPr>
        <w:t>Journal of Applied Behavioral Science, 36</w:t>
      </w:r>
      <w:r w:rsidRPr="00511330">
        <w:rPr>
          <w:rFonts w:asciiTheme="majorBidi" w:hAnsiTheme="majorBidi" w:cstheme="majorBidi"/>
          <w:sz w:val="24"/>
          <w:szCs w:val="24"/>
          <w:lang w:val="en-US"/>
        </w:rPr>
        <w:t>(1), 91–107.</w:t>
      </w:r>
    </w:p>
    <w:p w14:paraId="5DA53864"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Lewis, L. K., Schmisseur, A. M., Stephens, K. K., &amp; Wier, K. (2006). Advice on communicating during organizational change. </w:t>
      </w:r>
      <w:r w:rsidRPr="00511330">
        <w:rPr>
          <w:rFonts w:asciiTheme="majorBidi" w:hAnsiTheme="majorBidi" w:cstheme="majorBidi"/>
          <w:i/>
          <w:iCs/>
          <w:sz w:val="24"/>
          <w:szCs w:val="24"/>
          <w:lang w:val="en-US"/>
        </w:rPr>
        <w:t>Journal of Business Communication, 43</w:t>
      </w:r>
      <w:r w:rsidRPr="00511330">
        <w:rPr>
          <w:rFonts w:asciiTheme="majorBidi" w:hAnsiTheme="majorBidi" w:cstheme="majorBidi"/>
          <w:sz w:val="24"/>
          <w:szCs w:val="24"/>
          <w:lang w:val="en-US"/>
        </w:rPr>
        <w:t>, 113-137.</w:t>
      </w:r>
    </w:p>
    <w:p w14:paraId="4093CFB6"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Lewis, L.K. (2011). Organizational Change: </w:t>
      </w:r>
      <w:r w:rsidRPr="00511330">
        <w:rPr>
          <w:rFonts w:asciiTheme="majorBidi" w:hAnsiTheme="majorBidi" w:cstheme="majorBidi"/>
          <w:i/>
          <w:iCs/>
          <w:sz w:val="24"/>
          <w:szCs w:val="24"/>
          <w:lang w:val="en-US"/>
        </w:rPr>
        <w:t xml:space="preserve">Creating Change through Strategic Communication. </w:t>
      </w:r>
      <w:r w:rsidRPr="00511330">
        <w:rPr>
          <w:rFonts w:asciiTheme="majorBidi" w:hAnsiTheme="majorBidi" w:cstheme="majorBidi"/>
          <w:sz w:val="24"/>
          <w:szCs w:val="24"/>
          <w:lang w:val="en-US"/>
        </w:rPr>
        <w:t>West Sussex: John Wiley &amp; Sons.</w:t>
      </w:r>
    </w:p>
    <w:p w14:paraId="243E3661"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Lilliestam, J., &amp; Patt, A. (2015). Barriers, risks and policies for renewables in the Gulf states. </w:t>
      </w:r>
      <w:r w:rsidRPr="00511330">
        <w:rPr>
          <w:rFonts w:asciiTheme="majorBidi" w:hAnsiTheme="majorBidi" w:cstheme="majorBidi"/>
          <w:i/>
          <w:iCs/>
          <w:sz w:val="24"/>
          <w:szCs w:val="24"/>
          <w:lang w:val="en-US"/>
        </w:rPr>
        <w:t>Energies, 8</w:t>
      </w:r>
      <w:r w:rsidRPr="00511330">
        <w:rPr>
          <w:rFonts w:asciiTheme="majorBidi" w:hAnsiTheme="majorBidi" w:cstheme="majorBidi"/>
          <w:sz w:val="24"/>
          <w:szCs w:val="24"/>
          <w:lang w:val="en-US"/>
        </w:rPr>
        <w:t>(8), 8263-8285.</w:t>
      </w:r>
    </w:p>
    <w:p w14:paraId="3070949F"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Lillrank (2001). Product/process culture and change management in complex organizations</w:t>
      </w:r>
      <w:r w:rsidRPr="00511330">
        <w:rPr>
          <w:rFonts w:asciiTheme="majorBidi" w:hAnsiTheme="majorBidi" w:cstheme="majorBidi"/>
          <w:i/>
          <w:iCs/>
          <w:sz w:val="24"/>
          <w:szCs w:val="24"/>
          <w:lang w:val="en-US"/>
        </w:rPr>
        <w:t>. Int. J. Technology Management,</w:t>
      </w:r>
      <w:r w:rsidRPr="00511330">
        <w:rPr>
          <w:rFonts w:asciiTheme="majorBidi" w:hAnsiTheme="majorBidi" w:cstheme="majorBidi"/>
          <w:sz w:val="24"/>
          <w:szCs w:val="24"/>
          <w:lang w:val="en-US"/>
        </w:rPr>
        <w:t xml:space="preserve"> 22(1/2/3).</w:t>
      </w:r>
    </w:p>
    <w:p w14:paraId="13A4A5BA"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Lines, R. (2004). Influences of participation in strategic change: resistance, organizational commitment </w:t>
      </w:r>
      <w:r w:rsidRPr="00511330">
        <w:rPr>
          <w:rFonts w:asciiTheme="majorBidi" w:eastAsia="Arial Unicode MS" w:hAnsiTheme="majorBidi" w:cstheme="majorBidi"/>
          <w:noProof/>
          <w:sz w:val="24"/>
          <w:szCs w:val="24"/>
          <w:bdr w:val="none" w:sz="0" w:space="0" w:color="auto" w:frame="1"/>
          <w:lang w:val="en-US"/>
        </w:rPr>
        <w:t>and</w:t>
      </w:r>
      <w:r w:rsidRPr="00511330">
        <w:rPr>
          <w:rFonts w:asciiTheme="majorBidi" w:eastAsia="Arial Unicode MS" w:hAnsiTheme="majorBidi" w:cstheme="majorBidi"/>
          <w:sz w:val="24"/>
          <w:szCs w:val="24"/>
          <w:bdr w:val="none" w:sz="0" w:space="0" w:color="auto" w:frame="1"/>
          <w:lang w:val="en-US"/>
        </w:rPr>
        <w:t xml:space="preserve"> change goal achievement.</w:t>
      </w:r>
      <w:r w:rsidRPr="00511330">
        <w:rPr>
          <w:rFonts w:asciiTheme="majorBidi" w:eastAsia="Arial Unicode MS" w:hAnsiTheme="majorBidi" w:cstheme="majorBidi"/>
          <w:i/>
          <w:iCs/>
          <w:sz w:val="24"/>
          <w:szCs w:val="24"/>
          <w:bdr w:val="none" w:sz="0" w:space="0" w:color="auto" w:frame="1"/>
          <w:lang w:val="en-US"/>
        </w:rPr>
        <w:t xml:space="preserve"> Journal of Change Management, 4</w:t>
      </w:r>
      <w:r w:rsidRPr="00511330">
        <w:rPr>
          <w:rFonts w:asciiTheme="majorBidi" w:eastAsia="Arial Unicode MS" w:hAnsiTheme="majorBidi" w:cstheme="majorBidi"/>
          <w:sz w:val="24"/>
          <w:szCs w:val="24"/>
          <w:bdr w:val="none" w:sz="0" w:space="0" w:color="auto" w:frame="1"/>
          <w:lang w:val="en-US"/>
        </w:rPr>
        <w:t>(3), 193-215.</w:t>
      </w:r>
    </w:p>
    <w:p w14:paraId="1F874182"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Liyin, S., Hong, Y., &amp; Grifﬁth, A. (2006), Improving environmental performance by means of empowerment of contractors. </w:t>
      </w:r>
      <w:r w:rsidRPr="00511330">
        <w:rPr>
          <w:rFonts w:asciiTheme="majorBidi" w:hAnsiTheme="majorBidi" w:cstheme="majorBidi"/>
          <w:i/>
          <w:iCs/>
          <w:sz w:val="24"/>
          <w:szCs w:val="24"/>
          <w:lang w:val="en-US"/>
        </w:rPr>
        <w:t>Management of Environmental Quality: An International Journal, 17</w:t>
      </w:r>
      <w:r w:rsidRPr="00511330">
        <w:rPr>
          <w:rFonts w:asciiTheme="majorBidi" w:hAnsiTheme="majorBidi" w:cstheme="majorBidi"/>
          <w:sz w:val="24"/>
          <w:szCs w:val="24"/>
          <w:lang w:val="en-US"/>
        </w:rPr>
        <w:t>(3), 242-57.</w:t>
      </w:r>
    </w:p>
    <w:p w14:paraId="2F57441E"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Lloyd Bruce (2000) Leadership and power, </w:t>
      </w:r>
      <w:r w:rsidRPr="00511330">
        <w:rPr>
          <w:rFonts w:asciiTheme="majorBidi" w:hAnsiTheme="majorBidi" w:cstheme="majorBidi"/>
          <w:i/>
          <w:iCs/>
          <w:sz w:val="24"/>
          <w:szCs w:val="24"/>
          <w:lang w:val="en-US"/>
        </w:rPr>
        <w:t>Leadership &amp; organization Development Journal</w:t>
      </w:r>
      <w:r w:rsidRPr="00511330">
        <w:rPr>
          <w:rFonts w:asciiTheme="majorBidi" w:hAnsiTheme="majorBidi" w:cstheme="majorBidi"/>
          <w:sz w:val="24"/>
          <w:szCs w:val="24"/>
          <w:lang w:val="en-US"/>
        </w:rPr>
        <w:t>, Vol. 21 Issue: 5, p.p.162-163.</w:t>
      </w:r>
    </w:p>
    <w:p w14:paraId="4D39D904"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Luburić, R. (2019). A Model of Crisis Prevention (Based on managing change, quality management and risk management). </w:t>
      </w:r>
      <w:r w:rsidRPr="00511330">
        <w:rPr>
          <w:rFonts w:asciiTheme="majorBidi" w:eastAsia="Arial Unicode MS" w:hAnsiTheme="majorBidi" w:cstheme="majorBidi"/>
          <w:i/>
          <w:iCs/>
          <w:sz w:val="24"/>
          <w:szCs w:val="24"/>
          <w:bdr w:val="none" w:sz="0" w:space="0" w:color="auto" w:frame="1"/>
          <w:lang w:val="en-US"/>
        </w:rPr>
        <w:t>Journal of Central Banking Theory and Practice</w:t>
      </w:r>
      <w:r w:rsidRPr="00511330">
        <w:rPr>
          <w:rFonts w:asciiTheme="majorBidi" w:eastAsia="Arial Unicode MS" w:hAnsiTheme="majorBidi" w:cstheme="majorBidi"/>
          <w:sz w:val="24"/>
          <w:szCs w:val="24"/>
          <w:bdr w:val="none" w:sz="0" w:space="0" w:color="auto" w:frame="1"/>
          <w:lang w:val="en-US"/>
        </w:rPr>
        <w:t>, 8(2), 33-49.</w:t>
      </w:r>
    </w:p>
    <w:p w14:paraId="3DAB05F7"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Lucey, J. (2008). Why is the Failure Rate for Organizational Change so high? </w:t>
      </w:r>
      <w:r w:rsidRPr="00511330">
        <w:rPr>
          <w:rFonts w:asciiTheme="majorBidi" w:hAnsiTheme="majorBidi" w:cstheme="majorBidi"/>
          <w:i/>
          <w:iCs/>
          <w:sz w:val="24"/>
          <w:szCs w:val="24"/>
          <w:lang w:val="en-US"/>
        </w:rPr>
        <w:t>Management Services, Winter</w:t>
      </w:r>
      <w:r w:rsidRPr="00511330">
        <w:rPr>
          <w:rFonts w:asciiTheme="majorBidi" w:hAnsiTheme="majorBidi" w:cstheme="majorBidi"/>
          <w:sz w:val="24"/>
          <w:szCs w:val="24"/>
          <w:lang w:val="en-US"/>
        </w:rPr>
        <w:t>, 10-18.</w:t>
      </w:r>
    </w:p>
    <w:p w14:paraId="690E6BA6"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Luecke, R. (2003). </w:t>
      </w:r>
      <w:r w:rsidRPr="00511330">
        <w:rPr>
          <w:rFonts w:asciiTheme="majorBidi" w:hAnsiTheme="majorBidi" w:cstheme="majorBidi"/>
          <w:i/>
          <w:iCs/>
          <w:sz w:val="24"/>
          <w:szCs w:val="24"/>
          <w:lang w:val="en-US"/>
        </w:rPr>
        <w:t>Managing Change and Transition</w:t>
      </w:r>
      <w:r w:rsidRPr="00511330">
        <w:rPr>
          <w:rFonts w:asciiTheme="majorBidi" w:hAnsiTheme="majorBidi" w:cstheme="majorBidi"/>
          <w:sz w:val="24"/>
          <w:szCs w:val="24"/>
          <w:lang w:val="en-US"/>
        </w:rPr>
        <w:t>. Boston, MA: Harvard Business School Press.</w:t>
      </w:r>
    </w:p>
    <w:p w14:paraId="00352D74"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Lyndon, P. (2007). </w:t>
      </w:r>
      <w:r w:rsidRPr="00511330">
        <w:rPr>
          <w:rFonts w:asciiTheme="majorBidi" w:hAnsiTheme="majorBidi" w:cstheme="majorBidi"/>
          <w:i/>
          <w:iCs/>
          <w:sz w:val="24"/>
          <w:szCs w:val="24"/>
          <w:lang w:val="en-US"/>
        </w:rPr>
        <w:t xml:space="preserve">Change Management in Information Services. </w:t>
      </w:r>
      <w:r w:rsidRPr="00511330">
        <w:rPr>
          <w:rFonts w:asciiTheme="majorBidi" w:hAnsiTheme="majorBidi" w:cstheme="majorBidi"/>
          <w:sz w:val="24"/>
          <w:szCs w:val="24"/>
          <w:lang w:val="en-US"/>
        </w:rPr>
        <w:t>Abingdon: Ashgate Publishing Group.</w:t>
      </w:r>
    </w:p>
    <w:p w14:paraId="68228451"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Mabin, V.J., Steve, F., &amp; Lawrence, G. (2001). Harnessing resistance: using the theory of constraints to assist change management</w:t>
      </w:r>
      <w:r w:rsidRPr="00511330">
        <w:rPr>
          <w:rFonts w:asciiTheme="majorBidi" w:hAnsiTheme="majorBidi" w:cstheme="majorBidi"/>
          <w:i/>
          <w:iCs/>
          <w:sz w:val="24"/>
          <w:szCs w:val="24"/>
          <w:lang w:val="en-US"/>
        </w:rPr>
        <w:t>. Journal of European Industrial Training, 25</w:t>
      </w:r>
      <w:r w:rsidRPr="00511330">
        <w:rPr>
          <w:rFonts w:asciiTheme="majorBidi" w:hAnsiTheme="majorBidi" w:cstheme="majorBidi"/>
          <w:sz w:val="24"/>
          <w:szCs w:val="24"/>
          <w:lang w:val="en-US"/>
        </w:rPr>
        <w:t>(2/3/4), 168-191.</w:t>
      </w:r>
    </w:p>
    <w:p w14:paraId="76151D38" w14:textId="77777777" w:rsidR="00350941" w:rsidRPr="00511330" w:rsidRDefault="005F6780"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Macaskill, A., &amp; Denovan, A. (2014). Assessing psychological health: the contribution of psychological strengths. </w:t>
      </w:r>
      <w:r w:rsidRPr="00511330">
        <w:rPr>
          <w:rFonts w:asciiTheme="majorBidi" w:hAnsiTheme="majorBidi" w:cstheme="majorBidi"/>
          <w:i/>
          <w:iCs/>
          <w:sz w:val="24"/>
          <w:szCs w:val="24"/>
          <w:lang w:val="en-US"/>
        </w:rPr>
        <w:t>British Journal of Guidance and Counselling, 42</w:t>
      </w:r>
      <w:r w:rsidRPr="00511330">
        <w:rPr>
          <w:rFonts w:asciiTheme="majorBidi" w:hAnsiTheme="majorBidi" w:cstheme="majorBidi"/>
          <w:sz w:val="24"/>
          <w:szCs w:val="24"/>
          <w:lang w:val="en-US"/>
        </w:rPr>
        <w:t>, 320–337.</w:t>
      </w:r>
    </w:p>
    <w:p w14:paraId="5CB8494D" w14:textId="230EDAAB" w:rsidR="00350941" w:rsidRPr="00511330" w:rsidRDefault="00350941"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MacKenzie, S. B., &amp; Podsakoff, P. M. (2012). Common method bias in marketing: Causes, mechanisms, and procedural remedies. </w:t>
      </w:r>
      <w:r w:rsidRPr="00511330">
        <w:rPr>
          <w:rFonts w:asciiTheme="majorBidi" w:hAnsiTheme="majorBidi" w:cstheme="majorBidi"/>
          <w:i/>
          <w:iCs/>
          <w:sz w:val="24"/>
          <w:szCs w:val="24"/>
          <w:lang w:val="en-US"/>
        </w:rPr>
        <w:t>Journal of Retailing, 88(4)</w:t>
      </w:r>
      <w:r w:rsidRPr="00511330">
        <w:rPr>
          <w:rFonts w:asciiTheme="majorBidi" w:hAnsiTheme="majorBidi" w:cstheme="majorBidi"/>
          <w:sz w:val="24"/>
          <w:szCs w:val="24"/>
          <w:lang w:val="en-US"/>
        </w:rPr>
        <w:t>, 542-555.</w:t>
      </w:r>
    </w:p>
    <w:p w14:paraId="3E3705CF"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Magsaysay, J.F., &amp; Hechanova, M.R. (2017), Building an implicit change leadership theory. </w:t>
      </w:r>
      <w:r w:rsidRPr="00511330">
        <w:rPr>
          <w:rFonts w:asciiTheme="majorBidi" w:hAnsiTheme="majorBidi" w:cstheme="majorBidi"/>
          <w:i/>
          <w:iCs/>
          <w:sz w:val="24"/>
          <w:szCs w:val="24"/>
          <w:lang w:val="en-US"/>
        </w:rPr>
        <w:t>Leadership and Organization Development Journal, 38</w:t>
      </w:r>
      <w:r w:rsidRPr="00511330">
        <w:rPr>
          <w:rFonts w:asciiTheme="majorBidi" w:hAnsiTheme="majorBidi" w:cstheme="majorBidi"/>
          <w:sz w:val="24"/>
          <w:szCs w:val="24"/>
          <w:lang w:val="en-US"/>
        </w:rPr>
        <w:t>(6), 834-848.</w:t>
      </w:r>
    </w:p>
    <w:p w14:paraId="2BF180D7"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Mahrous, A.A., &amp; Abdelmaaboud, A.K. (2017). Antecedents of participation in online brand communities and their purchasing behavior consequences, </w:t>
      </w:r>
      <w:r w:rsidRPr="00511330">
        <w:rPr>
          <w:rFonts w:asciiTheme="majorBidi" w:hAnsiTheme="majorBidi" w:cstheme="majorBidi"/>
          <w:i/>
          <w:iCs/>
          <w:sz w:val="24"/>
          <w:szCs w:val="24"/>
          <w:lang w:val="en-US"/>
        </w:rPr>
        <w:t>Serv Bus 11</w:t>
      </w:r>
      <w:r w:rsidRPr="00511330">
        <w:rPr>
          <w:rFonts w:asciiTheme="majorBidi" w:hAnsiTheme="majorBidi" w:cstheme="majorBidi"/>
          <w:sz w:val="24"/>
          <w:szCs w:val="24"/>
          <w:lang w:val="en-US"/>
        </w:rPr>
        <w:t>(2):229–251.</w:t>
      </w:r>
    </w:p>
    <w:p w14:paraId="04E56916" w14:textId="77777777" w:rsidR="008E0079" w:rsidRPr="00511330" w:rsidRDefault="005F6780" w:rsidP="008E0079">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Mainga, W. (2017). Examining project learning, project management competencies, and project efficiency in project-based firms (pbfs). </w:t>
      </w:r>
      <w:r w:rsidRPr="00511330">
        <w:rPr>
          <w:rFonts w:asciiTheme="majorBidi" w:hAnsiTheme="majorBidi" w:cstheme="majorBidi"/>
          <w:i/>
          <w:iCs/>
          <w:sz w:val="24"/>
          <w:szCs w:val="24"/>
          <w:lang w:val="en-US"/>
        </w:rPr>
        <w:t>International Journal of Managing Projects in Business,</w:t>
      </w:r>
      <w:r w:rsidRPr="00511330">
        <w:rPr>
          <w:rFonts w:asciiTheme="majorBidi" w:hAnsiTheme="majorBidi" w:cstheme="majorBidi"/>
          <w:sz w:val="24"/>
          <w:szCs w:val="24"/>
          <w:lang w:val="en-US"/>
        </w:rPr>
        <w:t xml:space="preserve"> 10(3), 454-504.</w:t>
      </w:r>
    </w:p>
    <w:p w14:paraId="1715F4AE" w14:textId="77777777" w:rsidR="00350941" w:rsidRPr="00511330" w:rsidRDefault="005F6780"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Majdalani, Z., Ajam, M., &amp; Mezher, T. (2006). </w:t>
      </w:r>
      <w:r w:rsidRPr="00511330">
        <w:rPr>
          <w:rFonts w:asciiTheme="majorBidi" w:hAnsiTheme="majorBidi" w:cstheme="majorBidi"/>
          <w:i/>
          <w:iCs/>
          <w:sz w:val="24"/>
          <w:szCs w:val="24"/>
          <w:lang w:val="en-US"/>
        </w:rPr>
        <w:t>Sustainability in the construction industry: a Lebanese case study, 6</w:t>
      </w:r>
      <w:r w:rsidRPr="00511330">
        <w:rPr>
          <w:rFonts w:asciiTheme="majorBidi" w:hAnsiTheme="majorBidi" w:cstheme="majorBidi"/>
          <w:sz w:val="24"/>
          <w:szCs w:val="24"/>
          <w:lang w:val="en-US"/>
        </w:rPr>
        <w:t>(1), 33-46.</w:t>
      </w:r>
    </w:p>
    <w:p w14:paraId="6127CB25" w14:textId="40588835" w:rsidR="00350941" w:rsidRPr="00511330" w:rsidRDefault="00350941"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Mari Luomi 2009. Middle East Policy, Vol. XVI, No. 4, Winter 2009.</w:t>
      </w:r>
    </w:p>
    <w:p w14:paraId="385E457B" w14:textId="5D2B40C3" w:rsidR="005F6780" w:rsidRPr="00511330" w:rsidRDefault="005F6780"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il"/>
        </w:rPr>
        <w:t>Martin, R.R. et al., (2001), “The self-study as a chariot for strategic change”, New Directions for Teaching and Learning, No. 113, pp. 95-115.</w:t>
      </w:r>
    </w:p>
    <w:p w14:paraId="140F39C3" w14:textId="77777777" w:rsidR="00350941" w:rsidRPr="00511330" w:rsidRDefault="00350941"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Marpu, P. R., Temimi, M., AlAydaroos, F., Saleous, N., &amp; Kumar, A. (2018). Continuous mapping and monitoring framework for habitat analysis in the United Arab Emirates. </w:t>
      </w:r>
      <w:r w:rsidRPr="00511330">
        <w:rPr>
          <w:rFonts w:asciiTheme="majorBidi" w:hAnsiTheme="majorBidi" w:cstheme="majorBidi"/>
          <w:i/>
          <w:iCs/>
          <w:sz w:val="24"/>
          <w:szCs w:val="24"/>
          <w:lang w:val="en-US"/>
        </w:rPr>
        <w:t>In Multidisciplinary Digital Publishing Institute Proceedings</w:t>
      </w:r>
      <w:r w:rsidRPr="00511330">
        <w:rPr>
          <w:rFonts w:asciiTheme="majorBidi" w:hAnsiTheme="majorBidi" w:cstheme="majorBidi"/>
          <w:sz w:val="24"/>
          <w:szCs w:val="24"/>
          <w:lang w:val="en-US"/>
        </w:rPr>
        <w:t>, 2(7), 371</w:t>
      </w:r>
    </w:p>
    <w:p w14:paraId="412EC2C1" w14:textId="77777777" w:rsidR="00350941" w:rsidRPr="00511330" w:rsidRDefault="005F6780"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Mary Luomi, (2009). Abu-DFhabi's alternative-energy initiatives: Seizing climate change opportunities.</w:t>
      </w:r>
      <w:r w:rsidRPr="00511330">
        <w:rPr>
          <w:rFonts w:asciiTheme="majorBidi" w:hAnsiTheme="majorBidi" w:cstheme="majorBidi"/>
          <w:i/>
          <w:iCs/>
          <w:sz w:val="24"/>
          <w:szCs w:val="24"/>
          <w:lang w:val="en-US"/>
        </w:rPr>
        <w:t xml:space="preserve"> Middle East Policy, 16</w:t>
      </w:r>
      <w:r w:rsidRPr="00511330">
        <w:rPr>
          <w:rFonts w:asciiTheme="majorBidi" w:hAnsiTheme="majorBidi" w:cstheme="majorBidi"/>
          <w:sz w:val="24"/>
          <w:szCs w:val="24"/>
          <w:lang w:val="en-US"/>
        </w:rPr>
        <w:t>(4), 102–117.</w:t>
      </w:r>
    </w:p>
    <w:p w14:paraId="56045354" w14:textId="77777777" w:rsidR="00350941" w:rsidRPr="00511330" w:rsidRDefault="005F6780"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Maurer, R. (2010). </w:t>
      </w:r>
      <w:r w:rsidRPr="00511330">
        <w:rPr>
          <w:rFonts w:asciiTheme="majorBidi" w:hAnsiTheme="majorBidi" w:cstheme="majorBidi"/>
          <w:i/>
          <w:iCs/>
          <w:sz w:val="24"/>
          <w:szCs w:val="24"/>
          <w:lang w:val="en-US"/>
        </w:rPr>
        <w:t>Beyond the Wall of Resistance: Why 70% of Changes Still Fail – and What You Can Do About it</w:t>
      </w:r>
      <w:r w:rsidRPr="00511330">
        <w:rPr>
          <w:rFonts w:asciiTheme="majorBidi" w:hAnsiTheme="majorBidi" w:cstheme="majorBidi"/>
          <w:sz w:val="24"/>
          <w:szCs w:val="24"/>
          <w:lang w:val="en-US"/>
        </w:rPr>
        <w:t>. Austin, TX: Bard Books.</w:t>
      </w:r>
    </w:p>
    <w:p w14:paraId="03DFFCBD" w14:textId="77777777" w:rsidR="00350941" w:rsidRPr="00511330" w:rsidRDefault="005F6780"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Mayfield, P. (2014). Engaging with stakeholders is critical when leading change</w:t>
      </w:r>
      <w:r w:rsidRPr="00511330">
        <w:rPr>
          <w:rFonts w:asciiTheme="majorBidi" w:hAnsiTheme="majorBidi" w:cstheme="majorBidi"/>
          <w:i/>
          <w:iCs/>
          <w:sz w:val="24"/>
          <w:szCs w:val="24"/>
          <w:lang w:val="en-US"/>
        </w:rPr>
        <w:t>. Industrial and Commercial Training, 46</w:t>
      </w:r>
      <w:r w:rsidRPr="00511330">
        <w:rPr>
          <w:rFonts w:asciiTheme="majorBidi" w:hAnsiTheme="majorBidi" w:cstheme="majorBidi"/>
          <w:sz w:val="24"/>
          <w:szCs w:val="24"/>
          <w:lang w:val="en-US"/>
        </w:rPr>
        <w:t>(2), 68-72.</w:t>
      </w:r>
    </w:p>
    <w:p w14:paraId="0F2DBCE6" w14:textId="77777777" w:rsidR="00350941" w:rsidRPr="00511330" w:rsidRDefault="005F6780"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lastRenderedPageBreak/>
        <w:t xml:space="preserve">McQueen, D. (2014), “Renewable energy exported: Renewable energy as development assistance”, in MOENR (2014), </w:t>
      </w:r>
      <w:r w:rsidRPr="00511330">
        <w:rPr>
          <w:rFonts w:asciiTheme="majorBidi" w:hAnsiTheme="majorBidi" w:cstheme="majorBidi"/>
          <w:i/>
          <w:iCs/>
          <w:sz w:val="24"/>
          <w:szCs w:val="24"/>
        </w:rPr>
        <w:t>UAE State of Energy Report 2015</w:t>
      </w:r>
      <w:r w:rsidRPr="00511330">
        <w:rPr>
          <w:rFonts w:asciiTheme="majorBidi" w:hAnsiTheme="majorBidi" w:cstheme="majorBidi"/>
          <w:sz w:val="24"/>
          <w:szCs w:val="24"/>
        </w:rPr>
        <w:t>, DCCE, Dubai, p.73.</w:t>
      </w:r>
    </w:p>
    <w:p w14:paraId="0BA0C41F" w14:textId="77777777" w:rsidR="00350941" w:rsidRPr="00511330" w:rsidRDefault="005F6780"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MESIA. (2015). Empowering Solar across the Middle East. </w:t>
      </w:r>
      <w:r w:rsidRPr="00511330">
        <w:rPr>
          <w:rFonts w:asciiTheme="majorBidi" w:hAnsiTheme="majorBidi" w:cstheme="majorBidi"/>
          <w:i/>
          <w:iCs/>
          <w:sz w:val="24"/>
          <w:szCs w:val="24"/>
          <w:lang w:val="en-US"/>
        </w:rPr>
        <w:t>Middle East Solar Industry Association</w:t>
      </w:r>
      <w:r w:rsidRPr="00511330">
        <w:rPr>
          <w:rFonts w:asciiTheme="majorBidi" w:hAnsiTheme="majorBidi" w:cstheme="majorBidi"/>
          <w:sz w:val="24"/>
          <w:szCs w:val="24"/>
          <w:lang w:val="en-US"/>
        </w:rPr>
        <w:t xml:space="preserve">. Retrieved from: </w:t>
      </w:r>
      <w:hyperlink r:id="rId75" w:history="1">
        <w:r w:rsidRPr="00511330">
          <w:rPr>
            <w:rStyle w:val="Hyperlink"/>
            <w:rFonts w:asciiTheme="majorBidi" w:hAnsiTheme="majorBidi" w:cstheme="majorBidi"/>
            <w:sz w:val="24"/>
            <w:szCs w:val="24"/>
            <w:lang w:val="en-US"/>
          </w:rPr>
          <w:t>www.mesia.com</w:t>
        </w:r>
      </w:hyperlink>
      <w:r w:rsidRPr="00511330">
        <w:rPr>
          <w:rFonts w:asciiTheme="majorBidi" w:hAnsiTheme="majorBidi" w:cstheme="majorBidi"/>
          <w:sz w:val="24"/>
          <w:szCs w:val="24"/>
          <w:lang w:val="en-US"/>
        </w:rPr>
        <w:t>.</w:t>
      </w:r>
    </w:p>
    <w:p w14:paraId="7F82BE43" w14:textId="77777777" w:rsidR="00350941" w:rsidRPr="00511330" w:rsidRDefault="005F6780"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Metwally, D. (2014). Transformational leadership and satisfaction of Egyptian academics: the influence of gender, </w:t>
      </w:r>
      <w:r w:rsidRPr="00511330">
        <w:rPr>
          <w:rFonts w:asciiTheme="majorBidi" w:hAnsiTheme="majorBidi" w:cstheme="majorBidi"/>
          <w:i/>
          <w:iCs/>
          <w:sz w:val="24"/>
          <w:szCs w:val="24"/>
          <w:lang w:val="en-US"/>
        </w:rPr>
        <w:t>Proceedings of the First Middle East Conference on Global Business, Economics, Finance, and Banking</w:t>
      </w:r>
      <w:r w:rsidRPr="00511330">
        <w:rPr>
          <w:rFonts w:asciiTheme="majorBidi" w:hAnsiTheme="majorBidi" w:cstheme="majorBidi"/>
          <w:sz w:val="24"/>
          <w:szCs w:val="24"/>
          <w:lang w:val="en-US"/>
        </w:rPr>
        <w:t xml:space="preserve"> (ME14 Dubai Conference), Dubai.</w:t>
      </w:r>
    </w:p>
    <w:p w14:paraId="6C37BD22" w14:textId="77777777" w:rsidR="00350941" w:rsidRPr="00511330" w:rsidRDefault="00350941"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Mezher, T., Griffiths, S., Abu Zahra, M., &amp; Abbas, Z. (2015). Outlook for a power generation fuel transition in the MENA region</w:t>
      </w:r>
      <w:r w:rsidRPr="00511330">
        <w:rPr>
          <w:rFonts w:asciiTheme="majorBidi" w:hAnsiTheme="majorBidi" w:cstheme="majorBidi"/>
          <w:i/>
          <w:iCs/>
          <w:sz w:val="24"/>
          <w:szCs w:val="24"/>
          <w:lang w:val="en-US"/>
        </w:rPr>
        <w:t>. J Energy Eng, 141</w:t>
      </w:r>
      <w:r w:rsidRPr="00511330">
        <w:rPr>
          <w:rFonts w:asciiTheme="majorBidi" w:hAnsiTheme="majorBidi" w:cstheme="majorBidi"/>
          <w:sz w:val="24"/>
          <w:szCs w:val="24"/>
          <w:lang w:val="en-US"/>
        </w:rPr>
        <w:t xml:space="preserve">(3). </w:t>
      </w:r>
      <w:hyperlink r:id="rId76" w:history="1">
        <w:r w:rsidRPr="00511330">
          <w:rPr>
            <w:rStyle w:val="Hyperlink"/>
            <w:rFonts w:asciiTheme="majorBidi" w:hAnsiTheme="majorBidi" w:cstheme="majorBidi"/>
            <w:sz w:val="24"/>
            <w:szCs w:val="24"/>
            <w:lang w:val="en-US"/>
          </w:rPr>
          <w:t>https://doi.org/10.1061/(ASCE)EY.1943-7897.0000204</w:t>
        </w:r>
      </w:hyperlink>
      <w:r w:rsidRPr="00511330">
        <w:rPr>
          <w:rFonts w:asciiTheme="majorBidi" w:hAnsiTheme="majorBidi" w:cstheme="majorBidi"/>
          <w:sz w:val="24"/>
          <w:szCs w:val="24"/>
          <w:lang w:val="en-US"/>
        </w:rPr>
        <w:t>.</w:t>
      </w:r>
    </w:p>
    <w:p w14:paraId="5F87541A" w14:textId="315FA083" w:rsidR="00350941" w:rsidRPr="00511330" w:rsidRDefault="00350941"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Mezher, T., Goldsmith, D., &amp; Nazli.C. (2011). Renewable energy in Abu Dhabi: opportunities and challenges. </w:t>
      </w:r>
      <w:r w:rsidRPr="00511330">
        <w:rPr>
          <w:rFonts w:asciiTheme="majorBidi" w:hAnsiTheme="majorBidi" w:cstheme="majorBidi"/>
          <w:i/>
          <w:iCs/>
          <w:sz w:val="24"/>
          <w:szCs w:val="24"/>
          <w:lang w:val="en-US"/>
        </w:rPr>
        <w:t>J Energy Eng</w:t>
      </w:r>
      <w:r w:rsidRPr="00511330">
        <w:rPr>
          <w:rFonts w:asciiTheme="majorBidi" w:hAnsiTheme="majorBidi" w:cstheme="majorBidi"/>
          <w:sz w:val="24"/>
          <w:szCs w:val="24"/>
          <w:lang w:val="en-US"/>
        </w:rPr>
        <w:t>, 137, 169–76</w:t>
      </w:r>
    </w:p>
    <w:p w14:paraId="3E660994" w14:textId="77777777" w:rsidR="00350941" w:rsidRPr="00511330" w:rsidRDefault="005F6780"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Miao, Q., Newman, A., &amp; Huang, X. (2014). The impact of participative leadership on job performance and organizational citizenship behavior: Distinguishing between the mediating effects of affective and cognitive trust. </w:t>
      </w:r>
      <w:r w:rsidRPr="00511330">
        <w:rPr>
          <w:rFonts w:asciiTheme="majorBidi" w:hAnsiTheme="majorBidi" w:cstheme="majorBidi"/>
          <w:i/>
          <w:iCs/>
          <w:sz w:val="24"/>
          <w:szCs w:val="24"/>
          <w:lang w:val="en-US"/>
        </w:rPr>
        <w:t>The International Journal of Human Resource Management, 25</w:t>
      </w:r>
      <w:r w:rsidRPr="00511330">
        <w:rPr>
          <w:rFonts w:asciiTheme="majorBidi" w:hAnsiTheme="majorBidi" w:cstheme="majorBidi"/>
          <w:sz w:val="24"/>
          <w:szCs w:val="24"/>
          <w:lang w:val="en-US"/>
        </w:rPr>
        <w:t>(20), 2796–2810.</w:t>
      </w:r>
    </w:p>
    <w:p w14:paraId="6804AF72" w14:textId="77777777" w:rsidR="00350941" w:rsidRPr="00511330" w:rsidRDefault="005F6780"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Michelson, G., &amp; Mouly, V. S. (2002). You didn’t hear it from us but . . .: Towards an understanding of rumour and gossip in organisations. </w:t>
      </w:r>
      <w:r w:rsidRPr="00511330">
        <w:rPr>
          <w:rFonts w:asciiTheme="majorBidi" w:hAnsiTheme="majorBidi" w:cstheme="majorBidi"/>
          <w:i/>
          <w:iCs/>
          <w:sz w:val="24"/>
          <w:szCs w:val="24"/>
          <w:lang w:val="en-US"/>
        </w:rPr>
        <w:t>Australian Journal of Management, 27</w:t>
      </w:r>
      <w:r w:rsidRPr="00511330">
        <w:rPr>
          <w:rFonts w:asciiTheme="majorBidi" w:hAnsiTheme="majorBidi" w:cstheme="majorBidi"/>
          <w:sz w:val="24"/>
          <w:szCs w:val="24"/>
          <w:lang w:val="en-US"/>
        </w:rPr>
        <w:t>, 57-65.</w:t>
      </w:r>
    </w:p>
    <w:p w14:paraId="6DACB45E" w14:textId="77777777" w:rsidR="00350941" w:rsidRPr="00511330" w:rsidRDefault="00350941"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bidi="ar-AE"/>
        </w:rPr>
        <w:t>Miklosik, A. (2015). Improving project management performance through capability maturity measurement</w:t>
      </w:r>
      <w:r w:rsidRPr="00511330">
        <w:rPr>
          <w:rFonts w:asciiTheme="majorBidi" w:hAnsiTheme="majorBidi" w:cstheme="majorBidi"/>
          <w:i/>
          <w:iCs/>
          <w:sz w:val="24"/>
          <w:szCs w:val="24"/>
          <w:lang w:val="en-US" w:bidi="ar-AE"/>
        </w:rPr>
        <w:t>, Procedia – Economics and Finance</w:t>
      </w:r>
      <w:r w:rsidRPr="00511330">
        <w:rPr>
          <w:rFonts w:asciiTheme="majorBidi" w:hAnsiTheme="majorBidi" w:cstheme="majorBidi"/>
          <w:sz w:val="24"/>
          <w:szCs w:val="24"/>
          <w:lang w:val="en-US" w:bidi="ar-AE"/>
        </w:rPr>
        <w:t>, 30, 522-530</w:t>
      </w:r>
    </w:p>
    <w:p w14:paraId="4011B32A" w14:textId="15905BB5" w:rsidR="00350941" w:rsidRPr="00511330" w:rsidRDefault="005F6780"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Miller, D., Madsen, S., &amp; John, C.R. (2006). Readiness for change: Implications on employees’ relationship with management, job knowledge and skills, and job demands. </w:t>
      </w:r>
      <w:r w:rsidRPr="00511330">
        <w:rPr>
          <w:rFonts w:asciiTheme="majorBidi" w:hAnsiTheme="majorBidi" w:cstheme="majorBidi"/>
          <w:i/>
          <w:iCs/>
          <w:sz w:val="24"/>
          <w:szCs w:val="24"/>
          <w:lang w:val="en-US"/>
        </w:rPr>
        <w:t>Journal of Applied Management and Entrepreneurship, 11</w:t>
      </w:r>
      <w:r w:rsidRPr="00511330">
        <w:rPr>
          <w:rFonts w:asciiTheme="majorBidi" w:hAnsiTheme="majorBidi" w:cstheme="majorBidi"/>
          <w:sz w:val="24"/>
          <w:szCs w:val="24"/>
          <w:lang w:val="en-US"/>
        </w:rPr>
        <w:t>(1), 3-16.</w:t>
      </w:r>
    </w:p>
    <w:p w14:paraId="5E1AF569" w14:textId="4B45A1FF" w:rsidR="00350941" w:rsidRPr="00511330" w:rsidRDefault="00350941"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Mimouni, F., &amp; Metcalfe, B. (2011). </w:t>
      </w:r>
      <w:r w:rsidRPr="00511330">
        <w:rPr>
          <w:rFonts w:asciiTheme="majorBidi" w:hAnsiTheme="majorBidi" w:cstheme="majorBidi"/>
          <w:i/>
          <w:iCs/>
          <w:sz w:val="24"/>
          <w:szCs w:val="24"/>
          <w:lang w:val="en-US"/>
        </w:rPr>
        <w:t>Leadership Development in the Middle East</w:t>
      </w:r>
      <w:r w:rsidRPr="00511330">
        <w:rPr>
          <w:rFonts w:asciiTheme="majorBidi" w:hAnsiTheme="majorBidi" w:cstheme="majorBidi"/>
          <w:sz w:val="24"/>
          <w:szCs w:val="24"/>
          <w:lang w:val="en-US"/>
        </w:rPr>
        <w:t>. Northampton</w:t>
      </w:r>
      <w:r w:rsidRPr="00511330">
        <w:rPr>
          <w:rFonts w:asciiTheme="majorBidi" w:hAnsiTheme="majorBidi" w:cstheme="majorBidi"/>
          <w:noProof/>
          <w:sz w:val="24"/>
          <w:szCs w:val="24"/>
          <w:lang w:val="en-US"/>
        </w:rPr>
        <w:t>, MA</w:t>
      </w:r>
      <w:r w:rsidRPr="00511330">
        <w:rPr>
          <w:rFonts w:asciiTheme="majorBidi" w:hAnsiTheme="majorBidi" w:cstheme="majorBidi"/>
          <w:sz w:val="24"/>
          <w:szCs w:val="24"/>
          <w:lang w:val="en-US"/>
        </w:rPr>
        <w:t>: Edward Elgar</w:t>
      </w:r>
    </w:p>
    <w:p w14:paraId="1C7AA064" w14:textId="77777777" w:rsidR="00350941" w:rsidRPr="00511330" w:rsidRDefault="00350941"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MoEW. (2015). United Arab Emirates State of Green Economy Report 2014. Retrieved from: </w:t>
      </w:r>
      <w:hyperlink r:id="rId77" w:history="1">
        <w:r w:rsidRPr="00511330">
          <w:rPr>
            <w:rStyle w:val="Hyperlink"/>
            <w:rFonts w:asciiTheme="majorBidi" w:hAnsiTheme="majorBidi" w:cstheme="majorBidi"/>
            <w:sz w:val="24"/>
            <w:szCs w:val="24"/>
            <w:lang w:val="en-US"/>
          </w:rPr>
          <w:t>www.moew.gov.ae</w:t>
        </w:r>
      </w:hyperlink>
      <w:r w:rsidRPr="00511330">
        <w:rPr>
          <w:rFonts w:asciiTheme="majorBidi" w:hAnsiTheme="majorBidi" w:cstheme="majorBidi"/>
          <w:sz w:val="24"/>
          <w:szCs w:val="24"/>
          <w:lang w:val="en-US"/>
        </w:rPr>
        <w:t>.</w:t>
      </w:r>
    </w:p>
    <w:p w14:paraId="02A8EE43" w14:textId="2767DB6B" w:rsidR="00350941" w:rsidRPr="00511330" w:rsidRDefault="00350941"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Mohammadzadeh, S., Zadkarim, S., &amp; Ammari, H. (2017). Re-Engineering of Drinking Water Facilities of Villages of City of Saqqez for Water Loss Reduction Management, Supplement, 2, 859.</w:t>
      </w:r>
    </w:p>
    <w:p w14:paraId="2AD18990" w14:textId="77777777" w:rsidR="00350941" w:rsidRPr="00511330" w:rsidRDefault="005F6780" w:rsidP="0035094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Monavvarian, A. &amp; Kasaei, M.  (2007). A KM Model for Public Administration: The Case of Labour Ministry. </w:t>
      </w:r>
      <w:r w:rsidRPr="00511330">
        <w:rPr>
          <w:rFonts w:asciiTheme="majorBidi" w:hAnsiTheme="majorBidi" w:cstheme="majorBidi"/>
          <w:i/>
          <w:iCs/>
          <w:sz w:val="24"/>
          <w:szCs w:val="24"/>
          <w:lang w:val="en-US"/>
        </w:rPr>
        <w:t>VINE, The Journal of Information and Knowledge Management System,</w:t>
      </w:r>
      <w:r w:rsidRPr="00511330">
        <w:rPr>
          <w:rFonts w:asciiTheme="majorBidi" w:hAnsiTheme="majorBidi" w:cstheme="majorBidi"/>
          <w:sz w:val="24"/>
          <w:szCs w:val="24"/>
          <w:lang w:val="en-US"/>
        </w:rPr>
        <w:t xml:space="preserve"> </w:t>
      </w:r>
      <w:r w:rsidRPr="00511330">
        <w:rPr>
          <w:rFonts w:asciiTheme="majorBidi" w:hAnsiTheme="majorBidi" w:cstheme="majorBidi"/>
          <w:i/>
          <w:iCs/>
          <w:sz w:val="24"/>
          <w:szCs w:val="24"/>
          <w:lang w:val="en-US"/>
        </w:rPr>
        <w:t>37</w:t>
      </w:r>
      <w:r w:rsidRPr="00511330">
        <w:rPr>
          <w:rFonts w:asciiTheme="majorBidi" w:hAnsiTheme="majorBidi" w:cstheme="majorBidi"/>
          <w:sz w:val="24"/>
          <w:szCs w:val="24"/>
          <w:lang w:val="en-US"/>
        </w:rPr>
        <w:t>(3),48-367.</w:t>
      </w:r>
    </w:p>
    <w:p w14:paraId="5793760D"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Style w:val="Hyperlink"/>
          <w:rFonts w:asciiTheme="majorBidi" w:hAnsiTheme="majorBidi" w:cstheme="majorBidi"/>
          <w:color w:val="auto"/>
          <w:sz w:val="24"/>
          <w:szCs w:val="24"/>
          <w:u w:val="none"/>
          <w:lang w:val="en-US"/>
        </w:rPr>
      </w:pPr>
      <w:r w:rsidRPr="00511330">
        <w:rPr>
          <w:rFonts w:asciiTheme="majorBidi" w:hAnsiTheme="majorBidi" w:cstheme="majorBidi"/>
          <w:sz w:val="24"/>
          <w:szCs w:val="24"/>
          <w:lang w:val="en-US"/>
        </w:rPr>
        <w:t xml:space="preserve">Moser, S. C., &amp; J. A. Ekstrom. (2010). A framework to diagnose barriers to climate change adaptation. </w:t>
      </w:r>
      <w:r w:rsidRPr="00511330">
        <w:rPr>
          <w:rFonts w:asciiTheme="majorBidi" w:hAnsiTheme="majorBidi" w:cstheme="majorBidi"/>
          <w:i/>
          <w:iCs/>
          <w:sz w:val="24"/>
          <w:szCs w:val="24"/>
          <w:lang w:val="en-US"/>
        </w:rPr>
        <w:t>Proceedings of the National Academy of Sciences of the United States of America</w:t>
      </w:r>
      <w:r w:rsidRPr="00511330">
        <w:rPr>
          <w:rFonts w:asciiTheme="majorBidi" w:hAnsiTheme="majorBidi" w:cstheme="majorBidi"/>
          <w:sz w:val="24"/>
          <w:szCs w:val="24"/>
          <w:lang w:val="en-US"/>
        </w:rPr>
        <w:t xml:space="preserve">. </w:t>
      </w:r>
      <w:hyperlink r:id="rId78" w:history="1">
        <w:r w:rsidRPr="00511330">
          <w:rPr>
            <w:rStyle w:val="Hyperlink"/>
            <w:rFonts w:asciiTheme="majorBidi" w:hAnsiTheme="majorBidi" w:cstheme="majorBidi"/>
            <w:sz w:val="24"/>
            <w:szCs w:val="24"/>
            <w:lang w:val="en-US"/>
          </w:rPr>
          <w:t>http://dx.doi.org/10.1073/pnas.1007887107</w:t>
        </w:r>
      </w:hyperlink>
    </w:p>
    <w:p w14:paraId="35556DEB"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Moran, J. W., &amp; Brightman, B. K. (2001). Leading organizational change. </w:t>
      </w:r>
      <w:r w:rsidRPr="00511330">
        <w:rPr>
          <w:rFonts w:asciiTheme="majorBidi" w:hAnsiTheme="majorBidi" w:cstheme="majorBidi"/>
          <w:i/>
          <w:iCs/>
          <w:sz w:val="24"/>
          <w:szCs w:val="24"/>
          <w:lang w:val="en-US"/>
        </w:rPr>
        <w:t>Career Development International, 6</w:t>
      </w:r>
      <w:r w:rsidRPr="00511330">
        <w:rPr>
          <w:rFonts w:asciiTheme="majorBidi" w:hAnsiTheme="majorBidi" w:cstheme="majorBidi"/>
          <w:sz w:val="24"/>
          <w:szCs w:val="24"/>
          <w:lang w:val="en-US"/>
        </w:rPr>
        <w:t>(2), 111–118.</w:t>
      </w:r>
    </w:p>
    <w:p w14:paraId="0BA92049" w14:textId="29669143" w:rsidR="005F6780"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lastRenderedPageBreak/>
        <w:t xml:space="preserve">Moza, Jessy, and Hardeep Singh Gujral. (2017) "Influence of non-starchy polysaccharides on barley milling behavior and evaluating bioactive composition of milled fractions." </w:t>
      </w:r>
      <w:r w:rsidRPr="00511330">
        <w:rPr>
          <w:rFonts w:asciiTheme="majorBidi" w:hAnsiTheme="majorBidi" w:cstheme="majorBidi"/>
          <w:i/>
          <w:iCs/>
          <w:sz w:val="24"/>
          <w:szCs w:val="24"/>
        </w:rPr>
        <w:t>Food chemistry</w:t>
      </w:r>
      <w:r w:rsidRPr="00511330">
        <w:rPr>
          <w:rFonts w:asciiTheme="majorBidi" w:hAnsiTheme="majorBidi" w:cstheme="majorBidi"/>
          <w:sz w:val="24"/>
          <w:szCs w:val="24"/>
        </w:rPr>
        <w:t xml:space="preserve"> 218 (2017): 137-143.</w:t>
      </w:r>
    </w:p>
    <w:p w14:paraId="72483D2D" w14:textId="77777777" w:rsidR="005F6780"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MRCGI, &amp; SRI. (2016). Edge of Government: Public Innovations from Across the Globe. </w:t>
      </w:r>
      <w:r w:rsidRPr="00511330">
        <w:rPr>
          <w:rFonts w:asciiTheme="majorBidi" w:hAnsiTheme="majorBidi" w:cstheme="majorBidi"/>
          <w:i/>
          <w:iCs/>
          <w:sz w:val="24"/>
          <w:szCs w:val="24"/>
          <w:lang w:val="en-US"/>
        </w:rPr>
        <w:t>Dubai: The Mohammed Bin Rashid Centre for Government Innovation &amp; SRI International Center for Innovation Strategy and Policy</w:t>
      </w:r>
      <w:r w:rsidRPr="00511330">
        <w:rPr>
          <w:rFonts w:asciiTheme="majorBidi" w:hAnsiTheme="majorBidi" w:cstheme="majorBidi"/>
          <w:sz w:val="24"/>
          <w:szCs w:val="24"/>
          <w:lang w:val="en-US"/>
        </w:rPr>
        <w:t>.</w:t>
      </w:r>
    </w:p>
    <w:p w14:paraId="0CA2484D" w14:textId="77777777" w:rsidR="00DD3585" w:rsidRPr="00511330" w:rsidRDefault="00DD3585"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Mubasher. (2018). Uae's dewa inks mou with huawei in shanghai. </w:t>
      </w:r>
      <w:r w:rsidRPr="00511330">
        <w:rPr>
          <w:rFonts w:asciiTheme="majorBidi" w:hAnsiTheme="majorBidi" w:cstheme="majorBidi"/>
          <w:i/>
          <w:iCs/>
          <w:sz w:val="24"/>
          <w:szCs w:val="24"/>
          <w:lang w:val="en-US"/>
        </w:rPr>
        <w:t>Mubasher.</w:t>
      </w:r>
      <w:r w:rsidRPr="00511330">
        <w:rPr>
          <w:rFonts w:asciiTheme="majorBidi" w:hAnsiTheme="majorBidi" w:cstheme="majorBidi"/>
          <w:sz w:val="24"/>
          <w:szCs w:val="24"/>
          <w:lang w:val="en-US"/>
        </w:rPr>
        <w:t xml:space="preserve"> Retrieved November 6, 2019.</w:t>
      </w:r>
    </w:p>
    <w:p w14:paraId="437FCE30"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Mulligan, J. and Barber, P., quoted in Sadler, P. (1998) Management Consultancy: A Handbook of Best Practice, Kogan Page, London.</w:t>
      </w:r>
    </w:p>
    <w:p w14:paraId="31F36B99"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Muluneh, G.S., &amp; Gedifew, M.T. (2018), Leading changes through adaptive design”, </w:t>
      </w:r>
      <w:r w:rsidRPr="00511330">
        <w:rPr>
          <w:rFonts w:asciiTheme="majorBidi" w:hAnsiTheme="majorBidi" w:cstheme="majorBidi"/>
          <w:i/>
          <w:iCs/>
          <w:sz w:val="24"/>
          <w:szCs w:val="24"/>
          <w:lang w:val="en-US"/>
        </w:rPr>
        <w:t>Journal of Organizational Change Management, 31</w:t>
      </w:r>
      <w:r w:rsidRPr="00511330">
        <w:rPr>
          <w:rFonts w:asciiTheme="majorBidi" w:hAnsiTheme="majorBidi" w:cstheme="majorBidi"/>
          <w:sz w:val="24"/>
          <w:szCs w:val="24"/>
          <w:lang w:val="en-US"/>
        </w:rPr>
        <w:t xml:space="preserve">(6), 1249-1270. </w:t>
      </w:r>
      <w:hyperlink r:id="rId79" w:history="1">
        <w:r w:rsidRPr="00511330">
          <w:rPr>
            <w:rStyle w:val="Hyperlink"/>
            <w:rFonts w:asciiTheme="majorBidi" w:hAnsiTheme="majorBidi" w:cstheme="majorBidi"/>
            <w:sz w:val="24"/>
            <w:szCs w:val="24"/>
            <w:lang w:val="en-US"/>
          </w:rPr>
          <w:t>https://doi.org/10.1108/JOCM-10-2017-0379</w:t>
        </w:r>
      </w:hyperlink>
      <w:r w:rsidRPr="00511330">
        <w:rPr>
          <w:rFonts w:asciiTheme="majorBidi" w:hAnsiTheme="majorBidi" w:cstheme="majorBidi"/>
          <w:sz w:val="24"/>
          <w:szCs w:val="24"/>
          <w:lang w:val="en-US"/>
        </w:rPr>
        <w:t>.</w:t>
      </w:r>
    </w:p>
    <w:p w14:paraId="4A3C17F0"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Muna, F.A. (1980). The Arab Executive. New York, NY: St. Martin’s Press. </w:t>
      </w:r>
    </w:p>
    <w:p w14:paraId="17209081"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Näsänen, J., &amp; Vanharanta, O. (2017). Managers’ and employees’ contradictory argumentations of spatial change. </w:t>
      </w:r>
      <w:r w:rsidRPr="00511330">
        <w:rPr>
          <w:rFonts w:asciiTheme="majorBidi" w:hAnsiTheme="majorBidi" w:cstheme="majorBidi"/>
          <w:i/>
          <w:iCs/>
          <w:sz w:val="24"/>
          <w:szCs w:val="24"/>
          <w:lang w:val="en-US"/>
        </w:rPr>
        <w:t>Journal of Organizational Change Management, 30</w:t>
      </w:r>
      <w:r w:rsidRPr="00511330">
        <w:rPr>
          <w:rFonts w:asciiTheme="majorBidi" w:hAnsiTheme="majorBidi" w:cstheme="majorBidi"/>
          <w:sz w:val="24"/>
          <w:szCs w:val="24"/>
          <w:lang w:val="en-US"/>
        </w:rPr>
        <w:t>(6), 844-857.</w:t>
      </w:r>
    </w:p>
    <w:p w14:paraId="2EF6B747"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Nes, R.B., &amp; Røysamb, E. (2017). Happiness in Behaviour Genetics: An Update on Heritability and Changeability. </w:t>
      </w:r>
      <w:r w:rsidRPr="00511330">
        <w:rPr>
          <w:rFonts w:asciiTheme="majorBidi" w:hAnsiTheme="majorBidi" w:cstheme="majorBidi"/>
          <w:i/>
          <w:iCs/>
          <w:sz w:val="24"/>
          <w:szCs w:val="24"/>
          <w:lang w:val="en-US"/>
        </w:rPr>
        <w:t>Journal of Happiness Studies: An Interdisciplinary Forum on Subjective Well-Being, 18</w:t>
      </w:r>
      <w:r w:rsidRPr="00511330">
        <w:rPr>
          <w:rFonts w:asciiTheme="majorBidi" w:hAnsiTheme="majorBidi" w:cstheme="majorBidi"/>
          <w:sz w:val="24"/>
          <w:szCs w:val="24"/>
          <w:lang w:val="en-US"/>
        </w:rPr>
        <w:t xml:space="preserve">(5),1533–52. </w:t>
      </w:r>
    </w:p>
    <w:p w14:paraId="7BC8B9F3" w14:textId="49E1DF75" w:rsidR="00DD3585" w:rsidRPr="00511330" w:rsidRDefault="00DD3585"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Neuman, W. L. (1994). Social Research Methods: Qualitative and Quantitative Approaches, 2nd Ed. Allyn and Bacon: USA.</w:t>
      </w:r>
    </w:p>
    <w:p w14:paraId="033262B7" w14:textId="77777777" w:rsidR="00DD3585" w:rsidRPr="00511330" w:rsidRDefault="00DD3585"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Neves, P. (2009). Readiness for change: Contributions for employee’s level of individual change and turnover intentions. </w:t>
      </w:r>
      <w:r w:rsidRPr="00511330">
        <w:rPr>
          <w:rFonts w:asciiTheme="majorBidi" w:hAnsiTheme="majorBidi" w:cstheme="majorBidi"/>
          <w:i/>
          <w:iCs/>
          <w:sz w:val="24"/>
          <w:szCs w:val="24"/>
          <w:lang w:val="en-US"/>
        </w:rPr>
        <w:t>Journal of Change Management, 9</w:t>
      </w:r>
      <w:r w:rsidRPr="00511330">
        <w:rPr>
          <w:rFonts w:asciiTheme="majorBidi" w:hAnsiTheme="majorBidi" w:cstheme="majorBidi"/>
          <w:sz w:val="24"/>
          <w:szCs w:val="24"/>
          <w:lang w:val="en-US"/>
        </w:rPr>
        <w:t>(2), 215–231.</w:t>
      </w:r>
    </w:p>
    <w:p w14:paraId="184690A5"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Newton, J. (2003), “Implementing an institution-wide learning and teaching strategy: lessons in managing change”, </w:t>
      </w:r>
      <w:r w:rsidRPr="00511330">
        <w:rPr>
          <w:rFonts w:asciiTheme="majorBidi" w:hAnsiTheme="majorBidi" w:cstheme="majorBidi"/>
          <w:i/>
          <w:iCs/>
          <w:sz w:val="24"/>
          <w:szCs w:val="24"/>
          <w:lang w:val="en-US"/>
        </w:rPr>
        <w:t>Studies in Higher Education, Vol. 28</w:t>
      </w:r>
      <w:r w:rsidRPr="00511330">
        <w:rPr>
          <w:rFonts w:asciiTheme="majorBidi" w:hAnsiTheme="majorBidi" w:cstheme="majorBidi"/>
          <w:sz w:val="24"/>
          <w:szCs w:val="24"/>
          <w:lang w:val="en-US"/>
        </w:rPr>
        <w:t xml:space="preserve"> No. 4, pp. 427-41.</w:t>
      </w:r>
    </w:p>
    <w:p w14:paraId="37A5EEFC"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Newton, Rebbeca (2015). </w:t>
      </w:r>
      <w:r w:rsidRPr="00511330">
        <w:rPr>
          <w:rFonts w:asciiTheme="majorBidi" w:hAnsiTheme="majorBidi" w:cstheme="majorBidi"/>
          <w:i/>
          <w:iCs/>
          <w:sz w:val="24"/>
          <w:szCs w:val="24"/>
          <w:lang w:val="en-US"/>
        </w:rPr>
        <w:t>Harvard Business Review, Leadership &amp; Managing People</w:t>
      </w:r>
      <w:r w:rsidRPr="00511330">
        <w:rPr>
          <w:rFonts w:asciiTheme="majorBidi" w:hAnsiTheme="majorBidi" w:cstheme="majorBidi"/>
          <w:sz w:val="24"/>
          <w:szCs w:val="24"/>
          <w:lang w:val="en-US"/>
        </w:rPr>
        <w:t xml:space="preserve">. </w:t>
      </w:r>
      <w:hyperlink r:id="rId80" w:history="1">
        <w:r w:rsidRPr="00511330">
          <w:rPr>
            <w:rStyle w:val="Hyperlink"/>
            <w:rFonts w:asciiTheme="majorBidi" w:hAnsiTheme="majorBidi" w:cstheme="majorBidi"/>
            <w:sz w:val="24"/>
            <w:szCs w:val="24"/>
            <w:lang w:val="en-US"/>
          </w:rPr>
          <w:t>https://hbr.org/2015/07/how-to-co-lead-a-team</w:t>
        </w:r>
      </w:hyperlink>
      <w:r w:rsidRPr="00511330">
        <w:rPr>
          <w:rFonts w:asciiTheme="majorBidi" w:hAnsiTheme="majorBidi" w:cstheme="majorBidi"/>
          <w:sz w:val="24"/>
          <w:szCs w:val="24"/>
          <w:lang w:val="en-US"/>
        </w:rPr>
        <w:t>.</w:t>
      </w:r>
    </w:p>
    <w:p w14:paraId="5EEAC80A"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Noh, N., &amp; Chen, C., Bahar, A., &amp; Zainuddin, Zaitul. (2016). </w:t>
      </w:r>
      <w:r w:rsidRPr="00511330">
        <w:rPr>
          <w:rFonts w:asciiTheme="majorBidi" w:hAnsiTheme="majorBidi" w:cstheme="majorBidi"/>
          <w:i/>
          <w:iCs/>
          <w:sz w:val="24"/>
          <w:szCs w:val="24"/>
          <w:lang w:val="en-US"/>
        </w:rPr>
        <w:t>Analysis of oil price fluctuations</w:t>
      </w:r>
      <w:r w:rsidRPr="00511330">
        <w:rPr>
          <w:rFonts w:asciiTheme="majorBidi" w:hAnsiTheme="majorBidi" w:cstheme="majorBidi"/>
          <w:sz w:val="24"/>
          <w:szCs w:val="24"/>
          <w:lang w:val="en-US"/>
        </w:rPr>
        <w:t>. 1750. 060011. 10.1063/1.4954616.</w:t>
      </w:r>
    </w:p>
    <w:p w14:paraId="2DB3D251"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Noon, M., &amp; Delbridge, R. (1993). News from behind my hand: Gossip in organizations. </w:t>
      </w:r>
      <w:r w:rsidRPr="00511330">
        <w:rPr>
          <w:rFonts w:asciiTheme="majorBidi" w:hAnsiTheme="majorBidi" w:cstheme="majorBidi"/>
          <w:i/>
          <w:iCs/>
          <w:sz w:val="24"/>
          <w:szCs w:val="24"/>
          <w:lang w:val="en-US"/>
        </w:rPr>
        <w:t>Organization Studies</w:t>
      </w:r>
      <w:r w:rsidRPr="00511330">
        <w:rPr>
          <w:rFonts w:asciiTheme="majorBidi" w:hAnsiTheme="majorBidi" w:cstheme="majorBidi"/>
          <w:sz w:val="24"/>
          <w:szCs w:val="24"/>
          <w:lang w:val="en-US"/>
        </w:rPr>
        <w:t>, 14(1), 23-37.</w:t>
      </w:r>
    </w:p>
    <w:p w14:paraId="64E4C3E2"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Normann, R. (2002).</w:t>
      </w:r>
      <w:r w:rsidRPr="00511330">
        <w:rPr>
          <w:rFonts w:asciiTheme="majorBidi" w:eastAsia="Arial Unicode MS" w:hAnsiTheme="majorBidi" w:cstheme="majorBidi"/>
          <w:i/>
          <w:iCs/>
          <w:sz w:val="24"/>
          <w:szCs w:val="24"/>
          <w:bdr w:val="none" w:sz="0" w:space="0" w:color="auto" w:frame="1"/>
          <w:lang w:val="en-US"/>
        </w:rPr>
        <w:t xml:space="preserve"> </w:t>
      </w:r>
      <w:r w:rsidRPr="00511330">
        <w:rPr>
          <w:rFonts w:asciiTheme="majorBidi" w:eastAsia="Arial Unicode MS" w:hAnsiTheme="majorBidi" w:cstheme="majorBidi"/>
          <w:sz w:val="24"/>
          <w:szCs w:val="24"/>
          <w:bdr w:val="none" w:sz="0" w:space="0" w:color="auto" w:frame="1"/>
          <w:lang w:val="en-US"/>
        </w:rPr>
        <w:t>Services Management: Strategy and Management in Service Business</w:t>
      </w:r>
      <w:r w:rsidRPr="00511330">
        <w:rPr>
          <w:rFonts w:asciiTheme="majorBidi" w:eastAsia="Arial Unicode MS" w:hAnsiTheme="majorBidi" w:cstheme="majorBidi"/>
          <w:i/>
          <w:iCs/>
          <w:sz w:val="24"/>
          <w:szCs w:val="24"/>
          <w:bdr w:val="none" w:sz="0" w:space="0" w:color="auto" w:frame="1"/>
          <w:lang w:val="en-US"/>
        </w:rPr>
        <w:t xml:space="preserve">. </w:t>
      </w:r>
      <w:r w:rsidRPr="00511330">
        <w:rPr>
          <w:rFonts w:asciiTheme="majorBidi" w:eastAsia="Arial Unicode MS" w:hAnsiTheme="majorBidi" w:cstheme="majorBidi"/>
          <w:sz w:val="24"/>
          <w:szCs w:val="24"/>
          <w:bdr w:val="none" w:sz="0" w:space="0" w:color="auto" w:frame="1"/>
          <w:lang w:val="en-US"/>
        </w:rPr>
        <w:t xml:space="preserve">Chichester: </w:t>
      </w:r>
      <w:r w:rsidRPr="00511330">
        <w:rPr>
          <w:rFonts w:asciiTheme="majorBidi" w:eastAsia="Arial Unicode MS" w:hAnsiTheme="majorBidi" w:cstheme="majorBidi"/>
          <w:i/>
          <w:iCs/>
          <w:sz w:val="24"/>
          <w:szCs w:val="24"/>
          <w:bdr w:val="none" w:sz="0" w:space="0" w:color="auto" w:frame="1"/>
          <w:lang w:val="en-US"/>
        </w:rPr>
        <w:t>Wiley</w:t>
      </w:r>
      <w:r w:rsidRPr="00511330">
        <w:rPr>
          <w:rFonts w:asciiTheme="majorBidi" w:eastAsia="Arial Unicode MS" w:hAnsiTheme="majorBidi" w:cstheme="majorBidi"/>
          <w:sz w:val="24"/>
          <w:szCs w:val="24"/>
          <w:bdr w:val="none" w:sz="0" w:space="0" w:color="auto" w:frame="1"/>
          <w:lang w:val="en-US"/>
        </w:rPr>
        <w:t>.</w:t>
      </w:r>
    </w:p>
    <w:p w14:paraId="0A77325A"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Northouse, P.G. (2013). </w:t>
      </w:r>
      <w:r w:rsidRPr="00511330">
        <w:rPr>
          <w:rFonts w:asciiTheme="majorBidi" w:hAnsiTheme="majorBidi" w:cstheme="majorBidi"/>
          <w:i/>
          <w:iCs/>
          <w:sz w:val="24"/>
          <w:szCs w:val="24"/>
          <w:lang w:val="en-US"/>
        </w:rPr>
        <w:t>Leadership Theory and Practice</w:t>
      </w:r>
      <w:r w:rsidRPr="00511330">
        <w:rPr>
          <w:rFonts w:asciiTheme="majorBidi" w:hAnsiTheme="majorBidi" w:cstheme="majorBidi"/>
          <w:sz w:val="24"/>
          <w:szCs w:val="24"/>
          <w:lang w:val="en-US"/>
        </w:rPr>
        <w:t>, Sage, Thousand Oaks, CA.</w:t>
      </w:r>
    </w:p>
    <w:p w14:paraId="3DDDFBEF"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Oertel, S., Thommes, K., &amp; Walgenbach, P. (2016). Organizational failure in the aftermath of radical institutional change. Organization Studies, 37(8), 1067-1087.</w:t>
      </w:r>
    </w:p>
    <w:p w14:paraId="43F6062A"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Olson, E.G., (2008). Creating an enterprise level ‘‘green’’ strategy. Journal of Business Strategy 29 (2), 22–30.</w:t>
      </w:r>
    </w:p>
    <w:p w14:paraId="23133B7A"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Oreg, S., Vakola, M., &amp; Armenakis, A. (2011). Change Recipients’ Reactions to Organizational Change: A 60 Year Review of Quantitative Studies. </w:t>
      </w:r>
      <w:r w:rsidRPr="00511330">
        <w:rPr>
          <w:rFonts w:asciiTheme="majorBidi" w:hAnsiTheme="majorBidi" w:cstheme="majorBidi"/>
          <w:i/>
          <w:iCs/>
          <w:sz w:val="24"/>
          <w:szCs w:val="24"/>
          <w:lang w:val="en-US"/>
        </w:rPr>
        <w:t xml:space="preserve">The </w:t>
      </w:r>
      <w:r w:rsidRPr="00511330">
        <w:rPr>
          <w:rFonts w:asciiTheme="majorBidi" w:hAnsiTheme="majorBidi" w:cstheme="majorBidi"/>
          <w:i/>
          <w:iCs/>
          <w:sz w:val="24"/>
          <w:szCs w:val="24"/>
          <w:lang w:val="en-US"/>
        </w:rPr>
        <w:lastRenderedPageBreak/>
        <w:t>Journal of Applied Behavioral Science, 47.</w:t>
      </w:r>
      <w:r w:rsidRPr="00511330">
        <w:rPr>
          <w:rFonts w:asciiTheme="majorBidi" w:hAnsiTheme="majorBidi" w:cstheme="majorBidi"/>
          <w:sz w:val="24"/>
          <w:szCs w:val="24"/>
          <w:lang w:val="en-US"/>
        </w:rPr>
        <w:t xml:space="preserve"> 461-524. 10.1177/0021886310396550.</w:t>
      </w:r>
    </w:p>
    <w:p w14:paraId="1B7130CE"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Oscar, Van Vliet (2018), Drivers and risks for renewable energy developments in mountain regions: a case of a pilot photovoltaic project in the Swiss Alps</w:t>
      </w:r>
      <w:r w:rsidRPr="00511330">
        <w:rPr>
          <w:rFonts w:asciiTheme="majorBidi" w:hAnsiTheme="majorBidi" w:cstheme="majorBidi"/>
          <w:i/>
          <w:iCs/>
          <w:sz w:val="24"/>
          <w:szCs w:val="24"/>
        </w:rPr>
        <w:t xml:space="preserve">. Energy, Sustainability and Society v8 </w:t>
      </w:r>
      <w:r w:rsidRPr="00511330">
        <w:rPr>
          <w:rFonts w:asciiTheme="majorBidi" w:hAnsiTheme="majorBidi" w:cstheme="majorBidi"/>
          <w:sz w:val="24"/>
          <w:szCs w:val="24"/>
        </w:rPr>
        <w:t>n1 (201812): 1-17.</w:t>
      </w:r>
    </w:p>
    <w:p w14:paraId="48CCE85F"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D’Ortenzio, C. (2012). </w:t>
      </w:r>
      <w:r w:rsidRPr="00511330">
        <w:rPr>
          <w:rFonts w:asciiTheme="majorBidi" w:hAnsiTheme="majorBidi" w:cstheme="majorBidi"/>
          <w:i/>
          <w:iCs/>
          <w:sz w:val="24"/>
          <w:szCs w:val="24"/>
          <w:lang w:val="en-US"/>
        </w:rPr>
        <w:t>Understanding change and change management processes: A case study</w:t>
      </w:r>
      <w:r w:rsidRPr="00511330">
        <w:rPr>
          <w:rFonts w:asciiTheme="majorBidi" w:hAnsiTheme="majorBidi" w:cstheme="majorBidi"/>
          <w:sz w:val="24"/>
          <w:szCs w:val="24"/>
          <w:lang w:val="en-US"/>
        </w:rPr>
        <w:t xml:space="preserve"> (Unpublished doctoral dissertation). University of Canberra.</w:t>
      </w:r>
    </w:p>
    <w:p w14:paraId="4CFE534A"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Style w:val="Hyperlink"/>
          <w:rFonts w:asciiTheme="majorBidi" w:hAnsiTheme="majorBidi" w:cstheme="majorBidi"/>
          <w:color w:val="auto"/>
          <w:sz w:val="24"/>
          <w:szCs w:val="24"/>
          <w:u w:val="none"/>
          <w:lang w:val="en-US"/>
        </w:rPr>
      </w:pPr>
      <w:r w:rsidRPr="00511330">
        <w:rPr>
          <w:rStyle w:val="text-indent"/>
          <w:rFonts w:asciiTheme="majorBidi" w:hAnsiTheme="majorBidi" w:cstheme="majorBidi"/>
          <w:sz w:val="24"/>
          <w:szCs w:val="24"/>
        </w:rPr>
        <w:t>Oxford. (2020). Retrieved from</w:t>
      </w:r>
      <w:r w:rsidRPr="00511330">
        <w:rPr>
          <w:rStyle w:val="text-indent"/>
          <w:rFonts w:asciiTheme="majorBidi" w:hAnsiTheme="majorBidi" w:cstheme="majorBidi"/>
          <w:sz w:val="28"/>
          <w:szCs w:val="28"/>
        </w:rPr>
        <w:t xml:space="preserve"> </w:t>
      </w:r>
      <w:r w:rsidRPr="00511330">
        <w:rPr>
          <w:rStyle w:val="text-indent"/>
          <w:rFonts w:asciiTheme="majorBidi" w:hAnsiTheme="majorBidi" w:cstheme="majorBidi"/>
          <w:sz w:val="24"/>
          <w:szCs w:val="24"/>
        </w:rPr>
        <w:t xml:space="preserve">In </w:t>
      </w:r>
      <w:r w:rsidRPr="00511330">
        <w:rPr>
          <w:rStyle w:val="Emphasis"/>
          <w:rFonts w:asciiTheme="majorBidi" w:hAnsiTheme="majorBidi" w:cstheme="majorBidi"/>
          <w:sz w:val="24"/>
          <w:szCs w:val="24"/>
        </w:rPr>
        <w:t>The Oxford Compact English Dictionary</w:t>
      </w:r>
      <w:r w:rsidRPr="00511330">
        <w:rPr>
          <w:rStyle w:val="text-indent"/>
          <w:rFonts w:asciiTheme="majorBidi" w:hAnsiTheme="majorBidi" w:cstheme="majorBidi"/>
          <w:sz w:val="24"/>
          <w:szCs w:val="24"/>
        </w:rPr>
        <w:t xml:space="preserve">. Oxford, England: Oxford University Press. </w:t>
      </w:r>
      <w:hyperlink r:id="rId81" w:history="1">
        <w:r w:rsidRPr="00511330">
          <w:rPr>
            <w:rStyle w:val="Hyperlink"/>
            <w:rFonts w:asciiTheme="majorBidi" w:hAnsiTheme="majorBidi" w:cstheme="majorBidi"/>
            <w:sz w:val="24"/>
            <w:szCs w:val="24"/>
          </w:rPr>
          <w:t>https://www.lexico.com/definition/green_energy</w:t>
        </w:r>
      </w:hyperlink>
    </w:p>
    <w:p w14:paraId="1BF03FDC" w14:textId="77777777" w:rsidR="00DD3585" w:rsidRPr="00511330" w:rsidRDefault="005F6780" w:rsidP="00DD3585">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Pablo, A. L., Reay, T., Dewald, J. R., &amp; Casebeer, A. L. (2007). Identifying, Enabling and Managing Dynamic Capabilities in the Public Sector. </w:t>
      </w:r>
      <w:r w:rsidRPr="00511330">
        <w:rPr>
          <w:rFonts w:asciiTheme="majorBidi" w:hAnsiTheme="majorBidi" w:cstheme="majorBidi"/>
          <w:i/>
          <w:iCs/>
          <w:sz w:val="24"/>
          <w:szCs w:val="24"/>
          <w:lang w:val="en-US"/>
        </w:rPr>
        <w:t>Journal of Management Studies, 44</w:t>
      </w:r>
      <w:r w:rsidRPr="00511330">
        <w:rPr>
          <w:rFonts w:asciiTheme="majorBidi" w:hAnsiTheme="majorBidi" w:cstheme="majorBidi"/>
          <w:sz w:val="24"/>
          <w:szCs w:val="24"/>
          <w:lang w:val="en-US"/>
        </w:rPr>
        <w:t>(5): 687-708.</w:t>
      </w:r>
    </w:p>
    <w:p w14:paraId="23D8F17B"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Pagon, M., Banutai, E., and Bizjak U. (2008). Leadership Competencies for Successful Change Management</w:t>
      </w:r>
      <w:r w:rsidRPr="00511330">
        <w:rPr>
          <w:rFonts w:asciiTheme="majorBidi" w:eastAsia="Arial Unicode MS" w:hAnsiTheme="majorBidi" w:cstheme="majorBidi"/>
          <w:i/>
          <w:iCs/>
          <w:sz w:val="24"/>
          <w:szCs w:val="24"/>
          <w:bdr w:val="none" w:sz="0" w:space="0" w:color="auto" w:frame="1"/>
          <w:lang w:val="en-US"/>
        </w:rPr>
        <w:t>. Slovenian Presidency of EU,</w:t>
      </w:r>
      <w:r w:rsidRPr="00511330">
        <w:rPr>
          <w:rFonts w:asciiTheme="majorBidi" w:eastAsia="Arial Unicode MS" w:hAnsiTheme="majorBidi" w:cstheme="majorBidi"/>
          <w:sz w:val="24"/>
          <w:szCs w:val="24"/>
          <w:bdr w:val="none" w:sz="0" w:space="0" w:color="auto" w:frame="1"/>
          <w:lang w:val="en-US"/>
        </w:rPr>
        <w:t xml:space="preserve"> 1.</w:t>
      </w:r>
    </w:p>
    <w:p w14:paraId="6ABE04AC"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Pasmore, W. A. (2011). Tipping the balance: Overcoming persistent problems in organizational change. In A. Shani, R. Woodman, &amp; W. Pasmore (Eds</w:t>
      </w:r>
      <w:r w:rsidRPr="00511330">
        <w:rPr>
          <w:rFonts w:asciiTheme="majorBidi" w:hAnsiTheme="majorBidi" w:cstheme="majorBidi"/>
          <w:i/>
          <w:iCs/>
          <w:sz w:val="24"/>
          <w:szCs w:val="24"/>
          <w:lang w:val="en-US"/>
        </w:rPr>
        <w:t>.), Research in organizational change and development</w:t>
      </w:r>
      <w:r w:rsidRPr="00511330">
        <w:rPr>
          <w:rFonts w:asciiTheme="majorBidi" w:hAnsiTheme="majorBidi" w:cstheme="majorBidi"/>
          <w:sz w:val="24"/>
          <w:szCs w:val="24"/>
          <w:lang w:val="en-US"/>
        </w:rPr>
        <w:t xml:space="preserve"> (19, 259-292). Greenwich, CT: JAI Press.</w:t>
      </w:r>
    </w:p>
    <w:p w14:paraId="4FE61B8A"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Petkari, E.m and Ortiz-Tallo, M. (2018). Towards Youth Happiness and Mental Health in the United Arab Emirates: The Path of Character Strengths in a Multicultural Population. </w:t>
      </w:r>
      <w:r w:rsidRPr="00511330">
        <w:rPr>
          <w:rFonts w:asciiTheme="majorBidi" w:hAnsiTheme="majorBidi" w:cstheme="majorBidi"/>
          <w:i/>
          <w:iCs/>
          <w:sz w:val="24"/>
          <w:szCs w:val="24"/>
          <w:lang w:val="en-US"/>
        </w:rPr>
        <w:t>Journal of Happiness Studies: An Interdisciplinary Forum on Subjective Well-Being 19</w:t>
      </w:r>
      <w:r w:rsidRPr="00511330">
        <w:rPr>
          <w:rFonts w:asciiTheme="majorBidi" w:hAnsiTheme="majorBidi" w:cstheme="majorBidi"/>
          <w:sz w:val="24"/>
          <w:szCs w:val="24"/>
          <w:lang w:val="en-US"/>
        </w:rPr>
        <w:t>(2):333–50</w:t>
      </w:r>
      <w:r w:rsidRPr="00511330">
        <w:rPr>
          <w:rFonts w:asciiTheme="majorBidi" w:hAnsiTheme="majorBidi" w:cstheme="majorBidi"/>
          <w:i/>
          <w:iCs/>
          <w:sz w:val="24"/>
          <w:szCs w:val="24"/>
          <w:lang w:val="en-US"/>
        </w:rPr>
        <w:t>.</w:t>
      </w:r>
    </w:p>
    <w:p w14:paraId="38367524"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Petroleum Economist, (2015), Oct, p. 1. “UAE Talks up Clean Energy Spend.”</w:t>
      </w:r>
    </w:p>
    <w:p w14:paraId="7FBCC287"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Petroni, G., Venturini, K., &amp; Verbano, C. (2012). Open innovation and new issues in R&amp;D organization and personnel management, </w:t>
      </w:r>
      <w:r w:rsidRPr="00511330">
        <w:rPr>
          <w:rFonts w:asciiTheme="majorBidi" w:hAnsiTheme="majorBidi" w:cstheme="majorBidi"/>
          <w:i/>
          <w:iCs/>
          <w:sz w:val="24"/>
          <w:szCs w:val="24"/>
          <w:lang w:val="en-US"/>
        </w:rPr>
        <w:t>The International Journal of Human Resource Management</w:t>
      </w:r>
      <w:r w:rsidRPr="00511330">
        <w:rPr>
          <w:rFonts w:asciiTheme="majorBidi" w:hAnsiTheme="majorBidi" w:cstheme="majorBidi"/>
          <w:sz w:val="24"/>
          <w:szCs w:val="24"/>
          <w:lang w:val="en-US"/>
        </w:rPr>
        <w:t>, 23(1) 147-173.</w:t>
      </w:r>
    </w:p>
    <w:p w14:paraId="6C3DCA82"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Podsakoff, P. M., MacKenzie, S. B., Moorman, R. H., &amp; Fetter, R. (1990). Transformational leader behaviors and their effects on followers’ trust in leader, satisfaction, and organizational citizenship behavior. </w:t>
      </w:r>
      <w:r w:rsidRPr="00511330">
        <w:rPr>
          <w:rFonts w:asciiTheme="majorBidi" w:hAnsiTheme="majorBidi" w:cstheme="majorBidi"/>
          <w:i/>
          <w:iCs/>
          <w:sz w:val="24"/>
          <w:szCs w:val="24"/>
          <w:lang w:val="en-US"/>
        </w:rPr>
        <w:t>The Leadership Quarterly,</w:t>
      </w:r>
      <w:r w:rsidRPr="00511330">
        <w:rPr>
          <w:rFonts w:asciiTheme="majorBidi" w:hAnsiTheme="majorBidi" w:cstheme="majorBidi"/>
          <w:sz w:val="24"/>
          <w:szCs w:val="24"/>
          <w:lang w:val="en-US"/>
        </w:rPr>
        <w:t xml:space="preserve"> 1, 107–142.</w:t>
      </w:r>
    </w:p>
    <w:p w14:paraId="45D15209"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Podsakoff, P. M., MacKenzie, S. B., Lee, J. Y., &amp; Podsakoff, N. P. (2003). Common method biases in behavioral research: a critical review of the literature and recommended remedies. </w:t>
      </w:r>
      <w:r w:rsidRPr="00511330">
        <w:rPr>
          <w:rFonts w:asciiTheme="majorBidi" w:hAnsiTheme="majorBidi" w:cstheme="majorBidi"/>
          <w:i/>
          <w:iCs/>
          <w:sz w:val="24"/>
          <w:szCs w:val="24"/>
        </w:rPr>
        <w:t>Journal of Applied Psychology</w:t>
      </w:r>
      <w:r w:rsidRPr="00511330">
        <w:rPr>
          <w:rFonts w:asciiTheme="majorBidi" w:hAnsiTheme="majorBidi" w:cstheme="majorBidi"/>
          <w:sz w:val="24"/>
          <w:szCs w:val="24"/>
        </w:rPr>
        <w:t xml:space="preserve">, </w:t>
      </w:r>
      <w:r w:rsidRPr="00511330">
        <w:rPr>
          <w:rFonts w:asciiTheme="majorBidi" w:hAnsiTheme="majorBidi" w:cstheme="majorBidi"/>
          <w:i/>
          <w:iCs/>
          <w:sz w:val="24"/>
          <w:szCs w:val="24"/>
        </w:rPr>
        <w:t>88</w:t>
      </w:r>
      <w:r w:rsidRPr="00511330">
        <w:rPr>
          <w:rFonts w:asciiTheme="majorBidi" w:hAnsiTheme="majorBidi" w:cstheme="majorBidi"/>
          <w:sz w:val="24"/>
          <w:szCs w:val="24"/>
        </w:rPr>
        <w:t>(5), 879-903.</w:t>
      </w:r>
    </w:p>
    <w:p w14:paraId="2DCABA95"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Politis, J.D. (2002). Transformational and transactional leadership enabling (disabling knowledge acquisition of self-managed teams: the consequences for performance, </w:t>
      </w:r>
      <w:r w:rsidRPr="00511330">
        <w:rPr>
          <w:rFonts w:asciiTheme="majorBidi" w:hAnsiTheme="majorBidi" w:cstheme="majorBidi"/>
          <w:i/>
          <w:iCs/>
          <w:sz w:val="24"/>
          <w:szCs w:val="24"/>
          <w:lang w:val="en-US"/>
        </w:rPr>
        <w:t>Leadership &amp; Organization Development Journal, 23</w:t>
      </w:r>
      <w:r w:rsidRPr="00511330">
        <w:rPr>
          <w:rFonts w:asciiTheme="majorBidi" w:hAnsiTheme="majorBidi" w:cstheme="majorBidi"/>
          <w:sz w:val="24"/>
          <w:szCs w:val="24"/>
          <w:lang w:val="en-US"/>
        </w:rPr>
        <w:t>(4), 186-97.</w:t>
      </w:r>
    </w:p>
    <w:p w14:paraId="28F9837F"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Poole. M.S., &amp; Van, de Ven, A.H. (2004) Theories of organizational changes and innovation processes. In: Poole, M.S., Van de Ven, A.H. (eds). </w:t>
      </w:r>
      <w:r w:rsidRPr="00511330">
        <w:rPr>
          <w:rFonts w:asciiTheme="majorBidi" w:hAnsiTheme="majorBidi" w:cstheme="majorBidi"/>
          <w:i/>
          <w:iCs/>
          <w:sz w:val="24"/>
          <w:szCs w:val="24"/>
          <w:lang w:val="en-US"/>
        </w:rPr>
        <w:t>Handbook of organizational change and innovation</w:t>
      </w:r>
      <w:r w:rsidRPr="00511330">
        <w:rPr>
          <w:rFonts w:asciiTheme="majorBidi" w:hAnsiTheme="majorBidi" w:cstheme="majorBidi"/>
          <w:sz w:val="24"/>
          <w:szCs w:val="24"/>
          <w:lang w:val="en-US"/>
        </w:rPr>
        <w:t>. Oxford University Press, New York, 374–397.</w:t>
      </w:r>
    </w:p>
    <w:p w14:paraId="72723939"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lastRenderedPageBreak/>
        <w:t xml:space="preserve">Porter, M. (1985), </w:t>
      </w:r>
      <w:r w:rsidRPr="00511330">
        <w:rPr>
          <w:rFonts w:asciiTheme="majorBidi" w:hAnsiTheme="majorBidi" w:cstheme="majorBidi"/>
          <w:i/>
          <w:iCs/>
          <w:sz w:val="24"/>
          <w:szCs w:val="24"/>
        </w:rPr>
        <w:t>Competitive Advantage: Creating and Sustaining Superior Performance</w:t>
      </w:r>
      <w:r w:rsidRPr="00511330">
        <w:rPr>
          <w:rFonts w:asciiTheme="majorBidi" w:hAnsiTheme="majorBidi" w:cstheme="majorBidi"/>
          <w:sz w:val="24"/>
          <w:szCs w:val="24"/>
        </w:rPr>
        <w:t>, The Free Press, New York, NY.</w:t>
      </w:r>
    </w:p>
    <w:p w14:paraId="1C1DCB6E"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Premalatha, M., Tauseef, S.M., Abbasi, T., &amp; Abbasi, S.A. (2013). The promise and the performance of the world’s first two zero-carbon eco-cities”, </w:t>
      </w:r>
      <w:r w:rsidRPr="00511330">
        <w:rPr>
          <w:rFonts w:asciiTheme="majorBidi" w:hAnsiTheme="majorBidi" w:cstheme="majorBidi"/>
          <w:i/>
          <w:iCs/>
          <w:sz w:val="24"/>
          <w:szCs w:val="24"/>
          <w:lang w:val="en-US"/>
        </w:rPr>
        <w:t>Renewable and Sustainable Energy Reviews</w:t>
      </w:r>
      <w:r w:rsidRPr="00511330">
        <w:rPr>
          <w:rFonts w:asciiTheme="majorBidi" w:hAnsiTheme="majorBidi" w:cstheme="majorBidi"/>
          <w:sz w:val="24"/>
          <w:szCs w:val="24"/>
          <w:lang w:val="en-US"/>
        </w:rPr>
        <w:t>, 25, 660-669.</w:t>
      </w:r>
    </w:p>
    <w:p w14:paraId="08F1514B"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Proctor, T., &amp; Doukakis, I. (2003). Change management: the role of internal communication and employee development, </w:t>
      </w:r>
      <w:r w:rsidRPr="00511330">
        <w:rPr>
          <w:rFonts w:asciiTheme="majorBidi" w:hAnsiTheme="majorBidi" w:cstheme="majorBidi"/>
          <w:i/>
          <w:iCs/>
          <w:sz w:val="24"/>
          <w:szCs w:val="24"/>
          <w:lang w:val="en-US"/>
        </w:rPr>
        <w:t>Corporate Communication: An International Journal, 18(</w:t>
      </w:r>
      <w:r w:rsidRPr="00511330">
        <w:rPr>
          <w:rFonts w:asciiTheme="majorBidi" w:hAnsiTheme="majorBidi" w:cstheme="majorBidi"/>
          <w:sz w:val="24"/>
          <w:szCs w:val="24"/>
          <w:lang w:val="en-US"/>
        </w:rPr>
        <w:t>4), 268-277.</w:t>
      </w:r>
    </w:p>
    <w:p w14:paraId="590BD4D6"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Project Management</w:t>
      </w:r>
      <w:r w:rsidRPr="00511330">
        <w:rPr>
          <w:rFonts w:asciiTheme="majorBidi" w:hAnsiTheme="majorBidi" w:cstheme="majorBidi"/>
          <w:sz w:val="24"/>
          <w:szCs w:val="24"/>
          <w:rtl/>
          <w:lang w:val="en-US"/>
        </w:rPr>
        <w:t xml:space="preserve"> </w:t>
      </w:r>
      <w:r w:rsidRPr="00511330">
        <w:rPr>
          <w:rFonts w:asciiTheme="majorBidi" w:hAnsiTheme="majorBidi" w:cstheme="majorBidi"/>
          <w:sz w:val="24"/>
          <w:szCs w:val="24"/>
          <w:lang w:val="en-US"/>
        </w:rPr>
        <w:t>Institute. (2013). A guide to the project management body of knowledge (5th ed.). Newtown Square, Pa: Project Management Institute.</w:t>
      </w:r>
    </w:p>
    <w:p w14:paraId="7A936517"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Qassim, A. (2010). Why Information Systems Projects Fail: Guidelines for Successful Projects. </w:t>
      </w:r>
      <w:r w:rsidRPr="00511330">
        <w:rPr>
          <w:rFonts w:asciiTheme="majorBidi" w:hAnsiTheme="majorBidi" w:cstheme="majorBidi"/>
          <w:i/>
          <w:iCs/>
          <w:sz w:val="24"/>
          <w:szCs w:val="24"/>
          <w:lang w:val="en-US"/>
        </w:rPr>
        <w:t>Information Technology Department, State Audit Institution, Oman</w:t>
      </w:r>
      <w:r w:rsidRPr="00511330">
        <w:rPr>
          <w:rFonts w:asciiTheme="majorBidi" w:hAnsiTheme="majorBidi" w:cstheme="majorBidi"/>
          <w:sz w:val="24"/>
          <w:szCs w:val="24"/>
          <w:lang w:val="en-US"/>
        </w:rPr>
        <w:t>.</w:t>
      </w:r>
    </w:p>
    <w:p w14:paraId="1B3B2CC1"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Rabia Ferroukhi, Noor Ghazal</w:t>
      </w:r>
      <w:r w:rsidRPr="00511330">
        <w:rPr>
          <w:rFonts w:ascii="Cambria Math" w:hAnsi="Cambria Math" w:cs="Cambria Math"/>
          <w:sz w:val="24"/>
          <w:szCs w:val="24"/>
          <w:lang w:val="en-US"/>
        </w:rPr>
        <w:t>‐</w:t>
      </w:r>
      <w:r w:rsidRPr="00511330">
        <w:rPr>
          <w:rFonts w:asciiTheme="majorBidi" w:hAnsiTheme="majorBidi" w:cstheme="majorBidi"/>
          <w:sz w:val="24"/>
          <w:szCs w:val="24"/>
          <w:lang w:val="en-US"/>
        </w:rPr>
        <w:t xml:space="preserve">Aswad, Stella Androulaki, Diala Hawila, Toufic Mezher, (2013) "Renewable energy in the GCC: status and challenges", </w:t>
      </w:r>
      <w:r w:rsidRPr="00511330">
        <w:rPr>
          <w:rFonts w:asciiTheme="majorBidi" w:hAnsiTheme="majorBidi" w:cstheme="majorBidi"/>
          <w:i/>
          <w:iCs/>
          <w:sz w:val="24"/>
          <w:szCs w:val="24"/>
          <w:lang w:val="en-US"/>
        </w:rPr>
        <w:t>International Journal of Energy Sector Management, Vol. 7</w:t>
      </w:r>
      <w:r w:rsidRPr="00511330">
        <w:rPr>
          <w:rFonts w:asciiTheme="majorBidi" w:hAnsiTheme="majorBidi" w:cstheme="majorBidi"/>
          <w:sz w:val="24"/>
          <w:szCs w:val="24"/>
          <w:lang w:val="en-US"/>
        </w:rPr>
        <w:t xml:space="preserve"> Issue: 1, pp.84-112, https://doi.org/10.1108/17506221311316498. </w:t>
      </w:r>
    </w:p>
    <w:p w14:paraId="38406721" w14:textId="77777777" w:rsidR="00932547" w:rsidRPr="00511330" w:rsidRDefault="005F6780" w:rsidP="0093254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Rahdari, A. H., &amp; Rostamy, A. A. (2015). Designing a general set of sustainability indicators at the corporate level. </w:t>
      </w:r>
      <w:r w:rsidRPr="00511330">
        <w:rPr>
          <w:rFonts w:asciiTheme="majorBidi" w:hAnsiTheme="majorBidi" w:cstheme="majorBidi"/>
          <w:i/>
          <w:iCs/>
          <w:sz w:val="24"/>
          <w:szCs w:val="24"/>
          <w:lang w:val="en-US"/>
        </w:rPr>
        <w:t>Journal of Cleaner Production, 108</w:t>
      </w:r>
      <w:r w:rsidRPr="00511330">
        <w:rPr>
          <w:rFonts w:asciiTheme="majorBidi" w:hAnsiTheme="majorBidi" w:cstheme="majorBidi"/>
          <w:sz w:val="24"/>
          <w:szCs w:val="24"/>
          <w:lang w:val="en-US"/>
        </w:rPr>
        <w:t>, 757-771.</w:t>
      </w:r>
    </w:p>
    <w:p w14:paraId="5EFDE7A5"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Randeree, K., &amp; Ahmed, N. (2019). The social imperative in sustainable urban development: The case of Masdar City in the United Arab Emirates. </w:t>
      </w:r>
      <w:r w:rsidRPr="00511330">
        <w:rPr>
          <w:rFonts w:asciiTheme="majorBidi" w:hAnsiTheme="majorBidi" w:cstheme="majorBidi"/>
          <w:i/>
          <w:iCs/>
          <w:sz w:val="24"/>
          <w:szCs w:val="24"/>
          <w:lang w:val="en-US"/>
        </w:rPr>
        <w:t>Smart and Sustainable Built Environment, 8</w:t>
      </w:r>
      <w:r w:rsidRPr="00511330">
        <w:rPr>
          <w:rFonts w:asciiTheme="majorBidi" w:hAnsiTheme="majorBidi" w:cstheme="majorBidi"/>
          <w:sz w:val="24"/>
          <w:szCs w:val="24"/>
          <w:lang w:val="en-US"/>
        </w:rPr>
        <w:t>(2), 138-149.</w:t>
      </w:r>
    </w:p>
    <w:p w14:paraId="7669D176"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Raslavičius, L., Keršys, A., Starevičius, M., Sapragonas, J., &amp; Bazaras, Ž. (2014). Biofuels, sustainability and the transport sector in Lithuania. </w:t>
      </w:r>
      <w:r w:rsidRPr="00511330">
        <w:rPr>
          <w:rFonts w:asciiTheme="majorBidi" w:hAnsiTheme="majorBidi" w:cstheme="majorBidi"/>
          <w:i/>
          <w:iCs/>
          <w:sz w:val="24"/>
          <w:szCs w:val="24"/>
          <w:lang w:val="en-US"/>
        </w:rPr>
        <w:t>Renewable and Sustainable Energy Reviews, 32</w:t>
      </w:r>
      <w:r w:rsidRPr="00511330">
        <w:rPr>
          <w:rFonts w:asciiTheme="majorBidi" w:hAnsiTheme="majorBidi" w:cstheme="majorBidi"/>
          <w:sz w:val="24"/>
          <w:szCs w:val="24"/>
          <w:lang w:val="en-US"/>
        </w:rPr>
        <w:t>, 328-346.</w:t>
      </w:r>
    </w:p>
    <w:p w14:paraId="14CFCBD0"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Raza, M. A., Khan, M. M., &amp; Mujtaba, B. G. (2018). The Impact of Organizational Change on Employee Turnover Intention: Does Stress Play a Mediating Role?. </w:t>
      </w:r>
      <w:r w:rsidRPr="00511330">
        <w:rPr>
          <w:rFonts w:asciiTheme="majorBidi" w:hAnsiTheme="majorBidi" w:cstheme="majorBidi"/>
          <w:i/>
          <w:iCs/>
          <w:sz w:val="24"/>
          <w:szCs w:val="24"/>
          <w:lang w:val="en-US"/>
        </w:rPr>
        <w:t>Public Organization Review, 18</w:t>
      </w:r>
      <w:r w:rsidRPr="00511330">
        <w:rPr>
          <w:rFonts w:asciiTheme="majorBidi" w:hAnsiTheme="majorBidi" w:cstheme="majorBidi"/>
          <w:sz w:val="24"/>
          <w:szCs w:val="24"/>
          <w:lang w:val="en-US"/>
        </w:rPr>
        <w:t>(3), 313-327.</w:t>
      </w:r>
    </w:p>
    <w:p w14:paraId="2B6AFFB5"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Rees, G., &amp; French, R. (2013). </w:t>
      </w:r>
      <w:r w:rsidRPr="00511330">
        <w:rPr>
          <w:rFonts w:asciiTheme="majorBidi" w:hAnsiTheme="majorBidi" w:cstheme="majorBidi"/>
          <w:i/>
          <w:iCs/>
          <w:sz w:val="24"/>
          <w:szCs w:val="24"/>
          <w:lang w:val="en-US"/>
        </w:rPr>
        <w:t>Leading Managing and Developing People</w:t>
      </w:r>
      <w:r w:rsidRPr="00511330">
        <w:rPr>
          <w:rFonts w:asciiTheme="majorBidi" w:hAnsiTheme="majorBidi" w:cstheme="majorBidi"/>
          <w:sz w:val="24"/>
          <w:szCs w:val="24"/>
          <w:lang w:val="en-US"/>
        </w:rPr>
        <w:t xml:space="preserve"> (4th ed.). CIPD Publications.</w:t>
      </w:r>
    </w:p>
    <w:p w14:paraId="0845BC99"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Richardson, J., &amp; McKenna, S. (2019). An exploration of career sustainability in and after professional sport. </w:t>
      </w:r>
      <w:r w:rsidRPr="00511330">
        <w:rPr>
          <w:rFonts w:asciiTheme="majorBidi" w:hAnsiTheme="majorBidi" w:cstheme="majorBidi"/>
          <w:i/>
          <w:iCs/>
          <w:sz w:val="24"/>
          <w:szCs w:val="24"/>
          <w:lang w:val="en-US"/>
        </w:rPr>
        <w:t>Journal of Vocational Behavior</w:t>
      </w:r>
      <w:r w:rsidRPr="00511330">
        <w:rPr>
          <w:rFonts w:asciiTheme="majorBidi" w:hAnsiTheme="majorBidi" w:cstheme="majorBidi"/>
          <w:sz w:val="24"/>
          <w:szCs w:val="24"/>
          <w:lang w:val="en-US"/>
        </w:rPr>
        <w:t>, 103314, 103314-103314.</w:t>
      </w:r>
    </w:p>
    <w:p w14:paraId="19A33662"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Rieley, J. B., &amp; Clarkson, I. (2001). The impact of change on performance’, </w:t>
      </w:r>
      <w:r w:rsidRPr="00511330">
        <w:rPr>
          <w:rFonts w:asciiTheme="majorBidi" w:hAnsiTheme="majorBidi" w:cstheme="majorBidi"/>
          <w:i/>
          <w:iCs/>
          <w:sz w:val="24"/>
          <w:szCs w:val="24"/>
          <w:lang w:val="en-US"/>
        </w:rPr>
        <w:t>Journal of Change Management, 2</w:t>
      </w:r>
      <w:r w:rsidRPr="00511330">
        <w:rPr>
          <w:rFonts w:asciiTheme="majorBidi" w:hAnsiTheme="majorBidi" w:cstheme="majorBidi"/>
          <w:sz w:val="24"/>
          <w:szCs w:val="24"/>
          <w:lang w:val="en-US"/>
        </w:rPr>
        <w:t>(2), 160–172.</w:t>
      </w:r>
    </w:p>
    <w:p w14:paraId="3C8E072B"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Robbins, S. P. (2000). Managing Today! (Prentice Hall). Valentine-Marshall, S. C. and B. L. Walker: 2000, An Introduction to Chinese Medicine. Retrieved from: http:// www.jungtao.edu/resources/ccm/manual.pdf (Jul 14, 2001).</w:t>
      </w:r>
    </w:p>
    <w:p w14:paraId="6D8EEC9E"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Robert D. (2012). Organization Behavior. Edinburgh Business School, Edinburgh, OB-A6-engb 1/2016. </w:t>
      </w:r>
    </w:p>
    <w:p w14:paraId="52B2C73E"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Roblyer, M.D. (1993). Why use technology in teaching? Making a case beyond research results. </w:t>
      </w:r>
      <w:r w:rsidRPr="00511330">
        <w:rPr>
          <w:rFonts w:asciiTheme="majorBidi" w:hAnsiTheme="majorBidi" w:cstheme="majorBidi"/>
          <w:i/>
          <w:iCs/>
          <w:sz w:val="24"/>
          <w:szCs w:val="24"/>
          <w:lang w:val="en-US"/>
        </w:rPr>
        <w:t>Florida Technology in Education Quarterly, 5</w:t>
      </w:r>
      <w:r w:rsidRPr="00511330">
        <w:rPr>
          <w:rFonts w:asciiTheme="majorBidi" w:hAnsiTheme="majorBidi" w:cstheme="majorBidi"/>
          <w:sz w:val="24"/>
          <w:szCs w:val="24"/>
          <w:lang w:val="en-US"/>
        </w:rPr>
        <w:t>(4), 7-13.</w:t>
      </w:r>
    </w:p>
    <w:p w14:paraId="493010F1"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 xml:space="preserve">Roch, S. G. (2007). Why convene rater teams: An investigation of the benfits of anticipated discussion, consensus, and rater motivation. </w:t>
      </w:r>
      <w:r w:rsidRPr="00511330">
        <w:rPr>
          <w:rFonts w:asciiTheme="majorBidi" w:hAnsiTheme="majorBidi" w:cstheme="majorBidi"/>
          <w:i/>
          <w:iCs/>
          <w:sz w:val="24"/>
          <w:szCs w:val="24"/>
          <w:lang w:val="en-US"/>
        </w:rPr>
        <w:t>Organizational Behavior and Human Decision Processes, 104</w:t>
      </w:r>
      <w:r w:rsidRPr="00511330">
        <w:rPr>
          <w:rFonts w:asciiTheme="majorBidi" w:hAnsiTheme="majorBidi" w:cstheme="majorBidi"/>
          <w:sz w:val="24"/>
          <w:szCs w:val="24"/>
          <w:lang w:val="en-US"/>
        </w:rPr>
        <w:t>, 14–29.</w:t>
      </w:r>
    </w:p>
    <w:p w14:paraId="35ED33B5"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Rootes, C. (2014). </w:t>
      </w:r>
      <w:r w:rsidRPr="00511330">
        <w:rPr>
          <w:rFonts w:asciiTheme="majorBidi" w:hAnsiTheme="majorBidi" w:cstheme="majorBidi"/>
          <w:i/>
          <w:iCs/>
          <w:sz w:val="24"/>
          <w:szCs w:val="24"/>
          <w:lang w:val="en-US"/>
        </w:rPr>
        <w:t>Environmental movements: local, national and global.</w:t>
      </w:r>
      <w:r w:rsidRPr="00511330">
        <w:rPr>
          <w:rFonts w:asciiTheme="majorBidi" w:hAnsiTheme="majorBidi" w:cstheme="majorBidi"/>
          <w:sz w:val="24"/>
          <w:szCs w:val="24"/>
          <w:lang w:val="en-US"/>
        </w:rPr>
        <w:t xml:space="preserve"> New York, NY: Routledge.</w:t>
      </w:r>
    </w:p>
    <w:p w14:paraId="4FB2B16A"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Rosenberg, S. &amp; Mosca, J. (2011). Breaking down the barriers to organizational change</w:t>
      </w:r>
      <w:r w:rsidRPr="00511330">
        <w:rPr>
          <w:rFonts w:asciiTheme="majorBidi" w:hAnsiTheme="majorBidi" w:cstheme="majorBidi"/>
          <w:i/>
          <w:iCs/>
          <w:sz w:val="24"/>
          <w:szCs w:val="24"/>
          <w:lang w:val="en-US"/>
        </w:rPr>
        <w:t>. International Journal of Management and Information Systems, 15 (3),</w:t>
      </w:r>
      <w:r w:rsidRPr="00511330">
        <w:rPr>
          <w:rFonts w:asciiTheme="majorBidi" w:hAnsiTheme="majorBidi" w:cstheme="majorBidi"/>
          <w:sz w:val="24"/>
          <w:szCs w:val="24"/>
          <w:lang w:val="en-US"/>
        </w:rPr>
        <w:t xml:space="preserve"> 139-146.</w:t>
      </w:r>
    </w:p>
    <w:p w14:paraId="628B1B1C"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Rosnow, R. L. (2001). Rumor and gossip in interpersonal interaction and beyond: A social exchange perspective. In R. M. Kowalski (Ed.), </w:t>
      </w:r>
      <w:r w:rsidRPr="00511330">
        <w:rPr>
          <w:rFonts w:asciiTheme="majorBidi" w:hAnsiTheme="majorBidi" w:cstheme="majorBidi"/>
          <w:i/>
          <w:iCs/>
          <w:sz w:val="24"/>
          <w:szCs w:val="24"/>
          <w:lang w:val="en-US"/>
        </w:rPr>
        <w:t xml:space="preserve">Behaving badly: Aversive behaviors in interpersonal relationships </w:t>
      </w:r>
      <w:r w:rsidRPr="00511330">
        <w:rPr>
          <w:rFonts w:asciiTheme="majorBidi" w:hAnsiTheme="majorBidi" w:cstheme="majorBidi"/>
          <w:sz w:val="24"/>
          <w:szCs w:val="24"/>
          <w:lang w:val="en-US"/>
        </w:rPr>
        <w:t>(pp. 203-232). Washington, DC: American Psychological Association.</w:t>
      </w:r>
    </w:p>
    <w:p w14:paraId="1C73A022"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Saleh, L., Zaabi, M., &amp; Mezher, T. (2019). Estimating the social carbon costs from power and desalination productions in uae. </w:t>
      </w:r>
      <w:r w:rsidRPr="00511330">
        <w:rPr>
          <w:rFonts w:asciiTheme="majorBidi" w:hAnsiTheme="majorBidi" w:cstheme="majorBidi"/>
          <w:i/>
          <w:iCs/>
          <w:sz w:val="24"/>
          <w:szCs w:val="24"/>
          <w:lang w:val="en-US"/>
        </w:rPr>
        <w:t>Renewable and Sustainable Energy Reviews</w:t>
      </w:r>
      <w:r w:rsidRPr="00511330">
        <w:rPr>
          <w:rFonts w:asciiTheme="majorBidi" w:hAnsiTheme="majorBidi" w:cstheme="majorBidi"/>
          <w:sz w:val="24"/>
          <w:szCs w:val="24"/>
          <w:lang w:val="en-US"/>
        </w:rPr>
        <w:t>, 114. doi:10.1016/j.rser.2019.109284.</w:t>
      </w:r>
    </w:p>
    <w:p w14:paraId="43AC9584" w14:textId="4EF0B8E7" w:rsidR="002F3201" w:rsidRPr="00511330" w:rsidRDefault="002F3201"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Sajwani, A., &amp; Nielsen, Y. (2017). The application of the environmental management system at the aluminum industry in UAE. </w:t>
      </w:r>
      <w:r w:rsidRPr="00511330">
        <w:rPr>
          <w:rFonts w:asciiTheme="majorBidi" w:hAnsiTheme="majorBidi" w:cstheme="majorBidi"/>
          <w:i/>
          <w:iCs/>
          <w:sz w:val="24"/>
          <w:szCs w:val="24"/>
          <w:lang w:val="en-US"/>
        </w:rPr>
        <w:t>International Journal of GEOMATE, 12(</w:t>
      </w:r>
      <w:r w:rsidRPr="00511330">
        <w:rPr>
          <w:rFonts w:asciiTheme="majorBidi" w:hAnsiTheme="majorBidi" w:cstheme="majorBidi"/>
          <w:sz w:val="24"/>
          <w:szCs w:val="24"/>
          <w:lang w:val="en-US"/>
        </w:rPr>
        <w:t>30), 1-10</w:t>
      </w:r>
    </w:p>
    <w:p w14:paraId="3BD2D462"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Samuelson, W., &amp; Zeckhauser, R. (1988). Status Quo Bias in Decision Making. </w:t>
      </w:r>
      <w:r w:rsidRPr="00511330">
        <w:rPr>
          <w:rFonts w:asciiTheme="majorBidi" w:hAnsiTheme="majorBidi" w:cstheme="majorBidi"/>
          <w:i/>
          <w:iCs/>
          <w:sz w:val="24"/>
          <w:szCs w:val="24"/>
          <w:lang w:val="en-US"/>
        </w:rPr>
        <w:t>Journal of Risk and Uncertainty, 59</w:t>
      </w:r>
      <w:r w:rsidRPr="00511330">
        <w:rPr>
          <w:rFonts w:asciiTheme="majorBidi" w:hAnsiTheme="majorBidi" w:cstheme="majorBidi"/>
          <w:sz w:val="24"/>
          <w:szCs w:val="24"/>
          <w:lang w:val="en-US"/>
        </w:rPr>
        <w:t>(1), 7–59.</w:t>
      </w:r>
    </w:p>
    <w:p w14:paraId="4E5B86E8"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Santilli, J., &amp; Vogenberg, F.R. (2015). Key strategic trends that impact healthcare decision making and stakeholder roles in the new marketplace. Am. </w:t>
      </w:r>
      <w:r w:rsidRPr="00511330">
        <w:rPr>
          <w:rFonts w:asciiTheme="majorBidi" w:hAnsiTheme="majorBidi" w:cstheme="majorBidi"/>
          <w:i/>
          <w:iCs/>
          <w:sz w:val="24"/>
          <w:szCs w:val="24"/>
          <w:lang w:val="en-US"/>
        </w:rPr>
        <w:t>Health Drug Benefit</w:t>
      </w:r>
      <w:r w:rsidRPr="00511330">
        <w:rPr>
          <w:rFonts w:asciiTheme="majorBidi" w:hAnsiTheme="majorBidi" w:cstheme="majorBidi"/>
          <w:sz w:val="24"/>
          <w:szCs w:val="24"/>
          <w:lang w:val="en-US"/>
        </w:rPr>
        <w:t>s 8(1), 15.</w:t>
      </w:r>
    </w:p>
    <w:p w14:paraId="0D7B8A37"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w:t>
      </w:r>
      <w:r w:rsidRPr="00511330">
        <w:rPr>
          <w:rFonts w:asciiTheme="majorBidi" w:eastAsia="Arial Unicode MS" w:hAnsiTheme="majorBidi" w:cstheme="majorBidi"/>
          <w:sz w:val="24"/>
          <w:szCs w:val="24"/>
          <w:bdr w:val="none" w:sz="0" w:space="0" w:color="auto" w:frame="1"/>
          <w:lang w:val="en-US"/>
        </w:rPr>
        <w:t xml:space="preserve">Schermerhorn, J. R., Hunt, J. G., &amp; Osborn, R. N. (2011). </w:t>
      </w:r>
      <w:r w:rsidRPr="00511330">
        <w:rPr>
          <w:rFonts w:asciiTheme="majorBidi" w:eastAsia="Arial Unicode MS" w:hAnsiTheme="majorBidi" w:cstheme="majorBidi"/>
          <w:i/>
          <w:iCs/>
          <w:sz w:val="24"/>
          <w:szCs w:val="24"/>
          <w:bdr w:val="none" w:sz="0" w:space="0" w:color="auto" w:frame="1"/>
          <w:lang w:val="en-US"/>
        </w:rPr>
        <w:t>Organizational behaviour</w:t>
      </w:r>
      <w:r w:rsidRPr="00511330">
        <w:rPr>
          <w:rFonts w:asciiTheme="majorBidi" w:eastAsia="Arial Unicode MS" w:hAnsiTheme="majorBidi" w:cstheme="majorBidi"/>
          <w:sz w:val="24"/>
          <w:szCs w:val="24"/>
          <w:bdr w:val="none" w:sz="0" w:space="0" w:color="auto" w:frame="1"/>
          <w:lang w:val="en-US"/>
        </w:rPr>
        <w:t xml:space="preserve"> (11</w:t>
      </w:r>
      <w:r w:rsidRPr="00511330">
        <w:rPr>
          <w:rFonts w:asciiTheme="majorBidi" w:eastAsia="Arial Unicode MS" w:hAnsiTheme="majorBidi" w:cstheme="majorBidi"/>
          <w:sz w:val="24"/>
          <w:szCs w:val="24"/>
          <w:bdr w:val="none" w:sz="0" w:space="0" w:color="auto" w:frame="1"/>
          <w:vertAlign w:val="superscript"/>
          <w:lang w:val="en-US"/>
        </w:rPr>
        <w:t>th</w:t>
      </w:r>
      <w:r w:rsidRPr="00511330">
        <w:rPr>
          <w:rFonts w:asciiTheme="majorBidi" w:eastAsia="Arial Unicode MS" w:hAnsiTheme="majorBidi" w:cstheme="majorBidi"/>
          <w:sz w:val="24"/>
          <w:szCs w:val="24"/>
          <w:bdr w:val="none" w:sz="0" w:space="0" w:color="auto" w:frame="1"/>
          <w:lang w:val="en-US"/>
        </w:rPr>
        <w:t xml:space="preserve"> ed.) (p. 253). New York, NY: </w:t>
      </w:r>
      <w:r w:rsidRPr="00511330">
        <w:rPr>
          <w:rFonts w:asciiTheme="majorBidi" w:eastAsia="Arial Unicode MS" w:hAnsiTheme="majorBidi" w:cstheme="majorBidi"/>
          <w:i/>
          <w:iCs/>
          <w:sz w:val="24"/>
          <w:szCs w:val="24"/>
          <w:bdr w:val="none" w:sz="0" w:space="0" w:color="auto" w:frame="1"/>
          <w:lang w:val="en-US"/>
        </w:rPr>
        <w:t>Wiley.</w:t>
      </w:r>
    </w:p>
    <w:p w14:paraId="75C56631"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i/>
          <w:iCs/>
          <w:sz w:val="24"/>
          <w:szCs w:val="24"/>
          <w:bdr w:val="none" w:sz="0" w:space="0" w:color="auto" w:frame="1"/>
          <w:lang w:val="en-US"/>
        </w:rPr>
        <w:t xml:space="preserve"> </w:t>
      </w:r>
      <w:r w:rsidRPr="00511330">
        <w:rPr>
          <w:rFonts w:asciiTheme="majorBidi" w:eastAsia="Arial Unicode MS" w:hAnsiTheme="majorBidi" w:cstheme="majorBidi"/>
          <w:noProof/>
          <w:sz w:val="24"/>
          <w:szCs w:val="24"/>
          <w:bdr w:val="none" w:sz="0" w:space="0" w:color="auto" w:frame="1"/>
          <w:lang w:val="en-US"/>
        </w:rPr>
        <w:t xml:space="preserve">Schmieder-Ramirez, J., &amp; Mallette, L.A. (2007). </w:t>
      </w:r>
      <w:r w:rsidRPr="00511330">
        <w:rPr>
          <w:rFonts w:asciiTheme="majorBidi" w:eastAsia="Arial Unicode MS" w:hAnsiTheme="majorBidi" w:cstheme="majorBidi"/>
          <w:i/>
          <w:iCs/>
          <w:noProof/>
          <w:sz w:val="24"/>
          <w:szCs w:val="24"/>
          <w:bdr w:val="none" w:sz="0" w:space="0" w:color="auto" w:frame="1"/>
          <w:lang w:val="en-US"/>
        </w:rPr>
        <w:t xml:space="preserve">The SPELIT power matrix. </w:t>
      </w:r>
      <w:r w:rsidRPr="00511330">
        <w:rPr>
          <w:rFonts w:asciiTheme="majorBidi" w:eastAsia="Arial Unicode MS" w:hAnsiTheme="majorBidi" w:cstheme="majorBidi"/>
          <w:noProof/>
          <w:sz w:val="24"/>
          <w:szCs w:val="24"/>
          <w:bdr w:val="none" w:sz="0" w:space="0" w:color="auto" w:frame="1"/>
          <w:lang w:val="en-US"/>
        </w:rPr>
        <w:t>Charleston, SC: BookSurge, LLC.</w:t>
      </w:r>
    </w:p>
    <w:p w14:paraId="6AD46D80"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noProof/>
          <w:sz w:val="24"/>
          <w:szCs w:val="24"/>
          <w:bdr w:val="none" w:sz="0" w:space="0" w:color="auto" w:frame="1"/>
          <w:lang w:val="en-US"/>
        </w:rPr>
        <w:t>Schoenherr, T., &amp; Swink, M. (2015). The roles of supply chain intelligence and adaptability in new product launch success. Decision Sciences, 46(5), 901–936.</w:t>
      </w:r>
    </w:p>
    <w:p w14:paraId="5CA96039"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Senge P (2006). The fifth discipline: The Art and Practice of the Learning Organization (2nd edn.). London: Century. </w:t>
      </w:r>
    </w:p>
    <w:p w14:paraId="596BEB80"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Senior, B. (2002) </w:t>
      </w:r>
      <w:r w:rsidRPr="00511330">
        <w:rPr>
          <w:rFonts w:asciiTheme="majorBidi" w:hAnsiTheme="majorBidi" w:cstheme="majorBidi"/>
          <w:i/>
          <w:iCs/>
          <w:sz w:val="24"/>
          <w:szCs w:val="24"/>
          <w:lang w:val="en-US"/>
        </w:rPr>
        <w:t>Organisational Change</w:t>
      </w:r>
      <w:r w:rsidRPr="00511330">
        <w:rPr>
          <w:rFonts w:asciiTheme="majorBidi" w:hAnsiTheme="majorBidi" w:cstheme="majorBidi"/>
          <w:sz w:val="24"/>
          <w:szCs w:val="24"/>
          <w:lang w:val="en-US"/>
        </w:rPr>
        <w:t xml:space="preserve"> (2nd ed.). London: Prentice Hall.</w:t>
      </w:r>
    </w:p>
    <w:p w14:paraId="37C42EA8"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noProof/>
          <w:sz w:val="24"/>
          <w:szCs w:val="24"/>
          <w:bdr w:val="none" w:sz="0" w:space="0" w:color="auto" w:frame="1"/>
          <w:lang w:val="en-US"/>
        </w:rPr>
        <w:t>Shahbaz, M., Haouas, I., Sbia, R., &amp; Ozturk, I. (2018). Financial development-environmental degradation nexus in the United Arab Emirates: the importance of growth, globalization and structural breaks.</w:t>
      </w:r>
    </w:p>
    <w:p w14:paraId="1DC47FEA"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noProof/>
          <w:sz w:val="24"/>
          <w:szCs w:val="24"/>
          <w:bdr w:val="none" w:sz="0" w:space="0" w:color="auto" w:frame="1"/>
          <w:lang w:val="en-US"/>
        </w:rPr>
        <w:t>Shareef, S., &amp; Altan, H. (2019). Assessing the Implementation of Renewable Energy Policy within the UAE by Adopting the Australian ‘Solar Town’Program. Future Cities and Environment, 5(1).</w:t>
      </w:r>
    </w:p>
    <w:p w14:paraId="34391A90"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noProof/>
          <w:sz w:val="24"/>
          <w:szCs w:val="24"/>
          <w:bdr w:val="none" w:sz="0" w:space="0" w:color="auto" w:frame="1"/>
          <w:lang w:val="en-US"/>
        </w:rPr>
        <w:t xml:space="preserve">Shormeman-Ouimet, E., &amp; Kopnina, H. (2016). </w:t>
      </w:r>
      <w:r w:rsidRPr="00511330">
        <w:rPr>
          <w:rFonts w:asciiTheme="majorBidi" w:eastAsia="Arial Unicode MS" w:hAnsiTheme="majorBidi" w:cstheme="majorBidi"/>
          <w:i/>
          <w:iCs/>
          <w:noProof/>
          <w:sz w:val="24"/>
          <w:szCs w:val="24"/>
          <w:bdr w:val="none" w:sz="0" w:space="0" w:color="auto" w:frame="1"/>
          <w:lang w:val="en-US"/>
        </w:rPr>
        <w:t>Culture and conservation: Beyond anthropocentrism.</w:t>
      </w:r>
      <w:r w:rsidRPr="00511330">
        <w:rPr>
          <w:rFonts w:asciiTheme="majorBidi" w:eastAsia="Arial Unicode MS" w:hAnsiTheme="majorBidi" w:cstheme="majorBidi"/>
          <w:noProof/>
          <w:sz w:val="24"/>
          <w:szCs w:val="24"/>
          <w:bdr w:val="none" w:sz="0" w:space="0" w:color="auto" w:frame="1"/>
          <w:lang w:val="en-US"/>
        </w:rPr>
        <w:t xml:space="preserve"> New York: Routledge.</w:t>
      </w:r>
    </w:p>
    <w:p w14:paraId="63D349B8"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noProof/>
          <w:sz w:val="24"/>
          <w:szCs w:val="24"/>
          <w:bdr w:val="none" w:sz="0" w:space="0" w:color="auto" w:frame="1"/>
          <w:lang w:val="en-US"/>
        </w:rPr>
        <w:t xml:space="preserve">Siemsen, E., Roth, A., &amp; Oliveira, P. (2010). Common method bias in regression models with linear, quadratic, and interaction effects. </w:t>
      </w:r>
      <w:r w:rsidRPr="00511330">
        <w:rPr>
          <w:rFonts w:asciiTheme="majorBidi" w:eastAsia="Arial Unicode MS" w:hAnsiTheme="majorBidi" w:cstheme="majorBidi"/>
          <w:i/>
          <w:iCs/>
          <w:noProof/>
          <w:sz w:val="24"/>
          <w:szCs w:val="24"/>
          <w:bdr w:val="none" w:sz="0" w:space="0" w:color="auto" w:frame="1"/>
          <w:lang w:val="en-US"/>
        </w:rPr>
        <w:t>Organizational Research Methods, 13</w:t>
      </w:r>
      <w:r w:rsidRPr="00511330">
        <w:rPr>
          <w:rFonts w:asciiTheme="majorBidi" w:eastAsia="Arial Unicode MS" w:hAnsiTheme="majorBidi" w:cstheme="majorBidi"/>
          <w:noProof/>
          <w:sz w:val="24"/>
          <w:szCs w:val="24"/>
          <w:bdr w:val="none" w:sz="0" w:space="0" w:color="auto" w:frame="1"/>
          <w:lang w:val="en-US"/>
        </w:rPr>
        <w:t>(3), 456-476.</w:t>
      </w:r>
    </w:p>
    <w:p w14:paraId="6F1EC07D"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lastRenderedPageBreak/>
        <w:t>Simoes, P., &amp; Esposito, M. (2014). Improving change management: How communication nature influences resistance to change. Journal of Management Development, 33(4).</w:t>
      </w:r>
    </w:p>
    <w:p w14:paraId="3B94175E"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il"/>
        </w:rPr>
        <w:t>Simonet, G., &amp; Fatorić, S. (2015). Does “adaptation to climate change” mean resignation or opportunity?</w:t>
      </w:r>
      <w:r w:rsidRPr="00511330">
        <w:rPr>
          <w:rFonts w:asciiTheme="majorBidi" w:eastAsia="Arial Unicode MS" w:hAnsiTheme="majorBidi" w:cstheme="majorBidi"/>
          <w:i/>
          <w:iCs/>
          <w:sz w:val="24"/>
          <w:szCs w:val="24"/>
          <w:bdr w:val="nil"/>
        </w:rPr>
        <w:t xml:space="preserve"> Regional Environmental Change, 16</w:t>
      </w:r>
      <w:r w:rsidRPr="00511330">
        <w:rPr>
          <w:rFonts w:asciiTheme="majorBidi" w:eastAsia="Arial Unicode MS" w:hAnsiTheme="majorBidi" w:cstheme="majorBidi"/>
          <w:sz w:val="24"/>
          <w:szCs w:val="24"/>
          <w:bdr w:val="nil"/>
        </w:rPr>
        <w:t>, 789-799.</w:t>
      </w:r>
    </w:p>
    <w:p w14:paraId="0148BFF7"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noProof/>
          <w:sz w:val="24"/>
          <w:szCs w:val="24"/>
          <w:bdr w:val="none" w:sz="0" w:space="0" w:color="auto" w:frame="1"/>
          <w:lang w:val="en-US"/>
        </w:rPr>
        <w:t xml:space="preserve">Simonson, M. (2005). Distance education: Eight steps for transforming an organization. </w:t>
      </w:r>
      <w:r w:rsidRPr="00511330">
        <w:rPr>
          <w:rFonts w:asciiTheme="majorBidi" w:eastAsia="Arial Unicode MS" w:hAnsiTheme="majorBidi" w:cstheme="majorBidi"/>
          <w:i/>
          <w:iCs/>
          <w:noProof/>
          <w:sz w:val="24"/>
          <w:szCs w:val="24"/>
          <w:bdr w:val="none" w:sz="0" w:space="0" w:color="auto" w:frame="1"/>
          <w:lang w:val="en-US"/>
        </w:rPr>
        <w:t>The Quarterly Review of Distance Education, 6</w:t>
      </w:r>
      <w:r w:rsidRPr="00511330">
        <w:rPr>
          <w:rFonts w:asciiTheme="majorBidi" w:eastAsia="Arial Unicode MS" w:hAnsiTheme="majorBidi" w:cstheme="majorBidi"/>
          <w:noProof/>
          <w:sz w:val="24"/>
          <w:szCs w:val="24"/>
          <w:bdr w:val="none" w:sz="0" w:space="0" w:color="auto" w:frame="1"/>
          <w:lang w:val="en-US"/>
        </w:rPr>
        <w:t>(2), 7-8.</w:t>
      </w:r>
    </w:p>
    <w:p w14:paraId="285CBDE4"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noProof/>
          <w:sz w:val="24"/>
          <w:szCs w:val="24"/>
          <w:bdr w:val="none" w:sz="0" w:space="0" w:color="auto" w:frame="1"/>
          <w:lang w:val="en-US"/>
        </w:rPr>
        <w:t>Simatupang, T.M., &amp; Sridharan, R. (2002). The collaborative supply chain”, International Journal of Logistics Management, 13(1), 16-30.</w:t>
      </w:r>
    </w:p>
    <w:p w14:paraId="5C7FF892" w14:textId="77777777" w:rsidR="002F3201" w:rsidRPr="00511330" w:rsidRDefault="002F3201"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Singh, S. K. (2018). Sustainable people, process and organization management in emerging markets. Benchmarking: An International Journal, 25(3), 774-776.</w:t>
      </w:r>
    </w:p>
    <w:p w14:paraId="6D5B5563" w14:textId="77777777" w:rsidR="002F3201" w:rsidRPr="00511330" w:rsidRDefault="002F3201"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Smollan, R., &amp; Morrison, R. (2019). Office design and organizational change: The influence of communication and organizational culture. </w:t>
      </w:r>
      <w:r w:rsidRPr="00511330">
        <w:rPr>
          <w:rFonts w:asciiTheme="majorBidi" w:eastAsia="Arial Unicode MS" w:hAnsiTheme="majorBidi" w:cstheme="majorBidi"/>
          <w:i/>
          <w:iCs/>
          <w:sz w:val="24"/>
          <w:szCs w:val="24"/>
          <w:bdr w:val="none" w:sz="0" w:space="0" w:color="auto" w:frame="1"/>
          <w:lang w:val="en-US"/>
        </w:rPr>
        <w:t>Journal of Organizational Change Management</w:t>
      </w:r>
      <w:r w:rsidRPr="00511330">
        <w:rPr>
          <w:rFonts w:asciiTheme="majorBidi" w:eastAsia="Arial Unicode MS" w:hAnsiTheme="majorBidi" w:cstheme="majorBidi"/>
          <w:sz w:val="24"/>
          <w:szCs w:val="24"/>
          <w:bdr w:val="none" w:sz="0" w:space="0" w:color="auto" w:frame="1"/>
          <w:lang w:val="en-US"/>
        </w:rPr>
        <w:t>, 32(4).</w:t>
      </w:r>
    </w:p>
    <w:p w14:paraId="680A897C" w14:textId="63E7AD46" w:rsidR="002F3201" w:rsidRPr="00511330" w:rsidRDefault="002F3201"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Spencer-Matthews, S. (2001), “Enforced cultural change in academe. A practical case study: implementing quality management systems in higher education”, Assessment &amp; Evaluation in Higher Education, Vol. 26 No. 1, pp. 51-9</w:t>
      </w:r>
    </w:p>
    <w:p w14:paraId="4EA9F0D3"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noProof/>
          <w:sz w:val="24"/>
          <w:szCs w:val="24"/>
          <w:bdr w:val="none" w:sz="0" w:space="0" w:color="auto" w:frame="1"/>
          <w:lang w:val="en-US"/>
        </w:rPr>
        <w:t>Spicker, P. (2012). Leadership: Perniciously vague concept. International Journal of Public Sector Management, 25(1), 34–47.</w:t>
      </w:r>
    </w:p>
    <w:p w14:paraId="371E8B3E" w14:textId="77777777" w:rsidR="002F3201" w:rsidRPr="00511330" w:rsidRDefault="002F3201"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St-Amour, D. (2001). Successful organisational change: effective management of people and cultural issues. Summer: Canadian Manager.</w:t>
      </w:r>
    </w:p>
    <w:p w14:paraId="7743A26A" w14:textId="29D08F82" w:rsidR="002F3201" w:rsidRPr="00511330" w:rsidRDefault="002F3201"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Steers R. M., Porter L. W. &amp; Bigley G. A. (1996). Motivation and Leadership at Work. Sixth Edition United States of America: The McGraw-Hill Companies.</w:t>
      </w:r>
    </w:p>
    <w:p w14:paraId="13766669"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noProof/>
          <w:sz w:val="24"/>
          <w:szCs w:val="24"/>
          <w:bdr w:val="none" w:sz="0" w:space="0" w:color="auto" w:frame="1"/>
          <w:lang w:val="en-US"/>
        </w:rPr>
        <w:t>Stern, P. C. (2000). New environmental theories: Toward a coherent theory of environmentally significant behavior. Journal of Social Issues, 56(3), 407–424</w:t>
      </w:r>
    </w:p>
    <w:p w14:paraId="46994595"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Stevens, J.P. (2012), Applied Multivariate Statistics for the Social Sciences, Routledge, New York</w:t>
      </w:r>
    </w:p>
    <w:p w14:paraId="38BC17B7" w14:textId="77777777" w:rsidR="002F3201" w:rsidRPr="00511330" w:rsidRDefault="002F3201"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noProof/>
          <w:sz w:val="24"/>
          <w:szCs w:val="24"/>
          <w:bdr w:val="none" w:sz="0" w:space="0" w:color="auto" w:frame="1"/>
          <w:lang w:val="en-US"/>
        </w:rPr>
        <w:t>Suliman, A. M., &amp; Sumina, T. (2014). Leadership and CSR in developing countries: the case of the UAE (pp. 250–266). Corporate Social Responsibility and Human Resource Management: A Diversity Perspective.</w:t>
      </w:r>
    </w:p>
    <w:p w14:paraId="504BE763" w14:textId="77777777" w:rsidR="002F3201" w:rsidRPr="00511330" w:rsidRDefault="005F6780" w:rsidP="002F3201">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Svensson, C., Lind, N., Reyher, K. K., Bard, A. M., &amp; Emanuelson, U. (2019). Trust, feasibility, and priorities influence Swedish dairy farmers' adherence and nonadherence to veterinary advice. Journal of dairy science, 102(11), 10360-10368.</w:t>
      </w:r>
    </w:p>
    <w:p w14:paraId="4AB66BF8" w14:textId="77777777" w:rsidR="00CB38B7" w:rsidRPr="00511330" w:rsidRDefault="005F6780" w:rsidP="00CB38B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Szabla, D.B. (2007). A multidimensional view of resistance to organizational change: exploring cognitive, emotional, and intentional responses to planned change across perceived change leadership strategies. </w:t>
      </w:r>
      <w:r w:rsidRPr="00511330">
        <w:rPr>
          <w:rFonts w:asciiTheme="majorBidi" w:eastAsia="Arial Unicode MS" w:hAnsiTheme="majorBidi" w:cstheme="majorBidi"/>
          <w:i/>
          <w:iCs/>
          <w:sz w:val="24"/>
          <w:szCs w:val="24"/>
          <w:bdr w:val="none" w:sz="0" w:space="0" w:color="auto" w:frame="1"/>
          <w:lang w:val="en-US"/>
        </w:rPr>
        <w:t>Human Resource Development Quarterly</w:t>
      </w:r>
      <w:r w:rsidRPr="00511330">
        <w:rPr>
          <w:rFonts w:asciiTheme="majorBidi" w:eastAsia="Arial Unicode MS" w:hAnsiTheme="majorBidi" w:cstheme="majorBidi"/>
          <w:sz w:val="24"/>
          <w:szCs w:val="24"/>
          <w:bdr w:val="none" w:sz="0" w:space="0" w:color="auto" w:frame="1"/>
          <w:lang w:val="en-US"/>
        </w:rPr>
        <w:t xml:space="preserve">, </w:t>
      </w:r>
      <w:r w:rsidRPr="00511330">
        <w:rPr>
          <w:rFonts w:asciiTheme="majorBidi" w:eastAsia="Arial Unicode MS" w:hAnsiTheme="majorBidi" w:cstheme="majorBidi"/>
          <w:i/>
          <w:iCs/>
          <w:sz w:val="24"/>
          <w:szCs w:val="24"/>
          <w:bdr w:val="none" w:sz="0" w:space="0" w:color="auto" w:frame="1"/>
          <w:lang w:val="en-US"/>
        </w:rPr>
        <w:t>18</w:t>
      </w:r>
      <w:r w:rsidRPr="00511330">
        <w:rPr>
          <w:rFonts w:asciiTheme="majorBidi" w:eastAsia="Arial Unicode MS" w:hAnsiTheme="majorBidi" w:cstheme="majorBidi"/>
          <w:sz w:val="24"/>
          <w:szCs w:val="24"/>
          <w:bdr w:val="none" w:sz="0" w:space="0" w:color="auto" w:frame="1"/>
          <w:lang w:val="en-US"/>
        </w:rPr>
        <w:t>(4), 525-58.</w:t>
      </w:r>
    </w:p>
    <w:p w14:paraId="06EB4AD3" w14:textId="77777777" w:rsidR="00CB38B7" w:rsidRPr="00511330" w:rsidRDefault="005F6780" w:rsidP="00CB38B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rPr>
        <w:t xml:space="preserve">Taher, N. B., &amp; Krotov, V. (2016). Business process reengineering: Addressing sources of resistance and sabotage tactics. </w:t>
      </w:r>
      <w:r w:rsidRPr="00511330">
        <w:rPr>
          <w:rFonts w:asciiTheme="majorBidi" w:hAnsiTheme="majorBidi" w:cstheme="majorBidi"/>
          <w:i/>
          <w:iCs/>
          <w:sz w:val="24"/>
          <w:szCs w:val="24"/>
        </w:rPr>
        <w:t xml:space="preserve">Journal of </w:t>
      </w:r>
      <w:r w:rsidRPr="00511330">
        <w:rPr>
          <w:rFonts w:asciiTheme="majorBidi" w:hAnsiTheme="majorBidi" w:cstheme="majorBidi"/>
          <w:i/>
          <w:iCs/>
          <w:sz w:val="24"/>
          <w:szCs w:val="24"/>
        </w:rPr>
        <w:lastRenderedPageBreak/>
        <w:t>Competitiveness Studies, 24</w:t>
      </w:r>
      <w:r w:rsidRPr="00511330">
        <w:rPr>
          <w:rFonts w:asciiTheme="majorBidi" w:hAnsiTheme="majorBidi" w:cstheme="majorBidi"/>
          <w:sz w:val="24"/>
          <w:szCs w:val="24"/>
        </w:rPr>
        <w:t xml:space="preserve">(3), 145-163. Retrieved from </w:t>
      </w:r>
      <w:hyperlink r:id="rId82" w:history="1">
        <w:r w:rsidRPr="00511330">
          <w:rPr>
            <w:rStyle w:val="Hyperlink"/>
            <w:rFonts w:asciiTheme="majorBidi" w:hAnsiTheme="majorBidi" w:cstheme="majorBidi"/>
            <w:sz w:val="24"/>
            <w:szCs w:val="24"/>
          </w:rPr>
          <w:t>http://www.eberly.iup.edu/ASCWeb/journals_jcs.html</w:t>
        </w:r>
      </w:hyperlink>
      <w:r w:rsidRPr="00511330">
        <w:rPr>
          <w:rFonts w:asciiTheme="majorBidi" w:hAnsiTheme="majorBidi" w:cstheme="majorBidi"/>
          <w:sz w:val="24"/>
          <w:szCs w:val="24"/>
        </w:rPr>
        <w:t>.</w:t>
      </w:r>
    </w:p>
    <w:p w14:paraId="1317ACBE" w14:textId="77777777" w:rsidR="00CB38B7" w:rsidRPr="00511330" w:rsidRDefault="005F6780" w:rsidP="00CB38B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Taleb, H., &amp; Al-Saleh, Y. (2015). Achieving bankable green deals in the commercial sectors of emerging economies: the case of shopping malls in the United Arab Emirates. WIT Transactions on Ecology and the Environment, 193, 977-983.</w:t>
      </w:r>
    </w:p>
    <w:p w14:paraId="7AC135B7" w14:textId="77777777" w:rsidR="00CB38B7" w:rsidRPr="00511330" w:rsidRDefault="005F6780" w:rsidP="00CB38B7">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Terziovski, M. (2003). The relationship between networking practices and business excellence: a study of small to medium enterprises (SMEs). </w:t>
      </w:r>
      <w:r w:rsidRPr="00511330">
        <w:rPr>
          <w:rFonts w:asciiTheme="majorBidi" w:eastAsia="Arial Unicode MS" w:hAnsiTheme="majorBidi" w:cstheme="majorBidi"/>
          <w:i/>
          <w:iCs/>
          <w:sz w:val="24"/>
          <w:szCs w:val="24"/>
          <w:bdr w:val="none" w:sz="0" w:space="0" w:color="auto" w:frame="1"/>
          <w:lang w:val="en-US"/>
        </w:rPr>
        <w:t>Measuring Business Excellence, 7</w:t>
      </w:r>
      <w:r w:rsidRPr="00511330">
        <w:rPr>
          <w:rFonts w:asciiTheme="majorBidi" w:eastAsia="Arial Unicode MS" w:hAnsiTheme="majorBidi" w:cstheme="majorBidi"/>
          <w:sz w:val="24"/>
          <w:szCs w:val="24"/>
          <w:bdr w:val="none" w:sz="0" w:space="0" w:color="auto" w:frame="1"/>
          <w:lang w:val="en-US"/>
        </w:rPr>
        <w:t>(2), 78-92.</w:t>
      </w:r>
    </w:p>
    <w:p w14:paraId="35826595"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Tlili, I. (2015). Environment, Development and Sustainability: A</w:t>
      </w:r>
      <w:r w:rsidRPr="00511330">
        <w:rPr>
          <w:rFonts w:asciiTheme="majorBidi" w:hAnsiTheme="majorBidi" w:cstheme="majorBidi"/>
          <w:i/>
          <w:iCs/>
          <w:sz w:val="24"/>
          <w:szCs w:val="24"/>
          <w:lang w:val="en-US"/>
        </w:rPr>
        <w:t xml:space="preserve"> Multidisciplinary Approach to the Theory and Practice of Sustainable Development 17(</w:t>
      </w:r>
      <w:r w:rsidRPr="00511330">
        <w:rPr>
          <w:rFonts w:asciiTheme="majorBidi" w:hAnsiTheme="majorBidi" w:cstheme="majorBidi"/>
          <w:sz w:val="24"/>
          <w:szCs w:val="24"/>
          <w:lang w:val="en-US"/>
        </w:rPr>
        <w:t>4), 859-886.</w:t>
      </w:r>
    </w:p>
    <w:p w14:paraId="4FECD33D" w14:textId="53D49BB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Todnem, R. (2005). Organizational change management: A critical review. </w:t>
      </w:r>
      <w:r w:rsidRPr="00511330">
        <w:rPr>
          <w:rFonts w:asciiTheme="majorBidi" w:hAnsiTheme="majorBidi" w:cstheme="majorBidi"/>
          <w:i/>
          <w:iCs/>
          <w:sz w:val="24"/>
          <w:szCs w:val="24"/>
          <w:lang w:val="en-US"/>
        </w:rPr>
        <w:t>Journal of Change Management</w:t>
      </w:r>
      <w:r w:rsidRPr="00511330">
        <w:rPr>
          <w:rFonts w:asciiTheme="majorBidi" w:hAnsiTheme="majorBidi" w:cstheme="majorBidi"/>
          <w:sz w:val="24"/>
          <w:szCs w:val="24"/>
          <w:lang w:val="en-US"/>
        </w:rPr>
        <w:t xml:space="preserve">, 5(4),369-380. </w:t>
      </w:r>
      <w:hyperlink r:id="rId83" w:history="1">
        <w:r w:rsidR="00D709B0" w:rsidRPr="00511330">
          <w:rPr>
            <w:rStyle w:val="Hyperlink"/>
            <w:rFonts w:asciiTheme="majorBidi" w:hAnsiTheme="majorBidi" w:cstheme="majorBidi"/>
            <w:sz w:val="24"/>
            <w:szCs w:val="24"/>
            <w:lang w:val="en-US"/>
          </w:rPr>
          <w:t>http://dx.doi.org/10.1080/14697010500359250</w:t>
        </w:r>
      </w:hyperlink>
      <w:r w:rsidRPr="00511330">
        <w:rPr>
          <w:rFonts w:asciiTheme="majorBidi" w:hAnsiTheme="majorBidi" w:cstheme="majorBidi"/>
          <w:sz w:val="24"/>
          <w:szCs w:val="24"/>
          <w:lang w:val="en-US"/>
        </w:rPr>
        <w:t>.</w:t>
      </w:r>
    </w:p>
    <w:p w14:paraId="1171BE3D"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Topping, P. (2002). </w:t>
      </w:r>
      <w:r w:rsidRPr="00511330">
        <w:rPr>
          <w:rFonts w:asciiTheme="majorBidi" w:hAnsiTheme="majorBidi" w:cstheme="majorBidi"/>
          <w:i/>
          <w:iCs/>
          <w:sz w:val="24"/>
          <w:szCs w:val="24"/>
          <w:lang w:val="en-US"/>
        </w:rPr>
        <w:t>Managerial Leadership</w:t>
      </w:r>
      <w:r w:rsidRPr="00511330">
        <w:rPr>
          <w:rFonts w:asciiTheme="majorBidi" w:hAnsiTheme="majorBidi" w:cstheme="majorBidi"/>
          <w:sz w:val="24"/>
          <w:szCs w:val="24"/>
          <w:lang w:val="en-US"/>
        </w:rPr>
        <w:t>. New York: McGraw-Hill.</w:t>
      </w:r>
    </w:p>
    <w:p w14:paraId="185C2598"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Toor, S., &amp; Ogunlana, S. (2009). Ineffective leadership: investigating the negative attributes of leaders and organisational neutralisers”, </w:t>
      </w:r>
      <w:r w:rsidRPr="00511330">
        <w:rPr>
          <w:rFonts w:asciiTheme="majorBidi" w:hAnsiTheme="majorBidi" w:cstheme="majorBidi"/>
          <w:i/>
          <w:iCs/>
          <w:sz w:val="24"/>
          <w:szCs w:val="24"/>
          <w:lang w:val="en-US"/>
        </w:rPr>
        <w:t>Engineering, Construction, Architectural Management, 16</w:t>
      </w:r>
      <w:r w:rsidRPr="00511330">
        <w:rPr>
          <w:rFonts w:asciiTheme="majorBidi" w:hAnsiTheme="majorBidi" w:cstheme="majorBidi"/>
          <w:sz w:val="24"/>
          <w:szCs w:val="24"/>
          <w:lang w:val="en-US"/>
        </w:rPr>
        <w:t>(3),254-272.</w:t>
      </w:r>
    </w:p>
    <w:p w14:paraId="6D9F441A"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Toufic M., Dawelbait, G., &amp; Abbas, Z. (2012). Renewable energy policy options for Abu Dhabi: Drivers and barriers. Journal of Small Management, 42, 315-328.</w:t>
      </w:r>
    </w:p>
    <w:p w14:paraId="309722E8"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Toufic M., Goldsmith, D., &amp; Choucri, N. (2011). </w:t>
      </w:r>
      <w:r w:rsidRPr="00511330">
        <w:rPr>
          <w:rFonts w:asciiTheme="majorBidi" w:hAnsiTheme="majorBidi" w:cstheme="majorBidi"/>
          <w:i/>
          <w:iCs/>
          <w:sz w:val="24"/>
          <w:szCs w:val="24"/>
          <w:lang w:val="en-US" w:eastAsia="en-GB"/>
        </w:rPr>
        <w:t>Journal of Energy Engineering, 137(</w:t>
      </w:r>
      <w:r w:rsidRPr="00511330">
        <w:rPr>
          <w:rFonts w:asciiTheme="majorBidi" w:hAnsiTheme="majorBidi" w:cstheme="majorBidi"/>
          <w:sz w:val="24"/>
          <w:szCs w:val="24"/>
          <w:lang w:val="en-US" w:eastAsia="en-GB"/>
        </w:rPr>
        <w:t>4).</w:t>
      </w:r>
    </w:p>
    <w:p w14:paraId="5E6F0925"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Turner, J.R., &amp; Muller, R. (2005). The project manager’s leadership style as a success factor on projects: a literature review, </w:t>
      </w:r>
      <w:r w:rsidRPr="00511330">
        <w:rPr>
          <w:rFonts w:asciiTheme="majorBidi" w:hAnsiTheme="majorBidi" w:cstheme="majorBidi"/>
          <w:i/>
          <w:iCs/>
          <w:sz w:val="24"/>
          <w:szCs w:val="24"/>
          <w:lang w:val="en-US" w:eastAsia="en-GB"/>
        </w:rPr>
        <w:t>Project Management Journal, 36</w:t>
      </w:r>
      <w:r w:rsidRPr="00511330">
        <w:rPr>
          <w:rFonts w:asciiTheme="majorBidi" w:hAnsiTheme="majorBidi" w:cstheme="majorBidi"/>
          <w:sz w:val="24"/>
          <w:szCs w:val="24"/>
          <w:lang w:val="en-US" w:eastAsia="en-GB"/>
        </w:rPr>
        <w:t>(2), 49-61.</w:t>
      </w:r>
    </w:p>
    <w:p w14:paraId="0FFD7DAB"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UAE Government. (2018). The UAE Soft Power Strategy. The United Arab Emirates Government.</w:t>
      </w:r>
    </w:p>
    <w:p w14:paraId="66FE1D17"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Times New Roman" w:hAnsiTheme="majorBidi" w:cstheme="majorBidi"/>
          <w:sz w:val="24"/>
          <w:szCs w:val="24"/>
          <w:lang w:val="en-US"/>
        </w:rPr>
        <w:t>UAE</w:t>
      </w:r>
      <w:r w:rsidRPr="00511330">
        <w:rPr>
          <w:rFonts w:asciiTheme="majorBidi" w:hAnsiTheme="majorBidi" w:cstheme="majorBidi"/>
          <w:sz w:val="24"/>
          <w:szCs w:val="24"/>
          <w:lang w:val="en-US"/>
        </w:rPr>
        <w:t xml:space="preserve"> Ministry of Energy and Industries, (2018). Enabling the UAE Energy Transitions. </w:t>
      </w:r>
      <w:r w:rsidRPr="00511330">
        <w:rPr>
          <w:rFonts w:asciiTheme="majorBidi" w:hAnsiTheme="majorBidi" w:cstheme="majorBidi"/>
          <w:i/>
          <w:iCs/>
          <w:sz w:val="24"/>
          <w:szCs w:val="24"/>
          <w:lang w:val="en-US"/>
        </w:rPr>
        <w:t>Top Ten renewable areas for renewable energy policy makers</w:t>
      </w:r>
      <w:r w:rsidRPr="00511330">
        <w:rPr>
          <w:rFonts w:asciiTheme="majorBidi" w:hAnsiTheme="majorBidi" w:cstheme="majorBidi"/>
          <w:sz w:val="24"/>
          <w:szCs w:val="24"/>
          <w:lang w:val="en-US"/>
        </w:rPr>
        <w:t>, 5.</w:t>
      </w:r>
    </w:p>
    <w:p w14:paraId="1AE56987"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Style w:val="Hyperlink"/>
          <w:rFonts w:asciiTheme="majorBidi" w:hAnsiTheme="majorBidi" w:cstheme="majorBidi"/>
          <w:color w:val="auto"/>
          <w:sz w:val="24"/>
          <w:szCs w:val="24"/>
          <w:u w:val="none"/>
          <w:lang w:val="en-US"/>
        </w:rPr>
      </w:pPr>
      <w:r w:rsidRPr="00511330">
        <w:rPr>
          <w:rFonts w:asciiTheme="majorBidi" w:hAnsiTheme="majorBidi" w:cstheme="majorBidi"/>
          <w:sz w:val="24"/>
          <w:szCs w:val="24"/>
          <w:lang w:val="en-US"/>
        </w:rPr>
        <w:t xml:space="preserve">United Nation. (2015). United Nations Statics Division -Classifications Registry. Retrieved from </w:t>
      </w:r>
      <w:hyperlink r:id="rId84" w:history="1">
        <w:r w:rsidRPr="00511330">
          <w:rPr>
            <w:rStyle w:val="Hyperlink"/>
            <w:rFonts w:asciiTheme="majorBidi" w:hAnsiTheme="majorBidi" w:cstheme="majorBidi"/>
            <w:sz w:val="24"/>
            <w:szCs w:val="24"/>
            <w:lang w:val="en-US"/>
          </w:rPr>
          <w:t>http://unstats.un.org/unsd/cr/ctryreg/ctrydetail.asp?id=1380</w:t>
        </w:r>
      </w:hyperlink>
    </w:p>
    <w:p w14:paraId="0319691C"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(USEI) US Energy Information and </w:t>
      </w:r>
      <w:r w:rsidR="00D709B0" w:rsidRPr="00511330">
        <w:rPr>
          <w:rFonts w:asciiTheme="majorBidi" w:hAnsiTheme="majorBidi" w:cstheme="majorBidi"/>
          <w:sz w:val="24"/>
          <w:szCs w:val="24"/>
          <w:lang w:val="en-US"/>
        </w:rPr>
        <w:t>Administration</w:t>
      </w:r>
      <w:r w:rsidRPr="00511330">
        <w:rPr>
          <w:rFonts w:asciiTheme="majorBidi" w:hAnsiTheme="majorBidi" w:cstheme="majorBidi"/>
          <w:sz w:val="24"/>
          <w:szCs w:val="24"/>
          <w:lang w:val="en-US"/>
        </w:rPr>
        <w:t xml:space="preserve"> (2018), report on the UAE: </w:t>
      </w:r>
      <w:r w:rsidRPr="00511330">
        <w:rPr>
          <w:rFonts w:ascii="Cambria Math" w:hAnsi="Cambria Math" w:cs="Cambria Math"/>
          <w:sz w:val="24"/>
          <w:szCs w:val="24"/>
          <w:lang w:val="en-US"/>
        </w:rPr>
        <w:t>〈</w:t>
      </w:r>
      <w:r w:rsidRPr="00511330">
        <w:rPr>
          <w:rFonts w:asciiTheme="majorBidi" w:hAnsiTheme="majorBidi" w:cstheme="majorBidi"/>
          <w:sz w:val="24"/>
          <w:szCs w:val="24"/>
          <w:lang w:val="en-US"/>
        </w:rPr>
        <w:t>http://www.eia.gov/countries/analysisbriefs/UAE/uae.pdf</w:t>
      </w:r>
      <w:r w:rsidRPr="00511330">
        <w:rPr>
          <w:rFonts w:ascii="Cambria Math" w:hAnsi="Cambria Math" w:cs="Cambria Math"/>
          <w:sz w:val="24"/>
          <w:szCs w:val="24"/>
          <w:lang w:val="en-US"/>
        </w:rPr>
        <w:t>〉</w:t>
      </w:r>
      <w:r w:rsidRPr="00511330">
        <w:rPr>
          <w:rFonts w:asciiTheme="majorBidi" w:hAnsiTheme="majorBidi" w:cstheme="majorBidi"/>
          <w:sz w:val="24"/>
          <w:szCs w:val="24"/>
          <w:lang w:val="en-US"/>
        </w:rPr>
        <w:t>.</w:t>
      </w:r>
    </w:p>
    <w:p w14:paraId="26329640"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Van Dam, K., Shaul, O., &amp; Birgit, S. (2008). Daily work contexts and resistance to organizational change: the role of leader-member exchange, development climate, and change process characteristics, </w:t>
      </w:r>
      <w:r w:rsidRPr="00511330">
        <w:rPr>
          <w:rFonts w:asciiTheme="majorBidi" w:hAnsiTheme="majorBidi" w:cstheme="majorBidi"/>
          <w:i/>
          <w:iCs/>
          <w:sz w:val="24"/>
          <w:szCs w:val="24"/>
          <w:lang w:val="en-US"/>
        </w:rPr>
        <w:t>Applied Psychology: An International Review</w:t>
      </w:r>
      <w:r w:rsidRPr="00511330">
        <w:rPr>
          <w:rFonts w:asciiTheme="majorBidi" w:hAnsiTheme="majorBidi" w:cstheme="majorBidi"/>
          <w:sz w:val="24"/>
          <w:szCs w:val="24"/>
          <w:lang w:val="en-US"/>
        </w:rPr>
        <w:t>, 57(2), 313-334.</w:t>
      </w:r>
    </w:p>
    <w:p w14:paraId="5EF0150B"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Van de Ven, A. H., &amp; Poole, M. S. (1995). Explaining development and change in organizations. </w:t>
      </w:r>
      <w:r w:rsidRPr="00511330">
        <w:rPr>
          <w:rFonts w:asciiTheme="majorBidi" w:eastAsia="Arial Unicode MS" w:hAnsiTheme="majorBidi" w:cstheme="majorBidi"/>
          <w:i/>
          <w:iCs/>
          <w:sz w:val="24"/>
          <w:szCs w:val="24"/>
          <w:bdr w:val="none" w:sz="0" w:space="0" w:color="auto" w:frame="1"/>
          <w:lang w:val="en-US"/>
        </w:rPr>
        <w:t>Academy of Management Review</w:t>
      </w:r>
      <w:r w:rsidRPr="00511330">
        <w:rPr>
          <w:rFonts w:asciiTheme="majorBidi" w:eastAsia="Arial Unicode MS" w:hAnsiTheme="majorBidi" w:cstheme="majorBidi"/>
          <w:sz w:val="24"/>
          <w:szCs w:val="24"/>
          <w:bdr w:val="none" w:sz="0" w:space="0" w:color="auto" w:frame="1"/>
          <w:lang w:val="en-US"/>
        </w:rPr>
        <w:t>, 20, 510 -540.</w:t>
      </w:r>
    </w:p>
    <w:p w14:paraId="4C748A78"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Van Dyne, L., Kossek, E., &amp; Lobel, S. (2007). Less Need to Be There: Cross-Level Effects of Work Practices That Support Work-Life Flexibility and </w:t>
      </w:r>
      <w:r w:rsidRPr="00511330">
        <w:rPr>
          <w:rFonts w:asciiTheme="majorBidi" w:eastAsia="Arial Unicode MS" w:hAnsiTheme="majorBidi" w:cstheme="majorBidi"/>
          <w:sz w:val="24"/>
          <w:szCs w:val="24"/>
          <w:bdr w:val="none" w:sz="0" w:space="0" w:color="auto" w:frame="1"/>
          <w:lang w:val="en-US"/>
        </w:rPr>
        <w:lastRenderedPageBreak/>
        <w:t xml:space="preserve">Enhance Group Processes and Group-Level OCB. </w:t>
      </w:r>
      <w:r w:rsidRPr="00511330">
        <w:rPr>
          <w:rFonts w:asciiTheme="majorBidi" w:eastAsia="Arial Unicode MS" w:hAnsiTheme="majorBidi" w:cstheme="majorBidi"/>
          <w:i/>
          <w:iCs/>
          <w:sz w:val="24"/>
          <w:szCs w:val="24"/>
          <w:bdr w:val="none" w:sz="0" w:space="0" w:color="auto" w:frame="1"/>
          <w:lang w:val="en-US"/>
        </w:rPr>
        <w:t>Human Relations - HUM RELAT</w:t>
      </w:r>
      <w:r w:rsidRPr="00511330">
        <w:rPr>
          <w:rFonts w:asciiTheme="majorBidi" w:eastAsia="Arial Unicode MS" w:hAnsiTheme="majorBidi" w:cstheme="majorBidi"/>
          <w:sz w:val="24"/>
          <w:szCs w:val="24"/>
          <w:bdr w:val="none" w:sz="0" w:space="0" w:color="auto" w:frame="1"/>
          <w:lang w:val="en-US"/>
        </w:rPr>
        <w:t xml:space="preserve">. </w:t>
      </w:r>
    </w:p>
    <w:p w14:paraId="00DAD481"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eastAsia="en-GB"/>
        </w:rPr>
        <w:t xml:space="preserve">Verbano, C., Crema, M., &amp; Venturini, K. (2013), Determinants and ﬁrm performances in open innovation models: an empirical analysis in SME. </w:t>
      </w:r>
      <w:r w:rsidRPr="00511330">
        <w:rPr>
          <w:rFonts w:asciiTheme="majorBidi" w:hAnsiTheme="majorBidi" w:cstheme="majorBidi"/>
          <w:i/>
          <w:iCs/>
          <w:sz w:val="24"/>
          <w:szCs w:val="24"/>
          <w:lang w:val="en-US" w:eastAsia="en-GB"/>
        </w:rPr>
        <w:t>Journal of Small Business Management</w:t>
      </w:r>
      <w:r w:rsidRPr="00511330">
        <w:rPr>
          <w:rFonts w:asciiTheme="majorBidi" w:hAnsiTheme="majorBidi" w:cstheme="majorBidi"/>
          <w:sz w:val="24"/>
          <w:szCs w:val="24"/>
          <w:lang w:val="en-US" w:eastAsia="en-GB"/>
        </w:rPr>
        <w:t>.</w:t>
      </w:r>
    </w:p>
    <w:p w14:paraId="5870A618"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Wagie, D. (2006). Transforming Higher Education in the United Arab Emirates (UAE). </w:t>
      </w:r>
      <w:r w:rsidRPr="00511330">
        <w:rPr>
          <w:rFonts w:asciiTheme="majorBidi" w:hAnsiTheme="majorBidi" w:cstheme="majorBidi"/>
          <w:i/>
          <w:iCs/>
          <w:sz w:val="24"/>
          <w:szCs w:val="24"/>
          <w:lang w:val="en-US"/>
        </w:rPr>
        <w:t>International Journal of Learning</w:t>
      </w:r>
      <w:r w:rsidRPr="00511330">
        <w:rPr>
          <w:rFonts w:asciiTheme="majorBidi" w:hAnsiTheme="majorBidi" w:cstheme="majorBidi"/>
          <w:sz w:val="24"/>
          <w:szCs w:val="24"/>
          <w:lang w:val="en-US"/>
        </w:rPr>
        <w:t xml:space="preserve">, </w:t>
      </w:r>
      <w:r w:rsidRPr="00511330">
        <w:rPr>
          <w:rFonts w:asciiTheme="majorBidi" w:hAnsiTheme="majorBidi" w:cstheme="majorBidi"/>
          <w:i/>
          <w:iCs/>
          <w:sz w:val="24"/>
          <w:szCs w:val="24"/>
          <w:lang w:val="en-US"/>
        </w:rPr>
        <w:t>12</w:t>
      </w:r>
      <w:r w:rsidRPr="00511330">
        <w:rPr>
          <w:rFonts w:asciiTheme="majorBidi" w:hAnsiTheme="majorBidi" w:cstheme="majorBidi"/>
          <w:sz w:val="24"/>
          <w:szCs w:val="24"/>
          <w:lang w:val="en-US"/>
        </w:rPr>
        <w:t>(7), 277-286.</w:t>
      </w:r>
    </w:p>
    <w:p w14:paraId="330F6833"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Wanberg, C. R. &amp; Banas, J. T. (2000). Predictors and outcomes of openness to changes in a reorganizing workplace. Journal of Applied Psychology, 85 (1), 132-142.</w:t>
      </w:r>
    </w:p>
    <w:p w14:paraId="457356E8"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WEF (2014) The Global Competitiveness Report 2014-2015, WEF, Geneva 2014, p. 56)</w:t>
      </w:r>
    </w:p>
    <w:p w14:paraId="0FF7E62F"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eastAsia="Arial Unicode MS" w:hAnsiTheme="majorBidi" w:cstheme="majorBidi"/>
          <w:sz w:val="24"/>
          <w:szCs w:val="24"/>
          <w:bdr w:val="none" w:sz="0" w:space="0" w:color="auto" w:frame="1"/>
          <w:lang w:val="en-US"/>
        </w:rPr>
        <w:t xml:space="preserve">Whittington, R., A. Pettigrew, S. Peck, E. Fenton and M. Conyon (1999). Change and Complementarities in the New Competitive Landscape: A European Panel Study, 1992-1996. </w:t>
      </w:r>
      <w:r w:rsidRPr="00511330">
        <w:rPr>
          <w:rFonts w:asciiTheme="majorBidi" w:eastAsia="Arial Unicode MS" w:hAnsiTheme="majorBidi" w:cstheme="majorBidi"/>
          <w:i/>
          <w:iCs/>
          <w:sz w:val="24"/>
          <w:szCs w:val="24"/>
          <w:bdr w:val="none" w:sz="0" w:space="0" w:color="auto" w:frame="1"/>
          <w:lang w:val="en-US"/>
        </w:rPr>
        <w:t>Organization Science</w:t>
      </w:r>
      <w:r w:rsidRPr="00511330">
        <w:rPr>
          <w:rFonts w:asciiTheme="majorBidi" w:eastAsia="Arial Unicode MS" w:hAnsiTheme="majorBidi" w:cstheme="majorBidi"/>
          <w:sz w:val="24"/>
          <w:szCs w:val="24"/>
          <w:bdr w:val="none" w:sz="0" w:space="0" w:color="auto" w:frame="1"/>
          <w:lang w:val="en-US"/>
        </w:rPr>
        <w:t>, 10(5), 583-600.</w:t>
      </w:r>
    </w:p>
    <w:p w14:paraId="206364ED"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Wiggins, L. (2008). Managing the ups and downs of change communication. </w:t>
      </w:r>
      <w:r w:rsidRPr="00511330">
        <w:rPr>
          <w:rFonts w:asciiTheme="majorBidi" w:hAnsiTheme="majorBidi" w:cstheme="majorBidi"/>
          <w:i/>
          <w:iCs/>
          <w:sz w:val="24"/>
          <w:szCs w:val="24"/>
          <w:lang w:val="en-US"/>
        </w:rPr>
        <w:t>Strategic Communication Management,</w:t>
      </w:r>
      <w:r w:rsidRPr="00511330">
        <w:rPr>
          <w:rFonts w:asciiTheme="majorBidi" w:hAnsiTheme="majorBidi" w:cstheme="majorBidi"/>
          <w:sz w:val="24"/>
          <w:szCs w:val="24"/>
          <w:lang w:val="en-US"/>
        </w:rPr>
        <w:t xml:space="preserve"> 13(1), 20–23.</w:t>
      </w:r>
    </w:p>
    <w:p w14:paraId="70FFBF92"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Xerri, M., Nelson, S., Brunetto, Y., &amp; Reid, S. (2015). Npm and change management in asset management organisations. Journal of Organizational Change Management, 28(4).</w:t>
      </w:r>
    </w:p>
    <w:p w14:paraId="20FB5D59"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Yaghi, A. (2017). Adaptive organizational leadership style: Contextualizing transformational leadership in a non-western country. </w:t>
      </w:r>
      <w:r w:rsidRPr="00511330">
        <w:rPr>
          <w:rFonts w:asciiTheme="majorBidi" w:hAnsiTheme="majorBidi" w:cstheme="majorBidi"/>
          <w:i/>
          <w:iCs/>
          <w:sz w:val="24"/>
          <w:szCs w:val="24"/>
          <w:lang w:val="en-US"/>
        </w:rPr>
        <w:t>International Journal of Public Leadership,</w:t>
      </w:r>
      <w:r w:rsidRPr="00511330">
        <w:rPr>
          <w:rFonts w:asciiTheme="majorBidi" w:hAnsiTheme="majorBidi" w:cstheme="majorBidi"/>
          <w:sz w:val="24"/>
          <w:szCs w:val="24"/>
          <w:lang w:val="en-US"/>
        </w:rPr>
        <w:t xml:space="preserve"> </w:t>
      </w:r>
      <w:r w:rsidRPr="00511330">
        <w:rPr>
          <w:rFonts w:asciiTheme="majorBidi" w:hAnsiTheme="majorBidi" w:cstheme="majorBidi"/>
          <w:i/>
          <w:iCs/>
          <w:sz w:val="24"/>
          <w:szCs w:val="24"/>
          <w:lang w:val="en-US"/>
        </w:rPr>
        <w:t>13</w:t>
      </w:r>
      <w:r w:rsidRPr="00511330">
        <w:rPr>
          <w:rFonts w:asciiTheme="majorBidi" w:hAnsiTheme="majorBidi" w:cstheme="majorBidi"/>
          <w:sz w:val="24"/>
          <w:szCs w:val="24"/>
          <w:lang w:val="en-US"/>
        </w:rPr>
        <w:t>(4).</w:t>
      </w:r>
    </w:p>
    <w:p w14:paraId="6661D732" w14:textId="6638D9C6" w:rsidR="00D709B0" w:rsidRPr="00511330" w:rsidRDefault="00D709B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Yas, Z., &amp; Jaafer, K. (2020). Factors influencing the spread of green building projects in the UAE. </w:t>
      </w:r>
      <w:r w:rsidRPr="00511330">
        <w:rPr>
          <w:rFonts w:asciiTheme="majorBidi" w:hAnsiTheme="majorBidi" w:cstheme="majorBidi"/>
          <w:i/>
          <w:iCs/>
          <w:sz w:val="24"/>
          <w:szCs w:val="24"/>
          <w:lang w:val="en-US"/>
        </w:rPr>
        <w:t>Journal of Building Engineering</w:t>
      </w:r>
      <w:r w:rsidRPr="00511330">
        <w:rPr>
          <w:rFonts w:asciiTheme="majorBidi" w:hAnsiTheme="majorBidi" w:cstheme="majorBidi"/>
          <w:sz w:val="24"/>
          <w:szCs w:val="24"/>
          <w:lang w:val="en-US"/>
        </w:rPr>
        <w:t xml:space="preserve">, </w:t>
      </w:r>
      <w:r w:rsidRPr="00511330">
        <w:rPr>
          <w:rFonts w:asciiTheme="majorBidi" w:hAnsiTheme="majorBidi" w:cstheme="majorBidi"/>
          <w:i/>
          <w:iCs/>
          <w:sz w:val="24"/>
          <w:szCs w:val="24"/>
          <w:lang w:val="en-US"/>
        </w:rPr>
        <w:t>27</w:t>
      </w:r>
      <w:r w:rsidRPr="00511330">
        <w:rPr>
          <w:rFonts w:asciiTheme="majorBidi" w:hAnsiTheme="majorBidi" w:cstheme="majorBidi"/>
          <w:sz w:val="24"/>
          <w:szCs w:val="24"/>
          <w:lang w:val="en-US"/>
        </w:rPr>
        <w:t>, 100894.</w:t>
      </w:r>
    </w:p>
    <w:p w14:paraId="3A655FC5"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Yaseen, Z. and Okour, A. (2012), “Managing organizational change: decisions maker perceptions in the UAE manufacturing industry”, IJRSM International Journal of Research Studies in Management, Vol. 1 No 1. pp, 15-20.</w:t>
      </w:r>
    </w:p>
    <w:p w14:paraId="2C1639B2"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color w:val="222222"/>
          <w:sz w:val="24"/>
          <w:szCs w:val="24"/>
          <w:shd w:val="clear" w:color="auto" w:fill="FFFFFF"/>
        </w:rPr>
        <w:t>Ylijoki, O-H. (2003), “Entangled in academic capitalism? A case-study on changing ideals and practices of university research”, </w:t>
      </w:r>
      <w:r w:rsidRPr="00511330">
        <w:rPr>
          <w:rFonts w:asciiTheme="majorBidi" w:hAnsiTheme="majorBidi" w:cstheme="majorBidi"/>
          <w:i/>
          <w:iCs/>
          <w:color w:val="222222"/>
          <w:sz w:val="24"/>
          <w:szCs w:val="24"/>
          <w:shd w:val="clear" w:color="auto" w:fill="FFFFFF"/>
        </w:rPr>
        <w:t>Higher Education</w:t>
      </w:r>
      <w:r w:rsidRPr="00511330">
        <w:rPr>
          <w:rFonts w:asciiTheme="majorBidi" w:hAnsiTheme="majorBidi" w:cstheme="majorBidi"/>
          <w:color w:val="222222"/>
          <w:sz w:val="24"/>
          <w:szCs w:val="24"/>
          <w:shd w:val="clear" w:color="auto" w:fill="FFFFFF"/>
        </w:rPr>
        <w:t>, Vol. 45, pp. 307-35.</w:t>
      </w:r>
    </w:p>
    <w:p w14:paraId="7C7F5212" w14:textId="77777777" w:rsidR="00D709B0" w:rsidRPr="00511330" w:rsidRDefault="005F6780" w:rsidP="00D709B0">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Zaffane, R., &amp; Al-Zarooni, H. (2008). The influence of empowerment, commitment, job satisfaction and trust on managers performance”, </w:t>
      </w:r>
      <w:r w:rsidRPr="00511330">
        <w:rPr>
          <w:rFonts w:asciiTheme="majorBidi" w:hAnsiTheme="majorBidi" w:cstheme="majorBidi"/>
          <w:i/>
          <w:iCs/>
          <w:sz w:val="24"/>
          <w:szCs w:val="24"/>
          <w:lang w:val="en-US"/>
        </w:rPr>
        <w:t>International Journal of Business Excellence</w:t>
      </w:r>
      <w:r w:rsidRPr="00511330">
        <w:rPr>
          <w:rFonts w:asciiTheme="majorBidi" w:hAnsiTheme="majorBidi" w:cstheme="majorBidi"/>
          <w:sz w:val="24"/>
          <w:szCs w:val="24"/>
          <w:lang w:val="en-US"/>
        </w:rPr>
        <w:t>, 1 (1/2), 193-209.</w:t>
      </w:r>
    </w:p>
    <w:p w14:paraId="613FD1A7" w14:textId="77777777" w:rsidR="0005127A" w:rsidRPr="00511330" w:rsidRDefault="005F6780" w:rsidP="0005127A">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Zairi, M. (2019). Shaping the future of government through excellence: How the UAE Government has taken lead. </w:t>
      </w:r>
      <w:r w:rsidRPr="00511330">
        <w:rPr>
          <w:rFonts w:asciiTheme="majorBidi" w:hAnsiTheme="majorBidi" w:cstheme="majorBidi"/>
          <w:i/>
          <w:iCs/>
          <w:sz w:val="24"/>
          <w:szCs w:val="24"/>
          <w:lang w:val="en-US"/>
        </w:rPr>
        <w:t>International Journal of Excellence in Government, 1</w:t>
      </w:r>
      <w:r w:rsidRPr="00511330">
        <w:rPr>
          <w:rFonts w:asciiTheme="majorBidi" w:hAnsiTheme="majorBidi" w:cstheme="majorBidi"/>
          <w:sz w:val="24"/>
          <w:szCs w:val="24"/>
          <w:lang w:val="en-US"/>
        </w:rPr>
        <w:t>(1), 2-7.</w:t>
      </w:r>
    </w:p>
    <w:p w14:paraId="0C1C9BB3" w14:textId="685AE003" w:rsidR="005F6780" w:rsidRPr="00511330" w:rsidRDefault="005F6780" w:rsidP="0005127A">
      <w:pPr>
        <w:pStyle w:val="ListParagraph"/>
        <w:numPr>
          <w:ilvl w:val="0"/>
          <w:numId w:val="10"/>
        </w:numPr>
        <w:tabs>
          <w:tab w:val="left" w:pos="450"/>
        </w:tabs>
        <w:spacing w:line="256" w:lineRule="auto"/>
        <w:ind w:left="450" w:right="-450" w:hanging="450"/>
        <w:jc w:val="both"/>
        <w:rPr>
          <w:rFonts w:asciiTheme="majorBidi" w:hAnsiTheme="majorBidi" w:cstheme="majorBidi"/>
          <w:sz w:val="24"/>
          <w:szCs w:val="24"/>
          <w:lang w:val="en-US"/>
        </w:rPr>
      </w:pPr>
      <w:r w:rsidRPr="00511330">
        <w:rPr>
          <w:rFonts w:asciiTheme="majorBidi" w:hAnsiTheme="majorBidi" w:cstheme="majorBidi"/>
          <w:sz w:val="24"/>
          <w:szCs w:val="24"/>
          <w:lang w:val="en-US"/>
        </w:rPr>
        <w:t xml:space="preserve">Zhao, D., Zuo, M., &amp; Deng, X.N. (2015). Examining the factors influencing cross-project knowledge transfer: an empirical study of IT services firms in China. </w:t>
      </w:r>
      <w:r w:rsidRPr="00511330">
        <w:rPr>
          <w:rFonts w:asciiTheme="majorBidi" w:hAnsiTheme="majorBidi" w:cstheme="majorBidi"/>
          <w:i/>
          <w:iCs/>
          <w:sz w:val="24"/>
          <w:szCs w:val="24"/>
          <w:lang w:val="en-US"/>
        </w:rPr>
        <w:t>International Journal of Project Management, 33</w:t>
      </w:r>
      <w:r w:rsidRPr="00511330">
        <w:rPr>
          <w:rFonts w:asciiTheme="majorBidi" w:hAnsiTheme="majorBidi" w:cstheme="majorBidi"/>
          <w:sz w:val="24"/>
          <w:szCs w:val="24"/>
          <w:lang w:val="en-US"/>
        </w:rPr>
        <w:t>(2), 325-340.</w:t>
      </w:r>
    </w:p>
    <w:p w14:paraId="64416D32" w14:textId="77777777" w:rsidR="008D3598" w:rsidRPr="00511330" w:rsidRDefault="008D3598" w:rsidP="00721566">
      <w:pPr>
        <w:spacing w:before="120" w:after="120" w:line="240" w:lineRule="auto"/>
        <w:ind w:right="-450"/>
        <w:jc w:val="both"/>
        <w:rPr>
          <w:rFonts w:asciiTheme="majorBidi" w:hAnsiTheme="majorBidi" w:cstheme="majorBidi"/>
          <w:sz w:val="24"/>
          <w:szCs w:val="24"/>
          <w:lang w:val="en-US"/>
        </w:rPr>
      </w:pPr>
    </w:p>
    <w:p w14:paraId="64416D33" w14:textId="77777777" w:rsidR="008D3598" w:rsidRPr="00511330" w:rsidRDefault="008D3598" w:rsidP="00721566">
      <w:pPr>
        <w:spacing w:before="120" w:after="120" w:line="240" w:lineRule="auto"/>
        <w:ind w:right="-450"/>
        <w:jc w:val="both"/>
        <w:rPr>
          <w:rFonts w:asciiTheme="majorBidi" w:hAnsiTheme="majorBidi" w:cstheme="majorBidi"/>
          <w:sz w:val="24"/>
          <w:szCs w:val="24"/>
          <w:lang w:val="en-US"/>
        </w:rPr>
      </w:pPr>
      <w:bookmarkStart w:id="1150" w:name="baep-author-id5"/>
      <w:bookmarkStart w:id="1151" w:name="baep-author-id6"/>
      <w:bookmarkEnd w:id="1150"/>
      <w:bookmarkEnd w:id="1151"/>
    </w:p>
    <w:p w14:paraId="64416D34" w14:textId="3750B493" w:rsidR="0047692E" w:rsidRPr="00511330" w:rsidRDefault="0047692E">
      <w:pPr>
        <w:rPr>
          <w:rFonts w:asciiTheme="majorBidi" w:hAnsiTheme="majorBidi" w:cstheme="majorBidi"/>
          <w:sz w:val="24"/>
          <w:szCs w:val="24"/>
          <w:lang w:val="en-US"/>
        </w:rPr>
      </w:pPr>
      <w:r w:rsidRPr="00511330">
        <w:rPr>
          <w:rFonts w:asciiTheme="majorBidi" w:hAnsiTheme="majorBidi" w:cstheme="majorBidi"/>
          <w:sz w:val="24"/>
          <w:szCs w:val="24"/>
          <w:lang w:val="en-US"/>
        </w:rPr>
        <w:br w:type="page"/>
      </w:r>
    </w:p>
    <w:bookmarkStart w:id="1152" w:name="_Toc43311662"/>
    <w:p w14:paraId="2E2C39EE" w14:textId="1BFEC5B3" w:rsidR="008D3598" w:rsidRPr="00511330" w:rsidRDefault="0001718A" w:rsidP="00105DF3">
      <w:pPr>
        <w:pStyle w:val="Heading1"/>
        <w:rPr>
          <w:lang w:val="en-US"/>
        </w:rPr>
      </w:pPr>
      <w:r w:rsidRPr="00511330">
        <w:rPr>
          <w:rFonts w:asciiTheme="majorBidi" w:hAnsiTheme="majorBidi" w:cstheme="majorBidi"/>
          <w:noProof/>
          <w:sz w:val="24"/>
          <w:szCs w:val="24"/>
          <w:lang w:val="en-US" w:eastAsia="en-US"/>
        </w:rPr>
        <w:lastRenderedPageBreak/>
        <mc:AlternateContent>
          <mc:Choice Requires="wps">
            <w:drawing>
              <wp:anchor distT="45720" distB="45720" distL="114300" distR="114300" simplePos="0" relativeHeight="251674624" behindDoc="0" locked="0" layoutInCell="1" allowOverlap="1" wp14:anchorId="5278F532" wp14:editId="368E70A0">
                <wp:simplePos x="0" y="0"/>
                <wp:positionH relativeFrom="column">
                  <wp:posOffset>1225296</wp:posOffset>
                </wp:positionH>
                <wp:positionV relativeFrom="paragraph">
                  <wp:posOffset>8021193</wp:posOffset>
                </wp:positionV>
                <wp:extent cx="2828290" cy="1404620"/>
                <wp:effectExtent l="0" t="0" r="0" b="889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290" cy="1404620"/>
                        </a:xfrm>
                        <a:prstGeom prst="rect">
                          <a:avLst/>
                        </a:prstGeom>
                        <a:solidFill>
                          <a:srgbClr val="FFFFFF"/>
                        </a:solidFill>
                        <a:ln w="9525">
                          <a:noFill/>
                          <a:miter lim="800000"/>
                          <a:headEnd/>
                          <a:tailEnd/>
                        </a:ln>
                      </wps:spPr>
                      <wps:txbx>
                        <w:txbxContent>
                          <w:p w14:paraId="0E97EB5B" w14:textId="26E327D1" w:rsidR="008E0079" w:rsidRPr="00A709AA" w:rsidRDefault="008E0079" w:rsidP="0001718A">
                            <w:pPr>
                              <w:jc w:val="center"/>
                              <w:rPr>
                                <w:rFonts w:asciiTheme="majorBidi" w:hAnsiTheme="majorBidi" w:cstheme="majorBidi"/>
                                <w:sz w:val="24"/>
                                <w:szCs w:val="24"/>
                              </w:rPr>
                            </w:pPr>
                            <w:r>
                              <w:rPr>
                                <w:rFonts w:asciiTheme="majorBidi" w:hAnsiTheme="majorBidi" w:cstheme="majorBidi"/>
                                <w:sz w:val="24"/>
                                <w:szCs w:val="24"/>
                              </w:rPr>
                              <w:t>The study q</w:t>
                            </w:r>
                            <w:r w:rsidRPr="00A709AA">
                              <w:rPr>
                                <w:rFonts w:asciiTheme="majorBidi" w:hAnsiTheme="majorBidi" w:cstheme="majorBidi"/>
                                <w:sz w:val="24"/>
                                <w:szCs w:val="24"/>
                              </w:rPr>
                              <w:t>uestionnaire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w14:anchorId="5278F532" id="_x0000_s1034" type="#_x0000_t202" style="position:absolute;left:0;text-align:left;margin-left:96.5pt;margin-top:631.6pt;width:222.7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" stroked="f">
                <v:textbox style="mso-fit-shape-to-text:t">
                  <w:txbxContent>
                    <w:p w14:paraId="0E97EB5B" w14:textId="26E327D1" w:rsidR="008E0079" w:rsidRPr="00A709AA" w:rsidRDefault="008E0079" w:rsidP="0001718A">
                      <w:pPr>
                        <w:jc w:val="center"/>
                        <w:rPr>
                          <w:rFonts w:asciiTheme="majorBidi" w:hAnsiTheme="majorBidi" w:cstheme="majorBidi"/>
                          <w:sz w:val="24"/>
                          <w:szCs w:val="24"/>
                        </w:rPr>
                      </w:pPr>
                      <w:r>
                        <w:rPr>
                          <w:rFonts w:asciiTheme="majorBidi" w:hAnsiTheme="majorBidi" w:cstheme="majorBidi"/>
                          <w:sz w:val="24"/>
                          <w:szCs w:val="24"/>
                        </w:rPr>
                        <w:t>The study q</w:t>
                      </w:r>
                      <w:r w:rsidRPr="00A709AA">
                        <w:rPr>
                          <w:rFonts w:asciiTheme="majorBidi" w:hAnsiTheme="majorBidi" w:cstheme="majorBidi"/>
                          <w:sz w:val="24"/>
                          <w:szCs w:val="24"/>
                        </w:rPr>
                        <w:t>uestionnaire</w:t>
                      </w:r>
                    </w:p>
                  </w:txbxContent>
                </v:textbox>
                <w10:wrap type="square"/>
              </v:shape>
            </w:pict>
          </mc:Fallback>
        </mc:AlternateContent>
      </w:r>
      <w:r w:rsidRPr="00511330">
        <w:rPr>
          <w:rFonts w:asciiTheme="majorBidi" w:hAnsiTheme="majorBidi" w:cstheme="majorBidi"/>
          <w:noProof/>
          <w:sz w:val="24"/>
          <w:szCs w:val="24"/>
          <w:lang w:val="en-US" w:eastAsia="en-US"/>
        </w:rPr>
        <w:drawing>
          <wp:anchor distT="0" distB="0" distL="114300" distR="114300" simplePos="0" relativeHeight="251667456" behindDoc="0" locked="0" layoutInCell="1" allowOverlap="1" wp14:anchorId="72AED108" wp14:editId="26595821">
            <wp:simplePos x="0" y="0"/>
            <wp:positionH relativeFrom="column">
              <wp:posOffset>-713740</wp:posOffset>
            </wp:positionH>
            <wp:positionV relativeFrom="paragraph">
              <wp:posOffset>4230370</wp:posOffset>
            </wp:positionV>
            <wp:extent cx="6047105" cy="3730625"/>
            <wp:effectExtent l="0" t="0" r="0"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5">
                      <a:extLst>
                        <a:ext uri="{28A0092B-C50C-407E-A947-70E740481C1C}">
                          <a14:useLocalDpi xmlns:a14="http://schemas.microsoft.com/office/drawing/2010/main" val="0"/>
                        </a:ext>
                      </a:extLst>
                    </a:blip>
                    <a:srcRect t="4088" b="4181"/>
                    <a:stretch/>
                  </pic:blipFill>
                  <pic:spPr bwMode="auto">
                    <a:xfrm>
                      <a:off x="0" y="0"/>
                      <a:ext cx="6047105" cy="373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11330">
        <w:rPr>
          <w:rFonts w:asciiTheme="majorBidi" w:hAnsiTheme="majorBidi" w:cstheme="majorBidi"/>
          <w:noProof/>
          <w:sz w:val="24"/>
          <w:szCs w:val="24"/>
          <w:lang w:val="en-US" w:eastAsia="en-US"/>
        </w:rPr>
        <w:drawing>
          <wp:anchor distT="0" distB="0" distL="114300" distR="114300" simplePos="0" relativeHeight="251666432" behindDoc="0" locked="0" layoutInCell="1" allowOverlap="1" wp14:anchorId="09F7DF41" wp14:editId="17F32B83">
            <wp:simplePos x="0" y="0"/>
            <wp:positionH relativeFrom="column">
              <wp:posOffset>-713740</wp:posOffset>
            </wp:positionH>
            <wp:positionV relativeFrom="paragraph">
              <wp:posOffset>292100</wp:posOffset>
            </wp:positionV>
            <wp:extent cx="6147435" cy="3937635"/>
            <wp:effectExtent l="0" t="0" r="571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6">
                      <a:extLst>
                        <a:ext uri="{28A0092B-C50C-407E-A947-70E740481C1C}">
                          <a14:useLocalDpi xmlns:a14="http://schemas.microsoft.com/office/drawing/2010/main" val="0"/>
                        </a:ext>
                      </a:extLst>
                    </a:blip>
                    <a:srcRect t="3653" b="5602"/>
                    <a:stretch/>
                  </pic:blipFill>
                  <pic:spPr bwMode="auto">
                    <a:xfrm>
                      <a:off x="0" y="0"/>
                      <a:ext cx="6147435" cy="3937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5DF3" w:rsidRPr="00511330">
        <w:rPr>
          <w:lang w:val="en-US"/>
        </w:rPr>
        <w:t>APPENDIX</w:t>
      </w:r>
      <w:bookmarkEnd w:id="1152"/>
    </w:p>
    <w:p w14:paraId="6625E8E9" w14:textId="1219EB45" w:rsidR="0047692E" w:rsidRPr="00F30DD3" w:rsidRDefault="00A709AA" w:rsidP="00A709AA">
      <w:pPr>
        <w:rPr>
          <w:rFonts w:asciiTheme="majorBidi" w:hAnsiTheme="majorBidi" w:cstheme="majorBidi"/>
          <w:sz w:val="24"/>
          <w:szCs w:val="24"/>
          <w:lang w:val="en-US"/>
        </w:rPr>
      </w:pPr>
      <w:r w:rsidRPr="00511330">
        <w:rPr>
          <w:rFonts w:asciiTheme="majorBidi" w:hAnsiTheme="majorBidi" w:cstheme="majorBidi"/>
          <w:noProof/>
          <w:sz w:val="24"/>
          <w:szCs w:val="24"/>
          <w:lang w:val="en-US"/>
        </w:rPr>
        <w:lastRenderedPageBreak/>
        <w:drawing>
          <wp:anchor distT="0" distB="0" distL="114300" distR="114300" simplePos="0" relativeHeight="251669504" behindDoc="0" locked="0" layoutInCell="1" allowOverlap="1" wp14:anchorId="6097DED0" wp14:editId="4E971AA0">
            <wp:simplePos x="0" y="0"/>
            <wp:positionH relativeFrom="column">
              <wp:posOffset>-628015</wp:posOffset>
            </wp:positionH>
            <wp:positionV relativeFrom="paragraph">
              <wp:posOffset>4279265</wp:posOffset>
            </wp:positionV>
            <wp:extent cx="6047105" cy="409638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47105" cy="4096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1330">
        <w:rPr>
          <w:rFonts w:asciiTheme="majorBidi" w:hAnsiTheme="majorBidi" w:cstheme="majorBidi"/>
          <w:noProof/>
          <w:sz w:val="24"/>
          <w:szCs w:val="24"/>
          <w:lang w:val="en-US"/>
        </w:rPr>
        <w:drawing>
          <wp:anchor distT="0" distB="0" distL="114300" distR="114300" simplePos="0" relativeHeight="251668480" behindDoc="0" locked="0" layoutInCell="1" allowOverlap="1" wp14:anchorId="0B080E2F" wp14:editId="32A804ED">
            <wp:simplePos x="0" y="0"/>
            <wp:positionH relativeFrom="column">
              <wp:posOffset>-774700</wp:posOffset>
            </wp:positionH>
            <wp:positionV relativeFrom="paragraph">
              <wp:posOffset>0</wp:posOffset>
            </wp:positionV>
            <wp:extent cx="6290945" cy="427545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290945" cy="4275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692E" w:rsidRPr="00511330">
        <w:rPr>
          <w:rFonts w:asciiTheme="majorBidi" w:hAnsiTheme="majorBidi" w:cstheme="majorBidi"/>
          <w:sz w:val="24"/>
          <w:szCs w:val="24"/>
          <w:lang w:val="en-US"/>
        </w:rPr>
        <w:br w:type="page"/>
      </w:r>
      <w:r w:rsidRPr="00511330">
        <w:rPr>
          <w:rFonts w:asciiTheme="majorBidi" w:hAnsiTheme="majorBidi" w:cstheme="majorBidi"/>
          <w:noProof/>
          <w:sz w:val="24"/>
          <w:szCs w:val="24"/>
          <w:lang w:val="en-US"/>
        </w:rPr>
        <w:lastRenderedPageBreak/>
        <mc:AlternateContent>
          <mc:Choice Requires="wps">
            <w:drawing>
              <wp:anchor distT="45720" distB="45720" distL="114300" distR="114300" simplePos="0" relativeHeight="251672576" behindDoc="0" locked="0" layoutInCell="1" allowOverlap="1" wp14:anchorId="7139E57D" wp14:editId="07637BFA">
                <wp:simplePos x="0" y="0"/>
                <wp:positionH relativeFrom="column">
                  <wp:posOffset>1285875</wp:posOffset>
                </wp:positionH>
                <wp:positionV relativeFrom="paragraph">
                  <wp:posOffset>7937500</wp:posOffset>
                </wp:positionV>
                <wp:extent cx="2828290" cy="140462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290" cy="1404620"/>
                        </a:xfrm>
                        <a:prstGeom prst="rect">
                          <a:avLst/>
                        </a:prstGeom>
                        <a:solidFill>
                          <a:srgbClr val="FFFFFF"/>
                        </a:solidFill>
                        <a:ln w="9525">
                          <a:noFill/>
                          <a:miter lim="800000"/>
                          <a:headEnd/>
                          <a:tailEnd/>
                        </a:ln>
                      </wps:spPr>
                      <wps:txbx>
                        <w:txbxContent>
                          <w:p w14:paraId="434B607D" w14:textId="166DD15E" w:rsidR="008E0079" w:rsidRPr="00A709AA" w:rsidRDefault="008E0079" w:rsidP="00A709AA">
                            <w:pPr>
                              <w:jc w:val="center"/>
                              <w:rPr>
                                <w:rFonts w:asciiTheme="majorBidi" w:hAnsiTheme="majorBidi" w:cstheme="majorBidi"/>
                                <w:sz w:val="24"/>
                                <w:szCs w:val="24"/>
                              </w:rPr>
                            </w:pPr>
                            <w:r w:rsidRPr="00A709AA">
                              <w:rPr>
                                <w:rFonts w:asciiTheme="majorBidi" w:hAnsiTheme="majorBidi" w:cstheme="majorBidi"/>
                                <w:sz w:val="24"/>
                                <w:szCs w:val="24"/>
                              </w:rPr>
                              <w:t>IRB Approval on the questionnaire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w14:anchorId="7139E57D" id="_x0000_s1035" type="#_x0000_t202" style="position:absolute;margin-left:101.25pt;margin-top:625pt;width:222.7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" stroked="f">
                <v:textbox style="mso-fit-shape-to-text:t">
                  <w:txbxContent>
                    <w:p w14:paraId="434B607D" w14:textId="166DD15E" w:rsidR="008E0079" w:rsidRPr="00A709AA" w:rsidRDefault="008E0079" w:rsidP="00A709AA">
                      <w:pPr>
                        <w:jc w:val="center"/>
                        <w:rPr>
                          <w:rFonts w:asciiTheme="majorBidi" w:hAnsiTheme="majorBidi" w:cstheme="majorBidi"/>
                          <w:sz w:val="24"/>
                          <w:szCs w:val="24"/>
                        </w:rPr>
                      </w:pPr>
                      <w:r w:rsidRPr="00A709AA">
                        <w:rPr>
                          <w:rFonts w:asciiTheme="majorBidi" w:hAnsiTheme="majorBidi" w:cstheme="majorBidi"/>
                          <w:sz w:val="24"/>
                          <w:szCs w:val="24"/>
                        </w:rPr>
                        <w:t>IRB Approval on the questionnaire</w:t>
                      </w:r>
                    </w:p>
                  </w:txbxContent>
                </v:textbox>
                <w10:wrap type="square"/>
              </v:shape>
            </w:pict>
          </mc:Fallback>
        </mc:AlternateContent>
      </w:r>
      <w:r w:rsidRPr="00511330">
        <w:rPr>
          <w:rFonts w:asciiTheme="majorBidi" w:hAnsiTheme="majorBidi" w:cstheme="majorBidi"/>
          <w:b/>
          <w:bCs/>
          <w:noProof/>
          <w:sz w:val="24"/>
          <w:szCs w:val="24"/>
          <w:lang w:val="en-US"/>
        </w:rPr>
        <w:drawing>
          <wp:anchor distT="0" distB="0" distL="114300" distR="114300" simplePos="0" relativeHeight="251670528" behindDoc="0" locked="0" layoutInCell="1" allowOverlap="1" wp14:anchorId="5297DD17" wp14:editId="7E8DDCAE">
            <wp:simplePos x="0" y="0"/>
            <wp:positionH relativeFrom="column">
              <wp:posOffset>-396240</wp:posOffset>
            </wp:positionH>
            <wp:positionV relativeFrom="paragraph">
              <wp:posOffset>0</wp:posOffset>
            </wp:positionV>
            <wp:extent cx="5681345" cy="791210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681345" cy="79121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7692E" w:rsidRPr="00F30DD3" w:rsidSect="00A96BE8">
      <w:pgSz w:w="11906" w:h="16838" w:code="9"/>
      <w:pgMar w:top="1728" w:right="2362" w:bottom="1728" w:left="216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5BCBE" w14:textId="77777777" w:rsidR="003F7137" w:rsidRDefault="003F7137">
      <w:pPr>
        <w:spacing w:after="0" w:line="240" w:lineRule="auto"/>
      </w:pPr>
      <w:r>
        <w:separator/>
      </w:r>
    </w:p>
  </w:endnote>
  <w:endnote w:type="continuationSeparator" w:id="0">
    <w:p w14:paraId="31749F87" w14:textId="77777777" w:rsidR="003F7137" w:rsidRDefault="003F7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455497"/>
      <w:docPartObj>
        <w:docPartGallery w:val="Page Numbers (Bottom of Page)"/>
        <w:docPartUnique/>
      </w:docPartObj>
    </w:sdtPr>
    <w:sdtEndPr>
      <w:rPr>
        <w:noProof/>
      </w:rPr>
    </w:sdtEndPr>
    <w:sdtContent>
      <w:p w14:paraId="64416D6A" w14:textId="77777777" w:rsidR="008E0079" w:rsidRDefault="008E00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416D6B" w14:textId="77777777" w:rsidR="008E0079" w:rsidRDefault="008E007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712909"/>
      <w:docPartObj>
        <w:docPartGallery w:val="Page Numbers (Bottom of Page)"/>
        <w:docPartUnique/>
      </w:docPartObj>
    </w:sdtPr>
    <w:sdtEndPr>
      <w:rPr>
        <w:noProof/>
      </w:rPr>
    </w:sdtEndPr>
    <w:sdtContent>
      <w:p w14:paraId="0F827C1F" w14:textId="2C51A9E2" w:rsidR="008E0079" w:rsidRDefault="008E0079">
        <w:pPr>
          <w:pStyle w:val="Footer"/>
          <w:jc w:val="right"/>
        </w:pPr>
        <w:r w:rsidRPr="00845C47">
          <w:fldChar w:fldCharType="begin"/>
        </w:r>
        <w:r w:rsidRPr="00845C47">
          <w:instrText xml:space="preserve"> PAGE   \* MERGEFORMAT </w:instrText>
        </w:r>
        <w:r w:rsidRPr="00845C47">
          <w:fldChar w:fldCharType="separate"/>
        </w:r>
        <w:r w:rsidR="00993844">
          <w:rPr>
            <w:noProof/>
          </w:rPr>
          <w:t>i</w:t>
        </w:r>
        <w:r w:rsidRPr="00845C47">
          <w:rPr>
            <w:noProof/>
          </w:rPr>
          <w:fldChar w:fldCharType="end"/>
        </w:r>
      </w:p>
    </w:sdtContent>
  </w:sdt>
  <w:p w14:paraId="64416D6D" w14:textId="77777777" w:rsidR="008E0079" w:rsidRDefault="008E0079" w:rsidP="00F11D42">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9A849" w14:textId="77777777" w:rsidR="003F7137" w:rsidRDefault="003F7137">
      <w:pPr>
        <w:spacing w:after="0" w:line="240" w:lineRule="auto"/>
      </w:pPr>
      <w:r>
        <w:separator/>
      </w:r>
    </w:p>
  </w:footnote>
  <w:footnote w:type="continuationSeparator" w:id="0">
    <w:p w14:paraId="200C0A58" w14:textId="77777777" w:rsidR="003F7137" w:rsidRDefault="003F7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9C188" w14:textId="4ACBC96D" w:rsidR="008E0079" w:rsidRDefault="008E0079" w:rsidP="00F7280C">
    <w:pPr>
      <w:pStyle w:val="Header"/>
      <w:jc w:val="center"/>
    </w:pPr>
    <w:r>
      <w:t>Managing Change in Renewable Energy Market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23FE"/>
    <w:multiLevelType w:val="hybridMultilevel"/>
    <w:tmpl w:val="15DAA540"/>
    <w:lvl w:ilvl="0" w:tplc="5F3A9070">
      <w:start w:val="1"/>
      <w:numFmt w:val="bullet"/>
      <w:lvlText w:val=""/>
      <w:lvlJc w:val="left"/>
      <w:pPr>
        <w:ind w:left="720" w:hanging="360"/>
      </w:pPr>
      <w:rPr>
        <w:rFonts w:ascii="Symbol" w:hAnsi="Symbol" w:cs="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A82816"/>
    <w:multiLevelType w:val="hybridMultilevel"/>
    <w:tmpl w:val="093E07EC"/>
    <w:lvl w:ilvl="0" w:tplc="5F3A9070">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83C8C"/>
    <w:multiLevelType w:val="multilevel"/>
    <w:tmpl w:val="02B6675E"/>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4E82FEE"/>
    <w:multiLevelType w:val="multilevel"/>
    <w:tmpl w:val="D118200C"/>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81F0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5C4670"/>
    <w:multiLevelType w:val="hybridMultilevel"/>
    <w:tmpl w:val="D6BEA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0D2F82"/>
    <w:multiLevelType w:val="hybridMultilevel"/>
    <w:tmpl w:val="D3B43472"/>
    <w:lvl w:ilvl="0" w:tplc="286E5F78">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763AC5"/>
    <w:multiLevelType w:val="hybridMultilevel"/>
    <w:tmpl w:val="3C340B5A"/>
    <w:lvl w:ilvl="0" w:tplc="B9A68D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63258E"/>
    <w:multiLevelType w:val="hybridMultilevel"/>
    <w:tmpl w:val="94C49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BE2454C"/>
    <w:multiLevelType w:val="hybridMultilevel"/>
    <w:tmpl w:val="C8CA6238"/>
    <w:lvl w:ilvl="0" w:tplc="B59246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146B51"/>
    <w:multiLevelType w:val="hybridMultilevel"/>
    <w:tmpl w:val="C4207AC4"/>
    <w:lvl w:ilvl="0" w:tplc="B8ECBD6E">
      <w:start w:val="1"/>
      <w:numFmt w:val="decimal"/>
      <w:lvlText w:val="%1-"/>
      <w:lvlJc w:val="left"/>
      <w:pPr>
        <w:ind w:left="720" w:hanging="360"/>
      </w:pPr>
      <w:rPr>
        <w:b w:val="0"/>
        <w:bCs w:val="0"/>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4CB0D85"/>
    <w:multiLevelType w:val="hybridMultilevel"/>
    <w:tmpl w:val="94C49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A10D9B"/>
    <w:multiLevelType w:val="hybridMultilevel"/>
    <w:tmpl w:val="C4207AC4"/>
    <w:lvl w:ilvl="0" w:tplc="B8ECBD6E">
      <w:start w:val="1"/>
      <w:numFmt w:val="decimal"/>
      <w:lvlText w:val="%1-"/>
      <w:lvlJc w:val="left"/>
      <w:pPr>
        <w:ind w:left="720" w:hanging="360"/>
      </w:pPr>
      <w:rPr>
        <w:b w:val="0"/>
        <w:bCs w:val="0"/>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9327DF8"/>
    <w:multiLevelType w:val="multilevel"/>
    <w:tmpl w:val="EC923FD6"/>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D96420B"/>
    <w:multiLevelType w:val="multilevel"/>
    <w:tmpl w:val="EC923FD6"/>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B0133A"/>
    <w:multiLevelType w:val="multilevel"/>
    <w:tmpl w:val="75DCE6CA"/>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E94294"/>
    <w:multiLevelType w:val="hybridMultilevel"/>
    <w:tmpl w:val="53DA6B0E"/>
    <w:lvl w:ilvl="0" w:tplc="BEB00F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5202E9"/>
    <w:multiLevelType w:val="hybridMultilevel"/>
    <w:tmpl w:val="FE024F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9C3463F"/>
    <w:multiLevelType w:val="multilevel"/>
    <w:tmpl w:val="3E500C4A"/>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5AAA6459"/>
    <w:multiLevelType w:val="hybridMultilevel"/>
    <w:tmpl w:val="E23257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62017E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A57D8E"/>
    <w:multiLevelType w:val="multilevel"/>
    <w:tmpl w:val="2F10FD22"/>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4490596"/>
    <w:multiLevelType w:val="hybridMultilevel"/>
    <w:tmpl w:val="FE024F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C570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4E369F"/>
    <w:multiLevelType w:val="multilevel"/>
    <w:tmpl w:val="4C84FA28"/>
    <w:lvl w:ilvl="0">
      <w:start w:val="4"/>
      <w:numFmt w:val="decimal"/>
      <w:lvlText w:val="%1."/>
      <w:lvlJc w:val="left"/>
      <w:pPr>
        <w:ind w:left="540" w:hanging="540"/>
      </w:pPr>
      <w:rPr>
        <w:rFonts w:eastAsiaTheme="majorEastAsia" w:hint="default"/>
      </w:rPr>
    </w:lvl>
    <w:lvl w:ilvl="1">
      <w:start w:val="4"/>
      <w:numFmt w:val="decimal"/>
      <w:lvlText w:val="%1.%2."/>
      <w:lvlJc w:val="left"/>
      <w:pPr>
        <w:ind w:left="900" w:hanging="540"/>
      </w:pPr>
      <w:rPr>
        <w:rFonts w:eastAsiaTheme="majorEastAsia" w:hint="default"/>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1800" w:hanging="72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2880" w:hanging="108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3960" w:hanging="144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25" w15:restartNumberingAfterBreak="0">
    <w:nsid w:val="787D1760"/>
    <w:multiLevelType w:val="hybridMultilevel"/>
    <w:tmpl w:val="D6BEA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22"/>
  </w:num>
  <w:num w:numId="4">
    <w:abstractNumId w:val="17"/>
  </w:num>
  <w:num w:numId="5">
    <w:abstractNumId w:val="20"/>
  </w:num>
  <w:num w:numId="6">
    <w:abstractNumId w:val="19"/>
  </w:num>
  <w:num w:numId="7">
    <w:abstractNumId w:val="1"/>
  </w:num>
  <w:num w:numId="8">
    <w:abstractNumId w:val="0"/>
  </w:num>
  <w:num w:numId="9">
    <w:abstractNumId w:val="23"/>
  </w:num>
  <w:num w:numId="10">
    <w:abstractNumId w:val="10"/>
  </w:num>
  <w:num w:numId="11">
    <w:abstractNumId w:val="14"/>
  </w:num>
  <w:num w:numId="12">
    <w:abstractNumId w:val="21"/>
  </w:num>
  <w:num w:numId="13">
    <w:abstractNumId w:val="3"/>
  </w:num>
  <w:num w:numId="14">
    <w:abstractNumId w:val="13"/>
  </w:num>
  <w:num w:numId="15">
    <w:abstractNumId w:val="2"/>
  </w:num>
  <w:num w:numId="16">
    <w:abstractNumId w:val="24"/>
  </w:num>
  <w:num w:numId="17">
    <w:abstractNumId w:val="18"/>
  </w:num>
  <w:num w:numId="18">
    <w:abstractNumId w:val="16"/>
  </w:num>
  <w:num w:numId="19">
    <w:abstractNumId w:val="10"/>
  </w:num>
  <w:num w:numId="20">
    <w:abstractNumId w:val="9"/>
  </w:num>
  <w:num w:numId="21">
    <w:abstractNumId w:val="11"/>
  </w:num>
  <w:num w:numId="22">
    <w:abstractNumId w:val="5"/>
  </w:num>
  <w:num w:numId="23">
    <w:abstractNumId w:val="8"/>
  </w:num>
  <w:num w:numId="24">
    <w:abstractNumId w:val="25"/>
  </w:num>
  <w:num w:numId="25">
    <w:abstractNumId w:val="15"/>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1MzUwtjA0MzC0NDVU0lEKTi0uzszPAykwqgUA1yzH6iwAAAA="/>
  </w:docVars>
  <w:rsids>
    <w:rsidRoot w:val="008D3598"/>
    <w:rsid w:val="00002AF7"/>
    <w:rsid w:val="00007735"/>
    <w:rsid w:val="000106F4"/>
    <w:rsid w:val="00011024"/>
    <w:rsid w:val="00011118"/>
    <w:rsid w:val="00012483"/>
    <w:rsid w:val="00015D82"/>
    <w:rsid w:val="0001718A"/>
    <w:rsid w:val="0002279A"/>
    <w:rsid w:val="0002449F"/>
    <w:rsid w:val="00025EF0"/>
    <w:rsid w:val="000276D5"/>
    <w:rsid w:val="00042E1C"/>
    <w:rsid w:val="0004529F"/>
    <w:rsid w:val="00046842"/>
    <w:rsid w:val="00047DC0"/>
    <w:rsid w:val="00050EF7"/>
    <w:rsid w:val="0005127A"/>
    <w:rsid w:val="0005352C"/>
    <w:rsid w:val="00053D1C"/>
    <w:rsid w:val="00054829"/>
    <w:rsid w:val="00064236"/>
    <w:rsid w:val="0006461A"/>
    <w:rsid w:val="0006630B"/>
    <w:rsid w:val="00075242"/>
    <w:rsid w:val="00077112"/>
    <w:rsid w:val="000818BE"/>
    <w:rsid w:val="00083503"/>
    <w:rsid w:val="00087689"/>
    <w:rsid w:val="00090B84"/>
    <w:rsid w:val="00092521"/>
    <w:rsid w:val="00094B3C"/>
    <w:rsid w:val="0009631C"/>
    <w:rsid w:val="000A0936"/>
    <w:rsid w:val="000A38E2"/>
    <w:rsid w:val="000A3CE6"/>
    <w:rsid w:val="000B0A1A"/>
    <w:rsid w:val="000B1B68"/>
    <w:rsid w:val="000C0C7C"/>
    <w:rsid w:val="000C2140"/>
    <w:rsid w:val="000C283A"/>
    <w:rsid w:val="000C39EE"/>
    <w:rsid w:val="000E1424"/>
    <w:rsid w:val="000E22B2"/>
    <w:rsid w:val="000E2E80"/>
    <w:rsid w:val="000E35C2"/>
    <w:rsid w:val="000E4058"/>
    <w:rsid w:val="000F7F2F"/>
    <w:rsid w:val="001003FB"/>
    <w:rsid w:val="00102FBB"/>
    <w:rsid w:val="00103E83"/>
    <w:rsid w:val="00105DF3"/>
    <w:rsid w:val="00112CA1"/>
    <w:rsid w:val="00113756"/>
    <w:rsid w:val="00117529"/>
    <w:rsid w:val="0012198B"/>
    <w:rsid w:val="001234AB"/>
    <w:rsid w:val="001275FD"/>
    <w:rsid w:val="00135CE5"/>
    <w:rsid w:val="00140A30"/>
    <w:rsid w:val="00140A4B"/>
    <w:rsid w:val="001459D1"/>
    <w:rsid w:val="00152274"/>
    <w:rsid w:val="001550BF"/>
    <w:rsid w:val="00156B05"/>
    <w:rsid w:val="0016182B"/>
    <w:rsid w:val="00162109"/>
    <w:rsid w:val="00163EC6"/>
    <w:rsid w:val="00164ADB"/>
    <w:rsid w:val="001703BB"/>
    <w:rsid w:val="00176073"/>
    <w:rsid w:val="00176A14"/>
    <w:rsid w:val="001815B0"/>
    <w:rsid w:val="00190C00"/>
    <w:rsid w:val="00193C9B"/>
    <w:rsid w:val="001A2BAA"/>
    <w:rsid w:val="001A573E"/>
    <w:rsid w:val="001A6B05"/>
    <w:rsid w:val="001B0622"/>
    <w:rsid w:val="001B1120"/>
    <w:rsid w:val="001C197D"/>
    <w:rsid w:val="001C72F3"/>
    <w:rsid w:val="001D4348"/>
    <w:rsid w:val="001D6D31"/>
    <w:rsid w:val="00211E11"/>
    <w:rsid w:val="00214324"/>
    <w:rsid w:val="002175ED"/>
    <w:rsid w:val="00221B2D"/>
    <w:rsid w:val="00227AFE"/>
    <w:rsid w:val="00227F16"/>
    <w:rsid w:val="002311A5"/>
    <w:rsid w:val="00232EF1"/>
    <w:rsid w:val="00233B7F"/>
    <w:rsid w:val="00236B65"/>
    <w:rsid w:val="002370B6"/>
    <w:rsid w:val="00243CB8"/>
    <w:rsid w:val="00252217"/>
    <w:rsid w:val="00252326"/>
    <w:rsid w:val="00254ACF"/>
    <w:rsid w:val="002553E4"/>
    <w:rsid w:val="00263DBD"/>
    <w:rsid w:val="00265F2D"/>
    <w:rsid w:val="00267371"/>
    <w:rsid w:val="002755B9"/>
    <w:rsid w:val="00295D11"/>
    <w:rsid w:val="002964EA"/>
    <w:rsid w:val="00296DEA"/>
    <w:rsid w:val="0029778E"/>
    <w:rsid w:val="002B1FB7"/>
    <w:rsid w:val="002B2B2F"/>
    <w:rsid w:val="002C40BC"/>
    <w:rsid w:val="002C4AE0"/>
    <w:rsid w:val="002C512E"/>
    <w:rsid w:val="002C51AC"/>
    <w:rsid w:val="002C5960"/>
    <w:rsid w:val="002D5F34"/>
    <w:rsid w:val="002E3756"/>
    <w:rsid w:val="002E787F"/>
    <w:rsid w:val="002F0AB8"/>
    <w:rsid w:val="002F3201"/>
    <w:rsid w:val="002F5870"/>
    <w:rsid w:val="002F795A"/>
    <w:rsid w:val="00306A39"/>
    <w:rsid w:val="00311B4C"/>
    <w:rsid w:val="00314B96"/>
    <w:rsid w:val="00315F07"/>
    <w:rsid w:val="003160A3"/>
    <w:rsid w:val="00316AB7"/>
    <w:rsid w:val="003175B3"/>
    <w:rsid w:val="00317C6F"/>
    <w:rsid w:val="0032086C"/>
    <w:rsid w:val="003212F4"/>
    <w:rsid w:val="00322F84"/>
    <w:rsid w:val="00326C19"/>
    <w:rsid w:val="0033045F"/>
    <w:rsid w:val="00330AEB"/>
    <w:rsid w:val="00330CF8"/>
    <w:rsid w:val="00332523"/>
    <w:rsid w:val="003332B6"/>
    <w:rsid w:val="00336402"/>
    <w:rsid w:val="00336FAA"/>
    <w:rsid w:val="00345CA1"/>
    <w:rsid w:val="00350941"/>
    <w:rsid w:val="00353329"/>
    <w:rsid w:val="00356526"/>
    <w:rsid w:val="003574FD"/>
    <w:rsid w:val="003579A2"/>
    <w:rsid w:val="003739D6"/>
    <w:rsid w:val="00377988"/>
    <w:rsid w:val="00385C3A"/>
    <w:rsid w:val="003903FF"/>
    <w:rsid w:val="00393440"/>
    <w:rsid w:val="00394FA6"/>
    <w:rsid w:val="003A44BB"/>
    <w:rsid w:val="003A49E2"/>
    <w:rsid w:val="003A4C82"/>
    <w:rsid w:val="003A7245"/>
    <w:rsid w:val="003C1F3E"/>
    <w:rsid w:val="003C638B"/>
    <w:rsid w:val="003C742C"/>
    <w:rsid w:val="003D67D2"/>
    <w:rsid w:val="003D796E"/>
    <w:rsid w:val="003E346F"/>
    <w:rsid w:val="003F0551"/>
    <w:rsid w:val="003F7137"/>
    <w:rsid w:val="00400FA0"/>
    <w:rsid w:val="00403CF3"/>
    <w:rsid w:val="00416361"/>
    <w:rsid w:val="00421DC0"/>
    <w:rsid w:val="00423C2E"/>
    <w:rsid w:val="00432920"/>
    <w:rsid w:val="004338DF"/>
    <w:rsid w:val="00437476"/>
    <w:rsid w:val="00461833"/>
    <w:rsid w:val="004666D1"/>
    <w:rsid w:val="00466864"/>
    <w:rsid w:val="0047002A"/>
    <w:rsid w:val="0047402F"/>
    <w:rsid w:val="0047692E"/>
    <w:rsid w:val="00477731"/>
    <w:rsid w:val="00480C69"/>
    <w:rsid w:val="004862F1"/>
    <w:rsid w:val="0049001F"/>
    <w:rsid w:val="00493B00"/>
    <w:rsid w:val="004A0837"/>
    <w:rsid w:val="004B008E"/>
    <w:rsid w:val="004B5CF4"/>
    <w:rsid w:val="004B6828"/>
    <w:rsid w:val="004D63F0"/>
    <w:rsid w:val="004D66FC"/>
    <w:rsid w:val="004F05F2"/>
    <w:rsid w:val="004F30CF"/>
    <w:rsid w:val="004F574C"/>
    <w:rsid w:val="00501BAB"/>
    <w:rsid w:val="005109B1"/>
    <w:rsid w:val="00511330"/>
    <w:rsid w:val="00512EB2"/>
    <w:rsid w:val="0051678D"/>
    <w:rsid w:val="00517B6A"/>
    <w:rsid w:val="0052443B"/>
    <w:rsid w:val="005326CA"/>
    <w:rsid w:val="005425A0"/>
    <w:rsid w:val="00543D6B"/>
    <w:rsid w:val="005443BD"/>
    <w:rsid w:val="00544782"/>
    <w:rsid w:val="0055424E"/>
    <w:rsid w:val="00560B05"/>
    <w:rsid w:val="00560D20"/>
    <w:rsid w:val="00564540"/>
    <w:rsid w:val="00564F1D"/>
    <w:rsid w:val="00565846"/>
    <w:rsid w:val="0056597D"/>
    <w:rsid w:val="00567CCA"/>
    <w:rsid w:val="005702F7"/>
    <w:rsid w:val="00574CCB"/>
    <w:rsid w:val="00584180"/>
    <w:rsid w:val="0058668E"/>
    <w:rsid w:val="00590C9D"/>
    <w:rsid w:val="00596A15"/>
    <w:rsid w:val="005A250C"/>
    <w:rsid w:val="005A2FF3"/>
    <w:rsid w:val="005C082A"/>
    <w:rsid w:val="005C3183"/>
    <w:rsid w:val="005C319B"/>
    <w:rsid w:val="005C3866"/>
    <w:rsid w:val="005D1092"/>
    <w:rsid w:val="005D4273"/>
    <w:rsid w:val="005D4AE6"/>
    <w:rsid w:val="005D63AF"/>
    <w:rsid w:val="005D6487"/>
    <w:rsid w:val="005E6EF2"/>
    <w:rsid w:val="005F2246"/>
    <w:rsid w:val="005F2326"/>
    <w:rsid w:val="005F42B8"/>
    <w:rsid w:val="005F6780"/>
    <w:rsid w:val="00602F52"/>
    <w:rsid w:val="00604AE8"/>
    <w:rsid w:val="00610818"/>
    <w:rsid w:val="006159A5"/>
    <w:rsid w:val="0062428D"/>
    <w:rsid w:val="0062498A"/>
    <w:rsid w:val="006269BF"/>
    <w:rsid w:val="0063087D"/>
    <w:rsid w:val="00635826"/>
    <w:rsid w:val="00635B34"/>
    <w:rsid w:val="00643D63"/>
    <w:rsid w:val="006460C3"/>
    <w:rsid w:val="00647B56"/>
    <w:rsid w:val="00655CE3"/>
    <w:rsid w:val="006567CA"/>
    <w:rsid w:val="00657480"/>
    <w:rsid w:val="00666AD3"/>
    <w:rsid w:val="00673367"/>
    <w:rsid w:val="00676374"/>
    <w:rsid w:val="006849DF"/>
    <w:rsid w:val="00696F0A"/>
    <w:rsid w:val="006A02ED"/>
    <w:rsid w:val="006A3570"/>
    <w:rsid w:val="006A5B56"/>
    <w:rsid w:val="006B1073"/>
    <w:rsid w:val="006B6A1C"/>
    <w:rsid w:val="006C0249"/>
    <w:rsid w:val="006D0BEB"/>
    <w:rsid w:val="006F04BF"/>
    <w:rsid w:val="006F1362"/>
    <w:rsid w:val="00702600"/>
    <w:rsid w:val="00703308"/>
    <w:rsid w:val="0071216D"/>
    <w:rsid w:val="00714DA2"/>
    <w:rsid w:val="00715A2C"/>
    <w:rsid w:val="00721566"/>
    <w:rsid w:val="007249C2"/>
    <w:rsid w:val="007344A3"/>
    <w:rsid w:val="00737A1A"/>
    <w:rsid w:val="0074542B"/>
    <w:rsid w:val="00766188"/>
    <w:rsid w:val="0078420A"/>
    <w:rsid w:val="00784A9E"/>
    <w:rsid w:val="0079054A"/>
    <w:rsid w:val="00791180"/>
    <w:rsid w:val="007A7265"/>
    <w:rsid w:val="007B136D"/>
    <w:rsid w:val="007B7259"/>
    <w:rsid w:val="007C0945"/>
    <w:rsid w:val="007C4F49"/>
    <w:rsid w:val="007C52B2"/>
    <w:rsid w:val="007C5786"/>
    <w:rsid w:val="007D01CE"/>
    <w:rsid w:val="007D75C5"/>
    <w:rsid w:val="007E14B9"/>
    <w:rsid w:val="007E1D95"/>
    <w:rsid w:val="007F0480"/>
    <w:rsid w:val="008021DE"/>
    <w:rsid w:val="008031D5"/>
    <w:rsid w:val="00803587"/>
    <w:rsid w:val="00805C65"/>
    <w:rsid w:val="00807FB5"/>
    <w:rsid w:val="00825465"/>
    <w:rsid w:val="00830C56"/>
    <w:rsid w:val="008327B5"/>
    <w:rsid w:val="0083587B"/>
    <w:rsid w:val="00836C6D"/>
    <w:rsid w:val="00836DEB"/>
    <w:rsid w:val="0084046F"/>
    <w:rsid w:val="00840826"/>
    <w:rsid w:val="008459F4"/>
    <w:rsid w:val="00845B34"/>
    <w:rsid w:val="00845C47"/>
    <w:rsid w:val="00847085"/>
    <w:rsid w:val="00847F10"/>
    <w:rsid w:val="008507F7"/>
    <w:rsid w:val="00850D02"/>
    <w:rsid w:val="00852373"/>
    <w:rsid w:val="00856F51"/>
    <w:rsid w:val="0085771A"/>
    <w:rsid w:val="00863658"/>
    <w:rsid w:val="00875CD2"/>
    <w:rsid w:val="00880BD1"/>
    <w:rsid w:val="00881819"/>
    <w:rsid w:val="00883387"/>
    <w:rsid w:val="00886C31"/>
    <w:rsid w:val="00892353"/>
    <w:rsid w:val="00892A00"/>
    <w:rsid w:val="008A5254"/>
    <w:rsid w:val="008A7A8E"/>
    <w:rsid w:val="008B0F58"/>
    <w:rsid w:val="008B3659"/>
    <w:rsid w:val="008B52AD"/>
    <w:rsid w:val="008C2266"/>
    <w:rsid w:val="008C228C"/>
    <w:rsid w:val="008C237D"/>
    <w:rsid w:val="008C3D1C"/>
    <w:rsid w:val="008C6BA1"/>
    <w:rsid w:val="008D032B"/>
    <w:rsid w:val="008D128D"/>
    <w:rsid w:val="008D2DF6"/>
    <w:rsid w:val="008D3598"/>
    <w:rsid w:val="008D6F50"/>
    <w:rsid w:val="008E0079"/>
    <w:rsid w:val="008E2D09"/>
    <w:rsid w:val="008E713B"/>
    <w:rsid w:val="008F2D48"/>
    <w:rsid w:val="008F7B77"/>
    <w:rsid w:val="00902129"/>
    <w:rsid w:val="00920E68"/>
    <w:rsid w:val="0092654A"/>
    <w:rsid w:val="00930BBB"/>
    <w:rsid w:val="00932547"/>
    <w:rsid w:val="00937FDE"/>
    <w:rsid w:val="0094041C"/>
    <w:rsid w:val="00946C1E"/>
    <w:rsid w:val="00950AC7"/>
    <w:rsid w:val="00950F72"/>
    <w:rsid w:val="009522B8"/>
    <w:rsid w:val="009529A3"/>
    <w:rsid w:val="00956326"/>
    <w:rsid w:val="00960688"/>
    <w:rsid w:val="00961537"/>
    <w:rsid w:val="009657C6"/>
    <w:rsid w:val="009727BA"/>
    <w:rsid w:val="0097666A"/>
    <w:rsid w:val="00983225"/>
    <w:rsid w:val="009926AE"/>
    <w:rsid w:val="009927E0"/>
    <w:rsid w:val="00992D0F"/>
    <w:rsid w:val="00992ED1"/>
    <w:rsid w:val="00993844"/>
    <w:rsid w:val="00996871"/>
    <w:rsid w:val="00997AAC"/>
    <w:rsid w:val="009A0B5B"/>
    <w:rsid w:val="009A1F8E"/>
    <w:rsid w:val="009A2C63"/>
    <w:rsid w:val="009A62C9"/>
    <w:rsid w:val="009A6B1A"/>
    <w:rsid w:val="009A791D"/>
    <w:rsid w:val="009B1F1F"/>
    <w:rsid w:val="009B3485"/>
    <w:rsid w:val="009B54BE"/>
    <w:rsid w:val="009B744B"/>
    <w:rsid w:val="009C045F"/>
    <w:rsid w:val="009C2DB5"/>
    <w:rsid w:val="009C57EE"/>
    <w:rsid w:val="009C72B3"/>
    <w:rsid w:val="009D050E"/>
    <w:rsid w:val="009D0FC2"/>
    <w:rsid w:val="009D104A"/>
    <w:rsid w:val="009D234F"/>
    <w:rsid w:val="009D4280"/>
    <w:rsid w:val="009E200E"/>
    <w:rsid w:val="009E2A4F"/>
    <w:rsid w:val="009E2F82"/>
    <w:rsid w:val="009E623D"/>
    <w:rsid w:val="009F1816"/>
    <w:rsid w:val="009F2CF7"/>
    <w:rsid w:val="009F6B11"/>
    <w:rsid w:val="009F76D8"/>
    <w:rsid w:val="00A005A0"/>
    <w:rsid w:val="00A032DF"/>
    <w:rsid w:val="00A05F7D"/>
    <w:rsid w:val="00A20CCE"/>
    <w:rsid w:val="00A2240F"/>
    <w:rsid w:val="00A22931"/>
    <w:rsid w:val="00A2481C"/>
    <w:rsid w:val="00A374A0"/>
    <w:rsid w:val="00A44223"/>
    <w:rsid w:val="00A44377"/>
    <w:rsid w:val="00A500BC"/>
    <w:rsid w:val="00A51564"/>
    <w:rsid w:val="00A640D8"/>
    <w:rsid w:val="00A65488"/>
    <w:rsid w:val="00A65770"/>
    <w:rsid w:val="00A70890"/>
    <w:rsid w:val="00A709AA"/>
    <w:rsid w:val="00A71E11"/>
    <w:rsid w:val="00A75A5A"/>
    <w:rsid w:val="00A90AC5"/>
    <w:rsid w:val="00A91865"/>
    <w:rsid w:val="00A96BE8"/>
    <w:rsid w:val="00A96E95"/>
    <w:rsid w:val="00AA29CD"/>
    <w:rsid w:val="00AA598D"/>
    <w:rsid w:val="00AA730E"/>
    <w:rsid w:val="00AB24D0"/>
    <w:rsid w:val="00AB5F6A"/>
    <w:rsid w:val="00AB77FB"/>
    <w:rsid w:val="00AC473C"/>
    <w:rsid w:val="00AC5E2D"/>
    <w:rsid w:val="00AD4A22"/>
    <w:rsid w:val="00AD754C"/>
    <w:rsid w:val="00AD7D75"/>
    <w:rsid w:val="00AE69F1"/>
    <w:rsid w:val="00AE7057"/>
    <w:rsid w:val="00AF3420"/>
    <w:rsid w:val="00AF35B5"/>
    <w:rsid w:val="00AF5C7A"/>
    <w:rsid w:val="00AF6334"/>
    <w:rsid w:val="00B009AE"/>
    <w:rsid w:val="00B013FA"/>
    <w:rsid w:val="00B05C0D"/>
    <w:rsid w:val="00B14D21"/>
    <w:rsid w:val="00B1690B"/>
    <w:rsid w:val="00B24DC3"/>
    <w:rsid w:val="00B303AA"/>
    <w:rsid w:val="00B34FF2"/>
    <w:rsid w:val="00B40F55"/>
    <w:rsid w:val="00B41CBE"/>
    <w:rsid w:val="00B43FA0"/>
    <w:rsid w:val="00B45F87"/>
    <w:rsid w:val="00B46502"/>
    <w:rsid w:val="00B474D4"/>
    <w:rsid w:val="00B54E57"/>
    <w:rsid w:val="00B5653D"/>
    <w:rsid w:val="00B60641"/>
    <w:rsid w:val="00B631F1"/>
    <w:rsid w:val="00B65C80"/>
    <w:rsid w:val="00B70072"/>
    <w:rsid w:val="00B748DB"/>
    <w:rsid w:val="00B86122"/>
    <w:rsid w:val="00B870AC"/>
    <w:rsid w:val="00B904B2"/>
    <w:rsid w:val="00B916D7"/>
    <w:rsid w:val="00B92935"/>
    <w:rsid w:val="00B92DCE"/>
    <w:rsid w:val="00B92E41"/>
    <w:rsid w:val="00B95C7E"/>
    <w:rsid w:val="00BA6F41"/>
    <w:rsid w:val="00BC0A03"/>
    <w:rsid w:val="00BC0D1D"/>
    <w:rsid w:val="00BD016C"/>
    <w:rsid w:val="00BD16B0"/>
    <w:rsid w:val="00BD42A5"/>
    <w:rsid w:val="00BD4ED8"/>
    <w:rsid w:val="00BD6379"/>
    <w:rsid w:val="00BD7E72"/>
    <w:rsid w:val="00BE0323"/>
    <w:rsid w:val="00BE1F5E"/>
    <w:rsid w:val="00BE52BA"/>
    <w:rsid w:val="00BF3E70"/>
    <w:rsid w:val="00C00ED2"/>
    <w:rsid w:val="00C10963"/>
    <w:rsid w:val="00C16200"/>
    <w:rsid w:val="00C200FA"/>
    <w:rsid w:val="00C20368"/>
    <w:rsid w:val="00C21509"/>
    <w:rsid w:val="00C24E2D"/>
    <w:rsid w:val="00C31030"/>
    <w:rsid w:val="00C40C8A"/>
    <w:rsid w:val="00C43CE5"/>
    <w:rsid w:val="00C43E95"/>
    <w:rsid w:val="00C453F1"/>
    <w:rsid w:val="00C47294"/>
    <w:rsid w:val="00C512A5"/>
    <w:rsid w:val="00C52B9C"/>
    <w:rsid w:val="00C656A9"/>
    <w:rsid w:val="00C72D3D"/>
    <w:rsid w:val="00C7351A"/>
    <w:rsid w:val="00C77B3C"/>
    <w:rsid w:val="00C80FBB"/>
    <w:rsid w:val="00C8193B"/>
    <w:rsid w:val="00C83119"/>
    <w:rsid w:val="00C85C64"/>
    <w:rsid w:val="00C9086B"/>
    <w:rsid w:val="00C92950"/>
    <w:rsid w:val="00CA15AC"/>
    <w:rsid w:val="00CA31B4"/>
    <w:rsid w:val="00CA51B5"/>
    <w:rsid w:val="00CA6EA3"/>
    <w:rsid w:val="00CB38B7"/>
    <w:rsid w:val="00CC301B"/>
    <w:rsid w:val="00CC330F"/>
    <w:rsid w:val="00CC420F"/>
    <w:rsid w:val="00CC630C"/>
    <w:rsid w:val="00CC7333"/>
    <w:rsid w:val="00CE6E93"/>
    <w:rsid w:val="00D00946"/>
    <w:rsid w:val="00D04648"/>
    <w:rsid w:val="00D07313"/>
    <w:rsid w:val="00D100F0"/>
    <w:rsid w:val="00D10587"/>
    <w:rsid w:val="00D260CB"/>
    <w:rsid w:val="00D34368"/>
    <w:rsid w:val="00D34B5E"/>
    <w:rsid w:val="00D35186"/>
    <w:rsid w:val="00D35A6F"/>
    <w:rsid w:val="00D37CF2"/>
    <w:rsid w:val="00D45015"/>
    <w:rsid w:val="00D46316"/>
    <w:rsid w:val="00D47F06"/>
    <w:rsid w:val="00D51DCE"/>
    <w:rsid w:val="00D55283"/>
    <w:rsid w:val="00D552E6"/>
    <w:rsid w:val="00D61F49"/>
    <w:rsid w:val="00D63AD5"/>
    <w:rsid w:val="00D63D3E"/>
    <w:rsid w:val="00D67820"/>
    <w:rsid w:val="00D7068E"/>
    <w:rsid w:val="00D709B0"/>
    <w:rsid w:val="00D73ADA"/>
    <w:rsid w:val="00D744BF"/>
    <w:rsid w:val="00D80273"/>
    <w:rsid w:val="00D805C9"/>
    <w:rsid w:val="00D845E7"/>
    <w:rsid w:val="00D912C0"/>
    <w:rsid w:val="00D92ACC"/>
    <w:rsid w:val="00D92D9D"/>
    <w:rsid w:val="00D94992"/>
    <w:rsid w:val="00DA4BDE"/>
    <w:rsid w:val="00DA6213"/>
    <w:rsid w:val="00DB21C1"/>
    <w:rsid w:val="00DD2C69"/>
    <w:rsid w:val="00DD2E9F"/>
    <w:rsid w:val="00DD3585"/>
    <w:rsid w:val="00DD4455"/>
    <w:rsid w:val="00DD53F4"/>
    <w:rsid w:val="00DD5914"/>
    <w:rsid w:val="00DD65D0"/>
    <w:rsid w:val="00DD7CA1"/>
    <w:rsid w:val="00DE43DE"/>
    <w:rsid w:val="00DE6493"/>
    <w:rsid w:val="00DF0A31"/>
    <w:rsid w:val="00DF1862"/>
    <w:rsid w:val="00DF1C49"/>
    <w:rsid w:val="00DF3B07"/>
    <w:rsid w:val="00E024DF"/>
    <w:rsid w:val="00E04444"/>
    <w:rsid w:val="00E131E4"/>
    <w:rsid w:val="00E136BA"/>
    <w:rsid w:val="00E16291"/>
    <w:rsid w:val="00E1629D"/>
    <w:rsid w:val="00E17A97"/>
    <w:rsid w:val="00E22D25"/>
    <w:rsid w:val="00E23F07"/>
    <w:rsid w:val="00E27ED7"/>
    <w:rsid w:val="00E32931"/>
    <w:rsid w:val="00E34F1D"/>
    <w:rsid w:val="00E419FA"/>
    <w:rsid w:val="00E43224"/>
    <w:rsid w:val="00E445A6"/>
    <w:rsid w:val="00E51FB9"/>
    <w:rsid w:val="00E61F4F"/>
    <w:rsid w:val="00E67C56"/>
    <w:rsid w:val="00E70334"/>
    <w:rsid w:val="00E726F4"/>
    <w:rsid w:val="00E72F96"/>
    <w:rsid w:val="00E876D9"/>
    <w:rsid w:val="00E96726"/>
    <w:rsid w:val="00EA2011"/>
    <w:rsid w:val="00EA5190"/>
    <w:rsid w:val="00EB031F"/>
    <w:rsid w:val="00EB1F59"/>
    <w:rsid w:val="00EB2A31"/>
    <w:rsid w:val="00EB3AB2"/>
    <w:rsid w:val="00EB65DA"/>
    <w:rsid w:val="00EC2339"/>
    <w:rsid w:val="00EC3822"/>
    <w:rsid w:val="00ED2703"/>
    <w:rsid w:val="00ED58A2"/>
    <w:rsid w:val="00ED6132"/>
    <w:rsid w:val="00EE5435"/>
    <w:rsid w:val="00EE7FCD"/>
    <w:rsid w:val="00EF2B4F"/>
    <w:rsid w:val="00EF342E"/>
    <w:rsid w:val="00EF4D3B"/>
    <w:rsid w:val="00EF521B"/>
    <w:rsid w:val="00F068F5"/>
    <w:rsid w:val="00F11D42"/>
    <w:rsid w:val="00F17CD6"/>
    <w:rsid w:val="00F2448E"/>
    <w:rsid w:val="00F24F81"/>
    <w:rsid w:val="00F3052F"/>
    <w:rsid w:val="00F30DD3"/>
    <w:rsid w:val="00F31210"/>
    <w:rsid w:val="00F31813"/>
    <w:rsid w:val="00F333C7"/>
    <w:rsid w:val="00F403A6"/>
    <w:rsid w:val="00F40664"/>
    <w:rsid w:val="00F61DE4"/>
    <w:rsid w:val="00F61F9C"/>
    <w:rsid w:val="00F66AF8"/>
    <w:rsid w:val="00F70A0B"/>
    <w:rsid w:val="00F7280C"/>
    <w:rsid w:val="00F750C6"/>
    <w:rsid w:val="00F76BC7"/>
    <w:rsid w:val="00F83493"/>
    <w:rsid w:val="00F90EAD"/>
    <w:rsid w:val="00F9445F"/>
    <w:rsid w:val="00F96E4F"/>
    <w:rsid w:val="00FA33D3"/>
    <w:rsid w:val="00FA535C"/>
    <w:rsid w:val="00FA6C96"/>
    <w:rsid w:val="00FA73C2"/>
    <w:rsid w:val="00FB46BC"/>
    <w:rsid w:val="00FB46F6"/>
    <w:rsid w:val="00FC20A9"/>
    <w:rsid w:val="00FC2B3A"/>
    <w:rsid w:val="00FC626A"/>
    <w:rsid w:val="00FC7808"/>
    <w:rsid w:val="00FD1D6D"/>
    <w:rsid w:val="00FD7BAC"/>
    <w:rsid w:val="00FE1D09"/>
    <w:rsid w:val="00FE7018"/>
    <w:rsid w:val="00FE7B99"/>
    <w:rsid w:val="00FF70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16023"/>
  <w15:docId w15:val="{8CB6B4D4-A6C3-42FF-A896-255B2C74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598"/>
    <w:rPr>
      <w:lang w:val="en-GB"/>
    </w:rPr>
  </w:style>
  <w:style w:type="paragraph" w:styleId="Heading1">
    <w:name w:val="heading 1"/>
    <w:basedOn w:val="Normal"/>
    <w:link w:val="Heading1Char"/>
    <w:uiPriority w:val="9"/>
    <w:qFormat/>
    <w:rsid w:val="008D3598"/>
    <w:pPr>
      <w:spacing w:before="100" w:beforeAutospacing="1" w:after="100" w:afterAutospacing="1" w:line="240" w:lineRule="auto"/>
      <w:jc w:val="center"/>
      <w:outlineLvl w:val="0"/>
    </w:pPr>
    <w:rPr>
      <w:rFonts w:ascii="Times New Roman" w:eastAsia="Times New Roman" w:hAnsi="Times New Roman" w:cs="Times New Roman"/>
      <w:b/>
      <w:bCs/>
      <w:kern w:val="36"/>
      <w:sz w:val="32"/>
      <w:szCs w:val="48"/>
      <w:lang w:eastAsia="en-GB"/>
    </w:rPr>
  </w:style>
  <w:style w:type="paragraph" w:styleId="Heading2">
    <w:name w:val="heading 2"/>
    <w:basedOn w:val="Normal"/>
    <w:next w:val="Normal"/>
    <w:link w:val="Heading2Char"/>
    <w:uiPriority w:val="9"/>
    <w:unhideWhenUsed/>
    <w:qFormat/>
    <w:rsid w:val="008D3598"/>
    <w:pPr>
      <w:keepNext/>
      <w:keepLines/>
      <w:spacing w:before="200" w:after="0" w:line="360" w:lineRule="auto"/>
      <w:jc w:val="center"/>
      <w:outlineLvl w:val="1"/>
    </w:pPr>
    <w:rPr>
      <w:rFonts w:asciiTheme="majorBidi" w:eastAsiaTheme="majorEastAsia" w:hAnsiTheme="majorBidi" w:cstheme="majorBidi"/>
      <w:b/>
      <w:bCs/>
      <w:sz w:val="28"/>
      <w:szCs w:val="26"/>
    </w:rPr>
  </w:style>
  <w:style w:type="paragraph" w:styleId="Heading3">
    <w:name w:val="heading 3"/>
    <w:basedOn w:val="Normal"/>
    <w:next w:val="Normal"/>
    <w:link w:val="Heading3Char"/>
    <w:uiPriority w:val="9"/>
    <w:unhideWhenUsed/>
    <w:qFormat/>
    <w:rsid w:val="008D3598"/>
    <w:pPr>
      <w:keepNext/>
      <w:keepLines/>
      <w:spacing w:before="200" w:after="0" w:line="360" w:lineRule="auto"/>
      <w:outlineLvl w:val="2"/>
    </w:pPr>
    <w:rPr>
      <w:rFonts w:asciiTheme="majorBidi" w:eastAsiaTheme="majorEastAsia" w:hAnsiTheme="majorBidi"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598"/>
    <w:rPr>
      <w:rFonts w:ascii="Times New Roman" w:eastAsia="Times New Roman" w:hAnsi="Times New Roman" w:cs="Times New Roman"/>
      <w:b/>
      <w:bCs/>
      <w:kern w:val="36"/>
      <w:sz w:val="32"/>
      <w:szCs w:val="48"/>
      <w:lang w:val="en-GB" w:eastAsia="en-GB"/>
    </w:rPr>
  </w:style>
  <w:style w:type="character" w:customStyle="1" w:styleId="Heading2Char">
    <w:name w:val="Heading 2 Char"/>
    <w:basedOn w:val="DefaultParagraphFont"/>
    <w:link w:val="Heading2"/>
    <w:uiPriority w:val="9"/>
    <w:rsid w:val="008D3598"/>
    <w:rPr>
      <w:rFonts w:asciiTheme="majorBidi" w:eastAsiaTheme="majorEastAsia" w:hAnsiTheme="majorBidi" w:cstheme="majorBidi"/>
      <w:b/>
      <w:bCs/>
      <w:sz w:val="28"/>
      <w:szCs w:val="26"/>
      <w:lang w:val="en-GB"/>
    </w:rPr>
  </w:style>
  <w:style w:type="character" w:customStyle="1" w:styleId="Heading3Char">
    <w:name w:val="Heading 3 Char"/>
    <w:basedOn w:val="DefaultParagraphFont"/>
    <w:link w:val="Heading3"/>
    <w:uiPriority w:val="9"/>
    <w:rsid w:val="008D3598"/>
    <w:rPr>
      <w:rFonts w:asciiTheme="majorBidi" w:eastAsiaTheme="majorEastAsia" w:hAnsiTheme="majorBidi" w:cstheme="majorBidi"/>
      <w:b/>
      <w:bCs/>
      <w:sz w:val="24"/>
      <w:lang w:val="en-GB"/>
    </w:rPr>
  </w:style>
  <w:style w:type="paragraph" w:styleId="ListParagraph">
    <w:name w:val="List Paragraph"/>
    <w:basedOn w:val="Normal"/>
    <w:uiPriority w:val="34"/>
    <w:qFormat/>
    <w:rsid w:val="008D3598"/>
    <w:pPr>
      <w:ind w:left="720"/>
      <w:contextualSpacing/>
    </w:pPr>
  </w:style>
  <w:style w:type="paragraph" w:styleId="Revision">
    <w:name w:val="Revision"/>
    <w:hidden/>
    <w:uiPriority w:val="99"/>
    <w:semiHidden/>
    <w:rsid w:val="008D3598"/>
    <w:pPr>
      <w:spacing w:after="0" w:line="240" w:lineRule="auto"/>
    </w:pPr>
    <w:rPr>
      <w:lang w:val="en-GB"/>
    </w:rPr>
  </w:style>
  <w:style w:type="character" w:styleId="CommentReference">
    <w:name w:val="annotation reference"/>
    <w:basedOn w:val="DefaultParagraphFont"/>
    <w:uiPriority w:val="99"/>
    <w:semiHidden/>
    <w:unhideWhenUsed/>
    <w:rsid w:val="008D3598"/>
    <w:rPr>
      <w:sz w:val="16"/>
      <w:szCs w:val="16"/>
    </w:rPr>
  </w:style>
  <w:style w:type="paragraph" w:styleId="CommentText">
    <w:name w:val="annotation text"/>
    <w:basedOn w:val="Normal"/>
    <w:link w:val="CommentTextChar"/>
    <w:uiPriority w:val="99"/>
    <w:semiHidden/>
    <w:unhideWhenUsed/>
    <w:rsid w:val="008D3598"/>
    <w:pPr>
      <w:spacing w:line="240" w:lineRule="auto"/>
    </w:pPr>
    <w:rPr>
      <w:sz w:val="20"/>
      <w:szCs w:val="20"/>
    </w:rPr>
  </w:style>
  <w:style w:type="character" w:customStyle="1" w:styleId="CommentTextChar">
    <w:name w:val="Comment Text Char"/>
    <w:basedOn w:val="DefaultParagraphFont"/>
    <w:link w:val="CommentText"/>
    <w:uiPriority w:val="99"/>
    <w:semiHidden/>
    <w:rsid w:val="008D3598"/>
    <w:rPr>
      <w:sz w:val="20"/>
      <w:szCs w:val="20"/>
      <w:lang w:val="en-GB"/>
    </w:rPr>
  </w:style>
  <w:style w:type="paragraph" w:styleId="BalloonText">
    <w:name w:val="Balloon Text"/>
    <w:basedOn w:val="Normal"/>
    <w:link w:val="BalloonTextChar"/>
    <w:uiPriority w:val="99"/>
    <w:semiHidden/>
    <w:unhideWhenUsed/>
    <w:rsid w:val="008D35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598"/>
    <w:rPr>
      <w:rFonts w:ascii="Segoe UI" w:hAnsi="Segoe UI" w:cs="Segoe UI"/>
      <w:sz w:val="18"/>
      <w:szCs w:val="18"/>
      <w:lang w:val="en-GB"/>
    </w:rPr>
  </w:style>
  <w:style w:type="character" w:styleId="Hyperlink">
    <w:name w:val="Hyperlink"/>
    <w:basedOn w:val="DefaultParagraphFont"/>
    <w:uiPriority w:val="99"/>
    <w:unhideWhenUsed/>
    <w:rsid w:val="008D3598"/>
    <w:rPr>
      <w:color w:val="0563C1" w:themeColor="hyperlink"/>
      <w:u w:val="single"/>
    </w:rPr>
  </w:style>
  <w:style w:type="character" w:customStyle="1" w:styleId="UnresolvedMention1">
    <w:name w:val="Unresolved Mention1"/>
    <w:basedOn w:val="DefaultParagraphFont"/>
    <w:uiPriority w:val="99"/>
    <w:semiHidden/>
    <w:unhideWhenUsed/>
    <w:rsid w:val="008D3598"/>
    <w:rPr>
      <w:color w:val="605E5C"/>
      <w:shd w:val="clear" w:color="auto" w:fill="E1DFDD"/>
    </w:rPr>
  </w:style>
  <w:style w:type="character" w:customStyle="1" w:styleId="arttitle">
    <w:name w:val="art_title"/>
    <w:basedOn w:val="DefaultParagraphFont"/>
    <w:rsid w:val="008D3598"/>
  </w:style>
  <w:style w:type="character" w:customStyle="1" w:styleId="authors">
    <w:name w:val="authors"/>
    <w:basedOn w:val="DefaultParagraphFont"/>
    <w:rsid w:val="008D3598"/>
  </w:style>
  <w:style w:type="character" w:customStyle="1" w:styleId="Date1">
    <w:name w:val="Date1"/>
    <w:basedOn w:val="DefaultParagraphFont"/>
    <w:rsid w:val="008D3598"/>
  </w:style>
  <w:style w:type="character" w:customStyle="1" w:styleId="serialtitle">
    <w:name w:val="serial_title"/>
    <w:basedOn w:val="DefaultParagraphFont"/>
    <w:rsid w:val="008D3598"/>
  </w:style>
  <w:style w:type="character" w:customStyle="1" w:styleId="volumeissue">
    <w:name w:val="volume_issue"/>
    <w:basedOn w:val="DefaultParagraphFont"/>
    <w:rsid w:val="008D3598"/>
  </w:style>
  <w:style w:type="character" w:customStyle="1" w:styleId="pagerange">
    <w:name w:val="page_range"/>
    <w:basedOn w:val="DefaultParagraphFont"/>
    <w:rsid w:val="008D3598"/>
  </w:style>
  <w:style w:type="paragraph" w:styleId="Header">
    <w:name w:val="header"/>
    <w:basedOn w:val="Normal"/>
    <w:link w:val="HeaderChar"/>
    <w:uiPriority w:val="99"/>
    <w:unhideWhenUsed/>
    <w:rsid w:val="008D3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598"/>
    <w:rPr>
      <w:lang w:val="en-GB"/>
    </w:rPr>
  </w:style>
  <w:style w:type="paragraph" w:styleId="Footer">
    <w:name w:val="footer"/>
    <w:basedOn w:val="Normal"/>
    <w:link w:val="FooterChar"/>
    <w:uiPriority w:val="99"/>
    <w:unhideWhenUsed/>
    <w:rsid w:val="008D3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598"/>
    <w:rPr>
      <w:lang w:val="en-GB"/>
    </w:rPr>
  </w:style>
  <w:style w:type="table" w:styleId="TableGrid">
    <w:name w:val="Table Grid"/>
    <w:basedOn w:val="TableNormal"/>
    <w:uiPriority w:val="39"/>
    <w:rsid w:val="008D3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D3598"/>
    <w:rPr>
      <w:i/>
      <w:iCs/>
    </w:rPr>
  </w:style>
  <w:style w:type="numbering" w:customStyle="1" w:styleId="NoList1">
    <w:name w:val="No List1"/>
    <w:next w:val="NoList"/>
    <w:uiPriority w:val="99"/>
    <w:semiHidden/>
    <w:unhideWhenUsed/>
    <w:rsid w:val="008D3598"/>
  </w:style>
  <w:style w:type="table" w:customStyle="1" w:styleId="TableGrid1">
    <w:name w:val="Table Grid1"/>
    <w:basedOn w:val="TableNormal"/>
    <w:next w:val="TableGrid"/>
    <w:uiPriority w:val="39"/>
    <w:rsid w:val="008D3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D3598"/>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UnresolvedMention2">
    <w:name w:val="Unresolved Mention2"/>
    <w:basedOn w:val="DefaultParagraphFont"/>
    <w:uiPriority w:val="99"/>
    <w:semiHidden/>
    <w:unhideWhenUsed/>
    <w:rsid w:val="008D3598"/>
    <w:rPr>
      <w:color w:val="605E5C"/>
      <w:shd w:val="clear" w:color="auto" w:fill="E1DFDD"/>
    </w:rPr>
  </w:style>
  <w:style w:type="character" w:styleId="FollowedHyperlink">
    <w:name w:val="FollowedHyperlink"/>
    <w:basedOn w:val="DefaultParagraphFont"/>
    <w:uiPriority w:val="99"/>
    <w:semiHidden/>
    <w:unhideWhenUsed/>
    <w:rsid w:val="008D3598"/>
    <w:rPr>
      <w:color w:val="954F72" w:themeColor="followedHyperlink"/>
      <w:u w:val="single"/>
    </w:rPr>
  </w:style>
  <w:style w:type="paragraph" w:styleId="Caption">
    <w:name w:val="caption"/>
    <w:basedOn w:val="Normal"/>
    <w:next w:val="Normal"/>
    <w:uiPriority w:val="35"/>
    <w:unhideWhenUsed/>
    <w:qFormat/>
    <w:rsid w:val="008D3598"/>
    <w:pPr>
      <w:spacing w:after="200" w:line="240" w:lineRule="auto"/>
    </w:pPr>
    <w:rPr>
      <w:b/>
      <w:bCs/>
      <w:color w:val="4472C4" w:themeColor="accent1"/>
      <w:sz w:val="18"/>
      <w:szCs w:val="18"/>
    </w:rPr>
  </w:style>
  <w:style w:type="paragraph" w:styleId="TOCHeading">
    <w:name w:val="TOC Heading"/>
    <w:basedOn w:val="Heading1"/>
    <w:next w:val="Normal"/>
    <w:uiPriority w:val="39"/>
    <w:semiHidden/>
    <w:unhideWhenUsed/>
    <w:qFormat/>
    <w:rsid w:val="008D3598"/>
    <w:pPr>
      <w:keepNext/>
      <w:keepLines/>
      <w:spacing w:before="480" w:beforeAutospacing="0" w:after="0" w:afterAutospacing="0" w:line="276" w:lineRule="auto"/>
      <w:jc w:val="left"/>
      <w:outlineLvl w:val="9"/>
    </w:pPr>
    <w:rPr>
      <w:rFonts w:asciiTheme="majorHAnsi" w:eastAsiaTheme="majorEastAsia" w:hAnsiTheme="majorHAnsi" w:cstheme="majorBidi"/>
      <w:color w:val="2F5496" w:themeColor="accent1" w:themeShade="BF"/>
      <w:kern w:val="0"/>
      <w:sz w:val="28"/>
      <w:szCs w:val="28"/>
      <w:lang w:val="en-US" w:eastAsia="ja-JP"/>
    </w:rPr>
  </w:style>
  <w:style w:type="paragraph" w:styleId="TOC1">
    <w:name w:val="toc 1"/>
    <w:basedOn w:val="Normal"/>
    <w:next w:val="Normal"/>
    <w:autoRedefine/>
    <w:uiPriority w:val="39"/>
    <w:unhideWhenUsed/>
    <w:rsid w:val="008D3598"/>
    <w:pPr>
      <w:spacing w:after="100"/>
    </w:pPr>
  </w:style>
  <w:style w:type="paragraph" w:styleId="TOC2">
    <w:name w:val="toc 2"/>
    <w:basedOn w:val="Normal"/>
    <w:next w:val="Normal"/>
    <w:autoRedefine/>
    <w:uiPriority w:val="39"/>
    <w:unhideWhenUsed/>
    <w:rsid w:val="008D3598"/>
    <w:pPr>
      <w:spacing w:after="100"/>
      <w:ind w:left="220"/>
    </w:pPr>
  </w:style>
  <w:style w:type="paragraph" w:styleId="TOC3">
    <w:name w:val="toc 3"/>
    <w:basedOn w:val="Normal"/>
    <w:next w:val="Normal"/>
    <w:autoRedefine/>
    <w:uiPriority w:val="39"/>
    <w:unhideWhenUsed/>
    <w:rsid w:val="008D3598"/>
    <w:pPr>
      <w:spacing w:after="100"/>
      <w:ind w:left="440"/>
    </w:pPr>
  </w:style>
  <w:style w:type="paragraph" w:styleId="TableofFigures">
    <w:name w:val="table of figures"/>
    <w:basedOn w:val="Normal"/>
    <w:next w:val="Normal"/>
    <w:uiPriority w:val="99"/>
    <w:unhideWhenUsed/>
    <w:rsid w:val="008D3598"/>
    <w:pPr>
      <w:spacing w:after="0"/>
    </w:pPr>
  </w:style>
  <w:style w:type="paragraph" w:styleId="CommentSubject">
    <w:name w:val="annotation subject"/>
    <w:basedOn w:val="CommentText"/>
    <w:next w:val="CommentText"/>
    <w:link w:val="CommentSubjectChar"/>
    <w:uiPriority w:val="99"/>
    <w:semiHidden/>
    <w:unhideWhenUsed/>
    <w:rsid w:val="008D3598"/>
    <w:rPr>
      <w:b/>
      <w:bCs/>
    </w:rPr>
  </w:style>
  <w:style w:type="character" w:customStyle="1" w:styleId="CommentSubjectChar">
    <w:name w:val="Comment Subject Char"/>
    <w:basedOn w:val="CommentTextChar"/>
    <w:link w:val="CommentSubject"/>
    <w:uiPriority w:val="99"/>
    <w:semiHidden/>
    <w:rsid w:val="008D3598"/>
    <w:rPr>
      <w:b/>
      <w:bCs/>
      <w:sz w:val="20"/>
      <w:szCs w:val="20"/>
      <w:lang w:val="en-GB"/>
    </w:rPr>
  </w:style>
  <w:style w:type="character" w:customStyle="1" w:styleId="UnresolvedMention3">
    <w:name w:val="Unresolved Mention3"/>
    <w:basedOn w:val="DefaultParagraphFont"/>
    <w:uiPriority w:val="99"/>
    <w:semiHidden/>
    <w:unhideWhenUsed/>
    <w:rsid w:val="009B3485"/>
    <w:rPr>
      <w:color w:val="605E5C"/>
      <w:shd w:val="clear" w:color="auto" w:fill="E1DFDD"/>
    </w:rPr>
  </w:style>
  <w:style w:type="character" w:customStyle="1" w:styleId="hlfld-abstract">
    <w:name w:val="hlfld-abstract"/>
    <w:basedOn w:val="DefaultParagraphFont"/>
    <w:rsid w:val="007C0945"/>
  </w:style>
  <w:style w:type="paragraph" w:customStyle="1" w:styleId="Default">
    <w:name w:val="Default"/>
    <w:rsid w:val="007C0945"/>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ind">
    <w:name w:val="ind"/>
    <w:basedOn w:val="DefaultParagraphFont"/>
    <w:rsid w:val="00D92ACC"/>
  </w:style>
  <w:style w:type="character" w:customStyle="1" w:styleId="text-indent">
    <w:name w:val="text-indent"/>
    <w:basedOn w:val="DefaultParagraphFont"/>
    <w:rsid w:val="00D92ACC"/>
  </w:style>
  <w:style w:type="paragraph" w:styleId="HTMLPreformatted">
    <w:name w:val="HTML Preformatted"/>
    <w:basedOn w:val="Normal"/>
    <w:link w:val="HTMLPreformattedChar"/>
    <w:uiPriority w:val="99"/>
    <w:unhideWhenUsed/>
    <w:rsid w:val="00476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7692E"/>
    <w:rPr>
      <w:rFonts w:ascii="Courier New" w:eastAsia="Times New Roman" w:hAnsi="Courier New" w:cs="Courier New"/>
      <w:sz w:val="20"/>
      <w:szCs w:val="20"/>
    </w:rPr>
  </w:style>
  <w:style w:type="character" w:customStyle="1" w:styleId="UnresolvedMention4">
    <w:name w:val="Unresolved Mention4"/>
    <w:basedOn w:val="DefaultParagraphFont"/>
    <w:uiPriority w:val="99"/>
    <w:semiHidden/>
    <w:unhideWhenUsed/>
    <w:rsid w:val="00E61F4F"/>
    <w:rPr>
      <w:color w:val="605E5C"/>
      <w:shd w:val="clear" w:color="auto" w:fill="E1DFDD"/>
    </w:rPr>
  </w:style>
  <w:style w:type="character" w:customStyle="1" w:styleId="UnresolvedMention">
    <w:name w:val="Unresolved Mention"/>
    <w:basedOn w:val="DefaultParagraphFont"/>
    <w:uiPriority w:val="99"/>
    <w:semiHidden/>
    <w:unhideWhenUsed/>
    <w:rsid w:val="005F6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69501">
      <w:bodyDiv w:val="1"/>
      <w:marLeft w:val="0"/>
      <w:marRight w:val="0"/>
      <w:marTop w:val="0"/>
      <w:marBottom w:val="0"/>
      <w:divBdr>
        <w:top w:val="none" w:sz="0" w:space="0" w:color="auto"/>
        <w:left w:val="none" w:sz="0" w:space="0" w:color="auto"/>
        <w:bottom w:val="none" w:sz="0" w:space="0" w:color="auto"/>
        <w:right w:val="none" w:sz="0" w:space="0" w:color="auto"/>
      </w:divBdr>
    </w:div>
    <w:div w:id="626005239">
      <w:bodyDiv w:val="1"/>
      <w:marLeft w:val="0"/>
      <w:marRight w:val="0"/>
      <w:marTop w:val="0"/>
      <w:marBottom w:val="0"/>
      <w:divBdr>
        <w:top w:val="none" w:sz="0" w:space="0" w:color="auto"/>
        <w:left w:val="none" w:sz="0" w:space="0" w:color="auto"/>
        <w:bottom w:val="none" w:sz="0" w:space="0" w:color="auto"/>
        <w:right w:val="none" w:sz="0" w:space="0" w:color="auto"/>
      </w:divBdr>
    </w:div>
    <w:div w:id="682241431">
      <w:bodyDiv w:val="1"/>
      <w:marLeft w:val="0"/>
      <w:marRight w:val="0"/>
      <w:marTop w:val="0"/>
      <w:marBottom w:val="0"/>
      <w:divBdr>
        <w:top w:val="none" w:sz="0" w:space="0" w:color="auto"/>
        <w:left w:val="none" w:sz="0" w:space="0" w:color="auto"/>
        <w:bottom w:val="none" w:sz="0" w:space="0" w:color="auto"/>
        <w:right w:val="none" w:sz="0" w:space="0" w:color="auto"/>
      </w:divBdr>
    </w:div>
    <w:div w:id="106614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celibrary.org/author/Mezher%2C+Toufic" TargetMode="External"/><Relationship Id="rId21" Type="http://schemas.openxmlformats.org/officeDocument/2006/relationships/diagramLayout" Target="diagrams/layout1.xml"/><Relationship Id="rId42" Type="http://schemas.openxmlformats.org/officeDocument/2006/relationships/diagramLayout" Target="diagrams/layout4.xml"/><Relationship Id="rId47" Type="http://schemas.openxmlformats.org/officeDocument/2006/relationships/image" Target="media/image6.jpg"/><Relationship Id="rId63" Type="http://schemas.openxmlformats.org/officeDocument/2006/relationships/hyperlink" Target="https://learn.canvas.net/courses/393/pages/motivational-interviewing-advanced" TargetMode="External"/><Relationship Id="rId68" Type="http://schemas.openxmlformats.org/officeDocument/2006/relationships/hyperlink" Target="https://www.dpm.gov.abudhabi" TargetMode="External"/><Relationship Id="rId84" Type="http://schemas.openxmlformats.org/officeDocument/2006/relationships/hyperlink" Target="http://unstats.un.org/unsd/cr/ctryreg/ctrydetail.asp?id=1380" TargetMode="External"/><Relationship Id="rId89" Type="http://schemas.openxmlformats.org/officeDocument/2006/relationships/image" Target="media/image17.png"/><Relationship Id="rId16" Type="http://schemas.openxmlformats.org/officeDocument/2006/relationships/hyperlink" Target="file:///C:\Users\AbdullaH\Desktop\husniyah\final\FINAL%20Submission_Revised%2017%20June%202020.docx" TargetMode="External"/><Relationship Id="rId11" Type="http://schemas.openxmlformats.org/officeDocument/2006/relationships/footer" Target="footer2.xml"/><Relationship Id="rId32" Type="http://schemas.openxmlformats.org/officeDocument/2006/relationships/diagramColors" Target="diagrams/colors2.xml"/><Relationship Id="rId37" Type="http://schemas.openxmlformats.org/officeDocument/2006/relationships/diagramColors" Target="diagrams/colors3.xml"/><Relationship Id="rId53" Type="http://schemas.openxmlformats.org/officeDocument/2006/relationships/diagramData" Target="diagrams/data5.xml"/><Relationship Id="rId58" Type="http://schemas.openxmlformats.org/officeDocument/2006/relationships/image" Target="media/image12.png"/><Relationship Id="rId74" Type="http://schemas.openxmlformats.org/officeDocument/2006/relationships/hyperlink" Target="https://doi.org/10.1080/14697010903549457" TargetMode="External"/><Relationship Id="rId79" Type="http://schemas.openxmlformats.org/officeDocument/2006/relationships/hyperlink" Target="https://doi.org/10.1108/JOCM-10-2017-0379"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file:///C:\Users\AbdullaH\Desktop\husniyah\final\FINAL%20Submission_Revised%2017%20June%202020.docx" TargetMode="External"/><Relationship Id="rId22" Type="http://schemas.openxmlformats.org/officeDocument/2006/relationships/diagramQuickStyle" Target="diagrams/quickStyle1.xml"/><Relationship Id="rId27" Type="http://schemas.openxmlformats.org/officeDocument/2006/relationships/hyperlink" Target="https://ascelibrary.org/author/Goldsmith%2C+Daniel" TargetMode="External"/><Relationship Id="rId30" Type="http://schemas.openxmlformats.org/officeDocument/2006/relationships/diagramLayout" Target="diagrams/layout2.xml"/><Relationship Id="rId35" Type="http://schemas.openxmlformats.org/officeDocument/2006/relationships/diagramLayout" Target="diagrams/layout3.xml"/><Relationship Id="rId43" Type="http://schemas.openxmlformats.org/officeDocument/2006/relationships/diagramQuickStyle" Target="diagrams/quickStyle4.xml"/><Relationship Id="rId48" Type="http://schemas.openxmlformats.org/officeDocument/2006/relationships/image" Target="media/image7.jpeg"/><Relationship Id="rId56" Type="http://schemas.openxmlformats.org/officeDocument/2006/relationships/diagramColors" Target="diagrams/colors5.xml"/><Relationship Id="rId64" Type="http://schemas.openxmlformats.org/officeDocument/2006/relationships/hyperlink" Target="http://dx.doi.org/10.1108/09534811211239272" TargetMode="External"/><Relationship Id="rId69" Type="http://schemas.openxmlformats.org/officeDocument/2006/relationships/hyperlink" Target="http://dx.doi.org/10.1002/piq.20039" TargetMode="External"/><Relationship Id="rId77" Type="http://schemas.openxmlformats.org/officeDocument/2006/relationships/hyperlink" Target="http://www.moew.gov.ae" TargetMode="External"/><Relationship Id="rId8" Type="http://schemas.openxmlformats.org/officeDocument/2006/relationships/image" Target="media/image1.png"/><Relationship Id="rId51" Type="http://schemas.openxmlformats.org/officeDocument/2006/relationships/image" Target="media/image10.jpg"/><Relationship Id="rId72" Type="http://schemas.openxmlformats.org/officeDocument/2006/relationships/hyperlink" Target="http://www.iea.org/publications/freepublications/publication/TheFutureofTrucksImplicationsforEnergyandtheEnvironment.pdf" TargetMode="External"/><Relationship Id="rId80" Type="http://schemas.openxmlformats.org/officeDocument/2006/relationships/hyperlink" Target="https://hbr.org/2015/07/how-to-co-lead-a-team" TargetMode="External"/><Relationship Id="rId85" Type="http://schemas.openxmlformats.org/officeDocument/2006/relationships/image" Target="media/image13.png"/><Relationship Id="rId3" Type="http://schemas.openxmlformats.org/officeDocument/2006/relationships/styles" Target="styles.xml"/><Relationship Id="rId12" Type="http://schemas.openxmlformats.org/officeDocument/2006/relationships/hyperlink" Target="file:///C:\Users\AbdullaH\Desktop\husniyah\final\FINAL%20Submission_Revised%2017%20June%202020.docx" TargetMode="External"/><Relationship Id="rId17" Type="http://schemas.openxmlformats.org/officeDocument/2006/relationships/hyperlink" Target="file:///C:\Users\AbdullaH\Desktop\husniyah\final\FINAL%20Submission_Revised%2017%20June%202020.docx" TargetMode="External"/><Relationship Id="rId25" Type="http://schemas.openxmlformats.org/officeDocument/2006/relationships/image" Target="media/image2.png"/><Relationship Id="rId33" Type="http://schemas.microsoft.com/office/2007/relationships/diagramDrawing" Target="diagrams/drawing2.xml"/><Relationship Id="rId38" Type="http://schemas.microsoft.com/office/2007/relationships/diagramDrawing" Target="diagrams/drawing3.xml"/><Relationship Id="rId46" Type="http://schemas.openxmlformats.org/officeDocument/2006/relationships/image" Target="media/image5.png"/><Relationship Id="rId59" Type="http://schemas.openxmlformats.org/officeDocument/2006/relationships/hyperlink" Target="https://www.ead.ae/Publications/Abu%20Dhabi%20Habitat%20Mapping%202016/Habitat%20Book%20English%20Web.pdf" TargetMode="External"/><Relationship Id="rId67" Type="http://schemas.openxmlformats.org/officeDocument/2006/relationships/hyperlink" Target="http://www.dewa.gov.ae" TargetMode="External"/><Relationship Id="rId20" Type="http://schemas.openxmlformats.org/officeDocument/2006/relationships/diagramData" Target="diagrams/data1.xml"/><Relationship Id="rId41" Type="http://schemas.openxmlformats.org/officeDocument/2006/relationships/diagramData" Target="diagrams/data4.xml"/><Relationship Id="rId54" Type="http://schemas.openxmlformats.org/officeDocument/2006/relationships/diagramLayout" Target="diagrams/layout5.xml"/><Relationship Id="rId62" Type="http://schemas.openxmlformats.org/officeDocument/2006/relationships/hyperlink" Target="https://doi.org/10.1080/14697017.2010.524655" TargetMode="External"/><Relationship Id="rId70" Type="http://schemas.openxmlformats.org/officeDocument/2006/relationships/hyperlink" Target="https://gulfnews.com/uae/government/uae" TargetMode="External"/><Relationship Id="rId75" Type="http://schemas.openxmlformats.org/officeDocument/2006/relationships/hyperlink" Target="http://www.mesia.com" TargetMode="External"/><Relationship Id="rId83" Type="http://schemas.openxmlformats.org/officeDocument/2006/relationships/hyperlink" Target="http://dx.doi.org/10.1080/14697010500359250" TargetMode="External"/><Relationship Id="rId88" Type="http://schemas.openxmlformats.org/officeDocument/2006/relationships/image" Target="media/image16.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AbdullaH\Desktop\husniyah\final\FINAL%20Submission_Revised%2017%20June%202020.docx" TargetMode="External"/><Relationship Id="rId23" Type="http://schemas.openxmlformats.org/officeDocument/2006/relationships/diagramColors" Target="diagrams/colors1.xml"/><Relationship Id="rId28" Type="http://schemas.openxmlformats.org/officeDocument/2006/relationships/hyperlink" Target="https://ascelibrary.org/author/Choucri%2C+Nazli" TargetMode="External"/><Relationship Id="rId36" Type="http://schemas.openxmlformats.org/officeDocument/2006/relationships/diagramQuickStyle" Target="diagrams/quickStyle3.xml"/><Relationship Id="rId49" Type="http://schemas.openxmlformats.org/officeDocument/2006/relationships/image" Target="media/image8.jpg"/><Relationship Id="rId57" Type="http://schemas.microsoft.com/office/2007/relationships/diagramDrawing" Target="diagrams/drawing5.xml"/><Relationship Id="rId10" Type="http://schemas.openxmlformats.org/officeDocument/2006/relationships/footer" Target="footer1.xml"/><Relationship Id="rId31" Type="http://schemas.openxmlformats.org/officeDocument/2006/relationships/diagramQuickStyle" Target="diagrams/quickStyle2.xml"/><Relationship Id="rId44" Type="http://schemas.openxmlformats.org/officeDocument/2006/relationships/diagramColors" Target="diagrams/colors4.xml"/><Relationship Id="rId52" Type="http://schemas.openxmlformats.org/officeDocument/2006/relationships/image" Target="media/image11.jpeg"/><Relationship Id="rId60" Type="http://schemas.openxmlformats.org/officeDocument/2006/relationships/hyperlink" Target="https://www.doi.org.10.1016/j.rser.2019.109429" TargetMode="External"/><Relationship Id="rId65" Type="http://schemas.openxmlformats.org/officeDocument/2006/relationships/hyperlink" Target="https://scholarworks.lib.csusb.edu/jitim/vol27/iss1/3" TargetMode="External"/><Relationship Id="rId73" Type="http://schemas.openxmlformats.org/officeDocument/2006/relationships/hyperlink" Target="http://www.iisd.org" TargetMode="External"/><Relationship Id="rId78" Type="http://schemas.openxmlformats.org/officeDocument/2006/relationships/hyperlink" Target="http://dx.doi.org/10.1073/pnas.1007887107" TargetMode="External"/><Relationship Id="rId81" Type="http://schemas.openxmlformats.org/officeDocument/2006/relationships/hyperlink" Target="https://www.lexico.com/definition/green_energy" TargetMode="External"/><Relationship Id="rId86"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file:///C:\Users\AbdullaH\Desktop\husniyah\final\FINAL%20Submission_Revised%2017%20June%202020.docx" TargetMode="External"/><Relationship Id="rId18" Type="http://schemas.openxmlformats.org/officeDocument/2006/relationships/hyperlink" Target="file:///C:\Users\AbdullaH\Desktop\husniyah\final\FINAL%20Submission_Revised%2017%20June%202020.docx" TargetMode="External"/><Relationship Id="rId39" Type="http://schemas.openxmlformats.org/officeDocument/2006/relationships/image" Target="media/image3.png"/><Relationship Id="rId34" Type="http://schemas.openxmlformats.org/officeDocument/2006/relationships/diagramData" Target="diagrams/data3.xml"/><Relationship Id="rId50" Type="http://schemas.openxmlformats.org/officeDocument/2006/relationships/image" Target="media/image9.jpg"/><Relationship Id="rId55" Type="http://schemas.openxmlformats.org/officeDocument/2006/relationships/diagramQuickStyle" Target="diagrams/quickStyle5.xml"/><Relationship Id="rId76" Type="http://schemas.openxmlformats.org/officeDocument/2006/relationships/hyperlink" Target="https://doi.org/10.1061/(ASCE)EY.1943-7897.0000204" TargetMode="External"/><Relationship Id="rId7" Type="http://schemas.openxmlformats.org/officeDocument/2006/relationships/endnotes" Target="endnotes.xml"/><Relationship Id="rId71" Type="http://schemas.openxmlformats.org/officeDocument/2006/relationships/hyperlink" Target="https://doi.org/10.1108/10878570910941217" TargetMode="External"/><Relationship Id="rId2" Type="http://schemas.openxmlformats.org/officeDocument/2006/relationships/numbering" Target="numbering.xml"/><Relationship Id="rId29" Type="http://schemas.openxmlformats.org/officeDocument/2006/relationships/diagramData" Target="diagrams/data2.xml"/><Relationship Id="rId24" Type="http://schemas.microsoft.com/office/2007/relationships/diagramDrawing" Target="diagrams/drawing1.xml"/><Relationship Id="rId40" Type="http://schemas.openxmlformats.org/officeDocument/2006/relationships/image" Target="media/image4.png"/><Relationship Id="rId45" Type="http://schemas.microsoft.com/office/2007/relationships/diagramDrawing" Target="diagrams/drawing4.xml"/><Relationship Id="rId66" Type="http://schemas.openxmlformats.org/officeDocument/2006/relationships/hyperlink" Target="http://www.pmi.org/business-solutions//media/PDF/Business-Solutions/ExecutiveEngagement_FINAL.ashx" TargetMode="External"/><Relationship Id="rId87" Type="http://schemas.openxmlformats.org/officeDocument/2006/relationships/image" Target="media/image15.png"/><Relationship Id="rId61" Type="http://schemas.openxmlformats.org/officeDocument/2006/relationships/hyperlink" Target="http://www.trainingjournal.com" TargetMode="External"/><Relationship Id="rId82" Type="http://schemas.openxmlformats.org/officeDocument/2006/relationships/hyperlink" Target="http://www.eberly.iup.edu/ASCWeb/journals_jcs.html" TargetMode="External"/><Relationship Id="rId19" Type="http://schemas.openxmlformats.org/officeDocument/2006/relationships/hyperlink" Target="file:///C:\Users\AbdullaH\Desktop\husniyah\final\FINAL%20Submission_Revised%2017%20June%202020.doc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584E6A-31F2-408F-902B-46A11513D9C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B5ECDA4C-8B85-4076-9EEA-4DAC566639B4}">
      <dgm:prSet phldrT="[Text]" custT="1"/>
      <dgm:spPr>
        <a:xfrm>
          <a:off x="274320" y="161099"/>
          <a:ext cx="3840480" cy="383760"/>
        </a:xfrm>
        <a:solidFill>
          <a:sysClr val="window" lastClr="FFFFFF"/>
        </a:solidFill>
        <a:ln w="9525" cap="flat" cmpd="sng" algn="ctr">
          <a:solidFill>
            <a:sysClr val="windowText" lastClr="000000"/>
          </a:solidFill>
          <a:prstDash val="solid"/>
        </a:ln>
        <a:effectLst/>
      </dgm:spPr>
      <dgm:t>
        <a:bodyPr/>
        <a:lstStyle/>
        <a:p>
          <a:pPr>
            <a:buNone/>
          </a:pPr>
          <a:r>
            <a:rPr lang="en-US" sz="1200">
              <a:solidFill>
                <a:sysClr val="windowText" lastClr="000000"/>
              </a:solidFill>
              <a:latin typeface="Times New Roman" pitchFamily="18" charset="0"/>
              <a:cs typeface="Times New Roman" pitchFamily="18" charset="0"/>
            </a:rPr>
            <a:t>Introduction</a:t>
          </a:r>
          <a:endParaRPr lang="en-US" sz="1300">
            <a:solidFill>
              <a:sysClr val="windowText" lastClr="000000"/>
            </a:solidFill>
            <a:latin typeface="Times New Roman" panose="02020603050405020304" pitchFamily="18" charset="0"/>
            <a:ea typeface="+mn-ea"/>
            <a:cs typeface="Times New Roman" panose="02020603050405020304" pitchFamily="18" charset="0"/>
          </a:endParaRPr>
        </a:p>
      </dgm:t>
    </dgm:pt>
    <dgm:pt modelId="{2E5531FB-B32A-491B-A4D6-FBAD2BFB4FFB}" type="parTrans" cxnId="{D59F572D-4BF6-4287-A069-F4F142153BE5}">
      <dgm:prSet/>
      <dgm:spPr/>
      <dgm:t>
        <a:bodyPr/>
        <a:lstStyle/>
        <a:p>
          <a:endParaRPr lang="en-US"/>
        </a:p>
      </dgm:t>
    </dgm:pt>
    <dgm:pt modelId="{97AF7EC1-F303-4F00-B166-820BD24FD399}" type="sibTrans" cxnId="{D59F572D-4BF6-4287-A069-F4F142153BE5}">
      <dgm:prSet/>
      <dgm:spPr/>
      <dgm:t>
        <a:bodyPr/>
        <a:lstStyle/>
        <a:p>
          <a:endParaRPr lang="en-US"/>
        </a:p>
      </dgm:t>
    </dgm:pt>
    <dgm:pt modelId="{4E7F1488-AD79-4506-B3FC-38B843C45B6E}">
      <dgm:prSet phldrT="[Text]" custT="1"/>
      <dgm:spPr>
        <a:xfrm>
          <a:off x="274320" y="750779"/>
          <a:ext cx="3840480" cy="383760"/>
        </a:xfrm>
        <a:solidFill>
          <a:sysClr val="window" lastClr="FFFFFF"/>
        </a:solidFill>
        <a:ln w="6350" cap="flat" cmpd="sng" algn="ctr">
          <a:solidFill>
            <a:scrgbClr r="0" g="0" b="0"/>
          </a:solidFill>
          <a:prstDash val="solid"/>
        </a:ln>
        <a:effectLst/>
      </dgm:spPr>
      <dgm:t>
        <a:bodyPr/>
        <a:lstStyle/>
        <a:p>
          <a:pPr>
            <a:buNone/>
          </a:pPr>
          <a:r>
            <a:rPr lang="en-US" sz="1200">
              <a:solidFill>
                <a:sysClr val="windowText" lastClr="000000"/>
              </a:solidFill>
              <a:latin typeface="Times New Roman" pitchFamily="18" charset="0"/>
              <a:cs typeface="Times New Roman" pitchFamily="18" charset="0"/>
            </a:rPr>
            <a:t>Statement of the Problem</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F5874FA0-30BA-4B1B-B50F-AB72CB47299A}" type="parTrans" cxnId="{860ECB82-4E0C-4B3A-8657-BBF43DEB4E12}">
      <dgm:prSet/>
      <dgm:spPr/>
      <dgm:t>
        <a:bodyPr/>
        <a:lstStyle/>
        <a:p>
          <a:endParaRPr lang="en-US"/>
        </a:p>
      </dgm:t>
    </dgm:pt>
    <dgm:pt modelId="{0E563D65-F66F-45AA-A2DD-9CCD47C31092}" type="sibTrans" cxnId="{860ECB82-4E0C-4B3A-8657-BBF43DEB4E12}">
      <dgm:prSet/>
      <dgm:spPr/>
      <dgm:t>
        <a:bodyPr/>
        <a:lstStyle/>
        <a:p>
          <a:endParaRPr lang="en-US"/>
        </a:p>
      </dgm:t>
    </dgm:pt>
    <dgm:pt modelId="{9B37371C-14D4-46B3-A0F0-3A6228DBC3C6}">
      <dgm:prSet phldrT="[Text]" custT="1"/>
      <dgm:spPr>
        <a:xfrm>
          <a:off x="274320" y="1340460"/>
          <a:ext cx="3840480" cy="383760"/>
        </a:xfrm>
        <a:solidFill>
          <a:sysClr val="window" lastClr="FFFFFF"/>
        </a:solidFill>
        <a:ln w="9525" cap="flat" cmpd="sng" algn="ctr">
          <a:solidFill>
            <a:sysClr val="windowText" lastClr="000000"/>
          </a:solidFill>
          <a:prstDash val="solid"/>
        </a:ln>
        <a:effectLst/>
      </dgm:spPr>
      <dgm:t>
        <a:bodyPr/>
        <a:lstStyle/>
        <a:p>
          <a:pPr>
            <a:buNone/>
          </a:pPr>
          <a:r>
            <a:rPr lang="en-US" sz="1200">
              <a:solidFill>
                <a:sysClr val="windowText" lastClr="000000"/>
              </a:solidFill>
              <a:latin typeface="Times New Roman" pitchFamily="18" charset="0"/>
              <a:cs typeface="Times New Roman" pitchFamily="18" charset="0"/>
            </a:rPr>
            <a:t>Research Context</a:t>
          </a:r>
          <a:r>
            <a:rPr lang="en-US" sz="1400">
              <a:solidFill>
                <a:sysClr val="window" lastClr="FFFFFF"/>
              </a:solidFill>
              <a:latin typeface="Calibri"/>
              <a:ea typeface="+mn-ea"/>
              <a:cs typeface="+mn-cs"/>
            </a:rPr>
            <a:t>)</a:t>
          </a:r>
        </a:p>
      </dgm:t>
    </dgm:pt>
    <dgm:pt modelId="{AC6A015D-ECED-4C81-ABF8-A04556866484}" type="parTrans" cxnId="{4CABD0FA-117C-4EB1-9AD5-2E5E98C30D12}">
      <dgm:prSet/>
      <dgm:spPr/>
      <dgm:t>
        <a:bodyPr/>
        <a:lstStyle/>
        <a:p>
          <a:endParaRPr lang="en-US"/>
        </a:p>
      </dgm:t>
    </dgm:pt>
    <dgm:pt modelId="{2FB28291-6F3B-4786-900B-07ECEA2E4376}" type="sibTrans" cxnId="{4CABD0FA-117C-4EB1-9AD5-2E5E98C30D12}">
      <dgm:prSet/>
      <dgm:spPr/>
      <dgm:t>
        <a:bodyPr/>
        <a:lstStyle/>
        <a:p>
          <a:endParaRPr lang="en-US"/>
        </a:p>
      </dgm:t>
    </dgm:pt>
    <dgm:pt modelId="{DA06492D-8A13-4F8F-85F0-2ABDF66DA898}">
      <dgm:prSet custT="1"/>
      <dgm:spPr>
        <a:xfrm>
          <a:off x="274320" y="2519820"/>
          <a:ext cx="3840480" cy="383760"/>
        </a:xfrm>
        <a:solidFill>
          <a:sysClr val="window" lastClr="FFFFFF"/>
        </a:solidFill>
        <a:ln w="9525" cap="flat" cmpd="sng" algn="ctr">
          <a:solidFill>
            <a:sysClr val="windowText" lastClr="000000"/>
          </a:solidFill>
          <a:prstDash val="solid"/>
        </a:ln>
        <a:effectLst/>
      </dgm:spPr>
      <dgm:t>
        <a:bodyPr/>
        <a:lstStyle/>
        <a:p>
          <a:pPr>
            <a:buNone/>
          </a:pPr>
          <a:r>
            <a:rPr lang="en-US" sz="1200">
              <a:solidFill>
                <a:sysClr val="windowText" lastClr="000000"/>
              </a:solidFill>
              <a:latin typeface="Times New Roman" pitchFamily="18" charset="0"/>
              <a:cs typeface="Times New Roman" pitchFamily="18" charset="0"/>
            </a:rPr>
            <a:t>Research Questions and Objectives</a:t>
          </a:r>
          <a:endParaRPr lang="en-US"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6FB53C4E-41F8-4FA5-9551-09C39011D6D8}" type="sibTrans" cxnId="{FCACA8C7-D2BD-42A4-A0C9-A80AED72C97E}">
      <dgm:prSet/>
      <dgm:spPr/>
      <dgm:t>
        <a:bodyPr/>
        <a:lstStyle/>
        <a:p>
          <a:endParaRPr lang="en-US"/>
        </a:p>
      </dgm:t>
    </dgm:pt>
    <dgm:pt modelId="{5BA86BB1-3451-4F48-B193-3DA64F2F9724}" type="parTrans" cxnId="{FCACA8C7-D2BD-42A4-A0C9-A80AED72C97E}">
      <dgm:prSet/>
      <dgm:spPr/>
      <dgm:t>
        <a:bodyPr/>
        <a:lstStyle/>
        <a:p>
          <a:endParaRPr lang="en-US"/>
        </a:p>
      </dgm:t>
    </dgm:pt>
    <dgm:pt modelId="{4087219B-E7BA-43EE-8408-1D0C6A70E67E}">
      <dgm:prSet custT="1"/>
      <dgm:spPr>
        <a:solidFill>
          <a:schemeClr val="bg1"/>
        </a:solidFill>
        <a:ln>
          <a:solidFill>
            <a:schemeClr val="tx1"/>
          </a:solidFill>
        </a:ln>
      </dgm:spPr>
      <dgm:t>
        <a:bodyPr/>
        <a:lstStyle/>
        <a:p>
          <a:r>
            <a:rPr lang="en-US" sz="1200">
              <a:solidFill>
                <a:sysClr val="windowText" lastClr="000000"/>
              </a:solidFill>
              <a:latin typeface="Times New Roman" pitchFamily="18" charset="0"/>
              <a:cs typeface="Times New Roman" pitchFamily="18" charset="0"/>
            </a:rPr>
            <a:t>Reseach Contribution</a:t>
          </a:r>
        </a:p>
      </dgm:t>
    </dgm:pt>
    <dgm:pt modelId="{96E38F4E-390B-468B-95F3-9D5658A1B54B}" type="parTrans" cxnId="{53232F75-9B09-43D3-814B-5DD5FBC8B0DF}">
      <dgm:prSet/>
      <dgm:spPr/>
      <dgm:t>
        <a:bodyPr/>
        <a:lstStyle/>
        <a:p>
          <a:endParaRPr lang="en-US"/>
        </a:p>
      </dgm:t>
    </dgm:pt>
    <dgm:pt modelId="{7FA90E25-2B01-453F-8B18-BF13C52F9674}" type="sibTrans" cxnId="{53232F75-9B09-43D3-814B-5DD5FBC8B0DF}">
      <dgm:prSet/>
      <dgm:spPr/>
      <dgm:t>
        <a:bodyPr/>
        <a:lstStyle/>
        <a:p>
          <a:endParaRPr lang="en-US"/>
        </a:p>
      </dgm:t>
    </dgm:pt>
    <dgm:pt modelId="{FF94C2F2-EE05-462C-904C-7644DCE917DB}">
      <dgm:prSet custT="1"/>
      <dgm:spPr>
        <a:solidFill>
          <a:schemeClr val="bg1"/>
        </a:solidFill>
        <a:ln>
          <a:solidFill>
            <a:schemeClr val="tx1"/>
          </a:solidFill>
        </a:ln>
      </dgm:spPr>
      <dgm:t>
        <a:bodyPr/>
        <a:lstStyle/>
        <a:p>
          <a:r>
            <a:rPr lang="en-US" sz="1200">
              <a:solidFill>
                <a:sysClr val="windowText" lastClr="000000"/>
              </a:solidFill>
              <a:latin typeface="Times New Roman" pitchFamily="18" charset="0"/>
              <a:cs typeface="Times New Roman" pitchFamily="18" charset="0"/>
            </a:rPr>
            <a:t>Summary</a:t>
          </a:r>
        </a:p>
      </dgm:t>
    </dgm:pt>
    <dgm:pt modelId="{4DDE29BA-E388-4A17-BFDE-0B679D2501E3}" type="parTrans" cxnId="{DCA07E3D-631B-482B-8C89-E4CA15E3D77B}">
      <dgm:prSet/>
      <dgm:spPr/>
      <dgm:t>
        <a:bodyPr/>
        <a:lstStyle/>
        <a:p>
          <a:endParaRPr lang="en-US"/>
        </a:p>
      </dgm:t>
    </dgm:pt>
    <dgm:pt modelId="{C0F0890E-48FD-4AAF-B5C5-3CCECCFA943A}" type="sibTrans" cxnId="{DCA07E3D-631B-482B-8C89-E4CA15E3D77B}">
      <dgm:prSet/>
      <dgm:spPr/>
      <dgm:t>
        <a:bodyPr/>
        <a:lstStyle/>
        <a:p>
          <a:endParaRPr lang="en-US"/>
        </a:p>
      </dgm:t>
    </dgm:pt>
    <dgm:pt modelId="{F1FF4534-F9C8-4C9A-8C01-09B7FBF68AAD}" type="pres">
      <dgm:prSet presAssocID="{8F584E6A-31F2-408F-902B-46A11513D9CD}" presName="linear" presStyleCnt="0">
        <dgm:presLayoutVars>
          <dgm:dir/>
          <dgm:animLvl val="lvl"/>
          <dgm:resizeHandles val="exact"/>
        </dgm:presLayoutVars>
      </dgm:prSet>
      <dgm:spPr/>
      <dgm:t>
        <a:bodyPr/>
        <a:lstStyle/>
        <a:p>
          <a:endParaRPr lang="en-US"/>
        </a:p>
      </dgm:t>
    </dgm:pt>
    <dgm:pt modelId="{D0A62FCA-0B26-4593-998F-18149DE33F1A}" type="pres">
      <dgm:prSet presAssocID="{B5ECDA4C-8B85-4076-9EEA-4DAC566639B4}" presName="parentLin" presStyleCnt="0"/>
      <dgm:spPr/>
    </dgm:pt>
    <dgm:pt modelId="{D4E62BDF-E07B-4BE8-AC5A-D550B12F528D}" type="pres">
      <dgm:prSet presAssocID="{B5ECDA4C-8B85-4076-9EEA-4DAC566639B4}" presName="parentLeftMargin" presStyleLbl="node1" presStyleIdx="0" presStyleCnt="6"/>
      <dgm:spPr>
        <a:prstGeom prst="roundRect">
          <a:avLst/>
        </a:prstGeom>
      </dgm:spPr>
      <dgm:t>
        <a:bodyPr/>
        <a:lstStyle/>
        <a:p>
          <a:endParaRPr lang="en-US"/>
        </a:p>
      </dgm:t>
    </dgm:pt>
    <dgm:pt modelId="{36A08A41-5066-440C-AE8C-75ED9384E47B}" type="pres">
      <dgm:prSet presAssocID="{B5ECDA4C-8B85-4076-9EEA-4DAC566639B4}" presName="parentText" presStyleLbl="node1" presStyleIdx="0" presStyleCnt="6" custScaleX="137722">
        <dgm:presLayoutVars>
          <dgm:chMax val="0"/>
          <dgm:bulletEnabled val="1"/>
        </dgm:presLayoutVars>
      </dgm:prSet>
      <dgm:spPr/>
      <dgm:t>
        <a:bodyPr/>
        <a:lstStyle/>
        <a:p>
          <a:endParaRPr lang="en-US"/>
        </a:p>
      </dgm:t>
    </dgm:pt>
    <dgm:pt modelId="{C026A91D-EEB7-47DC-A077-499871407CAE}" type="pres">
      <dgm:prSet presAssocID="{B5ECDA4C-8B85-4076-9EEA-4DAC566639B4}" presName="negativeSpace" presStyleCnt="0"/>
      <dgm:spPr/>
    </dgm:pt>
    <dgm:pt modelId="{37C18A85-0D57-4EFC-8457-AB3EFB13734C}" type="pres">
      <dgm:prSet presAssocID="{B5ECDA4C-8B85-4076-9EEA-4DAC566639B4}" presName="childText" presStyleLbl="conFgAcc1" presStyleIdx="0" presStyleCnt="6">
        <dgm:presLayoutVars>
          <dgm:bulletEnabled val="1"/>
        </dgm:presLayoutVars>
      </dgm:prSet>
      <dgm:spPr>
        <a:xfrm>
          <a:off x="0" y="352979"/>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FD6D1551-ECD9-472A-B4FF-6518665A746A}" type="pres">
      <dgm:prSet presAssocID="{97AF7EC1-F303-4F00-B166-820BD24FD399}" presName="spaceBetweenRectangles" presStyleCnt="0"/>
      <dgm:spPr/>
    </dgm:pt>
    <dgm:pt modelId="{48C1FC53-DD03-4F0F-979D-86160CD287F8}" type="pres">
      <dgm:prSet presAssocID="{4E7F1488-AD79-4506-B3FC-38B843C45B6E}" presName="parentLin" presStyleCnt="0"/>
      <dgm:spPr/>
    </dgm:pt>
    <dgm:pt modelId="{BAB03FC7-6106-4270-88C2-C57AEECFE8A2}" type="pres">
      <dgm:prSet presAssocID="{4E7F1488-AD79-4506-B3FC-38B843C45B6E}" presName="parentLeftMargin" presStyleLbl="node1" presStyleIdx="0" presStyleCnt="6"/>
      <dgm:spPr>
        <a:prstGeom prst="roundRect">
          <a:avLst/>
        </a:prstGeom>
      </dgm:spPr>
      <dgm:t>
        <a:bodyPr/>
        <a:lstStyle/>
        <a:p>
          <a:endParaRPr lang="en-US"/>
        </a:p>
      </dgm:t>
    </dgm:pt>
    <dgm:pt modelId="{3B372F3E-626B-4B24-AB13-B3879C7FD43D}" type="pres">
      <dgm:prSet presAssocID="{4E7F1488-AD79-4506-B3FC-38B843C45B6E}" presName="parentText" presStyleLbl="node1" presStyleIdx="1" presStyleCnt="6" custScaleX="137009">
        <dgm:presLayoutVars>
          <dgm:chMax val="0"/>
          <dgm:bulletEnabled val="1"/>
        </dgm:presLayoutVars>
      </dgm:prSet>
      <dgm:spPr/>
      <dgm:t>
        <a:bodyPr/>
        <a:lstStyle/>
        <a:p>
          <a:endParaRPr lang="en-US"/>
        </a:p>
      </dgm:t>
    </dgm:pt>
    <dgm:pt modelId="{07073D81-9B08-4BA8-9D0F-DD479C4962A8}" type="pres">
      <dgm:prSet presAssocID="{4E7F1488-AD79-4506-B3FC-38B843C45B6E}" presName="negativeSpace" presStyleCnt="0"/>
      <dgm:spPr/>
    </dgm:pt>
    <dgm:pt modelId="{F4622912-1508-48FC-9E49-004A051D94BF}" type="pres">
      <dgm:prSet presAssocID="{4E7F1488-AD79-4506-B3FC-38B843C45B6E}" presName="childText" presStyleLbl="conFgAcc1" presStyleIdx="1" presStyleCnt="6">
        <dgm:presLayoutVars>
          <dgm:bulletEnabled val="1"/>
        </dgm:presLayoutVars>
      </dgm:prSet>
      <dgm:spPr>
        <a:xfrm>
          <a:off x="0" y="942659"/>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D023C435-1C54-4693-8DD0-DDBAE3918681}" type="pres">
      <dgm:prSet presAssocID="{0E563D65-F66F-45AA-A2DD-9CCD47C31092}" presName="spaceBetweenRectangles" presStyleCnt="0"/>
      <dgm:spPr/>
    </dgm:pt>
    <dgm:pt modelId="{0EDC2B1A-4586-485A-AB0A-EF4D8BD57901}" type="pres">
      <dgm:prSet presAssocID="{9B37371C-14D4-46B3-A0F0-3A6228DBC3C6}" presName="parentLin" presStyleCnt="0"/>
      <dgm:spPr/>
    </dgm:pt>
    <dgm:pt modelId="{B0EB84E3-B3BB-44E3-8B6A-E349A4B196D8}" type="pres">
      <dgm:prSet presAssocID="{9B37371C-14D4-46B3-A0F0-3A6228DBC3C6}" presName="parentLeftMargin" presStyleLbl="node1" presStyleIdx="1" presStyleCnt="6"/>
      <dgm:spPr>
        <a:prstGeom prst="roundRect">
          <a:avLst/>
        </a:prstGeom>
      </dgm:spPr>
      <dgm:t>
        <a:bodyPr/>
        <a:lstStyle/>
        <a:p>
          <a:endParaRPr lang="en-US"/>
        </a:p>
      </dgm:t>
    </dgm:pt>
    <dgm:pt modelId="{ED3ECC06-E3CE-4106-9E7E-D38A58325279}" type="pres">
      <dgm:prSet presAssocID="{9B37371C-14D4-46B3-A0F0-3A6228DBC3C6}" presName="parentText" presStyleLbl="node1" presStyleIdx="2" presStyleCnt="6" custScaleX="142857">
        <dgm:presLayoutVars>
          <dgm:chMax val="0"/>
          <dgm:bulletEnabled val="1"/>
        </dgm:presLayoutVars>
      </dgm:prSet>
      <dgm:spPr/>
      <dgm:t>
        <a:bodyPr/>
        <a:lstStyle/>
        <a:p>
          <a:endParaRPr lang="en-US"/>
        </a:p>
      </dgm:t>
    </dgm:pt>
    <dgm:pt modelId="{8E52F711-8746-48BE-B43F-CDDB9C7A1B24}" type="pres">
      <dgm:prSet presAssocID="{9B37371C-14D4-46B3-A0F0-3A6228DBC3C6}" presName="negativeSpace" presStyleCnt="0"/>
      <dgm:spPr/>
    </dgm:pt>
    <dgm:pt modelId="{058F3A22-65F1-478F-826E-46D18D2E1668}" type="pres">
      <dgm:prSet presAssocID="{9B37371C-14D4-46B3-A0F0-3A6228DBC3C6}" presName="childText" presStyleLbl="conFgAcc1" presStyleIdx="2" presStyleCnt="6">
        <dgm:presLayoutVars>
          <dgm:bulletEnabled val="1"/>
        </dgm:presLayoutVars>
      </dgm:prSet>
      <dgm:spPr>
        <a:xfrm>
          <a:off x="0" y="1532340"/>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74146DDA-AF3C-402F-9A79-44F55930C45C}" type="pres">
      <dgm:prSet presAssocID="{2FB28291-6F3B-4786-900B-07ECEA2E4376}" presName="spaceBetweenRectangles" presStyleCnt="0"/>
      <dgm:spPr/>
    </dgm:pt>
    <dgm:pt modelId="{6DFAA575-76C0-45B9-97EE-4F352FEAD42C}" type="pres">
      <dgm:prSet presAssocID="{DA06492D-8A13-4F8F-85F0-2ABDF66DA898}" presName="parentLin" presStyleCnt="0"/>
      <dgm:spPr/>
    </dgm:pt>
    <dgm:pt modelId="{39EE6039-29CD-4FF0-B703-97B813E0A805}" type="pres">
      <dgm:prSet presAssocID="{DA06492D-8A13-4F8F-85F0-2ABDF66DA898}" presName="parentLeftMargin" presStyleLbl="node1" presStyleIdx="2" presStyleCnt="6"/>
      <dgm:spPr>
        <a:prstGeom prst="roundRect">
          <a:avLst/>
        </a:prstGeom>
      </dgm:spPr>
      <dgm:t>
        <a:bodyPr/>
        <a:lstStyle/>
        <a:p>
          <a:endParaRPr lang="en-US"/>
        </a:p>
      </dgm:t>
    </dgm:pt>
    <dgm:pt modelId="{7DB24665-8B30-484F-9F8F-455EC35F9CCC}" type="pres">
      <dgm:prSet presAssocID="{DA06492D-8A13-4F8F-85F0-2ABDF66DA898}" presName="parentText" presStyleLbl="node1" presStyleIdx="3" presStyleCnt="6" custScaleX="142857">
        <dgm:presLayoutVars>
          <dgm:chMax val="0"/>
          <dgm:bulletEnabled val="1"/>
        </dgm:presLayoutVars>
      </dgm:prSet>
      <dgm:spPr/>
      <dgm:t>
        <a:bodyPr/>
        <a:lstStyle/>
        <a:p>
          <a:endParaRPr lang="en-US"/>
        </a:p>
      </dgm:t>
    </dgm:pt>
    <dgm:pt modelId="{9EA4AD56-3C2B-4242-B1DA-E1C16A879926}" type="pres">
      <dgm:prSet presAssocID="{DA06492D-8A13-4F8F-85F0-2ABDF66DA898}" presName="negativeSpace" presStyleCnt="0"/>
      <dgm:spPr/>
    </dgm:pt>
    <dgm:pt modelId="{B88E887B-362E-4EED-B256-9D110BD1EF10}" type="pres">
      <dgm:prSet presAssocID="{DA06492D-8A13-4F8F-85F0-2ABDF66DA898}" presName="childText" presStyleLbl="conFgAcc1" presStyleIdx="3" presStyleCnt="6">
        <dgm:presLayoutVars>
          <dgm:bulletEnabled val="1"/>
        </dgm:presLayoutVars>
      </dgm:prSet>
      <dgm:spPr>
        <a:xfrm>
          <a:off x="0" y="2711700"/>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3AA98414-FE1E-4BBC-8312-B818B1AF592C}" type="pres">
      <dgm:prSet presAssocID="{6FB53C4E-41F8-4FA5-9551-09C39011D6D8}" presName="spaceBetweenRectangles" presStyleCnt="0"/>
      <dgm:spPr/>
    </dgm:pt>
    <dgm:pt modelId="{8CC39E52-604E-4840-8A16-D614D3C4C302}" type="pres">
      <dgm:prSet presAssocID="{4087219B-E7BA-43EE-8408-1D0C6A70E67E}" presName="parentLin" presStyleCnt="0"/>
      <dgm:spPr/>
    </dgm:pt>
    <dgm:pt modelId="{9C9B8EBE-B6F0-45C2-9AAE-1145C9E6B628}" type="pres">
      <dgm:prSet presAssocID="{4087219B-E7BA-43EE-8408-1D0C6A70E67E}" presName="parentLeftMargin" presStyleLbl="node1" presStyleIdx="3" presStyleCnt="6"/>
      <dgm:spPr/>
      <dgm:t>
        <a:bodyPr/>
        <a:lstStyle/>
        <a:p>
          <a:endParaRPr lang="en-US"/>
        </a:p>
      </dgm:t>
    </dgm:pt>
    <dgm:pt modelId="{4013FDE1-7892-4192-A3BF-A069B8BD6309}" type="pres">
      <dgm:prSet presAssocID="{4087219B-E7BA-43EE-8408-1D0C6A70E67E}" presName="parentText" presStyleLbl="node1" presStyleIdx="4" presStyleCnt="6" custScaleX="142857">
        <dgm:presLayoutVars>
          <dgm:chMax val="0"/>
          <dgm:bulletEnabled val="1"/>
        </dgm:presLayoutVars>
      </dgm:prSet>
      <dgm:spPr/>
      <dgm:t>
        <a:bodyPr/>
        <a:lstStyle/>
        <a:p>
          <a:endParaRPr lang="en-US"/>
        </a:p>
      </dgm:t>
    </dgm:pt>
    <dgm:pt modelId="{C9E57141-CD23-4047-98B7-1931040671E8}" type="pres">
      <dgm:prSet presAssocID="{4087219B-E7BA-43EE-8408-1D0C6A70E67E}" presName="negativeSpace" presStyleCnt="0"/>
      <dgm:spPr/>
    </dgm:pt>
    <dgm:pt modelId="{D2BD1AE0-0B15-4F46-9C73-9193ED08F78D}" type="pres">
      <dgm:prSet presAssocID="{4087219B-E7BA-43EE-8408-1D0C6A70E67E}" presName="childText" presStyleLbl="conFgAcc1" presStyleIdx="4" presStyleCnt="6">
        <dgm:presLayoutVars>
          <dgm:bulletEnabled val="1"/>
        </dgm:presLayoutVars>
      </dgm:prSet>
      <dgm:spPr>
        <a:ln w="19050" cmpd="sng"/>
      </dgm:spPr>
    </dgm:pt>
    <dgm:pt modelId="{EEC7EF6F-5C38-4617-82F6-E57C7F225A79}" type="pres">
      <dgm:prSet presAssocID="{7FA90E25-2B01-453F-8B18-BF13C52F9674}" presName="spaceBetweenRectangles" presStyleCnt="0"/>
      <dgm:spPr/>
    </dgm:pt>
    <dgm:pt modelId="{AE44D82F-F61A-4A9F-9D36-1FCC23855414}" type="pres">
      <dgm:prSet presAssocID="{FF94C2F2-EE05-462C-904C-7644DCE917DB}" presName="parentLin" presStyleCnt="0"/>
      <dgm:spPr/>
    </dgm:pt>
    <dgm:pt modelId="{47757409-D242-4209-BCD2-272EEB5D6527}" type="pres">
      <dgm:prSet presAssocID="{FF94C2F2-EE05-462C-904C-7644DCE917DB}" presName="parentLeftMargin" presStyleLbl="node1" presStyleIdx="4" presStyleCnt="6"/>
      <dgm:spPr/>
      <dgm:t>
        <a:bodyPr/>
        <a:lstStyle/>
        <a:p>
          <a:endParaRPr lang="en-US"/>
        </a:p>
      </dgm:t>
    </dgm:pt>
    <dgm:pt modelId="{B47D026A-970C-4D4F-AD8E-362F36C127AB}" type="pres">
      <dgm:prSet presAssocID="{FF94C2F2-EE05-462C-904C-7644DCE917DB}" presName="parentText" presStyleLbl="node1" presStyleIdx="5" presStyleCnt="6" custScaleX="142857">
        <dgm:presLayoutVars>
          <dgm:chMax val="0"/>
          <dgm:bulletEnabled val="1"/>
        </dgm:presLayoutVars>
      </dgm:prSet>
      <dgm:spPr/>
      <dgm:t>
        <a:bodyPr/>
        <a:lstStyle/>
        <a:p>
          <a:endParaRPr lang="en-US"/>
        </a:p>
      </dgm:t>
    </dgm:pt>
    <dgm:pt modelId="{329FAB5F-7B6B-4665-B161-A5AAA2108058}" type="pres">
      <dgm:prSet presAssocID="{FF94C2F2-EE05-462C-904C-7644DCE917DB}" presName="negativeSpace" presStyleCnt="0"/>
      <dgm:spPr/>
    </dgm:pt>
    <dgm:pt modelId="{443A92BF-D5E3-41DA-BAA5-118CFC9D46F9}" type="pres">
      <dgm:prSet presAssocID="{FF94C2F2-EE05-462C-904C-7644DCE917DB}" presName="childText" presStyleLbl="conFgAcc1" presStyleIdx="5" presStyleCnt="6">
        <dgm:presLayoutVars>
          <dgm:bulletEnabled val="1"/>
        </dgm:presLayoutVars>
      </dgm:prSet>
      <dgm:spPr>
        <a:ln w="19050"/>
      </dgm:spPr>
    </dgm:pt>
  </dgm:ptLst>
  <dgm:cxnLst>
    <dgm:cxn modelId="{D59F572D-4BF6-4287-A069-F4F142153BE5}" srcId="{8F584E6A-31F2-408F-902B-46A11513D9CD}" destId="{B5ECDA4C-8B85-4076-9EEA-4DAC566639B4}" srcOrd="0" destOrd="0" parTransId="{2E5531FB-B32A-491B-A4D6-FBAD2BFB4FFB}" sibTransId="{97AF7EC1-F303-4F00-B166-820BD24FD399}"/>
    <dgm:cxn modelId="{20281D30-A111-4C0B-9F18-4019526C9862}" type="presOf" srcId="{4087219B-E7BA-43EE-8408-1D0C6A70E67E}" destId="{4013FDE1-7892-4192-A3BF-A069B8BD6309}" srcOrd="1" destOrd="0" presId="urn:microsoft.com/office/officeart/2005/8/layout/list1"/>
    <dgm:cxn modelId="{24E2571E-1812-4D85-A42B-796BA44A2A69}" type="presOf" srcId="{FF94C2F2-EE05-462C-904C-7644DCE917DB}" destId="{47757409-D242-4209-BCD2-272EEB5D6527}" srcOrd="0" destOrd="0" presId="urn:microsoft.com/office/officeart/2005/8/layout/list1"/>
    <dgm:cxn modelId="{D9F6D374-CF4D-46B6-9BB5-8C009AD269FE}" type="presOf" srcId="{4E7F1488-AD79-4506-B3FC-38B843C45B6E}" destId="{3B372F3E-626B-4B24-AB13-B3879C7FD43D}" srcOrd="1" destOrd="0" presId="urn:microsoft.com/office/officeart/2005/8/layout/list1"/>
    <dgm:cxn modelId="{545BC8B6-3554-4860-96C3-5AC5DF751DFF}" type="presOf" srcId="{9B37371C-14D4-46B3-A0F0-3A6228DBC3C6}" destId="{B0EB84E3-B3BB-44E3-8B6A-E349A4B196D8}" srcOrd="0" destOrd="0" presId="urn:microsoft.com/office/officeart/2005/8/layout/list1"/>
    <dgm:cxn modelId="{6F5E8856-B22D-494A-B904-7C0BB36F55ED}" type="presOf" srcId="{8F584E6A-31F2-408F-902B-46A11513D9CD}" destId="{F1FF4534-F9C8-4C9A-8C01-09B7FBF68AAD}" srcOrd="0" destOrd="0" presId="urn:microsoft.com/office/officeart/2005/8/layout/list1"/>
    <dgm:cxn modelId="{8AF0B847-8FD8-4B0C-9DCC-11A4F3162FA7}" type="presOf" srcId="{9B37371C-14D4-46B3-A0F0-3A6228DBC3C6}" destId="{ED3ECC06-E3CE-4106-9E7E-D38A58325279}" srcOrd="1" destOrd="0" presId="urn:microsoft.com/office/officeart/2005/8/layout/list1"/>
    <dgm:cxn modelId="{0C17500A-9865-469B-B25D-A92858D34477}" type="presOf" srcId="{B5ECDA4C-8B85-4076-9EEA-4DAC566639B4}" destId="{36A08A41-5066-440C-AE8C-75ED9384E47B}" srcOrd="1" destOrd="0" presId="urn:microsoft.com/office/officeart/2005/8/layout/list1"/>
    <dgm:cxn modelId="{53232F75-9B09-43D3-814B-5DD5FBC8B0DF}" srcId="{8F584E6A-31F2-408F-902B-46A11513D9CD}" destId="{4087219B-E7BA-43EE-8408-1D0C6A70E67E}" srcOrd="4" destOrd="0" parTransId="{96E38F4E-390B-468B-95F3-9D5658A1B54B}" sibTransId="{7FA90E25-2B01-453F-8B18-BF13C52F9674}"/>
    <dgm:cxn modelId="{9CFB738A-A5A7-44FB-AEE2-427000B70D56}" type="presOf" srcId="{4E7F1488-AD79-4506-B3FC-38B843C45B6E}" destId="{BAB03FC7-6106-4270-88C2-C57AEECFE8A2}" srcOrd="0" destOrd="0" presId="urn:microsoft.com/office/officeart/2005/8/layout/list1"/>
    <dgm:cxn modelId="{DCA07E3D-631B-482B-8C89-E4CA15E3D77B}" srcId="{8F584E6A-31F2-408F-902B-46A11513D9CD}" destId="{FF94C2F2-EE05-462C-904C-7644DCE917DB}" srcOrd="5" destOrd="0" parTransId="{4DDE29BA-E388-4A17-BFDE-0B679D2501E3}" sibTransId="{C0F0890E-48FD-4AAF-B5C5-3CCECCFA943A}"/>
    <dgm:cxn modelId="{228F71AB-E2B1-4AC5-AFCD-B4344CB016D6}" type="presOf" srcId="{B5ECDA4C-8B85-4076-9EEA-4DAC566639B4}" destId="{D4E62BDF-E07B-4BE8-AC5A-D550B12F528D}" srcOrd="0" destOrd="0" presId="urn:microsoft.com/office/officeart/2005/8/layout/list1"/>
    <dgm:cxn modelId="{FCACA8C7-D2BD-42A4-A0C9-A80AED72C97E}" srcId="{8F584E6A-31F2-408F-902B-46A11513D9CD}" destId="{DA06492D-8A13-4F8F-85F0-2ABDF66DA898}" srcOrd="3" destOrd="0" parTransId="{5BA86BB1-3451-4F48-B193-3DA64F2F9724}" sibTransId="{6FB53C4E-41F8-4FA5-9551-09C39011D6D8}"/>
    <dgm:cxn modelId="{121C1170-3071-429D-8ED6-FE70E3B38674}" type="presOf" srcId="{4087219B-E7BA-43EE-8408-1D0C6A70E67E}" destId="{9C9B8EBE-B6F0-45C2-9AAE-1145C9E6B628}" srcOrd="0" destOrd="0" presId="urn:microsoft.com/office/officeart/2005/8/layout/list1"/>
    <dgm:cxn modelId="{2196ACA3-2548-4523-8961-9ACDD83C364D}" type="presOf" srcId="{DA06492D-8A13-4F8F-85F0-2ABDF66DA898}" destId="{39EE6039-29CD-4FF0-B703-97B813E0A805}" srcOrd="0" destOrd="0" presId="urn:microsoft.com/office/officeart/2005/8/layout/list1"/>
    <dgm:cxn modelId="{CE00FE2F-0A8B-4E8A-8B21-C480CFC6F53B}" type="presOf" srcId="{DA06492D-8A13-4F8F-85F0-2ABDF66DA898}" destId="{7DB24665-8B30-484F-9F8F-455EC35F9CCC}" srcOrd="1" destOrd="0" presId="urn:microsoft.com/office/officeart/2005/8/layout/list1"/>
    <dgm:cxn modelId="{4CABD0FA-117C-4EB1-9AD5-2E5E98C30D12}" srcId="{8F584E6A-31F2-408F-902B-46A11513D9CD}" destId="{9B37371C-14D4-46B3-A0F0-3A6228DBC3C6}" srcOrd="2" destOrd="0" parTransId="{AC6A015D-ECED-4C81-ABF8-A04556866484}" sibTransId="{2FB28291-6F3B-4786-900B-07ECEA2E4376}"/>
    <dgm:cxn modelId="{860ECB82-4E0C-4B3A-8657-BBF43DEB4E12}" srcId="{8F584E6A-31F2-408F-902B-46A11513D9CD}" destId="{4E7F1488-AD79-4506-B3FC-38B843C45B6E}" srcOrd="1" destOrd="0" parTransId="{F5874FA0-30BA-4B1B-B50F-AB72CB47299A}" sibTransId="{0E563D65-F66F-45AA-A2DD-9CCD47C31092}"/>
    <dgm:cxn modelId="{4F497E01-95E5-4DD4-B6E6-1014789387C1}" type="presOf" srcId="{FF94C2F2-EE05-462C-904C-7644DCE917DB}" destId="{B47D026A-970C-4D4F-AD8E-362F36C127AB}" srcOrd="1" destOrd="0" presId="urn:microsoft.com/office/officeart/2005/8/layout/list1"/>
    <dgm:cxn modelId="{648D7405-6C4B-47C6-B960-C01E59C859BC}" type="presParOf" srcId="{F1FF4534-F9C8-4C9A-8C01-09B7FBF68AAD}" destId="{D0A62FCA-0B26-4593-998F-18149DE33F1A}" srcOrd="0" destOrd="0" presId="urn:microsoft.com/office/officeart/2005/8/layout/list1"/>
    <dgm:cxn modelId="{B6ABAD48-8ECF-49B0-BC38-65ABD628C606}" type="presParOf" srcId="{D0A62FCA-0B26-4593-998F-18149DE33F1A}" destId="{D4E62BDF-E07B-4BE8-AC5A-D550B12F528D}" srcOrd="0" destOrd="0" presId="urn:microsoft.com/office/officeart/2005/8/layout/list1"/>
    <dgm:cxn modelId="{45AD2BC2-27CA-4515-9CA7-57698BBC06AC}" type="presParOf" srcId="{D0A62FCA-0B26-4593-998F-18149DE33F1A}" destId="{36A08A41-5066-440C-AE8C-75ED9384E47B}" srcOrd="1" destOrd="0" presId="urn:microsoft.com/office/officeart/2005/8/layout/list1"/>
    <dgm:cxn modelId="{C6D47F1C-D514-4F15-8ABB-5DF8B664D2E9}" type="presParOf" srcId="{F1FF4534-F9C8-4C9A-8C01-09B7FBF68AAD}" destId="{C026A91D-EEB7-47DC-A077-499871407CAE}" srcOrd="1" destOrd="0" presId="urn:microsoft.com/office/officeart/2005/8/layout/list1"/>
    <dgm:cxn modelId="{A1C09A80-A708-4F56-84A4-9808135FFAD8}" type="presParOf" srcId="{F1FF4534-F9C8-4C9A-8C01-09B7FBF68AAD}" destId="{37C18A85-0D57-4EFC-8457-AB3EFB13734C}" srcOrd="2" destOrd="0" presId="urn:microsoft.com/office/officeart/2005/8/layout/list1"/>
    <dgm:cxn modelId="{3B546949-F9B6-41EF-8B28-B3C892F00F8C}" type="presParOf" srcId="{F1FF4534-F9C8-4C9A-8C01-09B7FBF68AAD}" destId="{FD6D1551-ECD9-472A-B4FF-6518665A746A}" srcOrd="3" destOrd="0" presId="urn:microsoft.com/office/officeart/2005/8/layout/list1"/>
    <dgm:cxn modelId="{0D5A8C5C-1196-4604-A991-90FC8B370C6F}" type="presParOf" srcId="{F1FF4534-F9C8-4C9A-8C01-09B7FBF68AAD}" destId="{48C1FC53-DD03-4F0F-979D-86160CD287F8}" srcOrd="4" destOrd="0" presId="urn:microsoft.com/office/officeart/2005/8/layout/list1"/>
    <dgm:cxn modelId="{8B54B15E-F97D-40CA-8CE9-2F9EC31B07D5}" type="presParOf" srcId="{48C1FC53-DD03-4F0F-979D-86160CD287F8}" destId="{BAB03FC7-6106-4270-88C2-C57AEECFE8A2}" srcOrd="0" destOrd="0" presId="urn:microsoft.com/office/officeart/2005/8/layout/list1"/>
    <dgm:cxn modelId="{78E6DD4C-43C9-4A4A-AF73-1EB0FDD9613A}" type="presParOf" srcId="{48C1FC53-DD03-4F0F-979D-86160CD287F8}" destId="{3B372F3E-626B-4B24-AB13-B3879C7FD43D}" srcOrd="1" destOrd="0" presId="urn:microsoft.com/office/officeart/2005/8/layout/list1"/>
    <dgm:cxn modelId="{FA393484-D49A-44E3-9508-7E54FE090051}" type="presParOf" srcId="{F1FF4534-F9C8-4C9A-8C01-09B7FBF68AAD}" destId="{07073D81-9B08-4BA8-9D0F-DD479C4962A8}" srcOrd="5" destOrd="0" presId="urn:microsoft.com/office/officeart/2005/8/layout/list1"/>
    <dgm:cxn modelId="{289517D0-ECF4-4D4D-B9C1-C91D8264CDCC}" type="presParOf" srcId="{F1FF4534-F9C8-4C9A-8C01-09B7FBF68AAD}" destId="{F4622912-1508-48FC-9E49-004A051D94BF}" srcOrd="6" destOrd="0" presId="urn:microsoft.com/office/officeart/2005/8/layout/list1"/>
    <dgm:cxn modelId="{6A3B3A40-1743-45A2-AEAE-BEF6128B3115}" type="presParOf" srcId="{F1FF4534-F9C8-4C9A-8C01-09B7FBF68AAD}" destId="{D023C435-1C54-4693-8DD0-DDBAE3918681}" srcOrd="7" destOrd="0" presId="urn:microsoft.com/office/officeart/2005/8/layout/list1"/>
    <dgm:cxn modelId="{1785E96C-5897-4BB3-B1BF-046BCACAD8E6}" type="presParOf" srcId="{F1FF4534-F9C8-4C9A-8C01-09B7FBF68AAD}" destId="{0EDC2B1A-4586-485A-AB0A-EF4D8BD57901}" srcOrd="8" destOrd="0" presId="urn:microsoft.com/office/officeart/2005/8/layout/list1"/>
    <dgm:cxn modelId="{A002F4DB-9C89-4E72-813D-78873F062354}" type="presParOf" srcId="{0EDC2B1A-4586-485A-AB0A-EF4D8BD57901}" destId="{B0EB84E3-B3BB-44E3-8B6A-E349A4B196D8}" srcOrd="0" destOrd="0" presId="urn:microsoft.com/office/officeart/2005/8/layout/list1"/>
    <dgm:cxn modelId="{47A9473F-341F-454E-A415-1C6CB12A5CA7}" type="presParOf" srcId="{0EDC2B1A-4586-485A-AB0A-EF4D8BD57901}" destId="{ED3ECC06-E3CE-4106-9E7E-D38A58325279}" srcOrd="1" destOrd="0" presId="urn:microsoft.com/office/officeart/2005/8/layout/list1"/>
    <dgm:cxn modelId="{176AB519-79B4-4BC7-AC28-822CC5C70C0D}" type="presParOf" srcId="{F1FF4534-F9C8-4C9A-8C01-09B7FBF68AAD}" destId="{8E52F711-8746-48BE-B43F-CDDB9C7A1B24}" srcOrd="9" destOrd="0" presId="urn:microsoft.com/office/officeart/2005/8/layout/list1"/>
    <dgm:cxn modelId="{9A501C6D-0C13-4CED-86DC-A2473EED69A8}" type="presParOf" srcId="{F1FF4534-F9C8-4C9A-8C01-09B7FBF68AAD}" destId="{058F3A22-65F1-478F-826E-46D18D2E1668}" srcOrd="10" destOrd="0" presId="urn:microsoft.com/office/officeart/2005/8/layout/list1"/>
    <dgm:cxn modelId="{94602434-8A4C-4E93-92DE-82FB1D213AEF}" type="presParOf" srcId="{F1FF4534-F9C8-4C9A-8C01-09B7FBF68AAD}" destId="{74146DDA-AF3C-402F-9A79-44F55930C45C}" srcOrd="11" destOrd="0" presId="urn:microsoft.com/office/officeart/2005/8/layout/list1"/>
    <dgm:cxn modelId="{932BDE85-6D91-45BE-9032-4F8AC1947EE3}" type="presParOf" srcId="{F1FF4534-F9C8-4C9A-8C01-09B7FBF68AAD}" destId="{6DFAA575-76C0-45B9-97EE-4F352FEAD42C}" srcOrd="12" destOrd="0" presId="urn:microsoft.com/office/officeart/2005/8/layout/list1"/>
    <dgm:cxn modelId="{BAFC95E3-A51C-42A3-99EF-505AFF330851}" type="presParOf" srcId="{6DFAA575-76C0-45B9-97EE-4F352FEAD42C}" destId="{39EE6039-29CD-4FF0-B703-97B813E0A805}" srcOrd="0" destOrd="0" presId="urn:microsoft.com/office/officeart/2005/8/layout/list1"/>
    <dgm:cxn modelId="{FB285E17-49FD-4F53-8947-05A872085D21}" type="presParOf" srcId="{6DFAA575-76C0-45B9-97EE-4F352FEAD42C}" destId="{7DB24665-8B30-484F-9F8F-455EC35F9CCC}" srcOrd="1" destOrd="0" presId="urn:microsoft.com/office/officeart/2005/8/layout/list1"/>
    <dgm:cxn modelId="{431D48F5-53F7-4279-B6AD-007787F00287}" type="presParOf" srcId="{F1FF4534-F9C8-4C9A-8C01-09B7FBF68AAD}" destId="{9EA4AD56-3C2B-4242-B1DA-E1C16A879926}" srcOrd="13" destOrd="0" presId="urn:microsoft.com/office/officeart/2005/8/layout/list1"/>
    <dgm:cxn modelId="{AEEFAE14-0D9C-4A1C-BF6A-988C57B2E2E9}" type="presParOf" srcId="{F1FF4534-F9C8-4C9A-8C01-09B7FBF68AAD}" destId="{B88E887B-362E-4EED-B256-9D110BD1EF10}" srcOrd="14" destOrd="0" presId="urn:microsoft.com/office/officeart/2005/8/layout/list1"/>
    <dgm:cxn modelId="{942A17EE-54F2-426A-838D-3807F9D843CF}" type="presParOf" srcId="{F1FF4534-F9C8-4C9A-8C01-09B7FBF68AAD}" destId="{3AA98414-FE1E-4BBC-8312-B818B1AF592C}" srcOrd="15" destOrd="0" presId="urn:microsoft.com/office/officeart/2005/8/layout/list1"/>
    <dgm:cxn modelId="{A195B69F-3761-4543-9863-3AD01E7862A8}" type="presParOf" srcId="{F1FF4534-F9C8-4C9A-8C01-09B7FBF68AAD}" destId="{8CC39E52-604E-4840-8A16-D614D3C4C302}" srcOrd="16" destOrd="0" presId="urn:microsoft.com/office/officeart/2005/8/layout/list1"/>
    <dgm:cxn modelId="{3B7EAA51-4FAA-44DD-8855-3D2E22AAE7BE}" type="presParOf" srcId="{8CC39E52-604E-4840-8A16-D614D3C4C302}" destId="{9C9B8EBE-B6F0-45C2-9AAE-1145C9E6B628}" srcOrd="0" destOrd="0" presId="urn:microsoft.com/office/officeart/2005/8/layout/list1"/>
    <dgm:cxn modelId="{464145DE-04FC-454E-A94A-D7B93157FFD1}" type="presParOf" srcId="{8CC39E52-604E-4840-8A16-D614D3C4C302}" destId="{4013FDE1-7892-4192-A3BF-A069B8BD6309}" srcOrd="1" destOrd="0" presId="urn:microsoft.com/office/officeart/2005/8/layout/list1"/>
    <dgm:cxn modelId="{844D21B0-61B9-477D-A361-96B6CAAB7D2F}" type="presParOf" srcId="{F1FF4534-F9C8-4C9A-8C01-09B7FBF68AAD}" destId="{C9E57141-CD23-4047-98B7-1931040671E8}" srcOrd="17" destOrd="0" presId="urn:microsoft.com/office/officeart/2005/8/layout/list1"/>
    <dgm:cxn modelId="{C156C9E5-3AAF-47F9-A971-0D31285E0114}" type="presParOf" srcId="{F1FF4534-F9C8-4C9A-8C01-09B7FBF68AAD}" destId="{D2BD1AE0-0B15-4F46-9C73-9193ED08F78D}" srcOrd="18" destOrd="0" presId="urn:microsoft.com/office/officeart/2005/8/layout/list1"/>
    <dgm:cxn modelId="{C5304873-B2AF-4082-ACCD-A69C6D615226}" type="presParOf" srcId="{F1FF4534-F9C8-4C9A-8C01-09B7FBF68AAD}" destId="{EEC7EF6F-5C38-4617-82F6-E57C7F225A79}" srcOrd="19" destOrd="0" presId="urn:microsoft.com/office/officeart/2005/8/layout/list1"/>
    <dgm:cxn modelId="{F94D7B53-0A6A-48BA-8CE6-3AE32BC488CD}" type="presParOf" srcId="{F1FF4534-F9C8-4C9A-8C01-09B7FBF68AAD}" destId="{AE44D82F-F61A-4A9F-9D36-1FCC23855414}" srcOrd="20" destOrd="0" presId="urn:microsoft.com/office/officeart/2005/8/layout/list1"/>
    <dgm:cxn modelId="{AF7CF781-5C0F-4CA0-A8CB-2D06374FA305}" type="presParOf" srcId="{AE44D82F-F61A-4A9F-9D36-1FCC23855414}" destId="{47757409-D242-4209-BCD2-272EEB5D6527}" srcOrd="0" destOrd="0" presId="urn:microsoft.com/office/officeart/2005/8/layout/list1"/>
    <dgm:cxn modelId="{2E2DD2B2-0D7E-40F2-AF88-2676D5685268}" type="presParOf" srcId="{AE44D82F-F61A-4A9F-9D36-1FCC23855414}" destId="{B47D026A-970C-4D4F-AD8E-362F36C127AB}" srcOrd="1" destOrd="0" presId="urn:microsoft.com/office/officeart/2005/8/layout/list1"/>
    <dgm:cxn modelId="{7CF55F39-5103-4749-8996-2BBC2FF23775}" type="presParOf" srcId="{F1FF4534-F9C8-4C9A-8C01-09B7FBF68AAD}" destId="{329FAB5F-7B6B-4665-B161-A5AAA2108058}" srcOrd="21" destOrd="0" presId="urn:microsoft.com/office/officeart/2005/8/layout/list1"/>
    <dgm:cxn modelId="{AF74F20C-BD2E-4436-9366-F1E850000C85}" type="presParOf" srcId="{F1FF4534-F9C8-4C9A-8C01-09B7FBF68AAD}" destId="{443A92BF-D5E3-41DA-BAA5-118CFC9D46F9}" srcOrd="22" destOrd="0" presId="urn:microsoft.com/office/officeart/2005/8/layout/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F584E6A-31F2-408F-902B-46A11513D9C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B5ECDA4C-8B85-4076-9EEA-4DAC566639B4}">
      <dgm:prSet phldrT="[Text]" custT="1"/>
      <dgm:spPr>
        <a:xfrm>
          <a:off x="274320" y="161099"/>
          <a:ext cx="3840480" cy="383760"/>
        </a:xfrm>
        <a:solidFill>
          <a:sysClr val="window" lastClr="FFFFFF"/>
        </a:solidFill>
        <a:ln w="9525" cap="flat" cmpd="sng" algn="ctr">
          <a:solidFill>
            <a:sysClr val="windowText" lastClr="000000"/>
          </a:solidFill>
          <a:prstDash val="solid"/>
        </a:ln>
        <a:effectLst/>
      </dgm:spPr>
      <dgm:t>
        <a:bodyPr/>
        <a:lstStyle/>
        <a:p>
          <a:pPr>
            <a:buNone/>
          </a:pPr>
          <a:r>
            <a:rPr lang="en-GB" sz="1200">
              <a:solidFill>
                <a:sysClr val="windowText" lastClr="000000"/>
              </a:solidFill>
              <a:latin typeface="Times New Roman" pitchFamily="18" charset="0"/>
              <a:cs typeface="Times New Roman" pitchFamily="18" charset="0"/>
            </a:rPr>
            <a:t>Change Management Overview</a:t>
          </a:r>
          <a:endParaRPr lang="en-US" sz="1300">
            <a:solidFill>
              <a:sysClr val="windowText" lastClr="000000"/>
            </a:solidFill>
            <a:latin typeface="Times New Roman" panose="02020603050405020304" pitchFamily="18" charset="0"/>
            <a:ea typeface="+mn-ea"/>
            <a:cs typeface="Times New Roman" panose="02020603050405020304" pitchFamily="18" charset="0"/>
          </a:endParaRPr>
        </a:p>
      </dgm:t>
    </dgm:pt>
    <dgm:pt modelId="{2E5531FB-B32A-491B-A4D6-FBAD2BFB4FFB}" type="parTrans" cxnId="{D59F572D-4BF6-4287-A069-F4F142153BE5}">
      <dgm:prSet/>
      <dgm:spPr/>
      <dgm:t>
        <a:bodyPr/>
        <a:lstStyle/>
        <a:p>
          <a:endParaRPr lang="en-US"/>
        </a:p>
      </dgm:t>
    </dgm:pt>
    <dgm:pt modelId="{97AF7EC1-F303-4F00-B166-820BD24FD399}" type="sibTrans" cxnId="{D59F572D-4BF6-4287-A069-F4F142153BE5}">
      <dgm:prSet/>
      <dgm:spPr/>
      <dgm:t>
        <a:bodyPr/>
        <a:lstStyle/>
        <a:p>
          <a:endParaRPr lang="en-US"/>
        </a:p>
      </dgm:t>
    </dgm:pt>
    <dgm:pt modelId="{4E7F1488-AD79-4506-B3FC-38B843C45B6E}">
      <dgm:prSet phldrT="[Text]" custT="1"/>
      <dgm:spPr>
        <a:xfrm>
          <a:off x="274320" y="750779"/>
          <a:ext cx="3840480" cy="383760"/>
        </a:xfrm>
        <a:solidFill>
          <a:sysClr val="window" lastClr="FFFFFF"/>
        </a:solidFill>
        <a:ln w="6350" cap="flat" cmpd="sng" algn="ctr">
          <a:solidFill>
            <a:scrgbClr r="0" g="0" b="0"/>
          </a:solidFill>
          <a:prstDash val="solid"/>
        </a:ln>
        <a:effectLst/>
      </dgm:spPr>
      <dgm:t>
        <a:bodyPr/>
        <a:lstStyle/>
        <a:p>
          <a:pPr>
            <a:buNone/>
          </a:pPr>
          <a:r>
            <a:rPr lang="en-GB" sz="1200">
              <a:solidFill>
                <a:sysClr val="windowText" lastClr="000000"/>
              </a:solidFill>
              <a:latin typeface="Times New Roman" pitchFamily="18" charset="0"/>
              <a:cs typeface="Times New Roman" pitchFamily="18" charset="0"/>
            </a:rPr>
            <a:t>Change Management in Renewable Energy Market</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F5874FA0-30BA-4B1B-B50F-AB72CB47299A}" type="parTrans" cxnId="{860ECB82-4E0C-4B3A-8657-BBF43DEB4E12}">
      <dgm:prSet/>
      <dgm:spPr/>
      <dgm:t>
        <a:bodyPr/>
        <a:lstStyle/>
        <a:p>
          <a:endParaRPr lang="en-US"/>
        </a:p>
      </dgm:t>
    </dgm:pt>
    <dgm:pt modelId="{0E563D65-F66F-45AA-A2DD-9CCD47C31092}" type="sibTrans" cxnId="{860ECB82-4E0C-4B3A-8657-BBF43DEB4E12}">
      <dgm:prSet/>
      <dgm:spPr/>
      <dgm:t>
        <a:bodyPr/>
        <a:lstStyle/>
        <a:p>
          <a:endParaRPr lang="en-US"/>
        </a:p>
      </dgm:t>
    </dgm:pt>
    <dgm:pt modelId="{9B37371C-14D4-46B3-A0F0-3A6228DBC3C6}">
      <dgm:prSet phldrT="[Text]" custT="1"/>
      <dgm:spPr>
        <a:xfrm>
          <a:off x="274320" y="1340460"/>
          <a:ext cx="3840480" cy="383760"/>
        </a:xfrm>
        <a:solidFill>
          <a:sysClr val="window" lastClr="FFFFFF"/>
        </a:solidFill>
        <a:ln w="9525" cap="flat" cmpd="sng" algn="ctr">
          <a:solidFill>
            <a:sysClr val="windowText" lastClr="000000"/>
          </a:solidFill>
          <a:prstDash val="solid"/>
        </a:ln>
        <a:effectLst/>
      </dgm:spPr>
      <dgm:t>
        <a:bodyPr/>
        <a:lstStyle/>
        <a:p>
          <a:pPr>
            <a:buNone/>
          </a:pPr>
          <a:r>
            <a:rPr lang="en-GB" sz="1200">
              <a:solidFill>
                <a:sysClr val="windowText" lastClr="000000"/>
              </a:solidFill>
              <a:latin typeface="Times New Roman" pitchFamily="18" charset="0"/>
              <a:cs typeface="Times New Roman" pitchFamily="18" charset="0"/>
            </a:rPr>
            <a:t>Role of Stakeholder in Renewable  energy.</a:t>
          </a:r>
          <a:r>
            <a:rPr lang="en-US" sz="1200">
              <a:solidFill>
                <a:sysClr val="windowText" lastClr="000000"/>
              </a:solidFill>
              <a:latin typeface="Times New Roman" pitchFamily="18" charset="0"/>
              <a:cs typeface="Times New Roman" pitchFamily="18" charset="0"/>
            </a:rPr>
            <a:t> </a:t>
          </a:r>
          <a:endParaRPr lang="en-US" sz="1400">
            <a:solidFill>
              <a:sysClr val="windowText" lastClr="000000"/>
            </a:solidFill>
            <a:latin typeface="Times New Roman" pitchFamily="18" charset="0"/>
            <a:ea typeface="+mn-ea"/>
            <a:cs typeface="Times New Roman" pitchFamily="18" charset="0"/>
          </a:endParaRPr>
        </a:p>
      </dgm:t>
    </dgm:pt>
    <dgm:pt modelId="{AC6A015D-ECED-4C81-ABF8-A04556866484}" type="parTrans" cxnId="{4CABD0FA-117C-4EB1-9AD5-2E5E98C30D12}">
      <dgm:prSet/>
      <dgm:spPr/>
      <dgm:t>
        <a:bodyPr/>
        <a:lstStyle/>
        <a:p>
          <a:endParaRPr lang="en-US"/>
        </a:p>
      </dgm:t>
    </dgm:pt>
    <dgm:pt modelId="{2FB28291-6F3B-4786-900B-07ECEA2E4376}" type="sibTrans" cxnId="{4CABD0FA-117C-4EB1-9AD5-2E5E98C30D12}">
      <dgm:prSet/>
      <dgm:spPr/>
      <dgm:t>
        <a:bodyPr/>
        <a:lstStyle/>
        <a:p>
          <a:endParaRPr lang="en-US"/>
        </a:p>
      </dgm:t>
    </dgm:pt>
    <dgm:pt modelId="{DA06492D-8A13-4F8F-85F0-2ABDF66DA898}">
      <dgm:prSet custT="1"/>
      <dgm:spPr>
        <a:xfrm>
          <a:off x="274320" y="2519820"/>
          <a:ext cx="3840480" cy="383760"/>
        </a:xfrm>
        <a:solidFill>
          <a:sysClr val="window" lastClr="FFFFFF"/>
        </a:solidFill>
        <a:ln w="9525" cap="flat" cmpd="sng" algn="ctr">
          <a:solidFill>
            <a:sysClr val="windowText" lastClr="000000"/>
          </a:solidFill>
          <a:prstDash val="solid"/>
        </a:ln>
        <a:effectLst/>
      </dgm:spPr>
      <dgm:t>
        <a:bodyPr/>
        <a:lstStyle/>
        <a:p>
          <a:pPr>
            <a:buNone/>
          </a:pPr>
          <a:r>
            <a:rPr lang="en-GB" sz="1200">
              <a:solidFill>
                <a:sysClr val="windowText" lastClr="000000"/>
              </a:solidFill>
              <a:latin typeface="Times New Roman" pitchFamily="18" charset="0"/>
              <a:cs typeface="Times New Roman" pitchFamily="18" charset="0"/>
            </a:rPr>
            <a:t>Enablers of Change Management</a:t>
          </a:r>
          <a:r>
            <a:rPr lang="en-US" sz="1200">
              <a:solidFill>
                <a:sysClr val="windowText" lastClr="000000"/>
              </a:solidFill>
              <a:latin typeface="Times New Roman" pitchFamily="18" charset="0"/>
              <a:cs typeface="Times New Roman" pitchFamily="18" charset="0"/>
            </a:rPr>
            <a:t> </a:t>
          </a:r>
          <a:endParaRPr lang="en-US"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6FB53C4E-41F8-4FA5-9551-09C39011D6D8}" type="sibTrans" cxnId="{FCACA8C7-D2BD-42A4-A0C9-A80AED72C97E}">
      <dgm:prSet/>
      <dgm:spPr/>
      <dgm:t>
        <a:bodyPr/>
        <a:lstStyle/>
        <a:p>
          <a:endParaRPr lang="en-US"/>
        </a:p>
      </dgm:t>
    </dgm:pt>
    <dgm:pt modelId="{5BA86BB1-3451-4F48-B193-3DA64F2F9724}" type="parTrans" cxnId="{FCACA8C7-D2BD-42A4-A0C9-A80AED72C97E}">
      <dgm:prSet/>
      <dgm:spPr/>
      <dgm:t>
        <a:bodyPr/>
        <a:lstStyle/>
        <a:p>
          <a:endParaRPr lang="en-US"/>
        </a:p>
      </dgm:t>
    </dgm:pt>
    <dgm:pt modelId="{599A2D4F-C549-40B9-809E-35CB6E5DE78F}">
      <dgm:prSet custT="1"/>
      <dgm:spPr>
        <a:xfrm>
          <a:off x="274320" y="1930140"/>
          <a:ext cx="3840480" cy="383760"/>
        </a:xfrm>
        <a:solidFill>
          <a:sysClr val="window" lastClr="FFFFFF"/>
        </a:solidFill>
        <a:ln w="15875" cap="flat" cmpd="sng" algn="ctr">
          <a:solidFill>
            <a:sysClr val="windowText" lastClr="000000"/>
          </a:solidFill>
          <a:prstDash val="solid"/>
        </a:ln>
        <a:effectLst/>
      </dgm:spPr>
      <dgm:t>
        <a:bodyPr/>
        <a:lstStyle/>
        <a:p>
          <a:pPr>
            <a:buNone/>
          </a:pPr>
          <a:r>
            <a:rPr lang="en-GB" sz="1200">
              <a:solidFill>
                <a:sysClr val="windowText" lastClr="000000"/>
              </a:solidFill>
              <a:latin typeface="Times New Roman" pitchFamily="18" charset="0"/>
              <a:cs typeface="Times New Roman" pitchFamily="18" charset="0"/>
            </a:rPr>
            <a:t>Motivators of Change Management</a:t>
          </a:r>
          <a:endParaRPr lang="en-US"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3B074816-F984-4165-98C4-BEF5EAE70EAF}" type="parTrans" cxnId="{31F20C24-65A2-4065-90C7-F3B63DB5668A}">
      <dgm:prSet/>
      <dgm:spPr/>
      <dgm:t>
        <a:bodyPr/>
        <a:lstStyle/>
        <a:p>
          <a:endParaRPr lang="en-US"/>
        </a:p>
      </dgm:t>
    </dgm:pt>
    <dgm:pt modelId="{C8D45625-1DA7-48F6-B30C-151BD8FD816D}" type="sibTrans" cxnId="{31F20C24-65A2-4065-90C7-F3B63DB5668A}">
      <dgm:prSet/>
      <dgm:spPr/>
      <dgm:t>
        <a:bodyPr/>
        <a:lstStyle/>
        <a:p>
          <a:endParaRPr lang="en-US"/>
        </a:p>
      </dgm:t>
    </dgm:pt>
    <dgm:pt modelId="{4087219B-E7BA-43EE-8408-1D0C6A70E67E}">
      <dgm:prSet custT="1"/>
      <dgm:spPr>
        <a:solidFill>
          <a:schemeClr val="bg1"/>
        </a:solidFill>
        <a:ln>
          <a:solidFill>
            <a:schemeClr val="tx1"/>
          </a:solidFill>
        </a:ln>
      </dgm:spPr>
      <dgm:t>
        <a:bodyPr/>
        <a:lstStyle/>
        <a:p>
          <a:r>
            <a:rPr lang="en-GB" sz="1200">
              <a:solidFill>
                <a:sysClr val="windowText" lastClr="000000"/>
              </a:solidFill>
              <a:latin typeface="Times New Roman" pitchFamily="18" charset="0"/>
              <a:cs typeface="Times New Roman" pitchFamily="18" charset="0"/>
            </a:rPr>
            <a:t>Barriers of Change Management</a:t>
          </a:r>
          <a:endParaRPr lang="en-US" sz="1200">
            <a:solidFill>
              <a:sysClr val="windowText" lastClr="000000"/>
            </a:solidFill>
            <a:latin typeface="Times New Roman" pitchFamily="18" charset="0"/>
            <a:cs typeface="Times New Roman" pitchFamily="18" charset="0"/>
          </a:endParaRPr>
        </a:p>
      </dgm:t>
    </dgm:pt>
    <dgm:pt modelId="{96E38F4E-390B-468B-95F3-9D5658A1B54B}" type="parTrans" cxnId="{53232F75-9B09-43D3-814B-5DD5FBC8B0DF}">
      <dgm:prSet/>
      <dgm:spPr/>
      <dgm:t>
        <a:bodyPr/>
        <a:lstStyle/>
        <a:p>
          <a:endParaRPr lang="en-US"/>
        </a:p>
      </dgm:t>
    </dgm:pt>
    <dgm:pt modelId="{7FA90E25-2B01-453F-8B18-BF13C52F9674}" type="sibTrans" cxnId="{53232F75-9B09-43D3-814B-5DD5FBC8B0DF}">
      <dgm:prSet/>
      <dgm:spPr/>
      <dgm:t>
        <a:bodyPr/>
        <a:lstStyle/>
        <a:p>
          <a:endParaRPr lang="en-US"/>
        </a:p>
      </dgm:t>
    </dgm:pt>
    <dgm:pt modelId="{FF94C2F2-EE05-462C-904C-7644DCE917DB}">
      <dgm:prSet custT="1"/>
      <dgm:spPr>
        <a:solidFill>
          <a:schemeClr val="bg1"/>
        </a:solidFill>
        <a:ln>
          <a:solidFill>
            <a:schemeClr val="tx1"/>
          </a:solidFill>
        </a:ln>
      </dgm:spPr>
      <dgm:t>
        <a:bodyPr/>
        <a:lstStyle/>
        <a:p>
          <a:r>
            <a:rPr lang="en-US" sz="1200">
              <a:solidFill>
                <a:sysClr val="windowText" lastClr="000000"/>
              </a:solidFill>
              <a:latin typeface="Times New Roman" pitchFamily="18" charset="0"/>
              <a:cs typeface="Times New Roman" pitchFamily="18" charset="0"/>
            </a:rPr>
            <a:t>Summary</a:t>
          </a:r>
        </a:p>
      </dgm:t>
    </dgm:pt>
    <dgm:pt modelId="{4DDE29BA-E388-4A17-BFDE-0B679D2501E3}" type="parTrans" cxnId="{DCA07E3D-631B-482B-8C89-E4CA15E3D77B}">
      <dgm:prSet/>
      <dgm:spPr/>
      <dgm:t>
        <a:bodyPr/>
        <a:lstStyle/>
        <a:p>
          <a:endParaRPr lang="en-US"/>
        </a:p>
      </dgm:t>
    </dgm:pt>
    <dgm:pt modelId="{C0F0890E-48FD-4AAF-B5C5-3CCECCFA943A}" type="sibTrans" cxnId="{DCA07E3D-631B-482B-8C89-E4CA15E3D77B}">
      <dgm:prSet/>
      <dgm:spPr/>
      <dgm:t>
        <a:bodyPr/>
        <a:lstStyle/>
        <a:p>
          <a:endParaRPr lang="en-US"/>
        </a:p>
      </dgm:t>
    </dgm:pt>
    <dgm:pt modelId="{F1FF4534-F9C8-4C9A-8C01-09B7FBF68AAD}" type="pres">
      <dgm:prSet presAssocID="{8F584E6A-31F2-408F-902B-46A11513D9CD}" presName="linear" presStyleCnt="0">
        <dgm:presLayoutVars>
          <dgm:dir/>
          <dgm:animLvl val="lvl"/>
          <dgm:resizeHandles val="exact"/>
        </dgm:presLayoutVars>
      </dgm:prSet>
      <dgm:spPr/>
      <dgm:t>
        <a:bodyPr/>
        <a:lstStyle/>
        <a:p>
          <a:endParaRPr lang="en-US"/>
        </a:p>
      </dgm:t>
    </dgm:pt>
    <dgm:pt modelId="{D0A62FCA-0B26-4593-998F-18149DE33F1A}" type="pres">
      <dgm:prSet presAssocID="{B5ECDA4C-8B85-4076-9EEA-4DAC566639B4}" presName="parentLin" presStyleCnt="0"/>
      <dgm:spPr/>
    </dgm:pt>
    <dgm:pt modelId="{D4E62BDF-E07B-4BE8-AC5A-D550B12F528D}" type="pres">
      <dgm:prSet presAssocID="{B5ECDA4C-8B85-4076-9EEA-4DAC566639B4}" presName="parentLeftMargin" presStyleLbl="node1" presStyleIdx="0" presStyleCnt="7"/>
      <dgm:spPr>
        <a:prstGeom prst="roundRect">
          <a:avLst/>
        </a:prstGeom>
      </dgm:spPr>
      <dgm:t>
        <a:bodyPr/>
        <a:lstStyle/>
        <a:p>
          <a:endParaRPr lang="en-US"/>
        </a:p>
      </dgm:t>
    </dgm:pt>
    <dgm:pt modelId="{36A08A41-5066-440C-AE8C-75ED9384E47B}" type="pres">
      <dgm:prSet presAssocID="{B5ECDA4C-8B85-4076-9EEA-4DAC566639B4}" presName="parentText" presStyleLbl="node1" presStyleIdx="0" presStyleCnt="7" custScaleX="137722">
        <dgm:presLayoutVars>
          <dgm:chMax val="0"/>
          <dgm:bulletEnabled val="1"/>
        </dgm:presLayoutVars>
      </dgm:prSet>
      <dgm:spPr/>
      <dgm:t>
        <a:bodyPr/>
        <a:lstStyle/>
        <a:p>
          <a:endParaRPr lang="en-US"/>
        </a:p>
      </dgm:t>
    </dgm:pt>
    <dgm:pt modelId="{C026A91D-EEB7-47DC-A077-499871407CAE}" type="pres">
      <dgm:prSet presAssocID="{B5ECDA4C-8B85-4076-9EEA-4DAC566639B4}" presName="negativeSpace" presStyleCnt="0"/>
      <dgm:spPr/>
    </dgm:pt>
    <dgm:pt modelId="{37C18A85-0D57-4EFC-8457-AB3EFB13734C}" type="pres">
      <dgm:prSet presAssocID="{B5ECDA4C-8B85-4076-9EEA-4DAC566639B4}" presName="childText" presStyleLbl="conFgAcc1" presStyleIdx="0" presStyleCnt="7">
        <dgm:presLayoutVars>
          <dgm:bulletEnabled val="1"/>
        </dgm:presLayoutVars>
      </dgm:prSet>
      <dgm:spPr>
        <a:xfrm>
          <a:off x="0" y="352979"/>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FD6D1551-ECD9-472A-B4FF-6518665A746A}" type="pres">
      <dgm:prSet presAssocID="{97AF7EC1-F303-4F00-B166-820BD24FD399}" presName="spaceBetweenRectangles" presStyleCnt="0"/>
      <dgm:spPr/>
    </dgm:pt>
    <dgm:pt modelId="{48C1FC53-DD03-4F0F-979D-86160CD287F8}" type="pres">
      <dgm:prSet presAssocID="{4E7F1488-AD79-4506-B3FC-38B843C45B6E}" presName="parentLin" presStyleCnt="0"/>
      <dgm:spPr/>
    </dgm:pt>
    <dgm:pt modelId="{BAB03FC7-6106-4270-88C2-C57AEECFE8A2}" type="pres">
      <dgm:prSet presAssocID="{4E7F1488-AD79-4506-B3FC-38B843C45B6E}" presName="parentLeftMargin" presStyleLbl="node1" presStyleIdx="0" presStyleCnt="7"/>
      <dgm:spPr>
        <a:prstGeom prst="roundRect">
          <a:avLst/>
        </a:prstGeom>
      </dgm:spPr>
      <dgm:t>
        <a:bodyPr/>
        <a:lstStyle/>
        <a:p>
          <a:endParaRPr lang="en-US"/>
        </a:p>
      </dgm:t>
    </dgm:pt>
    <dgm:pt modelId="{3B372F3E-626B-4B24-AB13-B3879C7FD43D}" type="pres">
      <dgm:prSet presAssocID="{4E7F1488-AD79-4506-B3FC-38B843C45B6E}" presName="parentText" presStyleLbl="node1" presStyleIdx="1" presStyleCnt="7" custScaleX="137009">
        <dgm:presLayoutVars>
          <dgm:chMax val="0"/>
          <dgm:bulletEnabled val="1"/>
        </dgm:presLayoutVars>
      </dgm:prSet>
      <dgm:spPr/>
      <dgm:t>
        <a:bodyPr/>
        <a:lstStyle/>
        <a:p>
          <a:endParaRPr lang="en-US"/>
        </a:p>
      </dgm:t>
    </dgm:pt>
    <dgm:pt modelId="{07073D81-9B08-4BA8-9D0F-DD479C4962A8}" type="pres">
      <dgm:prSet presAssocID="{4E7F1488-AD79-4506-B3FC-38B843C45B6E}" presName="negativeSpace" presStyleCnt="0"/>
      <dgm:spPr/>
    </dgm:pt>
    <dgm:pt modelId="{F4622912-1508-48FC-9E49-004A051D94BF}" type="pres">
      <dgm:prSet presAssocID="{4E7F1488-AD79-4506-B3FC-38B843C45B6E}" presName="childText" presStyleLbl="conFgAcc1" presStyleIdx="1" presStyleCnt="7">
        <dgm:presLayoutVars>
          <dgm:bulletEnabled val="1"/>
        </dgm:presLayoutVars>
      </dgm:prSet>
      <dgm:spPr>
        <a:xfrm>
          <a:off x="0" y="942659"/>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D023C435-1C54-4693-8DD0-DDBAE3918681}" type="pres">
      <dgm:prSet presAssocID="{0E563D65-F66F-45AA-A2DD-9CCD47C31092}" presName="spaceBetweenRectangles" presStyleCnt="0"/>
      <dgm:spPr/>
    </dgm:pt>
    <dgm:pt modelId="{0EDC2B1A-4586-485A-AB0A-EF4D8BD57901}" type="pres">
      <dgm:prSet presAssocID="{9B37371C-14D4-46B3-A0F0-3A6228DBC3C6}" presName="parentLin" presStyleCnt="0"/>
      <dgm:spPr/>
    </dgm:pt>
    <dgm:pt modelId="{B0EB84E3-B3BB-44E3-8B6A-E349A4B196D8}" type="pres">
      <dgm:prSet presAssocID="{9B37371C-14D4-46B3-A0F0-3A6228DBC3C6}" presName="parentLeftMargin" presStyleLbl="node1" presStyleIdx="1" presStyleCnt="7"/>
      <dgm:spPr>
        <a:prstGeom prst="roundRect">
          <a:avLst/>
        </a:prstGeom>
      </dgm:spPr>
      <dgm:t>
        <a:bodyPr/>
        <a:lstStyle/>
        <a:p>
          <a:endParaRPr lang="en-US"/>
        </a:p>
      </dgm:t>
    </dgm:pt>
    <dgm:pt modelId="{ED3ECC06-E3CE-4106-9E7E-D38A58325279}" type="pres">
      <dgm:prSet presAssocID="{9B37371C-14D4-46B3-A0F0-3A6228DBC3C6}" presName="parentText" presStyleLbl="node1" presStyleIdx="2" presStyleCnt="7" custScaleX="142857">
        <dgm:presLayoutVars>
          <dgm:chMax val="0"/>
          <dgm:bulletEnabled val="1"/>
        </dgm:presLayoutVars>
      </dgm:prSet>
      <dgm:spPr/>
      <dgm:t>
        <a:bodyPr/>
        <a:lstStyle/>
        <a:p>
          <a:endParaRPr lang="en-US"/>
        </a:p>
      </dgm:t>
    </dgm:pt>
    <dgm:pt modelId="{8E52F711-8746-48BE-B43F-CDDB9C7A1B24}" type="pres">
      <dgm:prSet presAssocID="{9B37371C-14D4-46B3-A0F0-3A6228DBC3C6}" presName="negativeSpace" presStyleCnt="0"/>
      <dgm:spPr/>
    </dgm:pt>
    <dgm:pt modelId="{058F3A22-65F1-478F-826E-46D18D2E1668}" type="pres">
      <dgm:prSet presAssocID="{9B37371C-14D4-46B3-A0F0-3A6228DBC3C6}" presName="childText" presStyleLbl="conFgAcc1" presStyleIdx="2" presStyleCnt="7">
        <dgm:presLayoutVars>
          <dgm:bulletEnabled val="1"/>
        </dgm:presLayoutVars>
      </dgm:prSet>
      <dgm:spPr>
        <a:xfrm>
          <a:off x="0" y="1532340"/>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74146DDA-AF3C-402F-9A79-44F55930C45C}" type="pres">
      <dgm:prSet presAssocID="{2FB28291-6F3B-4786-900B-07ECEA2E4376}" presName="spaceBetweenRectangles" presStyleCnt="0"/>
      <dgm:spPr/>
    </dgm:pt>
    <dgm:pt modelId="{87F07C83-2EBF-486F-BFEE-48E6CD59D851}" type="pres">
      <dgm:prSet presAssocID="{599A2D4F-C549-40B9-809E-35CB6E5DE78F}" presName="parentLin" presStyleCnt="0"/>
      <dgm:spPr/>
    </dgm:pt>
    <dgm:pt modelId="{65B90C1B-8071-4640-A14B-F3882C929628}" type="pres">
      <dgm:prSet presAssocID="{599A2D4F-C549-40B9-809E-35CB6E5DE78F}" presName="parentLeftMargin" presStyleLbl="node1" presStyleIdx="2" presStyleCnt="7"/>
      <dgm:spPr>
        <a:prstGeom prst="roundRect">
          <a:avLst/>
        </a:prstGeom>
      </dgm:spPr>
      <dgm:t>
        <a:bodyPr/>
        <a:lstStyle/>
        <a:p>
          <a:endParaRPr lang="en-US"/>
        </a:p>
      </dgm:t>
    </dgm:pt>
    <dgm:pt modelId="{771D2AD2-0EB6-43FC-BCE6-FDE439172A23}" type="pres">
      <dgm:prSet presAssocID="{599A2D4F-C549-40B9-809E-35CB6E5DE78F}" presName="parentText" presStyleLbl="node1" presStyleIdx="3" presStyleCnt="7" custScaleX="142857">
        <dgm:presLayoutVars>
          <dgm:chMax val="0"/>
          <dgm:bulletEnabled val="1"/>
        </dgm:presLayoutVars>
      </dgm:prSet>
      <dgm:spPr/>
      <dgm:t>
        <a:bodyPr/>
        <a:lstStyle/>
        <a:p>
          <a:endParaRPr lang="en-US"/>
        </a:p>
      </dgm:t>
    </dgm:pt>
    <dgm:pt modelId="{EC4D7B24-15EC-4377-95DF-A25D61D0A5EB}" type="pres">
      <dgm:prSet presAssocID="{599A2D4F-C549-40B9-809E-35CB6E5DE78F}" presName="negativeSpace" presStyleCnt="0"/>
      <dgm:spPr/>
    </dgm:pt>
    <dgm:pt modelId="{AB265D91-033D-4B16-902C-7D0BA9E4C020}" type="pres">
      <dgm:prSet presAssocID="{599A2D4F-C549-40B9-809E-35CB6E5DE78F}" presName="childText" presStyleLbl="conFgAcc1" presStyleIdx="3" presStyleCnt="7">
        <dgm:presLayoutVars>
          <dgm:bulletEnabled val="1"/>
        </dgm:presLayoutVars>
      </dgm:prSet>
      <dgm:spPr>
        <a:xfrm>
          <a:off x="0" y="2122020"/>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C98DD4B9-60AE-40C1-8E4A-6741BF9B5AC7}" type="pres">
      <dgm:prSet presAssocID="{C8D45625-1DA7-48F6-B30C-151BD8FD816D}" presName="spaceBetweenRectangles" presStyleCnt="0"/>
      <dgm:spPr/>
    </dgm:pt>
    <dgm:pt modelId="{6DFAA575-76C0-45B9-97EE-4F352FEAD42C}" type="pres">
      <dgm:prSet presAssocID="{DA06492D-8A13-4F8F-85F0-2ABDF66DA898}" presName="parentLin" presStyleCnt="0"/>
      <dgm:spPr/>
    </dgm:pt>
    <dgm:pt modelId="{39EE6039-29CD-4FF0-B703-97B813E0A805}" type="pres">
      <dgm:prSet presAssocID="{DA06492D-8A13-4F8F-85F0-2ABDF66DA898}" presName="parentLeftMargin" presStyleLbl="node1" presStyleIdx="3" presStyleCnt="7"/>
      <dgm:spPr>
        <a:prstGeom prst="roundRect">
          <a:avLst/>
        </a:prstGeom>
      </dgm:spPr>
      <dgm:t>
        <a:bodyPr/>
        <a:lstStyle/>
        <a:p>
          <a:endParaRPr lang="en-US"/>
        </a:p>
      </dgm:t>
    </dgm:pt>
    <dgm:pt modelId="{7DB24665-8B30-484F-9F8F-455EC35F9CCC}" type="pres">
      <dgm:prSet presAssocID="{DA06492D-8A13-4F8F-85F0-2ABDF66DA898}" presName="parentText" presStyleLbl="node1" presStyleIdx="4" presStyleCnt="7" custScaleX="142857">
        <dgm:presLayoutVars>
          <dgm:chMax val="0"/>
          <dgm:bulletEnabled val="1"/>
        </dgm:presLayoutVars>
      </dgm:prSet>
      <dgm:spPr/>
      <dgm:t>
        <a:bodyPr/>
        <a:lstStyle/>
        <a:p>
          <a:endParaRPr lang="en-US"/>
        </a:p>
      </dgm:t>
    </dgm:pt>
    <dgm:pt modelId="{9EA4AD56-3C2B-4242-B1DA-E1C16A879926}" type="pres">
      <dgm:prSet presAssocID="{DA06492D-8A13-4F8F-85F0-2ABDF66DA898}" presName="negativeSpace" presStyleCnt="0"/>
      <dgm:spPr/>
    </dgm:pt>
    <dgm:pt modelId="{B88E887B-362E-4EED-B256-9D110BD1EF10}" type="pres">
      <dgm:prSet presAssocID="{DA06492D-8A13-4F8F-85F0-2ABDF66DA898}" presName="childText" presStyleLbl="conFgAcc1" presStyleIdx="4" presStyleCnt="7">
        <dgm:presLayoutVars>
          <dgm:bulletEnabled val="1"/>
        </dgm:presLayoutVars>
      </dgm:prSet>
      <dgm:spPr>
        <a:xfrm>
          <a:off x="0" y="2711700"/>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3AA98414-FE1E-4BBC-8312-B818B1AF592C}" type="pres">
      <dgm:prSet presAssocID="{6FB53C4E-41F8-4FA5-9551-09C39011D6D8}" presName="spaceBetweenRectangles" presStyleCnt="0"/>
      <dgm:spPr/>
    </dgm:pt>
    <dgm:pt modelId="{8CC39E52-604E-4840-8A16-D614D3C4C302}" type="pres">
      <dgm:prSet presAssocID="{4087219B-E7BA-43EE-8408-1D0C6A70E67E}" presName="parentLin" presStyleCnt="0"/>
      <dgm:spPr/>
    </dgm:pt>
    <dgm:pt modelId="{9C9B8EBE-B6F0-45C2-9AAE-1145C9E6B628}" type="pres">
      <dgm:prSet presAssocID="{4087219B-E7BA-43EE-8408-1D0C6A70E67E}" presName="parentLeftMargin" presStyleLbl="node1" presStyleIdx="4" presStyleCnt="7"/>
      <dgm:spPr/>
      <dgm:t>
        <a:bodyPr/>
        <a:lstStyle/>
        <a:p>
          <a:endParaRPr lang="en-US"/>
        </a:p>
      </dgm:t>
    </dgm:pt>
    <dgm:pt modelId="{4013FDE1-7892-4192-A3BF-A069B8BD6309}" type="pres">
      <dgm:prSet presAssocID="{4087219B-E7BA-43EE-8408-1D0C6A70E67E}" presName="parentText" presStyleLbl="node1" presStyleIdx="5" presStyleCnt="7" custScaleX="142857">
        <dgm:presLayoutVars>
          <dgm:chMax val="0"/>
          <dgm:bulletEnabled val="1"/>
        </dgm:presLayoutVars>
      </dgm:prSet>
      <dgm:spPr/>
      <dgm:t>
        <a:bodyPr/>
        <a:lstStyle/>
        <a:p>
          <a:endParaRPr lang="en-US"/>
        </a:p>
      </dgm:t>
    </dgm:pt>
    <dgm:pt modelId="{C9E57141-CD23-4047-98B7-1931040671E8}" type="pres">
      <dgm:prSet presAssocID="{4087219B-E7BA-43EE-8408-1D0C6A70E67E}" presName="negativeSpace" presStyleCnt="0"/>
      <dgm:spPr/>
    </dgm:pt>
    <dgm:pt modelId="{D2BD1AE0-0B15-4F46-9C73-9193ED08F78D}" type="pres">
      <dgm:prSet presAssocID="{4087219B-E7BA-43EE-8408-1D0C6A70E67E}" presName="childText" presStyleLbl="conFgAcc1" presStyleIdx="5" presStyleCnt="7">
        <dgm:presLayoutVars>
          <dgm:bulletEnabled val="1"/>
        </dgm:presLayoutVars>
      </dgm:prSet>
      <dgm:spPr>
        <a:ln w="19050" cmpd="sng"/>
      </dgm:spPr>
    </dgm:pt>
    <dgm:pt modelId="{EEC7EF6F-5C38-4617-82F6-E57C7F225A79}" type="pres">
      <dgm:prSet presAssocID="{7FA90E25-2B01-453F-8B18-BF13C52F9674}" presName="spaceBetweenRectangles" presStyleCnt="0"/>
      <dgm:spPr/>
    </dgm:pt>
    <dgm:pt modelId="{AE44D82F-F61A-4A9F-9D36-1FCC23855414}" type="pres">
      <dgm:prSet presAssocID="{FF94C2F2-EE05-462C-904C-7644DCE917DB}" presName="parentLin" presStyleCnt="0"/>
      <dgm:spPr/>
    </dgm:pt>
    <dgm:pt modelId="{47757409-D242-4209-BCD2-272EEB5D6527}" type="pres">
      <dgm:prSet presAssocID="{FF94C2F2-EE05-462C-904C-7644DCE917DB}" presName="parentLeftMargin" presStyleLbl="node1" presStyleIdx="5" presStyleCnt="7"/>
      <dgm:spPr/>
      <dgm:t>
        <a:bodyPr/>
        <a:lstStyle/>
        <a:p>
          <a:endParaRPr lang="en-US"/>
        </a:p>
      </dgm:t>
    </dgm:pt>
    <dgm:pt modelId="{B47D026A-970C-4D4F-AD8E-362F36C127AB}" type="pres">
      <dgm:prSet presAssocID="{FF94C2F2-EE05-462C-904C-7644DCE917DB}" presName="parentText" presStyleLbl="node1" presStyleIdx="6" presStyleCnt="7" custScaleX="142857">
        <dgm:presLayoutVars>
          <dgm:chMax val="0"/>
          <dgm:bulletEnabled val="1"/>
        </dgm:presLayoutVars>
      </dgm:prSet>
      <dgm:spPr/>
      <dgm:t>
        <a:bodyPr/>
        <a:lstStyle/>
        <a:p>
          <a:endParaRPr lang="en-US"/>
        </a:p>
      </dgm:t>
    </dgm:pt>
    <dgm:pt modelId="{329FAB5F-7B6B-4665-B161-A5AAA2108058}" type="pres">
      <dgm:prSet presAssocID="{FF94C2F2-EE05-462C-904C-7644DCE917DB}" presName="negativeSpace" presStyleCnt="0"/>
      <dgm:spPr/>
    </dgm:pt>
    <dgm:pt modelId="{443A92BF-D5E3-41DA-BAA5-118CFC9D46F9}" type="pres">
      <dgm:prSet presAssocID="{FF94C2F2-EE05-462C-904C-7644DCE917DB}" presName="childText" presStyleLbl="conFgAcc1" presStyleIdx="6" presStyleCnt="7">
        <dgm:presLayoutVars>
          <dgm:bulletEnabled val="1"/>
        </dgm:presLayoutVars>
      </dgm:prSet>
      <dgm:spPr>
        <a:ln w="19050"/>
      </dgm:spPr>
    </dgm:pt>
  </dgm:ptLst>
  <dgm:cxnLst>
    <dgm:cxn modelId="{BD5430A6-E657-432C-9ACD-22F7A4FD0F4C}" type="presOf" srcId="{9B37371C-14D4-46B3-A0F0-3A6228DBC3C6}" destId="{ED3ECC06-E3CE-4106-9E7E-D38A58325279}" srcOrd="1" destOrd="0" presId="urn:microsoft.com/office/officeart/2005/8/layout/list1"/>
    <dgm:cxn modelId="{53232F75-9B09-43D3-814B-5DD5FBC8B0DF}" srcId="{8F584E6A-31F2-408F-902B-46A11513D9CD}" destId="{4087219B-E7BA-43EE-8408-1D0C6A70E67E}" srcOrd="5" destOrd="0" parTransId="{96E38F4E-390B-468B-95F3-9D5658A1B54B}" sibTransId="{7FA90E25-2B01-453F-8B18-BF13C52F9674}"/>
    <dgm:cxn modelId="{4869D7B6-8D9D-4206-9428-9EDA6471E586}" type="presOf" srcId="{DA06492D-8A13-4F8F-85F0-2ABDF66DA898}" destId="{39EE6039-29CD-4FF0-B703-97B813E0A805}" srcOrd="0" destOrd="0" presId="urn:microsoft.com/office/officeart/2005/8/layout/list1"/>
    <dgm:cxn modelId="{4CABD0FA-117C-4EB1-9AD5-2E5E98C30D12}" srcId="{8F584E6A-31F2-408F-902B-46A11513D9CD}" destId="{9B37371C-14D4-46B3-A0F0-3A6228DBC3C6}" srcOrd="2" destOrd="0" parTransId="{AC6A015D-ECED-4C81-ABF8-A04556866484}" sibTransId="{2FB28291-6F3B-4786-900B-07ECEA2E4376}"/>
    <dgm:cxn modelId="{02B71B3E-68C1-4B51-8ACA-97B13E5FA33D}" type="presOf" srcId="{FF94C2F2-EE05-462C-904C-7644DCE917DB}" destId="{47757409-D242-4209-BCD2-272EEB5D6527}" srcOrd="0" destOrd="0" presId="urn:microsoft.com/office/officeart/2005/8/layout/list1"/>
    <dgm:cxn modelId="{4A739DA0-1AA9-4776-B087-655887AF24A2}" type="presOf" srcId="{599A2D4F-C549-40B9-809E-35CB6E5DE78F}" destId="{771D2AD2-0EB6-43FC-BCE6-FDE439172A23}" srcOrd="1" destOrd="0" presId="urn:microsoft.com/office/officeart/2005/8/layout/list1"/>
    <dgm:cxn modelId="{39FF74AC-2269-48F0-BBB5-37A83F7B8661}" type="presOf" srcId="{FF94C2F2-EE05-462C-904C-7644DCE917DB}" destId="{B47D026A-970C-4D4F-AD8E-362F36C127AB}" srcOrd="1" destOrd="0" presId="urn:microsoft.com/office/officeart/2005/8/layout/list1"/>
    <dgm:cxn modelId="{DCA07E3D-631B-482B-8C89-E4CA15E3D77B}" srcId="{8F584E6A-31F2-408F-902B-46A11513D9CD}" destId="{FF94C2F2-EE05-462C-904C-7644DCE917DB}" srcOrd="6" destOrd="0" parTransId="{4DDE29BA-E388-4A17-BFDE-0B679D2501E3}" sibTransId="{C0F0890E-48FD-4AAF-B5C5-3CCECCFA943A}"/>
    <dgm:cxn modelId="{FCACA8C7-D2BD-42A4-A0C9-A80AED72C97E}" srcId="{8F584E6A-31F2-408F-902B-46A11513D9CD}" destId="{DA06492D-8A13-4F8F-85F0-2ABDF66DA898}" srcOrd="4" destOrd="0" parTransId="{5BA86BB1-3451-4F48-B193-3DA64F2F9724}" sibTransId="{6FB53C4E-41F8-4FA5-9551-09C39011D6D8}"/>
    <dgm:cxn modelId="{D59F572D-4BF6-4287-A069-F4F142153BE5}" srcId="{8F584E6A-31F2-408F-902B-46A11513D9CD}" destId="{B5ECDA4C-8B85-4076-9EEA-4DAC566639B4}" srcOrd="0" destOrd="0" parTransId="{2E5531FB-B32A-491B-A4D6-FBAD2BFB4FFB}" sibTransId="{97AF7EC1-F303-4F00-B166-820BD24FD399}"/>
    <dgm:cxn modelId="{C33631C3-FE3A-4BF6-81FD-55EA28F1E2FF}" type="presOf" srcId="{DA06492D-8A13-4F8F-85F0-2ABDF66DA898}" destId="{7DB24665-8B30-484F-9F8F-455EC35F9CCC}" srcOrd="1" destOrd="0" presId="urn:microsoft.com/office/officeart/2005/8/layout/list1"/>
    <dgm:cxn modelId="{FAF76ED0-9C9B-43B6-B2BC-EB783BBFCFE6}" type="presOf" srcId="{4087219B-E7BA-43EE-8408-1D0C6A70E67E}" destId="{4013FDE1-7892-4192-A3BF-A069B8BD6309}" srcOrd="1" destOrd="0" presId="urn:microsoft.com/office/officeart/2005/8/layout/list1"/>
    <dgm:cxn modelId="{31F20C24-65A2-4065-90C7-F3B63DB5668A}" srcId="{8F584E6A-31F2-408F-902B-46A11513D9CD}" destId="{599A2D4F-C549-40B9-809E-35CB6E5DE78F}" srcOrd="3" destOrd="0" parTransId="{3B074816-F984-4165-98C4-BEF5EAE70EAF}" sibTransId="{C8D45625-1DA7-48F6-B30C-151BD8FD816D}"/>
    <dgm:cxn modelId="{DC3201DC-DAB7-4F47-8C2D-82A093989EDE}" type="presOf" srcId="{599A2D4F-C549-40B9-809E-35CB6E5DE78F}" destId="{65B90C1B-8071-4640-A14B-F3882C929628}" srcOrd="0" destOrd="0" presId="urn:microsoft.com/office/officeart/2005/8/layout/list1"/>
    <dgm:cxn modelId="{80B4D616-E410-4D53-9BD9-E2A6F604257D}" type="presOf" srcId="{4E7F1488-AD79-4506-B3FC-38B843C45B6E}" destId="{BAB03FC7-6106-4270-88C2-C57AEECFE8A2}" srcOrd="0" destOrd="0" presId="urn:microsoft.com/office/officeart/2005/8/layout/list1"/>
    <dgm:cxn modelId="{7123A4B1-9E78-4718-820F-F8D3599F6BE0}" type="presOf" srcId="{8F584E6A-31F2-408F-902B-46A11513D9CD}" destId="{F1FF4534-F9C8-4C9A-8C01-09B7FBF68AAD}" srcOrd="0" destOrd="0" presId="urn:microsoft.com/office/officeart/2005/8/layout/list1"/>
    <dgm:cxn modelId="{F4867660-8D17-4B12-9DE3-4E500114D9DC}" type="presOf" srcId="{B5ECDA4C-8B85-4076-9EEA-4DAC566639B4}" destId="{36A08A41-5066-440C-AE8C-75ED9384E47B}" srcOrd="1" destOrd="0" presId="urn:microsoft.com/office/officeart/2005/8/layout/list1"/>
    <dgm:cxn modelId="{860ECB82-4E0C-4B3A-8657-BBF43DEB4E12}" srcId="{8F584E6A-31F2-408F-902B-46A11513D9CD}" destId="{4E7F1488-AD79-4506-B3FC-38B843C45B6E}" srcOrd="1" destOrd="0" parTransId="{F5874FA0-30BA-4B1B-B50F-AB72CB47299A}" sibTransId="{0E563D65-F66F-45AA-A2DD-9CCD47C31092}"/>
    <dgm:cxn modelId="{B62C3824-E989-4740-A1E0-C1E9131CA287}" type="presOf" srcId="{B5ECDA4C-8B85-4076-9EEA-4DAC566639B4}" destId="{D4E62BDF-E07B-4BE8-AC5A-D550B12F528D}" srcOrd="0" destOrd="0" presId="urn:microsoft.com/office/officeart/2005/8/layout/list1"/>
    <dgm:cxn modelId="{DBD1F3AD-BF14-476E-B20C-5D6233D6F749}" type="presOf" srcId="{9B37371C-14D4-46B3-A0F0-3A6228DBC3C6}" destId="{B0EB84E3-B3BB-44E3-8B6A-E349A4B196D8}" srcOrd="0" destOrd="0" presId="urn:microsoft.com/office/officeart/2005/8/layout/list1"/>
    <dgm:cxn modelId="{7239FCF0-8588-4BEB-8811-9F398FAFC917}" type="presOf" srcId="{4087219B-E7BA-43EE-8408-1D0C6A70E67E}" destId="{9C9B8EBE-B6F0-45C2-9AAE-1145C9E6B628}" srcOrd="0" destOrd="0" presId="urn:microsoft.com/office/officeart/2005/8/layout/list1"/>
    <dgm:cxn modelId="{45024571-0C23-4E88-B6E7-DA20FAAB143B}" type="presOf" srcId="{4E7F1488-AD79-4506-B3FC-38B843C45B6E}" destId="{3B372F3E-626B-4B24-AB13-B3879C7FD43D}" srcOrd="1" destOrd="0" presId="urn:microsoft.com/office/officeart/2005/8/layout/list1"/>
    <dgm:cxn modelId="{A07A8238-1F26-45BD-A153-11060B72F449}" type="presParOf" srcId="{F1FF4534-F9C8-4C9A-8C01-09B7FBF68AAD}" destId="{D0A62FCA-0B26-4593-998F-18149DE33F1A}" srcOrd="0" destOrd="0" presId="urn:microsoft.com/office/officeart/2005/8/layout/list1"/>
    <dgm:cxn modelId="{F8CF6424-E320-4440-8057-A0666F7893D6}" type="presParOf" srcId="{D0A62FCA-0B26-4593-998F-18149DE33F1A}" destId="{D4E62BDF-E07B-4BE8-AC5A-D550B12F528D}" srcOrd="0" destOrd="0" presId="urn:microsoft.com/office/officeart/2005/8/layout/list1"/>
    <dgm:cxn modelId="{6CEC0B5A-5F6F-431A-80EC-DC3AB50697D1}" type="presParOf" srcId="{D0A62FCA-0B26-4593-998F-18149DE33F1A}" destId="{36A08A41-5066-440C-AE8C-75ED9384E47B}" srcOrd="1" destOrd="0" presId="urn:microsoft.com/office/officeart/2005/8/layout/list1"/>
    <dgm:cxn modelId="{5CAABADA-6BB2-40B9-A73A-B809C5EE338F}" type="presParOf" srcId="{F1FF4534-F9C8-4C9A-8C01-09B7FBF68AAD}" destId="{C026A91D-EEB7-47DC-A077-499871407CAE}" srcOrd="1" destOrd="0" presId="urn:microsoft.com/office/officeart/2005/8/layout/list1"/>
    <dgm:cxn modelId="{69AE65E8-A63D-47ED-AB5C-D9E2B8667065}" type="presParOf" srcId="{F1FF4534-F9C8-4C9A-8C01-09B7FBF68AAD}" destId="{37C18A85-0D57-4EFC-8457-AB3EFB13734C}" srcOrd="2" destOrd="0" presId="urn:microsoft.com/office/officeart/2005/8/layout/list1"/>
    <dgm:cxn modelId="{9EEE0AB7-83F0-424A-89B2-1549EB3B8AD8}" type="presParOf" srcId="{F1FF4534-F9C8-4C9A-8C01-09B7FBF68AAD}" destId="{FD6D1551-ECD9-472A-B4FF-6518665A746A}" srcOrd="3" destOrd="0" presId="urn:microsoft.com/office/officeart/2005/8/layout/list1"/>
    <dgm:cxn modelId="{D0C53784-1303-4D5D-8BEB-89A4626A4552}" type="presParOf" srcId="{F1FF4534-F9C8-4C9A-8C01-09B7FBF68AAD}" destId="{48C1FC53-DD03-4F0F-979D-86160CD287F8}" srcOrd="4" destOrd="0" presId="urn:microsoft.com/office/officeart/2005/8/layout/list1"/>
    <dgm:cxn modelId="{DD4E70DA-9F8B-4152-9184-B07CE075C070}" type="presParOf" srcId="{48C1FC53-DD03-4F0F-979D-86160CD287F8}" destId="{BAB03FC7-6106-4270-88C2-C57AEECFE8A2}" srcOrd="0" destOrd="0" presId="urn:microsoft.com/office/officeart/2005/8/layout/list1"/>
    <dgm:cxn modelId="{7D809E5D-D346-45C6-B489-3C9E8484A6D6}" type="presParOf" srcId="{48C1FC53-DD03-4F0F-979D-86160CD287F8}" destId="{3B372F3E-626B-4B24-AB13-B3879C7FD43D}" srcOrd="1" destOrd="0" presId="urn:microsoft.com/office/officeart/2005/8/layout/list1"/>
    <dgm:cxn modelId="{11E97F7C-1798-4775-823E-106ACBF0270F}" type="presParOf" srcId="{F1FF4534-F9C8-4C9A-8C01-09B7FBF68AAD}" destId="{07073D81-9B08-4BA8-9D0F-DD479C4962A8}" srcOrd="5" destOrd="0" presId="urn:microsoft.com/office/officeart/2005/8/layout/list1"/>
    <dgm:cxn modelId="{D76DDD3F-8504-4AB3-BBDF-F47CB351AEB7}" type="presParOf" srcId="{F1FF4534-F9C8-4C9A-8C01-09B7FBF68AAD}" destId="{F4622912-1508-48FC-9E49-004A051D94BF}" srcOrd="6" destOrd="0" presId="urn:microsoft.com/office/officeart/2005/8/layout/list1"/>
    <dgm:cxn modelId="{06CD84FA-5171-4A95-8F5F-4A62EA4FCD3A}" type="presParOf" srcId="{F1FF4534-F9C8-4C9A-8C01-09B7FBF68AAD}" destId="{D023C435-1C54-4693-8DD0-DDBAE3918681}" srcOrd="7" destOrd="0" presId="urn:microsoft.com/office/officeart/2005/8/layout/list1"/>
    <dgm:cxn modelId="{175950C7-3074-4830-9F3E-C1B27FBB0D1B}" type="presParOf" srcId="{F1FF4534-F9C8-4C9A-8C01-09B7FBF68AAD}" destId="{0EDC2B1A-4586-485A-AB0A-EF4D8BD57901}" srcOrd="8" destOrd="0" presId="urn:microsoft.com/office/officeart/2005/8/layout/list1"/>
    <dgm:cxn modelId="{F378966A-811F-46F5-86D0-023086911868}" type="presParOf" srcId="{0EDC2B1A-4586-485A-AB0A-EF4D8BD57901}" destId="{B0EB84E3-B3BB-44E3-8B6A-E349A4B196D8}" srcOrd="0" destOrd="0" presId="urn:microsoft.com/office/officeart/2005/8/layout/list1"/>
    <dgm:cxn modelId="{16C39EE3-B2FC-4011-82AA-EA71277747B2}" type="presParOf" srcId="{0EDC2B1A-4586-485A-AB0A-EF4D8BD57901}" destId="{ED3ECC06-E3CE-4106-9E7E-D38A58325279}" srcOrd="1" destOrd="0" presId="urn:microsoft.com/office/officeart/2005/8/layout/list1"/>
    <dgm:cxn modelId="{294F8414-BC53-4371-B64C-5A1CE852417B}" type="presParOf" srcId="{F1FF4534-F9C8-4C9A-8C01-09B7FBF68AAD}" destId="{8E52F711-8746-48BE-B43F-CDDB9C7A1B24}" srcOrd="9" destOrd="0" presId="urn:microsoft.com/office/officeart/2005/8/layout/list1"/>
    <dgm:cxn modelId="{9111E626-8EEC-4DF3-8991-304D98E9C24D}" type="presParOf" srcId="{F1FF4534-F9C8-4C9A-8C01-09B7FBF68AAD}" destId="{058F3A22-65F1-478F-826E-46D18D2E1668}" srcOrd="10" destOrd="0" presId="urn:microsoft.com/office/officeart/2005/8/layout/list1"/>
    <dgm:cxn modelId="{2254B7C0-8AA3-43EA-8977-38B0399AD1B2}" type="presParOf" srcId="{F1FF4534-F9C8-4C9A-8C01-09B7FBF68AAD}" destId="{74146DDA-AF3C-402F-9A79-44F55930C45C}" srcOrd="11" destOrd="0" presId="urn:microsoft.com/office/officeart/2005/8/layout/list1"/>
    <dgm:cxn modelId="{66988F74-EA18-4694-8EA2-3A25E3A7C551}" type="presParOf" srcId="{F1FF4534-F9C8-4C9A-8C01-09B7FBF68AAD}" destId="{87F07C83-2EBF-486F-BFEE-48E6CD59D851}" srcOrd="12" destOrd="0" presId="urn:microsoft.com/office/officeart/2005/8/layout/list1"/>
    <dgm:cxn modelId="{FFD61FB4-65AB-4E83-A144-C20B4561AABF}" type="presParOf" srcId="{87F07C83-2EBF-486F-BFEE-48E6CD59D851}" destId="{65B90C1B-8071-4640-A14B-F3882C929628}" srcOrd="0" destOrd="0" presId="urn:microsoft.com/office/officeart/2005/8/layout/list1"/>
    <dgm:cxn modelId="{DBF82104-592A-4ECA-B60F-F12B2517006C}" type="presParOf" srcId="{87F07C83-2EBF-486F-BFEE-48E6CD59D851}" destId="{771D2AD2-0EB6-43FC-BCE6-FDE439172A23}" srcOrd="1" destOrd="0" presId="urn:microsoft.com/office/officeart/2005/8/layout/list1"/>
    <dgm:cxn modelId="{95F8A8DB-BF0B-4D93-A43F-F8710823AEB7}" type="presParOf" srcId="{F1FF4534-F9C8-4C9A-8C01-09B7FBF68AAD}" destId="{EC4D7B24-15EC-4377-95DF-A25D61D0A5EB}" srcOrd="13" destOrd="0" presId="urn:microsoft.com/office/officeart/2005/8/layout/list1"/>
    <dgm:cxn modelId="{E7DF5D77-A0F6-434F-92BE-77AAAE4CC73E}" type="presParOf" srcId="{F1FF4534-F9C8-4C9A-8C01-09B7FBF68AAD}" destId="{AB265D91-033D-4B16-902C-7D0BA9E4C020}" srcOrd="14" destOrd="0" presId="urn:microsoft.com/office/officeart/2005/8/layout/list1"/>
    <dgm:cxn modelId="{5DD39320-7A59-4660-87FC-99686A162082}" type="presParOf" srcId="{F1FF4534-F9C8-4C9A-8C01-09B7FBF68AAD}" destId="{C98DD4B9-60AE-40C1-8E4A-6741BF9B5AC7}" srcOrd="15" destOrd="0" presId="urn:microsoft.com/office/officeart/2005/8/layout/list1"/>
    <dgm:cxn modelId="{C76DD03C-6604-4B60-9F77-88E327371BF8}" type="presParOf" srcId="{F1FF4534-F9C8-4C9A-8C01-09B7FBF68AAD}" destId="{6DFAA575-76C0-45B9-97EE-4F352FEAD42C}" srcOrd="16" destOrd="0" presId="urn:microsoft.com/office/officeart/2005/8/layout/list1"/>
    <dgm:cxn modelId="{B275CA4C-E856-4AFE-9D64-F0842E60EE8B}" type="presParOf" srcId="{6DFAA575-76C0-45B9-97EE-4F352FEAD42C}" destId="{39EE6039-29CD-4FF0-B703-97B813E0A805}" srcOrd="0" destOrd="0" presId="urn:microsoft.com/office/officeart/2005/8/layout/list1"/>
    <dgm:cxn modelId="{C89DB3EC-3189-4638-9547-45836EFCF211}" type="presParOf" srcId="{6DFAA575-76C0-45B9-97EE-4F352FEAD42C}" destId="{7DB24665-8B30-484F-9F8F-455EC35F9CCC}" srcOrd="1" destOrd="0" presId="urn:microsoft.com/office/officeart/2005/8/layout/list1"/>
    <dgm:cxn modelId="{48D7FFAE-2B71-4C25-9A78-13D5495583EA}" type="presParOf" srcId="{F1FF4534-F9C8-4C9A-8C01-09B7FBF68AAD}" destId="{9EA4AD56-3C2B-4242-B1DA-E1C16A879926}" srcOrd="17" destOrd="0" presId="urn:microsoft.com/office/officeart/2005/8/layout/list1"/>
    <dgm:cxn modelId="{50107182-FA90-4D73-9C8D-E404CB203783}" type="presParOf" srcId="{F1FF4534-F9C8-4C9A-8C01-09B7FBF68AAD}" destId="{B88E887B-362E-4EED-B256-9D110BD1EF10}" srcOrd="18" destOrd="0" presId="urn:microsoft.com/office/officeart/2005/8/layout/list1"/>
    <dgm:cxn modelId="{67033812-8999-46DD-925F-7BBB09B05DD6}" type="presParOf" srcId="{F1FF4534-F9C8-4C9A-8C01-09B7FBF68AAD}" destId="{3AA98414-FE1E-4BBC-8312-B818B1AF592C}" srcOrd="19" destOrd="0" presId="urn:microsoft.com/office/officeart/2005/8/layout/list1"/>
    <dgm:cxn modelId="{D62C3DD4-9161-4443-96B9-E89995186081}" type="presParOf" srcId="{F1FF4534-F9C8-4C9A-8C01-09B7FBF68AAD}" destId="{8CC39E52-604E-4840-8A16-D614D3C4C302}" srcOrd="20" destOrd="0" presId="urn:microsoft.com/office/officeart/2005/8/layout/list1"/>
    <dgm:cxn modelId="{797EF48E-CDDF-4D12-9BA5-09D9DD56B6A2}" type="presParOf" srcId="{8CC39E52-604E-4840-8A16-D614D3C4C302}" destId="{9C9B8EBE-B6F0-45C2-9AAE-1145C9E6B628}" srcOrd="0" destOrd="0" presId="urn:microsoft.com/office/officeart/2005/8/layout/list1"/>
    <dgm:cxn modelId="{F9DCADA9-C087-40C0-AAD3-3799900D11DA}" type="presParOf" srcId="{8CC39E52-604E-4840-8A16-D614D3C4C302}" destId="{4013FDE1-7892-4192-A3BF-A069B8BD6309}" srcOrd="1" destOrd="0" presId="urn:microsoft.com/office/officeart/2005/8/layout/list1"/>
    <dgm:cxn modelId="{43332F25-DE41-42D6-BB47-530407682228}" type="presParOf" srcId="{F1FF4534-F9C8-4C9A-8C01-09B7FBF68AAD}" destId="{C9E57141-CD23-4047-98B7-1931040671E8}" srcOrd="21" destOrd="0" presId="urn:microsoft.com/office/officeart/2005/8/layout/list1"/>
    <dgm:cxn modelId="{510D2FBA-C898-4084-9B94-6ACC67BA146D}" type="presParOf" srcId="{F1FF4534-F9C8-4C9A-8C01-09B7FBF68AAD}" destId="{D2BD1AE0-0B15-4F46-9C73-9193ED08F78D}" srcOrd="22" destOrd="0" presId="urn:microsoft.com/office/officeart/2005/8/layout/list1"/>
    <dgm:cxn modelId="{DB185F6B-3934-49CE-8DC0-7ECDD560E091}" type="presParOf" srcId="{F1FF4534-F9C8-4C9A-8C01-09B7FBF68AAD}" destId="{EEC7EF6F-5C38-4617-82F6-E57C7F225A79}" srcOrd="23" destOrd="0" presId="urn:microsoft.com/office/officeart/2005/8/layout/list1"/>
    <dgm:cxn modelId="{8081C31D-B8C5-492E-B752-40612ED5C3CD}" type="presParOf" srcId="{F1FF4534-F9C8-4C9A-8C01-09B7FBF68AAD}" destId="{AE44D82F-F61A-4A9F-9D36-1FCC23855414}" srcOrd="24" destOrd="0" presId="urn:microsoft.com/office/officeart/2005/8/layout/list1"/>
    <dgm:cxn modelId="{8DFE9A14-7A6D-42B9-82D8-FFE0E71BBD4F}" type="presParOf" srcId="{AE44D82F-F61A-4A9F-9D36-1FCC23855414}" destId="{47757409-D242-4209-BCD2-272EEB5D6527}" srcOrd="0" destOrd="0" presId="urn:microsoft.com/office/officeart/2005/8/layout/list1"/>
    <dgm:cxn modelId="{807A416A-B5C9-4BBC-B0FC-8203965F126B}" type="presParOf" srcId="{AE44D82F-F61A-4A9F-9D36-1FCC23855414}" destId="{B47D026A-970C-4D4F-AD8E-362F36C127AB}" srcOrd="1" destOrd="0" presId="urn:microsoft.com/office/officeart/2005/8/layout/list1"/>
    <dgm:cxn modelId="{F3041467-A1B0-49FA-AF0E-E61E564A816F}" type="presParOf" srcId="{F1FF4534-F9C8-4C9A-8C01-09B7FBF68AAD}" destId="{329FAB5F-7B6B-4665-B161-A5AAA2108058}" srcOrd="25" destOrd="0" presId="urn:microsoft.com/office/officeart/2005/8/layout/list1"/>
    <dgm:cxn modelId="{B02FD815-6A68-4341-9EE7-7A28EF8E38EB}" type="presParOf" srcId="{F1FF4534-F9C8-4C9A-8C01-09B7FBF68AAD}" destId="{443A92BF-D5E3-41DA-BAA5-118CFC9D46F9}" srcOrd="26" destOrd="0" presId="urn:microsoft.com/office/officeart/2005/8/layout/lis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584E6A-31F2-408F-902B-46A11513D9C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B5ECDA4C-8B85-4076-9EEA-4DAC566639B4}">
      <dgm:prSet phldrT="[Text]" custT="1"/>
      <dgm:spPr>
        <a:xfrm>
          <a:off x="274320" y="161099"/>
          <a:ext cx="3840480" cy="383760"/>
        </a:xfrm>
        <a:solidFill>
          <a:sysClr val="window" lastClr="FFFFFF"/>
        </a:solidFill>
        <a:ln w="9525" cap="flat" cmpd="sng" algn="ctr">
          <a:solidFill>
            <a:sysClr val="windowText" lastClr="000000"/>
          </a:solidFill>
          <a:prstDash val="solid"/>
        </a:ln>
        <a:effectLst/>
      </dgm:spPr>
      <dgm:t>
        <a:bodyPr/>
        <a:lstStyle/>
        <a:p>
          <a:pPr>
            <a:buNone/>
          </a:pPr>
          <a:r>
            <a:rPr lang="en-GB" sz="1200">
              <a:solidFill>
                <a:sysClr val="windowText" lastClr="000000"/>
              </a:solidFill>
              <a:latin typeface="Times New Roman" pitchFamily="18" charset="0"/>
              <a:cs typeface="Times New Roman" pitchFamily="18" charset="0"/>
            </a:rPr>
            <a:t>Research Design and Approach </a:t>
          </a:r>
          <a:endParaRPr lang="en-US" sz="1300">
            <a:solidFill>
              <a:sysClr val="windowText" lastClr="000000"/>
            </a:solidFill>
            <a:latin typeface="Times New Roman" panose="02020603050405020304" pitchFamily="18" charset="0"/>
            <a:ea typeface="+mn-ea"/>
            <a:cs typeface="Times New Roman" panose="02020603050405020304" pitchFamily="18" charset="0"/>
          </a:endParaRPr>
        </a:p>
      </dgm:t>
    </dgm:pt>
    <dgm:pt modelId="{2E5531FB-B32A-491B-A4D6-FBAD2BFB4FFB}" type="parTrans" cxnId="{D59F572D-4BF6-4287-A069-F4F142153BE5}">
      <dgm:prSet/>
      <dgm:spPr/>
      <dgm:t>
        <a:bodyPr/>
        <a:lstStyle/>
        <a:p>
          <a:endParaRPr lang="en-US"/>
        </a:p>
      </dgm:t>
    </dgm:pt>
    <dgm:pt modelId="{97AF7EC1-F303-4F00-B166-820BD24FD399}" type="sibTrans" cxnId="{D59F572D-4BF6-4287-A069-F4F142153BE5}">
      <dgm:prSet/>
      <dgm:spPr/>
      <dgm:t>
        <a:bodyPr/>
        <a:lstStyle/>
        <a:p>
          <a:endParaRPr lang="en-US"/>
        </a:p>
      </dgm:t>
    </dgm:pt>
    <dgm:pt modelId="{4E7F1488-AD79-4506-B3FC-38B843C45B6E}">
      <dgm:prSet phldrT="[Text]" custT="1"/>
      <dgm:spPr>
        <a:xfrm>
          <a:off x="274320" y="750779"/>
          <a:ext cx="3840480" cy="383760"/>
        </a:xfrm>
        <a:solidFill>
          <a:sysClr val="window" lastClr="FFFFFF"/>
        </a:solidFill>
        <a:ln w="6350" cap="flat" cmpd="sng" algn="ctr">
          <a:solidFill>
            <a:scrgbClr r="0" g="0" b="0"/>
          </a:solidFill>
          <a:prstDash val="solid"/>
        </a:ln>
        <a:effectLst/>
      </dgm:spPr>
      <dgm:t>
        <a:bodyPr/>
        <a:lstStyle/>
        <a:p>
          <a:pPr>
            <a:buNone/>
          </a:pPr>
          <a:r>
            <a:rPr lang="en-GB" sz="1200">
              <a:solidFill>
                <a:sysClr val="windowText" lastClr="000000"/>
              </a:solidFill>
              <a:latin typeface="Times New Roman" pitchFamily="18" charset="0"/>
              <a:cs typeface="Times New Roman" pitchFamily="18" charset="0"/>
            </a:rPr>
            <a:t>Phase.1 (Qualitative) Interviews</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F5874FA0-30BA-4B1B-B50F-AB72CB47299A}" type="parTrans" cxnId="{860ECB82-4E0C-4B3A-8657-BBF43DEB4E12}">
      <dgm:prSet/>
      <dgm:spPr/>
      <dgm:t>
        <a:bodyPr/>
        <a:lstStyle/>
        <a:p>
          <a:endParaRPr lang="en-US"/>
        </a:p>
      </dgm:t>
    </dgm:pt>
    <dgm:pt modelId="{0E563D65-F66F-45AA-A2DD-9CCD47C31092}" type="sibTrans" cxnId="{860ECB82-4E0C-4B3A-8657-BBF43DEB4E12}">
      <dgm:prSet/>
      <dgm:spPr/>
      <dgm:t>
        <a:bodyPr/>
        <a:lstStyle/>
        <a:p>
          <a:endParaRPr lang="en-US"/>
        </a:p>
      </dgm:t>
    </dgm:pt>
    <dgm:pt modelId="{9B37371C-14D4-46B3-A0F0-3A6228DBC3C6}">
      <dgm:prSet phldrT="[Text]" custT="1"/>
      <dgm:spPr>
        <a:xfrm>
          <a:off x="274320" y="1340460"/>
          <a:ext cx="3840480" cy="383760"/>
        </a:xfrm>
        <a:solidFill>
          <a:sysClr val="window" lastClr="FFFFFF"/>
        </a:solidFill>
        <a:ln w="9525" cap="flat" cmpd="sng" algn="ctr">
          <a:solidFill>
            <a:sysClr val="windowText" lastClr="000000"/>
          </a:solidFill>
          <a:prstDash val="solid"/>
        </a:ln>
        <a:effectLst/>
      </dgm:spPr>
      <dgm:t>
        <a:bodyPr/>
        <a:lstStyle/>
        <a:p>
          <a:pPr>
            <a:buNone/>
          </a:pPr>
          <a:r>
            <a:rPr lang="en-GB" sz="1200">
              <a:solidFill>
                <a:sysClr val="windowText" lastClr="000000"/>
              </a:solidFill>
              <a:latin typeface="Times New Roman" pitchFamily="18" charset="0"/>
              <a:cs typeface="Times New Roman" pitchFamily="18" charset="0"/>
            </a:rPr>
            <a:t>Phase.2 (Quantitative) Survey</a:t>
          </a:r>
          <a:endParaRPr lang="en-US" sz="1400">
            <a:solidFill>
              <a:sysClr val="windowText" lastClr="000000"/>
            </a:solidFill>
            <a:latin typeface="Times New Roman" pitchFamily="18" charset="0"/>
            <a:ea typeface="+mn-ea"/>
            <a:cs typeface="Times New Roman" pitchFamily="18" charset="0"/>
          </a:endParaRPr>
        </a:p>
      </dgm:t>
    </dgm:pt>
    <dgm:pt modelId="{AC6A015D-ECED-4C81-ABF8-A04556866484}" type="parTrans" cxnId="{4CABD0FA-117C-4EB1-9AD5-2E5E98C30D12}">
      <dgm:prSet/>
      <dgm:spPr/>
      <dgm:t>
        <a:bodyPr/>
        <a:lstStyle/>
        <a:p>
          <a:endParaRPr lang="en-US"/>
        </a:p>
      </dgm:t>
    </dgm:pt>
    <dgm:pt modelId="{2FB28291-6F3B-4786-900B-07ECEA2E4376}" type="sibTrans" cxnId="{4CABD0FA-117C-4EB1-9AD5-2E5E98C30D12}">
      <dgm:prSet/>
      <dgm:spPr/>
      <dgm:t>
        <a:bodyPr/>
        <a:lstStyle/>
        <a:p>
          <a:endParaRPr lang="en-US"/>
        </a:p>
      </dgm:t>
    </dgm:pt>
    <dgm:pt modelId="{599A2D4F-C549-40B9-809E-35CB6E5DE78F}">
      <dgm:prSet custT="1"/>
      <dgm:spPr>
        <a:xfrm>
          <a:off x="274320" y="1930140"/>
          <a:ext cx="3840480" cy="383760"/>
        </a:xfrm>
        <a:solidFill>
          <a:sysClr val="window" lastClr="FFFFFF"/>
        </a:solidFill>
        <a:ln w="9525" cap="flat" cmpd="sng" algn="ctr">
          <a:solidFill>
            <a:sysClr val="windowText" lastClr="000000"/>
          </a:solidFill>
          <a:prstDash val="solid"/>
        </a:ln>
        <a:effectLst/>
      </dgm:spPr>
      <dgm:t>
        <a:bodyPr/>
        <a:lstStyle/>
        <a:p>
          <a:pPr>
            <a:buNone/>
          </a:pPr>
          <a:r>
            <a:rPr lang="en-GB" sz="1200">
              <a:solidFill>
                <a:sysClr val="windowText" lastClr="000000"/>
              </a:solidFill>
              <a:latin typeface="Times New Roman" pitchFamily="18" charset="0"/>
              <a:cs typeface="Times New Roman" pitchFamily="18" charset="0"/>
            </a:rPr>
            <a:t>Phase.3 (Tools for Data Analysis)</a:t>
          </a:r>
          <a:endParaRPr lang="en-US"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3B074816-F984-4165-98C4-BEF5EAE70EAF}" type="parTrans" cxnId="{31F20C24-65A2-4065-90C7-F3B63DB5668A}">
      <dgm:prSet/>
      <dgm:spPr/>
      <dgm:t>
        <a:bodyPr/>
        <a:lstStyle/>
        <a:p>
          <a:endParaRPr lang="en-US"/>
        </a:p>
      </dgm:t>
    </dgm:pt>
    <dgm:pt modelId="{C8D45625-1DA7-48F6-B30C-151BD8FD816D}" type="sibTrans" cxnId="{31F20C24-65A2-4065-90C7-F3B63DB5668A}">
      <dgm:prSet/>
      <dgm:spPr/>
      <dgm:t>
        <a:bodyPr/>
        <a:lstStyle/>
        <a:p>
          <a:endParaRPr lang="en-US"/>
        </a:p>
      </dgm:t>
    </dgm:pt>
    <dgm:pt modelId="{F1FF4534-F9C8-4C9A-8C01-09B7FBF68AAD}" type="pres">
      <dgm:prSet presAssocID="{8F584E6A-31F2-408F-902B-46A11513D9CD}" presName="linear" presStyleCnt="0">
        <dgm:presLayoutVars>
          <dgm:dir/>
          <dgm:animLvl val="lvl"/>
          <dgm:resizeHandles val="exact"/>
        </dgm:presLayoutVars>
      </dgm:prSet>
      <dgm:spPr/>
      <dgm:t>
        <a:bodyPr/>
        <a:lstStyle/>
        <a:p>
          <a:endParaRPr lang="en-US"/>
        </a:p>
      </dgm:t>
    </dgm:pt>
    <dgm:pt modelId="{D0A62FCA-0B26-4593-998F-18149DE33F1A}" type="pres">
      <dgm:prSet presAssocID="{B5ECDA4C-8B85-4076-9EEA-4DAC566639B4}" presName="parentLin" presStyleCnt="0"/>
      <dgm:spPr/>
    </dgm:pt>
    <dgm:pt modelId="{D4E62BDF-E07B-4BE8-AC5A-D550B12F528D}" type="pres">
      <dgm:prSet presAssocID="{B5ECDA4C-8B85-4076-9EEA-4DAC566639B4}" presName="parentLeftMargin" presStyleLbl="node1" presStyleIdx="0" presStyleCnt="4"/>
      <dgm:spPr>
        <a:prstGeom prst="roundRect">
          <a:avLst/>
        </a:prstGeom>
      </dgm:spPr>
      <dgm:t>
        <a:bodyPr/>
        <a:lstStyle/>
        <a:p>
          <a:endParaRPr lang="en-US"/>
        </a:p>
      </dgm:t>
    </dgm:pt>
    <dgm:pt modelId="{36A08A41-5066-440C-AE8C-75ED9384E47B}" type="pres">
      <dgm:prSet presAssocID="{B5ECDA4C-8B85-4076-9EEA-4DAC566639B4}" presName="parentText" presStyleLbl="node1" presStyleIdx="0" presStyleCnt="4" custScaleX="137722">
        <dgm:presLayoutVars>
          <dgm:chMax val="0"/>
          <dgm:bulletEnabled val="1"/>
        </dgm:presLayoutVars>
      </dgm:prSet>
      <dgm:spPr/>
      <dgm:t>
        <a:bodyPr/>
        <a:lstStyle/>
        <a:p>
          <a:endParaRPr lang="en-US"/>
        </a:p>
      </dgm:t>
    </dgm:pt>
    <dgm:pt modelId="{C026A91D-EEB7-47DC-A077-499871407CAE}" type="pres">
      <dgm:prSet presAssocID="{B5ECDA4C-8B85-4076-9EEA-4DAC566639B4}" presName="negativeSpace" presStyleCnt="0"/>
      <dgm:spPr/>
    </dgm:pt>
    <dgm:pt modelId="{37C18A85-0D57-4EFC-8457-AB3EFB13734C}" type="pres">
      <dgm:prSet presAssocID="{B5ECDA4C-8B85-4076-9EEA-4DAC566639B4}" presName="childText" presStyleLbl="conFgAcc1" presStyleIdx="0" presStyleCnt="4">
        <dgm:presLayoutVars>
          <dgm:bulletEnabled val="1"/>
        </dgm:presLayoutVars>
      </dgm:prSet>
      <dgm:spPr>
        <a:xfrm>
          <a:off x="0" y="352979"/>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FD6D1551-ECD9-472A-B4FF-6518665A746A}" type="pres">
      <dgm:prSet presAssocID="{97AF7EC1-F303-4F00-B166-820BD24FD399}" presName="spaceBetweenRectangles" presStyleCnt="0"/>
      <dgm:spPr/>
    </dgm:pt>
    <dgm:pt modelId="{48C1FC53-DD03-4F0F-979D-86160CD287F8}" type="pres">
      <dgm:prSet presAssocID="{4E7F1488-AD79-4506-B3FC-38B843C45B6E}" presName="parentLin" presStyleCnt="0"/>
      <dgm:spPr/>
    </dgm:pt>
    <dgm:pt modelId="{BAB03FC7-6106-4270-88C2-C57AEECFE8A2}" type="pres">
      <dgm:prSet presAssocID="{4E7F1488-AD79-4506-B3FC-38B843C45B6E}" presName="parentLeftMargin" presStyleLbl="node1" presStyleIdx="0" presStyleCnt="4"/>
      <dgm:spPr>
        <a:prstGeom prst="roundRect">
          <a:avLst/>
        </a:prstGeom>
      </dgm:spPr>
      <dgm:t>
        <a:bodyPr/>
        <a:lstStyle/>
        <a:p>
          <a:endParaRPr lang="en-US"/>
        </a:p>
      </dgm:t>
    </dgm:pt>
    <dgm:pt modelId="{3B372F3E-626B-4B24-AB13-B3879C7FD43D}" type="pres">
      <dgm:prSet presAssocID="{4E7F1488-AD79-4506-B3FC-38B843C45B6E}" presName="parentText" presStyleLbl="node1" presStyleIdx="1" presStyleCnt="4" custScaleX="137009">
        <dgm:presLayoutVars>
          <dgm:chMax val="0"/>
          <dgm:bulletEnabled val="1"/>
        </dgm:presLayoutVars>
      </dgm:prSet>
      <dgm:spPr/>
      <dgm:t>
        <a:bodyPr/>
        <a:lstStyle/>
        <a:p>
          <a:endParaRPr lang="en-US"/>
        </a:p>
      </dgm:t>
    </dgm:pt>
    <dgm:pt modelId="{07073D81-9B08-4BA8-9D0F-DD479C4962A8}" type="pres">
      <dgm:prSet presAssocID="{4E7F1488-AD79-4506-B3FC-38B843C45B6E}" presName="negativeSpace" presStyleCnt="0"/>
      <dgm:spPr/>
    </dgm:pt>
    <dgm:pt modelId="{F4622912-1508-48FC-9E49-004A051D94BF}" type="pres">
      <dgm:prSet presAssocID="{4E7F1488-AD79-4506-B3FC-38B843C45B6E}" presName="childText" presStyleLbl="conFgAcc1" presStyleIdx="1" presStyleCnt="4">
        <dgm:presLayoutVars>
          <dgm:bulletEnabled val="1"/>
        </dgm:presLayoutVars>
      </dgm:prSet>
      <dgm:spPr>
        <a:xfrm>
          <a:off x="0" y="942659"/>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D023C435-1C54-4693-8DD0-DDBAE3918681}" type="pres">
      <dgm:prSet presAssocID="{0E563D65-F66F-45AA-A2DD-9CCD47C31092}" presName="spaceBetweenRectangles" presStyleCnt="0"/>
      <dgm:spPr/>
    </dgm:pt>
    <dgm:pt modelId="{0EDC2B1A-4586-485A-AB0A-EF4D8BD57901}" type="pres">
      <dgm:prSet presAssocID="{9B37371C-14D4-46B3-A0F0-3A6228DBC3C6}" presName="parentLin" presStyleCnt="0"/>
      <dgm:spPr/>
    </dgm:pt>
    <dgm:pt modelId="{B0EB84E3-B3BB-44E3-8B6A-E349A4B196D8}" type="pres">
      <dgm:prSet presAssocID="{9B37371C-14D4-46B3-A0F0-3A6228DBC3C6}" presName="parentLeftMargin" presStyleLbl="node1" presStyleIdx="1" presStyleCnt="4"/>
      <dgm:spPr>
        <a:prstGeom prst="roundRect">
          <a:avLst/>
        </a:prstGeom>
      </dgm:spPr>
      <dgm:t>
        <a:bodyPr/>
        <a:lstStyle/>
        <a:p>
          <a:endParaRPr lang="en-US"/>
        </a:p>
      </dgm:t>
    </dgm:pt>
    <dgm:pt modelId="{ED3ECC06-E3CE-4106-9E7E-D38A58325279}" type="pres">
      <dgm:prSet presAssocID="{9B37371C-14D4-46B3-A0F0-3A6228DBC3C6}" presName="parentText" presStyleLbl="node1" presStyleIdx="2" presStyleCnt="4" custScaleX="142857">
        <dgm:presLayoutVars>
          <dgm:chMax val="0"/>
          <dgm:bulletEnabled val="1"/>
        </dgm:presLayoutVars>
      </dgm:prSet>
      <dgm:spPr/>
      <dgm:t>
        <a:bodyPr/>
        <a:lstStyle/>
        <a:p>
          <a:endParaRPr lang="en-US"/>
        </a:p>
      </dgm:t>
    </dgm:pt>
    <dgm:pt modelId="{8E52F711-8746-48BE-B43F-CDDB9C7A1B24}" type="pres">
      <dgm:prSet presAssocID="{9B37371C-14D4-46B3-A0F0-3A6228DBC3C6}" presName="negativeSpace" presStyleCnt="0"/>
      <dgm:spPr/>
    </dgm:pt>
    <dgm:pt modelId="{058F3A22-65F1-478F-826E-46D18D2E1668}" type="pres">
      <dgm:prSet presAssocID="{9B37371C-14D4-46B3-A0F0-3A6228DBC3C6}" presName="childText" presStyleLbl="conFgAcc1" presStyleIdx="2" presStyleCnt="4">
        <dgm:presLayoutVars>
          <dgm:bulletEnabled val="1"/>
        </dgm:presLayoutVars>
      </dgm:prSet>
      <dgm:spPr>
        <a:xfrm>
          <a:off x="0" y="1532340"/>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74146DDA-AF3C-402F-9A79-44F55930C45C}" type="pres">
      <dgm:prSet presAssocID="{2FB28291-6F3B-4786-900B-07ECEA2E4376}" presName="spaceBetweenRectangles" presStyleCnt="0"/>
      <dgm:spPr/>
    </dgm:pt>
    <dgm:pt modelId="{87F07C83-2EBF-486F-BFEE-48E6CD59D851}" type="pres">
      <dgm:prSet presAssocID="{599A2D4F-C549-40B9-809E-35CB6E5DE78F}" presName="parentLin" presStyleCnt="0"/>
      <dgm:spPr/>
    </dgm:pt>
    <dgm:pt modelId="{65B90C1B-8071-4640-A14B-F3882C929628}" type="pres">
      <dgm:prSet presAssocID="{599A2D4F-C549-40B9-809E-35CB6E5DE78F}" presName="parentLeftMargin" presStyleLbl="node1" presStyleIdx="2" presStyleCnt="4"/>
      <dgm:spPr>
        <a:prstGeom prst="roundRect">
          <a:avLst/>
        </a:prstGeom>
      </dgm:spPr>
      <dgm:t>
        <a:bodyPr/>
        <a:lstStyle/>
        <a:p>
          <a:endParaRPr lang="en-US"/>
        </a:p>
      </dgm:t>
    </dgm:pt>
    <dgm:pt modelId="{771D2AD2-0EB6-43FC-BCE6-FDE439172A23}" type="pres">
      <dgm:prSet presAssocID="{599A2D4F-C549-40B9-809E-35CB6E5DE78F}" presName="parentText" presStyleLbl="node1" presStyleIdx="3" presStyleCnt="4" custScaleX="142857">
        <dgm:presLayoutVars>
          <dgm:chMax val="0"/>
          <dgm:bulletEnabled val="1"/>
        </dgm:presLayoutVars>
      </dgm:prSet>
      <dgm:spPr/>
      <dgm:t>
        <a:bodyPr/>
        <a:lstStyle/>
        <a:p>
          <a:endParaRPr lang="en-US"/>
        </a:p>
      </dgm:t>
    </dgm:pt>
    <dgm:pt modelId="{EC4D7B24-15EC-4377-95DF-A25D61D0A5EB}" type="pres">
      <dgm:prSet presAssocID="{599A2D4F-C549-40B9-809E-35CB6E5DE78F}" presName="negativeSpace" presStyleCnt="0"/>
      <dgm:spPr/>
    </dgm:pt>
    <dgm:pt modelId="{AB265D91-033D-4B16-902C-7D0BA9E4C020}" type="pres">
      <dgm:prSet presAssocID="{599A2D4F-C549-40B9-809E-35CB6E5DE78F}" presName="childText" presStyleLbl="conFgAcc1" presStyleIdx="3" presStyleCnt="4">
        <dgm:presLayoutVars>
          <dgm:bulletEnabled val="1"/>
        </dgm:presLayoutVars>
      </dgm:prSet>
      <dgm:spPr>
        <a:xfrm>
          <a:off x="0" y="2122020"/>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Lst>
  <dgm:cxnLst>
    <dgm:cxn modelId="{A8937608-93A0-4965-BC9B-7F2C3D1450CA}" type="presOf" srcId="{8F584E6A-31F2-408F-902B-46A11513D9CD}" destId="{F1FF4534-F9C8-4C9A-8C01-09B7FBF68AAD}" srcOrd="0" destOrd="0" presId="urn:microsoft.com/office/officeart/2005/8/layout/list1"/>
    <dgm:cxn modelId="{B2DF1595-9ED5-4B80-A0F8-3834B4B3F09B}" type="presOf" srcId="{599A2D4F-C549-40B9-809E-35CB6E5DE78F}" destId="{771D2AD2-0EB6-43FC-BCE6-FDE439172A23}" srcOrd="1" destOrd="0" presId="urn:microsoft.com/office/officeart/2005/8/layout/list1"/>
    <dgm:cxn modelId="{D59F572D-4BF6-4287-A069-F4F142153BE5}" srcId="{8F584E6A-31F2-408F-902B-46A11513D9CD}" destId="{B5ECDA4C-8B85-4076-9EEA-4DAC566639B4}" srcOrd="0" destOrd="0" parTransId="{2E5531FB-B32A-491B-A4D6-FBAD2BFB4FFB}" sibTransId="{97AF7EC1-F303-4F00-B166-820BD24FD399}"/>
    <dgm:cxn modelId="{4E39FCE3-1038-4DBE-B804-D00B352452A4}" type="presOf" srcId="{599A2D4F-C549-40B9-809E-35CB6E5DE78F}" destId="{65B90C1B-8071-4640-A14B-F3882C929628}" srcOrd="0" destOrd="0" presId="urn:microsoft.com/office/officeart/2005/8/layout/list1"/>
    <dgm:cxn modelId="{A2B9813A-A244-46B5-A0C1-CCDEE344145E}" type="presOf" srcId="{4E7F1488-AD79-4506-B3FC-38B843C45B6E}" destId="{BAB03FC7-6106-4270-88C2-C57AEECFE8A2}" srcOrd="0" destOrd="0" presId="urn:microsoft.com/office/officeart/2005/8/layout/list1"/>
    <dgm:cxn modelId="{EB480C31-3D91-4B4B-982B-E27E3B2D3EAF}" type="presOf" srcId="{9B37371C-14D4-46B3-A0F0-3A6228DBC3C6}" destId="{B0EB84E3-B3BB-44E3-8B6A-E349A4B196D8}" srcOrd="0" destOrd="0" presId="urn:microsoft.com/office/officeart/2005/8/layout/list1"/>
    <dgm:cxn modelId="{4509EC19-FA7E-44E8-A530-52497A120732}" type="presOf" srcId="{9B37371C-14D4-46B3-A0F0-3A6228DBC3C6}" destId="{ED3ECC06-E3CE-4106-9E7E-D38A58325279}" srcOrd="1" destOrd="0" presId="urn:microsoft.com/office/officeart/2005/8/layout/list1"/>
    <dgm:cxn modelId="{31F20C24-65A2-4065-90C7-F3B63DB5668A}" srcId="{8F584E6A-31F2-408F-902B-46A11513D9CD}" destId="{599A2D4F-C549-40B9-809E-35CB6E5DE78F}" srcOrd="3" destOrd="0" parTransId="{3B074816-F984-4165-98C4-BEF5EAE70EAF}" sibTransId="{C8D45625-1DA7-48F6-B30C-151BD8FD816D}"/>
    <dgm:cxn modelId="{10A2EAC6-93EB-4C68-A4B6-0661D4830255}" type="presOf" srcId="{4E7F1488-AD79-4506-B3FC-38B843C45B6E}" destId="{3B372F3E-626B-4B24-AB13-B3879C7FD43D}" srcOrd="1" destOrd="0" presId="urn:microsoft.com/office/officeart/2005/8/layout/list1"/>
    <dgm:cxn modelId="{96D07EB9-9E85-48E3-9BD5-376D5B99991A}" type="presOf" srcId="{B5ECDA4C-8B85-4076-9EEA-4DAC566639B4}" destId="{D4E62BDF-E07B-4BE8-AC5A-D550B12F528D}" srcOrd="0" destOrd="0" presId="urn:microsoft.com/office/officeart/2005/8/layout/list1"/>
    <dgm:cxn modelId="{4CABD0FA-117C-4EB1-9AD5-2E5E98C30D12}" srcId="{8F584E6A-31F2-408F-902B-46A11513D9CD}" destId="{9B37371C-14D4-46B3-A0F0-3A6228DBC3C6}" srcOrd="2" destOrd="0" parTransId="{AC6A015D-ECED-4C81-ABF8-A04556866484}" sibTransId="{2FB28291-6F3B-4786-900B-07ECEA2E4376}"/>
    <dgm:cxn modelId="{B11A7AB1-5630-4AA2-BE1C-5531E113FCC8}" type="presOf" srcId="{B5ECDA4C-8B85-4076-9EEA-4DAC566639B4}" destId="{36A08A41-5066-440C-AE8C-75ED9384E47B}" srcOrd="1" destOrd="0" presId="urn:microsoft.com/office/officeart/2005/8/layout/list1"/>
    <dgm:cxn modelId="{860ECB82-4E0C-4B3A-8657-BBF43DEB4E12}" srcId="{8F584E6A-31F2-408F-902B-46A11513D9CD}" destId="{4E7F1488-AD79-4506-B3FC-38B843C45B6E}" srcOrd="1" destOrd="0" parTransId="{F5874FA0-30BA-4B1B-B50F-AB72CB47299A}" sibTransId="{0E563D65-F66F-45AA-A2DD-9CCD47C31092}"/>
    <dgm:cxn modelId="{C7542462-F71E-4660-9144-FFD94FBE0D87}" type="presParOf" srcId="{F1FF4534-F9C8-4C9A-8C01-09B7FBF68AAD}" destId="{D0A62FCA-0B26-4593-998F-18149DE33F1A}" srcOrd="0" destOrd="0" presId="urn:microsoft.com/office/officeart/2005/8/layout/list1"/>
    <dgm:cxn modelId="{D770A7FD-D715-4B02-BB9D-96CD26ECA201}" type="presParOf" srcId="{D0A62FCA-0B26-4593-998F-18149DE33F1A}" destId="{D4E62BDF-E07B-4BE8-AC5A-D550B12F528D}" srcOrd="0" destOrd="0" presId="urn:microsoft.com/office/officeart/2005/8/layout/list1"/>
    <dgm:cxn modelId="{6F0DCCFA-1112-48FA-BFBB-2277ABF6354E}" type="presParOf" srcId="{D0A62FCA-0B26-4593-998F-18149DE33F1A}" destId="{36A08A41-5066-440C-AE8C-75ED9384E47B}" srcOrd="1" destOrd="0" presId="urn:microsoft.com/office/officeart/2005/8/layout/list1"/>
    <dgm:cxn modelId="{0604073F-6D98-469E-B404-647B48BD1939}" type="presParOf" srcId="{F1FF4534-F9C8-4C9A-8C01-09B7FBF68AAD}" destId="{C026A91D-EEB7-47DC-A077-499871407CAE}" srcOrd="1" destOrd="0" presId="urn:microsoft.com/office/officeart/2005/8/layout/list1"/>
    <dgm:cxn modelId="{5CD78ADE-2F71-44FA-A4B4-BBB674C4996E}" type="presParOf" srcId="{F1FF4534-F9C8-4C9A-8C01-09B7FBF68AAD}" destId="{37C18A85-0D57-4EFC-8457-AB3EFB13734C}" srcOrd="2" destOrd="0" presId="urn:microsoft.com/office/officeart/2005/8/layout/list1"/>
    <dgm:cxn modelId="{1F85E37D-A0CA-4B1D-81C4-3294998B3D46}" type="presParOf" srcId="{F1FF4534-F9C8-4C9A-8C01-09B7FBF68AAD}" destId="{FD6D1551-ECD9-472A-B4FF-6518665A746A}" srcOrd="3" destOrd="0" presId="urn:microsoft.com/office/officeart/2005/8/layout/list1"/>
    <dgm:cxn modelId="{AADFD52F-FB74-4B3D-AA34-6F2B08494671}" type="presParOf" srcId="{F1FF4534-F9C8-4C9A-8C01-09B7FBF68AAD}" destId="{48C1FC53-DD03-4F0F-979D-86160CD287F8}" srcOrd="4" destOrd="0" presId="urn:microsoft.com/office/officeart/2005/8/layout/list1"/>
    <dgm:cxn modelId="{40EDBB5D-DC92-4DC7-8562-05C2A333DF4E}" type="presParOf" srcId="{48C1FC53-DD03-4F0F-979D-86160CD287F8}" destId="{BAB03FC7-6106-4270-88C2-C57AEECFE8A2}" srcOrd="0" destOrd="0" presId="urn:microsoft.com/office/officeart/2005/8/layout/list1"/>
    <dgm:cxn modelId="{321FA2F9-93E6-400D-AAAA-E476B16D4FF1}" type="presParOf" srcId="{48C1FC53-DD03-4F0F-979D-86160CD287F8}" destId="{3B372F3E-626B-4B24-AB13-B3879C7FD43D}" srcOrd="1" destOrd="0" presId="urn:microsoft.com/office/officeart/2005/8/layout/list1"/>
    <dgm:cxn modelId="{DA16C8A9-A91C-468C-A963-4818E5766BA0}" type="presParOf" srcId="{F1FF4534-F9C8-4C9A-8C01-09B7FBF68AAD}" destId="{07073D81-9B08-4BA8-9D0F-DD479C4962A8}" srcOrd="5" destOrd="0" presId="urn:microsoft.com/office/officeart/2005/8/layout/list1"/>
    <dgm:cxn modelId="{6B72FA7A-8CC2-44B3-B8A3-2269C7BB5C9D}" type="presParOf" srcId="{F1FF4534-F9C8-4C9A-8C01-09B7FBF68AAD}" destId="{F4622912-1508-48FC-9E49-004A051D94BF}" srcOrd="6" destOrd="0" presId="urn:microsoft.com/office/officeart/2005/8/layout/list1"/>
    <dgm:cxn modelId="{83AF35E2-509A-4E42-AA3E-7DC22C83DDB5}" type="presParOf" srcId="{F1FF4534-F9C8-4C9A-8C01-09B7FBF68AAD}" destId="{D023C435-1C54-4693-8DD0-DDBAE3918681}" srcOrd="7" destOrd="0" presId="urn:microsoft.com/office/officeart/2005/8/layout/list1"/>
    <dgm:cxn modelId="{A4B12CAC-E1B6-46BA-B369-9D7E6F0BEED1}" type="presParOf" srcId="{F1FF4534-F9C8-4C9A-8C01-09B7FBF68AAD}" destId="{0EDC2B1A-4586-485A-AB0A-EF4D8BD57901}" srcOrd="8" destOrd="0" presId="urn:microsoft.com/office/officeart/2005/8/layout/list1"/>
    <dgm:cxn modelId="{40D9487E-64D8-41C8-83C7-3F8F49131992}" type="presParOf" srcId="{0EDC2B1A-4586-485A-AB0A-EF4D8BD57901}" destId="{B0EB84E3-B3BB-44E3-8B6A-E349A4B196D8}" srcOrd="0" destOrd="0" presId="urn:microsoft.com/office/officeart/2005/8/layout/list1"/>
    <dgm:cxn modelId="{4F8513DF-8F1E-4FAB-B84B-6F642A48EEA9}" type="presParOf" srcId="{0EDC2B1A-4586-485A-AB0A-EF4D8BD57901}" destId="{ED3ECC06-E3CE-4106-9E7E-D38A58325279}" srcOrd="1" destOrd="0" presId="urn:microsoft.com/office/officeart/2005/8/layout/list1"/>
    <dgm:cxn modelId="{48C8D12C-D0DD-4568-9297-0B4CE02BCA1F}" type="presParOf" srcId="{F1FF4534-F9C8-4C9A-8C01-09B7FBF68AAD}" destId="{8E52F711-8746-48BE-B43F-CDDB9C7A1B24}" srcOrd="9" destOrd="0" presId="urn:microsoft.com/office/officeart/2005/8/layout/list1"/>
    <dgm:cxn modelId="{78A0FF69-0383-4ADC-A3D6-E59DA9CF37C1}" type="presParOf" srcId="{F1FF4534-F9C8-4C9A-8C01-09B7FBF68AAD}" destId="{058F3A22-65F1-478F-826E-46D18D2E1668}" srcOrd="10" destOrd="0" presId="urn:microsoft.com/office/officeart/2005/8/layout/list1"/>
    <dgm:cxn modelId="{5A7E71B8-6EE4-41E0-9D89-E429D6054BFA}" type="presParOf" srcId="{F1FF4534-F9C8-4C9A-8C01-09B7FBF68AAD}" destId="{74146DDA-AF3C-402F-9A79-44F55930C45C}" srcOrd="11" destOrd="0" presId="urn:microsoft.com/office/officeart/2005/8/layout/list1"/>
    <dgm:cxn modelId="{CE352F80-25C4-47A3-8679-BD4C44634B76}" type="presParOf" srcId="{F1FF4534-F9C8-4C9A-8C01-09B7FBF68AAD}" destId="{87F07C83-2EBF-486F-BFEE-48E6CD59D851}" srcOrd="12" destOrd="0" presId="urn:microsoft.com/office/officeart/2005/8/layout/list1"/>
    <dgm:cxn modelId="{772C316B-EA6E-47AE-97AE-D8DAEA962218}" type="presParOf" srcId="{87F07C83-2EBF-486F-BFEE-48E6CD59D851}" destId="{65B90C1B-8071-4640-A14B-F3882C929628}" srcOrd="0" destOrd="0" presId="urn:microsoft.com/office/officeart/2005/8/layout/list1"/>
    <dgm:cxn modelId="{9DF56651-4AA1-40C8-8E43-9E2D78C030F3}" type="presParOf" srcId="{87F07C83-2EBF-486F-BFEE-48E6CD59D851}" destId="{771D2AD2-0EB6-43FC-BCE6-FDE439172A23}" srcOrd="1" destOrd="0" presId="urn:microsoft.com/office/officeart/2005/8/layout/list1"/>
    <dgm:cxn modelId="{7D050293-6589-4C8A-8D4B-C0D579099DA7}" type="presParOf" srcId="{F1FF4534-F9C8-4C9A-8C01-09B7FBF68AAD}" destId="{EC4D7B24-15EC-4377-95DF-A25D61D0A5EB}" srcOrd="13" destOrd="0" presId="urn:microsoft.com/office/officeart/2005/8/layout/list1"/>
    <dgm:cxn modelId="{53181419-6D0F-47C3-8C4C-08C4FFB968FD}" type="presParOf" srcId="{F1FF4534-F9C8-4C9A-8C01-09B7FBF68AAD}" destId="{AB265D91-033D-4B16-902C-7D0BA9E4C020}" srcOrd="14" destOrd="0" presId="urn:microsoft.com/office/officeart/2005/8/layout/lis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F584E6A-31F2-408F-902B-46A11513D9C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B5ECDA4C-8B85-4076-9EEA-4DAC566639B4}">
      <dgm:prSet phldrT="[Text]" custT="1"/>
      <dgm:spPr>
        <a:xfrm>
          <a:off x="274320" y="161099"/>
          <a:ext cx="3840480" cy="383760"/>
        </a:xfrm>
        <a:solidFill>
          <a:sysClr val="window" lastClr="FFFFFF"/>
        </a:solidFill>
        <a:ln w="9525" cap="flat" cmpd="sng" algn="ctr">
          <a:solidFill>
            <a:sysClr val="windowText" lastClr="000000"/>
          </a:solidFill>
          <a:prstDash val="solid"/>
        </a:ln>
        <a:effectLst/>
      </dgm:spPr>
      <dgm:t>
        <a:bodyPr/>
        <a:lstStyle/>
        <a:p>
          <a:pPr>
            <a:buNone/>
          </a:pPr>
          <a:r>
            <a:rPr lang="en-US" sz="1300" b="0">
              <a:solidFill>
                <a:sysClr val="windowText" lastClr="000000"/>
              </a:solidFill>
              <a:latin typeface="Times New Roman" pitchFamily="18" charset="0"/>
              <a:cs typeface="Times New Roman" pitchFamily="18" charset="0"/>
            </a:rPr>
            <a:t>Qualitative Analysis (Tematic and Commonality Approach)</a:t>
          </a:r>
          <a:endParaRPr lang="en-US" sz="1300">
            <a:solidFill>
              <a:sysClr val="windowText" lastClr="000000"/>
            </a:solidFill>
            <a:latin typeface="Times New Roman" panose="02020603050405020304" pitchFamily="18" charset="0"/>
            <a:ea typeface="+mn-ea"/>
            <a:cs typeface="Times New Roman" panose="02020603050405020304" pitchFamily="18" charset="0"/>
          </a:endParaRPr>
        </a:p>
      </dgm:t>
    </dgm:pt>
    <dgm:pt modelId="{2E5531FB-B32A-491B-A4D6-FBAD2BFB4FFB}" type="parTrans" cxnId="{D59F572D-4BF6-4287-A069-F4F142153BE5}">
      <dgm:prSet/>
      <dgm:spPr/>
      <dgm:t>
        <a:bodyPr/>
        <a:lstStyle/>
        <a:p>
          <a:endParaRPr lang="en-US"/>
        </a:p>
      </dgm:t>
    </dgm:pt>
    <dgm:pt modelId="{97AF7EC1-F303-4F00-B166-820BD24FD399}" type="sibTrans" cxnId="{D59F572D-4BF6-4287-A069-F4F142153BE5}">
      <dgm:prSet/>
      <dgm:spPr/>
      <dgm:t>
        <a:bodyPr/>
        <a:lstStyle/>
        <a:p>
          <a:endParaRPr lang="en-US"/>
        </a:p>
      </dgm:t>
    </dgm:pt>
    <dgm:pt modelId="{4E7F1488-AD79-4506-B3FC-38B843C45B6E}">
      <dgm:prSet phldrT="[Text]" custT="1"/>
      <dgm:spPr>
        <a:xfrm>
          <a:off x="274320" y="1340460"/>
          <a:ext cx="3840480" cy="383760"/>
        </a:xfrm>
        <a:solidFill>
          <a:sysClr val="window" lastClr="FFFFFF"/>
        </a:solidFill>
        <a:ln w="9525" cap="flat" cmpd="sng" algn="ctr">
          <a:solidFill>
            <a:sysClr val="windowText" lastClr="000000"/>
          </a:solidFill>
          <a:prstDash val="solid"/>
        </a:ln>
        <a:effectLst/>
      </dgm:spPr>
      <dgm:t>
        <a:bodyPr/>
        <a:lstStyle/>
        <a:p>
          <a:pPr>
            <a:buNone/>
          </a:pPr>
          <a:r>
            <a:rPr lang="en-US" sz="1200">
              <a:solidFill>
                <a:sysClr val="windowText" lastClr="000000"/>
              </a:solidFill>
              <a:latin typeface="Times New Roman" panose="02020603050405020304" pitchFamily="18" charset="0"/>
              <a:ea typeface="+mn-ea"/>
              <a:cs typeface="Times New Roman" panose="02020603050405020304" pitchFamily="18" charset="0"/>
            </a:rPr>
            <a:t>Tests for Assumptions</a:t>
          </a:r>
          <a:endParaRPr lang="en-US"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F5874FA0-30BA-4B1B-B50F-AB72CB47299A}" type="parTrans" cxnId="{860ECB82-4E0C-4B3A-8657-BBF43DEB4E12}">
      <dgm:prSet/>
      <dgm:spPr/>
      <dgm:t>
        <a:bodyPr/>
        <a:lstStyle/>
        <a:p>
          <a:endParaRPr lang="en-US"/>
        </a:p>
      </dgm:t>
    </dgm:pt>
    <dgm:pt modelId="{0E563D65-F66F-45AA-A2DD-9CCD47C31092}" type="sibTrans" cxnId="{860ECB82-4E0C-4B3A-8657-BBF43DEB4E12}">
      <dgm:prSet/>
      <dgm:spPr/>
      <dgm:t>
        <a:bodyPr/>
        <a:lstStyle/>
        <a:p>
          <a:endParaRPr lang="en-US"/>
        </a:p>
      </dgm:t>
    </dgm:pt>
    <dgm:pt modelId="{9B37371C-14D4-46B3-A0F0-3A6228DBC3C6}">
      <dgm:prSet phldrT="[Text]" custT="1"/>
      <dgm:spPr>
        <a:xfrm>
          <a:off x="274320" y="1340460"/>
          <a:ext cx="3840480" cy="383760"/>
        </a:xfrm>
        <a:solidFill>
          <a:sysClr val="window" lastClr="FFFFFF"/>
        </a:solidFill>
        <a:ln w="9525" cap="flat" cmpd="sng" algn="ctr">
          <a:solidFill>
            <a:sysClr val="windowText" lastClr="000000"/>
          </a:solidFill>
          <a:prstDash val="solid"/>
        </a:ln>
        <a:effectLst/>
      </dgm:spPr>
      <dgm:t>
        <a:bodyPr/>
        <a:lstStyle/>
        <a:p>
          <a:pPr>
            <a:buNone/>
          </a:pPr>
          <a:r>
            <a:rPr lang="en-US" sz="1200">
              <a:solidFill>
                <a:sysClr val="windowText" lastClr="000000"/>
              </a:solidFill>
              <a:latin typeface="Times New Roman" panose="02020603050405020304" pitchFamily="18" charset="0"/>
              <a:ea typeface="+mn-ea"/>
              <a:cs typeface="Times New Roman" panose="02020603050405020304" pitchFamily="18" charset="0"/>
            </a:rPr>
            <a:t>Exploratory Factor Analysis (EFA)</a:t>
          </a:r>
          <a:r>
            <a:rPr lang="en-GB" sz="1200">
              <a:solidFill>
                <a:sysClr val="windowText" lastClr="000000"/>
              </a:solidFill>
              <a:latin typeface="Times New Roman" pitchFamily="18" charset="0"/>
              <a:cs typeface="Times New Roman" pitchFamily="18" charset="0"/>
            </a:rPr>
            <a:t>.</a:t>
          </a:r>
          <a:endParaRPr lang="en-US" sz="1400">
            <a:solidFill>
              <a:sysClr val="windowText" lastClr="000000"/>
            </a:solidFill>
            <a:latin typeface="Times New Roman" pitchFamily="18" charset="0"/>
            <a:ea typeface="+mn-ea"/>
            <a:cs typeface="Times New Roman" pitchFamily="18" charset="0"/>
          </a:endParaRPr>
        </a:p>
      </dgm:t>
    </dgm:pt>
    <dgm:pt modelId="{AC6A015D-ECED-4C81-ABF8-A04556866484}" type="parTrans" cxnId="{4CABD0FA-117C-4EB1-9AD5-2E5E98C30D12}">
      <dgm:prSet/>
      <dgm:spPr/>
      <dgm:t>
        <a:bodyPr/>
        <a:lstStyle/>
        <a:p>
          <a:endParaRPr lang="en-US"/>
        </a:p>
      </dgm:t>
    </dgm:pt>
    <dgm:pt modelId="{2FB28291-6F3B-4786-900B-07ECEA2E4376}" type="sibTrans" cxnId="{4CABD0FA-117C-4EB1-9AD5-2E5E98C30D12}">
      <dgm:prSet/>
      <dgm:spPr/>
      <dgm:t>
        <a:bodyPr/>
        <a:lstStyle/>
        <a:p>
          <a:endParaRPr lang="en-US"/>
        </a:p>
      </dgm:t>
    </dgm:pt>
    <dgm:pt modelId="{DA06492D-8A13-4F8F-85F0-2ABDF66DA898}">
      <dgm:prSet custT="1"/>
      <dgm:spPr>
        <a:xfrm>
          <a:off x="274320" y="2519820"/>
          <a:ext cx="3840480" cy="383760"/>
        </a:xfrm>
        <a:solidFill>
          <a:sysClr val="window" lastClr="FFFFFF"/>
        </a:solidFill>
        <a:ln w="9525" cap="flat" cmpd="sng" algn="ctr">
          <a:solidFill>
            <a:sysClr val="windowText" lastClr="000000"/>
          </a:solidFill>
          <a:prstDash val="solid"/>
        </a:ln>
        <a:effectLst/>
      </dgm:spPr>
      <dgm:t>
        <a:bodyPr/>
        <a:lstStyle/>
        <a:p>
          <a:pPr>
            <a:buNone/>
          </a:pPr>
          <a:r>
            <a:rPr lang="en-GB" sz="1200" b="0">
              <a:solidFill>
                <a:sysClr val="windowText" lastClr="000000"/>
              </a:solidFill>
              <a:latin typeface="Times New Roman" panose="02020603050405020304" pitchFamily="18" charset="0"/>
              <a:ea typeface="+mn-ea"/>
              <a:cs typeface="Times New Roman" panose="02020603050405020304" pitchFamily="18" charset="0"/>
            </a:rPr>
            <a:t>Confirmatory factor analysis (CFA)</a:t>
          </a:r>
          <a:endParaRPr lang="en-US"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6FB53C4E-41F8-4FA5-9551-09C39011D6D8}" type="sibTrans" cxnId="{FCACA8C7-D2BD-42A4-A0C9-A80AED72C97E}">
      <dgm:prSet/>
      <dgm:spPr/>
      <dgm:t>
        <a:bodyPr/>
        <a:lstStyle/>
        <a:p>
          <a:endParaRPr lang="en-US"/>
        </a:p>
      </dgm:t>
    </dgm:pt>
    <dgm:pt modelId="{5BA86BB1-3451-4F48-B193-3DA64F2F9724}" type="parTrans" cxnId="{FCACA8C7-D2BD-42A4-A0C9-A80AED72C97E}">
      <dgm:prSet/>
      <dgm:spPr/>
      <dgm:t>
        <a:bodyPr/>
        <a:lstStyle/>
        <a:p>
          <a:endParaRPr lang="en-US"/>
        </a:p>
      </dgm:t>
    </dgm:pt>
    <dgm:pt modelId="{599A2D4F-C549-40B9-809E-35CB6E5DE78F}">
      <dgm:prSet custT="1"/>
      <dgm:spPr>
        <a:xfrm>
          <a:off x="274320" y="1930140"/>
          <a:ext cx="3840480" cy="383760"/>
        </a:xfrm>
        <a:solidFill>
          <a:sysClr val="window" lastClr="FFFFFF"/>
        </a:solidFill>
        <a:ln w="9525" cap="flat" cmpd="sng" algn="ctr">
          <a:solidFill>
            <a:sysClr val="windowText" lastClr="000000"/>
          </a:solidFill>
          <a:prstDash val="solid"/>
        </a:ln>
        <a:effectLst/>
      </dgm:spPr>
      <dgm:t>
        <a:bodyPr/>
        <a:lstStyle/>
        <a:p>
          <a:pPr>
            <a:buNone/>
          </a:pPr>
          <a:r>
            <a:rPr lang="en-GB" sz="1200" b="0">
              <a:solidFill>
                <a:sysClr val="windowText" lastClr="000000"/>
              </a:solidFill>
              <a:latin typeface="Times New Roman" panose="02020603050405020304" pitchFamily="18" charset="0"/>
              <a:ea typeface="+mn-ea"/>
              <a:cs typeface="Times New Roman" panose="02020603050405020304" pitchFamily="18" charset="0"/>
            </a:rPr>
            <a:t>Internal consistency and content validity</a:t>
          </a:r>
          <a:endParaRPr lang="en-US"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3B074816-F984-4165-98C4-BEF5EAE70EAF}" type="parTrans" cxnId="{31F20C24-65A2-4065-90C7-F3B63DB5668A}">
      <dgm:prSet/>
      <dgm:spPr/>
      <dgm:t>
        <a:bodyPr/>
        <a:lstStyle/>
        <a:p>
          <a:endParaRPr lang="en-US"/>
        </a:p>
      </dgm:t>
    </dgm:pt>
    <dgm:pt modelId="{C8D45625-1DA7-48F6-B30C-151BD8FD816D}" type="sibTrans" cxnId="{31F20C24-65A2-4065-90C7-F3B63DB5668A}">
      <dgm:prSet/>
      <dgm:spPr/>
      <dgm:t>
        <a:bodyPr/>
        <a:lstStyle/>
        <a:p>
          <a:endParaRPr lang="en-US"/>
        </a:p>
      </dgm:t>
    </dgm:pt>
    <dgm:pt modelId="{F1FF4534-F9C8-4C9A-8C01-09B7FBF68AAD}" type="pres">
      <dgm:prSet presAssocID="{8F584E6A-31F2-408F-902B-46A11513D9CD}" presName="linear" presStyleCnt="0">
        <dgm:presLayoutVars>
          <dgm:dir/>
          <dgm:animLvl val="lvl"/>
          <dgm:resizeHandles val="exact"/>
        </dgm:presLayoutVars>
      </dgm:prSet>
      <dgm:spPr/>
      <dgm:t>
        <a:bodyPr/>
        <a:lstStyle/>
        <a:p>
          <a:endParaRPr lang="en-US"/>
        </a:p>
      </dgm:t>
    </dgm:pt>
    <dgm:pt modelId="{D0A62FCA-0B26-4593-998F-18149DE33F1A}" type="pres">
      <dgm:prSet presAssocID="{B5ECDA4C-8B85-4076-9EEA-4DAC566639B4}" presName="parentLin" presStyleCnt="0"/>
      <dgm:spPr/>
    </dgm:pt>
    <dgm:pt modelId="{D4E62BDF-E07B-4BE8-AC5A-D550B12F528D}" type="pres">
      <dgm:prSet presAssocID="{B5ECDA4C-8B85-4076-9EEA-4DAC566639B4}" presName="parentLeftMargin" presStyleLbl="node1" presStyleIdx="0" presStyleCnt="5"/>
      <dgm:spPr>
        <a:prstGeom prst="roundRect">
          <a:avLst/>
        </a:prstGeom>
      </dgm:spPr>
      <dgm:t>
        <a:bodyPr/>
        <a:lstStyle/>
        <a:p>
          <a:endParaRPr lang="en-US"/>
        </a:p>
      </dgm:t>
    </dgm:pt>
    <dgm:pt modelId="{36A08A41-5066-440C-AE8C-75ED9384E47B}" type="pres">
      <dgm:prSet presAssocID="{B5ECDA4C-8B85-4076-9EEA-4DAC566639B4}" presName="parentText" presStyleLbl="node1" presStyleIdx="0" presStyleCnt="5" custScaleX="137722">
        <dgm:presLayoutVars>
          <dgm:chMax val="0"/>
          <dgm:bulletEnabled val="1"/>
        </dgm:presLayoutVars>
      </dgm:prSet>
      <dgm:spPr/>
      <dgm:t>
        <a:bodyPr/>
        <a:lstStyle/>
        <a:p>
          <a:endParaRPr lang="en-US"/>
        </a:p>
      </dgm:t>
    </dgm:pt>
    <dgm:pt modelId="{C026A91D-EEB7-47DC-A077-499871407CAE}" type="pres">
      <dgm:prSet presAssocID="{B5ECDA4C-8B85-4076-9EEA-4DAC566639B4}" presName="negativeSpace" presStyleCnt="0"/>
      <dgm:spPr/>
    </dgm:pt>
    <dgm:pt modelId="{37C18A85-0D57-4EFC-8457-AB3EFB13734C}" type="pres">
      <dgm:prSet presAssocID="{B5ECDA4C-8B85-4076-9EEA-4DAC566639B4}" presName="childText" presStyleLbl="conFgAcc1" presStyleIdx="0" presStyleCnt="5">
        <dgm:presLayoutVars>
          <dgm:bulletEnabled val="1"/>
        </dgm:presLayoutVars>
      </dgm:prSet>
      <dgm:spPr>
        <a:xfrm>
          <a:off x="0" y="352979"/>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FD6D1551-ECD9-472A-B4FF-6518665A746A}" type="pres">
      <dgm:prSet presAssocID="{97AF7EC1-F303-4F00-B166-820BD24FD399}" presName="spaceBetweenRectangles" presStyleCnt="0"/>
      <dgm:spPr/>
    </dgm:pt>
    <dgm:pt modelId="{48C1FC53-DD03-4F0F-979D-86160CD287F8}" type="pres">
      <dgm:prSet presAssocID="{4E7F1488-AD79-4506-B3FC-38B843C45B6E}" presName="parentLin" presStyleCnt="0"/>
      <dgm:spPr/>
    </dgm:pt>
    <dgm:pt modelId="{BAB03FC7-6106-4270-88C2-C57AEECFE8A2}" type="pres">
      <dgm:prSet presAssocID="{4E7F1488-AD79-4506-B3FC-38B843C45B6E}" presName="parentLeftMargin" presStyleLbl="node1" presStyleIdx="0" presStyleCnt="5"/>
      <dgm:spPr>
        <a:prstGeom prst="roundRect">
          <a:avLst/>
        </a:prstGeom>
      </dgm:spPr>
      <dgm:t>
        <a:bodyPr/>
        <a:lstStyle/>
        <a:p>
          <a:endParaRPr lang="en-US"/>
        </a:p>
      </dgm:t>
    </dgm:pt>
    <dgm:pt modelId="{3B372F3E-626B-4B24-AB13-B3879C7FD43D}" type="pres">
      <dgm:prSet presAssocID="{4E7F1488-AD79-4506-B3FC-38B843C45B6E}" presName="parentText" presStyleLbl="node1" presStyleIdx="1" presStyleCnt="5" custScaleX="142857">
        <dgm:presLayoutVars>
          <dgm:chMax val="0"/>
          <dgm:bulletEnabled val="1"/>
        </dgm:presLayoutVars>
      </dgm:prSet>
      <dgm:spPr/>
      <dgm:t>
        <a:bodyPr/>
        <a:lstStyle/>
        <a:p>
          <a:endParaRPr lang="en-US"/>
        </a:p>
      </dgm:t>
    </dgm:pt>
    <dgm:pt modelId="{07073D81-9B08-4BA8-9D0F-DD479C4962A8}" type="pres">
      <dgm:prSet presAssocID="{4E7F1488-AD79-4506-B3FC-38B843C45B6E}" presName="negativeSpace" presStyleCnt="0"/>
      <dgm:spPr/>
    </dgm:pt>
    <dgm:pt modelId="{F4622912-1508-48FC-9E49-004A051D94BF}" type="pres">
      <dgm:prSet presAssocID="{4E7F1488-AD79-4506-B3FC-38B843C45B6E}" presName="childText" presStyleLbl="conFgAcc1" presStyleIdx="1" presStyleCnt="5">
        <dgm:presLayoutVars>
          <dgm:bulletEnabled val="1"/>
        </dgm:presLayoutVars>
      </dgm:prSet>
      <dgm:spPr>
        <a:xfrm>
          <a:off x="0" y="942659"/>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D023C435-1C54-4693-8DD0-DDBAE3918681}" type="pres">
      <dgm:prSet presAssocID="{0E563D65-F66F-45AA-A2DD-9CCD47C31092}" presName="spaceBetweenRectangles" presStyleCnt="0"/>
      <dgm:spPr/>
    </dgm:pt>
    <dgm:pt modelId="{0EDC2B1A-4586-485A-AB0A-EF4D8BD57901}" type="pres">
      <dgm:prSet presAssocID="{9B37371C-14D4-46B3-A0F0-3A6228DBC3C6}" presName="parentLin" presStyleCnt="0"/>
      <dgm:spPr/>
    </dgm:pt>
    <dgm:pt modelId="{B0EB84E3-B3BB-44E3-8B6A-E349A4B196D8}" type="pres">
      <dgm:prSet presAssocID="{9B37371C-14D4-46B3-A0F0-3A6228DBC3C6}" presName="parentLeftMargin" presStyleLbl="node1" presStyleIdx="1" presStyleCnt="5"/>
      <dgm:spPr>
        <a:prstGeom prst="roundRect">
          <a:avLst/>
        </a:prstGeom>
      </dgm:spPr>
      <dgm:t>
        <a:bodyPr/>
        <a:lstStyle/>
        <a:p>
          <a:endParaRPr lang="en-US"/>
        </a:p>
      </dgm:t>
    </dgm:pt>
    <dgm:pt modelId="{ED3ECC06-E3CE-4106-9E7E-D38A58325279}" type="pres">
      <dgm:prSet presAssocID="{9B37371C-14D4-46B3-A0F0-3A6228DBC3C6}" presName="parentText" presStyleLbl="node1" presStyleIdx="2" presStyleCnt="5" custScaleX="142857">
        <dgm:presLayoutVars>
          <dgm:chMax val="0"/>
          <dgm:bulletEnabled val="1"/>
        </dgm:presLayoutVars>
      </dgm:prSet>
      <dgm:spPr/>
      <dgm:t>
        <a:bodyPr/>
        <a:lstStyle/>
        <a:p>
          <a:endParaRPr lang="en-US"/>
        </a:p>
      </dgm:t>
    </dgm:pt>
    <dgm:pt modelId="{8E52F711-8746-48BE-B43F-CDDB9C7A1B24}" type="pres">
      <dgm:prSet presAssocID="{9B37371C-14D4-46B3-A0F0-3A6228DBC3C6}" presName="negativeSpace" presStyleCnt="0"/>
      <dgm:spPr/>
    </dgm:pt>
    <dgm:pt modelId="{058F3A22-65F1-478F-826E-46D18D2E1668}" type="pres">
      <dgm:prSet presAssocID="{9B37371C-14D4-46B3-A0F0-3A6228DBC3C6}" presName="childText" presStyleLbl="conFgAcc1" presStyleIdx="2" presStyleCnt="5">
        <dgm:presLayoutVars>
          <dgm:bulletEnabled val="1"/>
        </dgm:presLayoutVars>
      </dgm:prSet>
      <dgm:spPr>
        <a:xfrm>
          <a:off x="0" y="1532340"/>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74146DDA-AF3C-402F-9A79-44F55930C45C}" type="pres">
      <dgm:prSet presAssocID="{2FB28291-6F3B-4786-900B-07ECEA2E4376}" presName="spaceBetweenRectangles" presStyleCnt="0"/>
      <dgm:spPr/>
    </dgm:pt>
    <dgm:pt modelId="{87F07C83-2EBF-486F-BFEE-48E6CD59D851}" type="pres">
      <dgm:prSet presAssocID="{599A2D4F-C549-40B9-809E-35CB6E5DE78F}" presName="parentLin" presStyleCnt="0"/>
      <dgm:spPr/>
    </dgm:pt>
    <dgm:pt modelId="{65B90C1B-8071-4640-A14B-F3882C929628}" type="pres">
      <dgm:prSet presAssocID="{599A2D4F-C549-40B9-809E-35CB6E5DE78F}" presName="parentLeftMargin" presStyleLbl="node1" presStyleIdx="2" presStyleCnt="5"/>
      <dgm:spPr>
        <a:prstGeom prst="roundRect">
          <a:avLst/>
        </a:prstGeom>
      </dgm:spPr>
      <dgm:t>
        <a:bodyPr/>
        <a:lstStyle/>
        <a:p>
          <a:endParaRPr lang="en-US"/>
        </a:p>
      </dgm:t>
    </dgm:pt>
    <dgm:pt modelId="{771D2AD2-0EB6-43FC-BCE6-FDE439172A23}" type="pres">
      <dgm:prSet presAssocID="{599A2D4F-C549-40B9-809E-35CB6E5DE78F}" presName="parentText" presStyleLbl="node1" presStyleIdx="3" presStyleCnt="5" custScaleX="142857">
        <dgm:presLayoutVars>
          <dgm:chMax val="0"/>
          <dgm:bulletEnabled val="1"/>
        </dgm:presLayoutVars>
      </dgm:prSet>
      <dgm:spPr/>
      <dgm:t>
        <a:bodyPr/>
        <a:lstStyle/>
        <a:p>
          <a:endParaRPr lang="en-US"/>
        </a:p>
      </dgm:t>
    </dgm:pt>
    <dgm:pt modelId="{EC4D7B24-15EC-4377-95DF-A25D61D0A5EB}" type="pres">
      <dgm:prSet presAssocID="{599A2D4F-C549-40B9-809E-35CB6E5DE78F}" presName="negativeSpace" presStyleCnt="0"/>
      <dgm:spPr/>
    </dgm:pt>
    <dgm:pt modelId="{AB265D91-033D-4B16-902C-7D0BA9E4C020}" type="pres">
      <dgm:prSet presAssocID="{599A2D4F-C549-40B9-809E-35CB6E5DE78F}" presName="childText" presStyleLbl="conFgAcc1" presStyleIdx="3" presStyleCnt="5">
        <dgm:presLayoutVars>
          <dgm:bulletEnabled val="1"/>
        </dgm:presLayoutVars>
      </dgm:prSet>
      <dgm:spPr>
        <a:xfrm>
          <a:off x="0" y="2122020"/>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C98DD4B9-60AE-40C1-8E4A-6741BF9B5AC7}" type="pres">
      <dgm:prSet presAssocID="{C8D45625-1DA7-48F6-B30C-151BD8FD816D}" presName="spaceBetweenRectangles" presStyleCnt="0"/>
      <dgm:spPr/>
    </dgm:pt>
    <dgm:pt modelId="{6DFAA575-76C0-45B9-97EE-4F352FEAD42C}" type="pres">
      <dgm:prSet presAssocID="{DA06492D-8A13-4F8F-85F0-2ABDF66DA898}" presName="parentLin" presStyleCnt="0"/>
      <dgm:spPr/>
    </dgm:pt>
    <dgm:pt modelId="{39EE6039-29CD-4FF0-B703-97B813E0A805}" type="pres">
      <dgm:prSet presAssocID="{DA06492D-8A13-4F8F-85F0-2ABDF66DA898}" presName="parentLeftMargin" presStyleLbl="node1" presStyleIdx="3" presStyleCnt="5"/>
      <dgm:spPr>
        <a:prstGeom prst="roundRect">
          <a:avLst/>
        </a:prstGeom>
      </dgm:spPr>
      <dgm:t>
        <a:bodyPr/>
        <a:lstStyle/>
        <a:p>
          <a:endParaRPr lang="en-US"/>
        </a:p>
      </dgm:t>
    </dgm:pt>
    <dgm:pt modelId="{7DB24665-8B30-484F-9F8F-455EC35F9CCC}" type="pres">
      <dgm:prSet presAssocID="{DA06492D-8A13-4F8F-85F0-2ABDF66DA898}" presName="parentText" presStyleLbl="node1" presStyleIdx="4" presStyleCnt="5" custScaleX="142857">
        <dgm:presLayoutVars>
          <dgm:chMax val="0"/>
          <dgm:bulletEnabled val="1"/>
        </dgm:presLayoutVars>
      </dgm:prSet>
      <dgm:spPr/>
      <dgm:t>
        <a:bodyPr/>
        <a:lstStyle/>
        <a:p>
          <a:endParaRPr lang="en-US"/>
        </a:p>
      </dgm:t>
    </dgm:pt>
    <dgm:pt modelId="{9EA4AD56-3C2B-4242-B1DA-E1C16A879926}" type="pres">
      <dgm:prSet presAssocID="{DA06492D-8A13-4F8F-85F0-2ABDF66DA898}" presName="negativeSpace" presStyleCnt="0"/>
      <dgm:spPr/>
    </dgm:pt>
    <dgm:pt modelId="{B88E887B-362E-4EED-B256-9D110BD1EF10}" type="pres">
      <dgm:prSet presAssocID="{DA06492D-8A13-4F8F-85F0-2ABDF66DA898}" presName="childText" presStyleLbl="conFgAcc1" presStyleIdx="4" presStyleCnt="5">
        <dgm:presLayoutVars>
          <dgm:bulletEnabled val="1"/>
        </dgm:presLayoutVars>
      </dgm:prSet>
      <dgm:spPr>
        <a:xfrm>
          <a:off x="0" y="2711700"/>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Lst>
  <dgm:cxnLst>
    <dgm:cxn modelId="{16807231-EF49-4C7C-8875-2EB9DCF2D0A7}" type="presOf" srcId="{9B37371C-14D4-46B3-A0F0-3A6228DBC3C6}" destId="{ED3ECC06-E3CE-4106-9E7E-D38A58325279}" srcOrd="1" destOrd="0" presId="urn:microsoft.com/office/officeart/2005/8/layout/list1"/>
    <dgm:cxn modelId="{84499691-EF22-4C75-8B18-D9CDAC4C7AB6}" type="presOf" srcId="{9B37371C-14D4-46B3-A0F0-3A6228DBC3C6}" destId="{B0EB84E3-B3BB-44E3-8B6A-E349A4B196D8}" srcOrd="0" destOrd="0" presId="urn:microsoft.com/office/officeart/2005/8/layout/list1"/>
    <dgm:cxn modelId="{4CABD0FA-117C-4EB1-9AD5-2E5E98C30D12}" srcId="{8F584E6A-31F2-408F-902B-46A11513D9CD}" destId="{9B37371C-14D4-46B3-A0F0-3A6228DBC3C6}" srcOrd="2" destOrd="0" parTransId="{AC6A015D-ECED-4C81-ABF8-A04556866484}" sibTransId="{2FB28291-6F3B-4786-900B-07ECEA2E4376}"/>
    <dgm:cxn modelId="{0719F741-267E-4D70-8224-36FDCD12F895}" type="presOf" srcId="{DA06492D-8A13-4F8F-85F0-2ABDF66DA898}" destId="{7DB24665-8B30-484F-9F8F-455EC35F9CCC}" srcOrd="1" destOrd="0" presId="urn:microsoft.com/office/officeart/2005/8/layout/list1"/>
    <dgm:cxn modelId="{FCACA8C7-D2BD-42A4-A0C9-A80AED72C97E}" srcId="{8F584E6A-31F2-408F-902B-46A11513D9CD}" destId="{DA06492D-8A13-4F8F-85F0-2ABDF66DA898}" srcOrd="4" destOrd="0" parTransId="{5BA86BB1-3451-4F48-B193-3DA64F2F9724}" sibTransId="{6FB53C4E-41F8-4FA5-9551-09C39011D6D8}"/>
    <dgm:cxn modelId="{D59F572D-4BF6-4287-A069-F4F142153BE5}" srcId="{8F584E6A-31F2-408F-902B-46A11513D9CD}" destId="{B5ECDA4C-8B85-4076-9EEA-4DAC566639B4}" srcOrd="0" destOrd="0" parTransId="{2E5531FB-B32A-491B-A4D6-FBAD2BFB4FFB}" sibTransId="{97AF7EC1-F303-4F00-B166-820BD24FD399}"/>
    <dgm:cxn modelId="{BA73831A-D576-41EE-8C46-4067523C29FA}" type="presOf" srcId="{8F584E6A-31F2-408F-902B-46A11513D9CD}" destId="{F1FF4534-F9C8-4C9A-8C01-09B7FBF68AAD}" srcOrd="0" destOrd="0" presId="urn:microsoft.com/office/officeart/2005/8/layout/list1"/>
    <dgm:cxn modelId="{86D574E7-3A1C-4169-9366-6420BE853526}" type="presOf" srcId="{599A2D4F-C549-40B9-809E-35CB6E5DE78F}" destId="{65B90C1B-8071-4640-A14B-F3882C929628}" srcOrd="0" destOrd="0" presId="urn:microsoft.com/office/officeart/2005/8/layout/list1"/>
    <dgm:cxn modelId="{31F20C24-65A2-4065-90C7-F3B63DB5668A}" srcId="{8F584E6A-31F2-408F-902B-46A11513D9CD}" destId="{599A2D4F-C549-40B9-809E-35CB6E5DE78F}" srcOrd="3" destOrd="0" parTransId="{3B074816-F984-4165-98C4-BEF5EAE70EAF}" sibTransId="{C8D45625-1DA7-48F6-B30C-151BD8FD816D}"/>
    <dgm:cxn modelId="{D329602F-797A-4982-A2C8-22D7C99C1963}" type="presOf" srcId="{B5ECDA4C-8B85-4076-9EEA-4DAC566639B4}" destId="{D4E62BDF-E07B-4BE8-AC5A-D550B12F528D}" srcOrd="0" destOrd="0" presId="urn:microsoft.com/office/officeart/2005/8/layout/list1"/>
    <dgm:cxn modelId="{20FB7563-4D03-423D-9F2F-B21E4B09CD3E}" type="presOf" srcId="{4E7F1488-AD79-4506-B3FC-38B843C45B6E}" destId="{3B372F3E-626B-4B24-AB13-B3879C7FD43D}" srcOrd="1" destOrd="0" presId="urn:microsoft.com/office/officeart/2005/8/layout/list1"/>
    <dgm:cxn modelId="{860ECB82-4E0C-4B3A-8657-BBF43DEB4E12}" srcId="{8F584E6A-31F2-408F-902B-46A11513D9CD}" destId="{4E7F1488-AD79-4506-B3FC-38B843C45B6E}" srcOrd="1" destOrd="0" parTransId="{F5874FA0-30BA-4B1B-B50F-AB72CB47299A}" sibTransId="{0E563D65-F66F-45AA-A2DD-9CCD47C31092}"/>
    <dgm:cxn modelId="{F4B94F89-F9E6-4867-B9D9-1B184FBEEA16}" type="presOf" srcId="{4E7F1488-AD79-4506-B3FC-38B843C45B6E}" destId="{BAB03FC7-6106-4270-88C2-C57AEECFE8A2}" srcOrd="0" destOrd="0" presId="urn:microsoft.com/office/officeart/2005/8/layout/list1"/>
    <dgm:cxn modelId="{5351B2D1-8D48-46DA-A5F9-49E71278D1CA}" type="presOf" srcId="{599A2D4F-C549-40B9-809E-35CB6E5DE78F}" destId="{771D2AD2-0EB6-43FC-BCE6-FDE439172A23}" srcOrd="1" destOrd="0" presId="urn:microsoft.com/office/officeart/2005/8/layout/list1"/>
    <dgm:cxn modelId="{40D1AF0C-D954-4BC0-AD70-A8A230A040DE}" type="presOf" srcId="{DA06492D-8A13-4F8F-85F0-2ABDF66DA898}" destId="{39EE6039-29CD-4FF0-B703-97B813E0A805}" srcOrd="0" destOrd="0" presId="urn:microsoft.com/office/officeart/2005/8/layout/list1"/>
    <dgm:cxn modelId="{10C6C447-2A6D-418C-9C66-C5A2AFFE7688}" type="presOf" srcId="{B5ECDA4C-8B85-4076-9EEA-4DAC566639B4}" destId="{36A08A41-5066-440C-AE8C-75ED9384E47B}" srcOrd="1" destOrd="0" presId="urn:microsoft.com/office/officeart/2005/8/layout/list1"/>
    <dgm:cxn modelId="{C54FB19D-C943-4486-8B7A-7E623681A644}" type="presParOf" srcId="{F1FF4534-F9C8-4C9A-8C01-09B7FBF68AAD}" destId="{D0A62FCA-0B26-4593-998F-18149DE33F1A}" srcOrd="0" destOrd="0" presId="urn:microsoft.com/office/officeart/2005/8/layout/list1"/>
    <dgm:cxn modelId="{220D2C4D-3F5A-4A70-AC51-4F7173E220FD}" type="presParOf" srcId="{D0A62FCA-0B26-4593-998F-18149DE33F1A}" destId="{D4E62BDF-E07B-4BE8-AC5A-D550B12F528D}" srcOrd="0" destOrd="0" presId="urn:microsoft.com/office/officeart/2005/8/layout/list1"/>
    <dgm:cxn modelId="{F7833A62-86B4-4851-BCA9-B62C9481F84F}" type="presParOf" srcId="{D0A62FCA-0B26-4593-998F-18149DE33F1A}" destId="{36A08A41-5066-440C-AE8C-75ED9384E47B}" srcOrd="1" destOrd="0" presId="urn:microsoft.com/office/officeart/2005/8/layout/list1"/>
    <dgm:cxn modelId="{3F8FD346-559E-47B6-A8AA-20AE017FF2C7}" type="presParOf" srcId="{F1FF4534-F9C8-4C9A-8C01-09B7FBF68AAD}" destId="{C026A91D-EEB7-47DC-A077-499871407CAE}" srcOrd="1" destOrd="0" presId="urn:microsoft.com/office/officeart/2005/8/layout/list1"/>
    <dgm:cxn modelId="{CAE7831E-5E14-4CDC-A5CD-8DC3EB510C73}" type="presParOf" srcId="{F1FF4534-F9C8-4C9A-8C01-09B7FBF68AAD}" destId="{37C18A85-0D57-4EFC-8457-AB3EFB13734C}" srcOrd="2" destOrd="0" presId="urn:microsoft.com/office/officeart/2005/8/layout/list1"/>
    <dgm:cxn modelId="{7EA12DC1-37BC-4408-867C-E91BD2F18C4E}" type="presParOf" srcId="{F1FF4534-F9C8-4C9A-8C01-09B7FBF68AAD}" destId="{FD6D1551-ECD9-472A-B4FF-6518665A746A}" srcOrd="3" destOrd="0" presId="urn:microsoft.com/office/officeart/2005/8/layout/list1"/>
    <dgm:cxn modelId="{C0E3E378-25E4-4FA0-9436-95562BA01A51}" type="presParOf" srcId="{F1FF4534-F9C8-4C9A-8C01-09B7FBF68AAD}" destId="{48C1FC53-DD03-4F0F-979D-86160CD287F8}" srcOrd="4" destOrd="0" presId="urn:microsoft.com/office/officeart/2005/8/layout/list1"/>
    <dgm:cxn modelId="{AB45E3E3-FF2D-4B2B-BA55-0D66DE55D0DB}" type="presParOf" srcId="{48C1FC53-DD03-4F0F-979D-86160CD287F8}" destId="{BAB03FC7-6106-4270-88C2-C57AEECFE8A2}" srcOrd="0" destOrd="0" presId="urn:microsoft.com/office/officeart/2005/8/layout/list1"/>
    <dgm:cxn modelId="{1ABB0084-398D-467D-AA44-861F4DE6888E}" type="presParOf" srcId="{48C1FC53-DD03-4F0F-979D-86160CD287F8}" destId="{3B372F3E-626B-4B24-AB13-B3879C7FD43D}" srcOrd="1" destOrd="0" presId="urn:microsoft.com/office/officeart/2005/8/layout/list1"/>
    <dgm:cxn modelId="{A1172880-81EB-4F7B-8192-71105B2A9C3A}" type="presParOf" srcId="{F1FF4534-F9C8-4C9A-8C01-09B7FBF68AAD}" destId="{07073D81-9B08-4BA8-9D0F-DD479C4962A8}" srcOrd="5" destOrd="0" presId="urn:microsoft.com/office/officeart/2005/8/layout/list1"/>
    <dgm:cxn modelId="{FC72354B-F854-40B2-8313-285D99FACC88}" type="presParOf" srcId="{F1FF4534-F9C8-4C9A-8C01-09B7FBF68AAD}" destId="{F4622912-1508-48FC-9E49-004A051D94BF}" srcOrd="6" destOrd="0" presId="urn:microsoft.com/office/officeart/2005/8/layout/list1"/>
    <dgm:cxn modelId="{83C7CD06-804B-4B47-8EDF-69BBF74358A0}" type="presParOf" srcId="{F1FF4534-F9C8-4C9A-8C01-09B7FBF68AAD}" destId="{D023C435-1C54-4693-8DD0-DDBAE3918681}" srcOrd="7" destOrd="0" presId="urn:microsoft.com/office/officeart/2005/8/layout/list1"/>
    <dgm:cxn modelId="{1D99D5BB-0D93-4EE5-B82B-CDC45084F6AA}" type="presParOf" srcId="{F1FF4534-F9C8-4C9A-8C01-09B7FBF68AAD}" destId="{0EDC2B1A-4586-485A-AB0A-EF4D8BD57901}" srcOrd="8" destOrd="0" presId="urn:microsoft.com/office/officeart/2005/8/layout/list1"/>
    <dgm:cxn modelId="{B7FBADEC-3A0C-4A4A-83C0-95830DD94D05}" type="presParOf" srcId="{0EDC2B1A-4586-485A-AB0A-EF4D8BD57901}" destId="{B0EB84E3-B3BB-44E3-8B6A-E349A4B196D8}" srcOrd="0" destOrd="0" presId="urn:microsoft.com/office/officeart/2005/8/layout/list1"/>
    <dgm:cxn modelId="{BE1F7CF2-B25E-4EDC-83DE-649D4C2D82CE}" type="presParOf" srcId="{0EDC2B1A-4586-485A-AB0A-EF4D8BD57901}" destId="{ED3ECC06-E3CE-4106-9E7E-D38A58325279}" srcOrd="1" destOrd="0" presId="urn:microsoft.com/office/officeart/2005/8/layout/list1"/>
    <dgm:cxn modelId="{5C078057-7777-4009-9782-D5ADB8F54DF4}" type="presParOf" srcId="{F1FF4534-F9C8-4C9A-8C01-09B7FBF68AAD}" destId="{8E52F711-8746-48BE-B43F-CDDB9C7A1B24}" srcOrd="9" destOrd="0" presId="urn:microsoft.com/office/officeart/2005/8/layout/list1"/>
    <dgm:cxn modelId="{B0E43256-73AA-4DA0-B22C-E65A52F48D0C}" type="presParOf" srcId="{F1FF4534-F9C8-4C9A-8C01-09B7FBF68AAD}" destId="{058F3A22-65F1-478F-826E-46D18D2E1668}" srcOrd="10" destOrd="0" presId="urn:microsoft.com/office/officeart/2005/8/layout/list1"/>
    <dgm:cxn modelId="{9D49F6A3-9B7D-420E-AEF0-B723D652C2BC}" type="presParOf" srcId="{F1FF4534-F9C8-4C9A-8C01-09B7FBF68AAD}" destId="{74146DDA-AF3C-402F-9A79-44F55930C45C}" srcOrd="11" destOrd="0" presId="urn:microsoft.com/office/officeart/2005/8/layout/list1"/>
    <dgm:cxn modelId="{0B0D3F5E-3718-494C-A052-D84135997E88}" type="presParOf" srcId="{F1FF4534-F9C8-4C9A-8C01-09B7FBF68AAD}" destId="{87F07C83-2EBF-486F-BFEE-48E6CD59D851}" srcOrd="12" destOrd="0" presId="urn:microsoft.com/office/officeart/2005/8/layout/list1"/>
    <dgm:cxn modelId="{345D7903-0227-43AC-90DB-1D91351C89BC}" type="presParOf" srcId="{87F07C83-2EBF-486F-BFEE-48E6CD59D851}" destId="{65B90C1B-8071-4640-A14B-F3882C929628}" srcOrd="0" destOrd="0" presId="urn:microsoft.com/office/officeart/2005/8/layout/list1"/>
    <dgm:cxn modelId="{52E284DA-D242-40C5-AFA3-594A879A2CFF}" type="presParOf" srcId="{87F07C83-2EBF-486F-BFEE-48E6CD59D851}" destId="{771D2AD2-0EB6-43FC-BCE6-FDE439172A23}" srcOrd="1" destOrd="0" presId="urn:microsoft.com/office/officeart/2005/8/layout/list1"/>
    <dgm:cxn modelId="{90AEDDE7-FD2C-4AE7-9610-91DA35FDA0E1}" type="presParOf" srcId="{F1FF4534-F9C8-4C9A-8C01-09B7FBF68AAD}" destId="{EC4D7B24-15EC-4377-95DF-A25D61D0A5EB}" srcOrd="13" destOrd="0" presId="urn:microsoft.com/office/officeart/2005/8/layout/list1"/>
    <dgm:cxn modelId="{75B4E9E4-76EC-40E4-B26F-39001D631ADF}" type="presParOf" srcId="{F1FF4534-F9C8-4C9A-8C01-09B7FBF68AAD}" destId="{AB265D91-033D-4B16-902C-7D0BA9E4C020}" srcOrd="14" destOrd="0" presId="urn:microsoft.com/office/officeart/2005/8/layout/list1"/>
    <dgm:cxn modelId="{FE864EF7-BD8E-4E82-9351-46CA16ABEAA8}" type="presParOf" srcId="{F1FF4534-F9C8-4C9A-8C01-09B7FBF68AAD}" destId="{C98DD4B9-60AE-40C1-8E4A-6741BF9B5AC7}" srcOrd="15" destOrd="0" presId="urn:microsoft.com/office/officeart/2005/8/layout/list1"/>
    <dgm:cxn modelId="{DB88D613-46B3-4BF9-8132-52288A9A297E}" type="presParOf" srcId="{F1FF4534-F9C8-4C9A-8C01-09B7FBF68AAD}" destId="{6DFAA575-76C0-45B9-97EE-4F352FEAD42C}" srcOrd="16" destOrd="0" presId="urn:microsoft.com/office/officeart/2005/8/layout/list1"/>
    <dgm:cxn modelId="{2305F689-17A5-4117-A98B-05308BECDD55}" type="presParOf" srcId="{6DFAA575-76C0-45B9-97EE-4F352FEAD42C}" destId="{39EE6039-29CD-4FF0-B703-97B813E0A805}" srcOrd="0" destOrd="0" presId="urn:microsoft.com/office/officeart/2005/8/layout/list1"/>
    <dgm:cxn modelId="{2EA29F5E-746A-4E2B-9D27-C35084FBA5A9}" type="presParOf" srcId="{6DFAA575-76C0-45B9-97EE-4F352FEAD42C}" destId="{7DB24665-8B30-484F-9F8F-455EC35F9CCC}" srcOrd="1" destOrd="0" presId="urn:microsoft.com/office/officeart/2005/8/layout/list1"/>
    <dgm:cxn modelId="{E4214771-9480-498C-A863-8BE2DB6B8A73}" type="presParOf" srcId="{F1FF4534-F9C8-4C9A-8C01-09B7FBF68AAD}" destId="{9EA4AD56-3C2B-4242-B1DA-E1C16A879926}" srcOrd="17" destOrd="0" presId="urn:microsoft.com/office/officeart/2005/8/layout/list1"/>
    <dgm:cxn modelId="{B274415E-4CCD-4FA2-97A4-E8C146604FF3}" type="presParOf" srcId="{F1FF4534-F9C8-4C9A-8C01-09B7FBF68AAD}" destId="{B88E887B-362E-4EED-B256-9D110BD1EF10}" srcOrd="18" destOrd="0" presId="urn:microsoft.com/office/officeart/2005/8/layout/lis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F584E6A-31F2-408F-902B-46A11513D9C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B5ECDA4C-8B85-4076-9EEA-4DAC566639B4}">
      <dgm:prSet phldrT="[Text]" custT="1"/>
      <dgm:spPr>
        <a:xfrm>
          <a:off x="274320" y="161099"/>
          <a:ext cx="3840480" cy="383760"/>
        </a:xfrm>
        <a:solidFill>
          <a:sysClr val="window" lastClr="FFFFFF"/>
        </a:solidFill>
        <a:ln w="9525" cap="flat" cmpd="sng" algn="ctr">
          <a:solidFill>
            <a:sysClr val="windowText" lastClr="000000"/>
          </a:solidFill>
          <a:prstDash val="solid"/>
        </a:ln>
        <a:effectLst/>
      </dgm:spPr>
      <dgm:t>
        <a:bodyPr/>
        <a:lstStyle/>
        <a:p>
          <a:pPr>
            <a:buNone/>
          </a:pPr>
          <a:r>
            <a:rPr lang="en-GB" sz="1200">
              <a:solidFill>
                <a:sysClr val="windowText" lastClr="000000"/>
              </a:solidFill>
              <a:latin typeface="Times New Roman" pitchFamily="18" charset="0"/>
              <a:cs typeface="Times New Roman" pitchFamily="18" charset="0"/>
            </a:rPr>
            <a:t>Discussion</a:t>
          </a:r>
          <a:endParaRPr lang="en-US" sz="1300">
            <a:solidFill>
              <a:sysClr val="windowText" lastClr="000000"/>
            </a:solidFill>
            <a:latin typeface="Times New Roman" panose="02020603050405020304" pitchFamily="18" charset="0"/>
            <a:ea typeface="+mn-ea"/>
            <a:cs typeface="Times New Roman" panose="02020603050405020304" pitchFamily="18" charset="0"/>
          </a:endParaRPr>
        </a:p>
      </dgm:t>
    </dgm:pt>
    <dgm:pt modelId="{2E5531FB-B32A-491B-A4D6-FBAD2BFB4FFB}" type="parTrans" cxnId="{D59F572D-4BF6-4287-A069-F4F142153BE5}">
      <dgm:prSet/>
      <dgm:spPr/>
      <dgm:t>
        <a:bodyPr/>
        <a:lstStyle/>
        <a:p>
          <a:endParaRPr lang="en-US"/>
        </a:p>
      </dgm:t>
    </dgm:pt>
    <dgm:pt modelId="{97AF7EC1-F303-4F00-B166-820BD24FD399}" type="sibTrans" cxnId="{D59F572D-4BF6-4287-A069-F4F142153BE5}">
      <dgm:prSet/>
      <dgm:spPr/>
      <dgm:t>
        <a:bodyPr/>
        <a:lstStyle/>
        <a:p>
          <a:endParaRPr lang="en-US"/>
        </a:p>
      </dgm:t>
    </dgm:pt>
    <dgm:pt modelId="{4E7F1488-AD79-4506-B3FC-38B843C45B6E}">
      <dgm:prSet phldrT="[Text]" custT="1"/>
      <dgm:spPr>
        <a:xfrm>
          <a:off x="274320" y="750779"/>
          <a:ext cx="3840480" cy="383760"/>
        </a:xfrm>
        <a:solidFill>
          <a:sysClr val="window" lastClr="FFFFFF"/>
        </a:solidFill>
        <a:ln w="6350" cap="flat" cmpd="sng" algn="ctr">
          <a:solidFill>
            <a:scrgbClr r="0" g="0" b="0"/>
          </a:solidFill>
          <a:prstDash val="solid"/>
        </a:ln>
        <a:effectLst/>
      </dgm:spPr>
      <dgm:t>
        <a:bodyPr/>
        <a:lstStyle/>
        <a:p>
          <a:pPr>
            <a:buNone/>
          </a:pPr>
          <a:r>
            <a:rPr lang="en-US" sz="1200" b="0">
              <a:solidFill>
                <a:sysClr val="windowText" lastClr="000000"/>
              </a:solidFill>
              <a:latin typeface="Times New Roman" panose="02020603050405020304" pitchFamily="18" charset="0"/>
              <a:ea typeface="+mn-ea"/>
              <a:cs typeface="Times New Roman" panose="02020603050405020304" pitchFamily="18" charset="0"/>
            </a:rPr>
            <a:t>Implications </a:t>
          </a:r>
        </a:p>
      </dgm:t>
    </dgm:pt>
    <dgm:pt modelId="{F5874FA0-30BA-4B1B-B50F-AB72CB47299A}" type="parTrans" cxnId="{860ECB82-4E0C-4B3A-8657-BBF43DEB4E12}">
      <dgm:prSet/>
      <dgm:spPr/>
      <dgm:t>
        <a:bodyPr/>
        <a:lstStyle/>
        <a:p>
          <a:endParaRPr lang="en-US"/>
        </a:p>
      </dgm:t>
    </dgm:pt>
    <dgm:pt modelId="{0E563D65-F66F-45AA-A2DD-9CCD47C31092}" type="sibTrans" cxnId="{860ECB82-4E0C-4B3A-8657-BBF43DEB4E12}">
      <dgm:prSet/>
      <dgm:spPr/>
      <dgm:t>
        <a:bodyPr/>
        <a:lstStyle/>
        <a:p>
          <a:endParaRPr lang="en-US"/>
        </a:p>
      </dgm:t>
    </dgm:pt>
    <dgm:pt modelId="{9B37371C-14D4-46B3-A0F0-3A6228DBC3C6}">
      <dgm:prSet phldrT="[Text]" custT="1"/>
      <dgm:spPr>
        <a:xfrm>
          <a:off x="274320" y="1340460"/>
          <a:ext cx="3840480" cy="383760"/>
        </a:xfrm>
        <a:solidFill>
          <a:sysClr val="window" lastClr="FFFFFF"/>
        </a:solidFill>
        <a:ln w="9525" cap="flat" cmpd="sng" algn="ctr">
          <a:solidFill>
            <a:sysClr val="windowText" lastClr="000000"/>
          </a:solidFill>
          <a:prstDash val="solid"/>
        </a:ln>
        <a:effectLst/>
      </dgm:spPr>
      <dgm:t>
        <a:bodyPr/>
        <a:lstStyle/>
        <a:p>
          <a:pPr>
            <a:buNone/>
          </a:pPr>
          <a:r>
            <a:rPr lang="en-GB" sz="1200">
              <a:solidFill>
                <a:sysClr val="windowText" lastClr="000000"/>
              </a:solidFill>
              <a:latin typeface="Times New Roman" pitchFamily="18" charset="0"/>
              <a:cs typeface="Times New Roman" pitchFamily="18" charset="0"/>
            </a:rPr>
            <a:t>Limitations and Future Research</a:t>
          </a:r>
          <a:r>
            <a:rPr lang="en-US" sz="1200">
              <a:solidFill>
                <a:sysClr val="windowText" lastClr="000000"/>
              </a:solidFill>
              <a:latin typeface="Times New Roman" pitchFamily="18" charset="0"/>
              <a:cs typeface="Times New Roman" pitchFamily="18" charset="0"/>
            </a:rPr>
            <a:t> </a:t>
          </a:r>
          <a:endParaRPr lang="en-US" sz="1400">
            <a:solidFill>
              <a:sysClr val="windowText" lastClr="000000"/>
            </a:solidFill>
            <a:latin typeface="Times New Roman" pitchFamily="18" charset="0"/>
            <a:ea typeface="+mn-ea"/>
            <a:cs typeface="Times New Roman" pitchFamily="18" charset="0"/>
          </a:endParaRPr>
        </a:p>
      </dgm:t>
    </dgm:pt>
    <dgm:pt modelId="{AC6A015D-ECED-4C81-ABF8-A04556866484}" type="parTrans" cxnId="{4CABD0FA-117C-4EB1-9AD5-2E5E98C30D12}">
      <dgm:prSet/>
      <dgm:spPr/>
      <dgm:t>
        <a:bodyPr/>
        <a:lstStyle/>
        <a:p>
          <a:endParaRPr lang="en-US"/>
        </a:p>
      </dgm:t>
    </dgm:pt>
    <dgm:pt modelId="{2FB28291-6F3B-4786-900B-07ECEA2E4376}" type="sibTrans" cxnId="{4CABD0FA-117C-4EB1-9AD5-2E5E98C30D12}">
      <dgm:prSet/>
      <dgm:spPr/>
      <dgm:t>
        <a:bodyPr/>
        <a:lstStyle/>
        <a:p>
          <a:endParaRPr lang="en-US"/>
        </a:p>
      </dgm:t>
    </dgm:pt>
    <dgm:pt modelId="{599A2D4F-C549-40B9-809E-35CB6E5DE78F}">
      <dgm:prSet custT="1"/>
      <dgm:spPr>
        <a:xfrm>
          <a:off x="274320" y="1930140"/>
          <a:ext cx="3840480" cy="383760"/>
        </a:xfrm>
        <a:solidFill>
          <a:sysClr val="window" lastClr="FFFFFF"/>
        </a:solidFill>
        <a:ln w="9525" cap="flat" cmpd="sng" algn="ctr">
          <a:solidFill>
            <a:sysClr val="windowText" lastClr="000000"/>
          </a:solidFill>
          <a:prstDash val="solid"/>
        </a:ln>
        <a:effectLst/>
      </dgm:spPr>
      <dgm:t>
        <a:bodyPr/>
        <a:lstStyle/>
        <a:p>
          <a:pPr>
            <a:buNone/>
          </a:pPr>
          <a:r>
            <a:rPr lang="en-GB" sz="1200">
              <a:solidFill>
                <a:sysClr val="windowText" lastClr="000000"/>
              </a:solidFill>
              <a:latin typeface="Times New Roman" pitchFamily="18" charset="0"/>
              <a:cs typeface="Times New Roman" pitchFamily="18" charset="0"/>
            </a:rPr>
            <a:t>Conclusion</a:t>
          </a:r>
          <a:endParaRPr lang="en-US" sz="1200" b="0">
            <a:solidFill>
              <a:sysClr val="windowText" lastClr="000000"/>
            </a:solidFill>
            <a:latin typeface="Times New Roman" pitchFamily="18" charset="0"/>
            <a:ea typeface="+mn-ea"/>
            <a:cs typeface="Times New Roman" pitchFamily="18" charset="0"/>
          </a:endParaRPr>
        </a:p>
      </dgm:t>
    </dgm:pt>
    <dgm:pt modelId="{3B074816-F984-4165-98C4-BEF5EAE70EAF}" type="parTrans" cxnId="{31F20C24-65A2-4065-90C7-F3B63DB5668A}">
      <dgm:prSet/>
      <dgm:spPr/>
      <dgm:t>
        <a:bodyPr/>
        <a:lstStyle/>
        <a:p>
          <a:endParaRPr lang="en-US"/>
        </a:p>
      </dgm:t>
    </dgm:pt>
    <dgm:pt modelId="{C8D45625-1DA7-48F6-B30C-151BD8FD816D}" type="sibTrans" cxnId="{31F20C24-65A2-4065-90C7-F3B63DB5668A}">
      <dgm:prSet/>
      <dgm:spPr/>
      <dgm:t>
        <a:bodyPr/>
        <a:lstStyle/>
        <a:p>
          <a:endParaRPr lang="en-US"/>
        </a:p>
      </dgm:t>
    </dgm:pt>
    <dgm:pt modelId="{F1FF4534-F9C8-4C9A-8C01-09B7FBF68AAD}" type="pres">
      <dgm:prSet presAssocID="{8F584E6A-31F2-408F-902B-46A11513D9CD}" presName="linear" presStyleCnt="0">
        <dgm:presLayoutVars>
          <dgm:dir/>
          <dgm:animLvl val="lvl"/>
          <dgm:resizeHandles val="exact"/>
        </dgm:presLayoutVars>
      </dgm:prSet>
      <dgm:spPr/>
      <dgm:t>
        <a:bodyPr/>
        <a:lstStyle/>
        <a:p>
          <a:endParaRPr lang="en-US"/>
        </a:p>
      </dgm:t>
    </dgm:pt>
    <dgm:pt modelId="{D0A62FCA-0B26-4593-998F-18149DE33F1A}" type="pres">
      <dgm:prSet presAssocID="{B5ECDA4C-8B85-4076-9EEA-4DAC566639B4}" presName="parentLin" presStyleCnt="0"/>
      <dgm:spPr/>
    </dgm:pt>
    <dgm:pt modelId="{D4E62BDF-E07B-4BE8-AC5A-D550B12F528D}" type="pres">
      <dgm:prSet presAssocID="{B5ECDA4C-8B85-4076-9EEA-4DAC566639B4}" presName="parentLeftMargin" presStyleLbl="node1" presStyleIdx="0" presStyleCnt="4"/>
      <dgm:spPr>
        <a:prstGeom prst="roundRect">
          <a:avLst/>
        </a:prstGeom>
      </dgm:spPr>
      <dgm:t>
        <a:bodyPr/>
        <a:lstStyle/>
        <a:p>
          <a:endParaRPr lang="en-US"/>
        </a:p>
      </dgm:t>
    </dgm:pt>
    <dgm:pt modelId="{36A08A41-5066-440C-AE8C-75ED9384E47B}" type="pres">
      <dgm:prSet presAssocID="{B5ECDA4C-8B85-4076-9EEA-4DAC566639B4}" presName="parentText" presStyleLbl="node1" presStyleIdx="0" presStyleCnt="4" custScaleX="137722">
        <dgm:presLayoutVars>
          <dgm:chMax val="0"/>
          <dgm:bulletEnabled val="1"/>
        </dgm:presLayoutVars>
      </dgm:prSet>
      <dgm:spPr/>
      <dgm:t>
        <a:bodyPr/>
        <a:lstStyle/>
        <a:p>
          <a:endParaRPr lang="en-US"/>
        </a:p>
      </dgm:t>
    </dgm:pt>
    <dgm:pt modelId="{C026A91D-EEB7-47DC-A077-499871407CAE}" type="pres">
      <dgm:prSet presAssocID="{B5ECDA4C-8B85-4076-9EEA-4DAC566639B4}" presName="negativeSpace" presStyleCnt="0"/>
      <dgm:spPr/>
    </dgm:pt>
    <dgm:pt modelId="{37C18A85-0D57-4EFC-8457-AB3EFB13734C}" type="pres">
      <dgm:prSet presAssocID="{B5ECDA4C-8B85-4076-9EEA-4DAC566639B4}" presName="childText" presStyleLbl="conFgAcc1" presStyleIdx="0" presStyleCnt="4">
        <dgm:presLayoutVars>
          <dgm:bulletEnabled val="1"/>
        </dgm:presLayoutVars>
      </dgm:prSet>
      <dgm:spPr>
        <a:xfrm>
          <a:off x="0" y="352979"/>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FD6D1551-ECD9-472A-B4FF-6518665A746A}" type="pres">
      <dgm:prSet presAssocID="{97AF7EC1-F303-4F00-B166-820BD24FD399}" presName="spaceBetweenRectangles" presStyleCnt="0"/>
      <dgm:spPr/>
    </dgm:pt>
    <dgm:pt modelId="{48C1FC53-DD03-4F0F-979D-86160CD287F8}" type="pres">
      <dgm:prSet presAssocID="{4E7F1488-AD79-4506-B3FC-38B843C45B6E}" presName="parentLin" presStyleCnt="0"/>
      <dgm:spPr/>
    </dgm:pt>
    <dgm:pt modelId="{BAB03FC7-6106-4270-88C2-C57AEECFE8A2}" type="pres">
      <dgm:prSet presAssocID="{4E7F1488-AD79-4506-B3FC-38B843C45B6E}" presName="parentLeftMargin" presStyleLbl="node1" presStyleIdx="0" presStyleCnt="4"/>
      <dgm:spPr>
        <a:prstGeom prst="roundRect">
          <a:avLst/>
        </a:prstGeom>
      </dgm:spPr>
      <dgm:t>
        <a:bodyPr/>
        <a:lstStyle/>
        <a:p>
          <a:endParaRPr lang="en-US"/>
        </a:p>
      </dgm:t>
    </dgm:pt>
    <dgm:pt modelId="{3B372F3E-626B-4B24-AB13-B3879C7FD43D}" type="pres">
      <dgm:prSet presAssocID="{4E7F1488-AD79-4506-B3FC-38B843C45B6E}" presName="parentText" presStyleLbl="node1" presStyleIdx="1" presStyleCnt="4" custScaleX="137009">
        <dgm:presLayoutVars>
          <dgm:chMax val="0"/>
          <dgm:bulletEnabled val="1"/>
        </dgm:presLayoutVars>
      </dgm:prSet>
      <dgm:spPr/>
      <dgm:t>
        <a:bodyPr/>
        <a:lstStyle/>
        <a:p>
          <a:endParaRPr lang="en-US"/>
        </a:p>
      </dgm:t>
    </dgm:pt>
    <dgm:pt modelId="{07073D81-9B08-4BA8-9D0F-DD479C4962A8}" type="pres">
      <dgm:prSet presAssocID="{4E7F1488-AD79-4506-B3FC-38B843C45B6E}" presName="negativeSpace" presStyleCnt="0"/>
      <dgm:spPr/>
    </dgm:pt>
    <dgm:pt modelId="{F4622912-1508-48FC-9E49-004A051D94BF}" type="pres">
      <dgm:prSet presAssocID="{4E7F1488-AD79-4506-B3FC-38B843C45B6E}" presName="childText" presStyleLbl="conFgAcc1" presStyleIdx="1" presStyleCnt="4">
        <dgm:presLayoutVars>
          <dgm:bulletEnabled val="1"/>
        </dgm:presLayoutVars>
      </dgm:prSet>
      <dgm:spPr>
        <a:xfrm>
          <a:off x="0" y="942659"/>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D023C435-1C54-4693-8DD0-DDBAE3918681}" type="pres">
      <dgm:prSet presAssocID="{0E563D65-F66F-45AA-A2DD-9CCD47C31092}" presName="spaceBetweenRectangles" presStyleCnt="0"/>
      <dgm:spPr/>
    </dgm:pt>
    <dgm:pt modelId="{0EDC2B1A-4586-485A-AB0A-EF4D8BD57901}" type="pres">
      <dgm:prSet presAssocID="{9B37371C-14D4-46B3-A0F0-3A6228DBC3C6}" presName="parentLin" presStyleCnt="0"/>
      <dgm:spPr/>
    </dgm:pt>
    <dgm:pt modelId="{B0EB84E3-B3BB-44E3-8B6A-E349A4B196D8}" type="pres">
      <dgm:prSet presAssocID="{9B37371C-14D4-46B3-A0F0-3A6228DBC3C6}" presName="parentLeftMargin" presStyleLbl="node1" presStyleIdx="1" presStyleCnt="4"/>
      <dgm:spPr>
        <a:prstGeom prst="roundRect">
          <a:avLst/>
        </a:prstGeom>
      </dgm:spPr>
      <dgm:t>
        <a:bodyPr/>
        <a:lstStyle/>
        <a:p>
          <a:endParaRPr lang="en-US"/>
        </a:p>
      </dgm:t>
    </dgm:pt>
    <dgm:pt modelId="{ED3ECC06-E3CE-4106-9E7E-D38A58325279}" type="pres">
      <dgm:prSet presAssocID="{9B37371C-14D4-46B3-A0F0-3A6228DBC3C6}" presName="parentText" presStyleLbl="node1" presStyleIdx="2" presStyleCnt="4" custScaleX="142857">
        <dgm:presLayoutVars>
          <dgm:chMax val="0"/>
          <dgm:bulletEnabled val="1"/>
        </dgm:presLayoutVars>
      </dgm:prSet>
      <dgm:spPr/>
      <dgm:t>
        <a:bodyPr/>
        <a:lstStyle/>
        <a:p>
          <a:endParaRPr lang="en-US"/>
        </a:p>
      </dgm:t>
    </dgm:pt>
    <dgm:pt modelId="{8E52F711-8746-48BE-B43F-CDDB9C7A1B24}" type="pres">
      <dgm:prSet presAssocID="{9B37371C-14D4-46B3-A0F0-3A6228DBC3C6}" presName="negativeSpace" presStyleCnt="0"/>
      <dgm:spPr/>
    </dgm:pt>
    <dgm:pt modelId="{058F3A22-65F1-478F-826E-46D18D2E1668}" type="pres">
      <dgm:prSet presAssocID="{9B37371C-14D4-46B3-A0F0-3A6228DBC3C6}" presName="childText" presStyleLbl="conFgAcc1" presStyleIdx="2" presStyleCnt="4">
        <dgm:presLayoutVars>
          <dgm:bulletEnabled val="1"/>
        </dgm:presLayoutVars>
      </dgm:prSet>
      <dgm:spPr>
        <a:xfrm>
          <a:off x="0" y="1532340"/>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 modelId="{74146DDA-AF3C-402F-9A79-44F55930C45C}" type="pres">
      <dgm:prSet presAssocID="{2FB28291-6F3B-4786-900B-07ECEA2E4376}" presName="spaceBetweenRectangles" presStyleCnt="0"/>
      <dgm:spPr/>
    </dgm:pt>
    <dgm:pt modelId="{87F07C83-2EBF-486F-BFEE-48E6CD59D851}" type="pres">
      <dgm:prSet presAssocID="{599A2D4F-C549-40B9-809E-35CB6E5DE78F}" presName="parentLin" presStyleCnt="0"/>
      <dgm:spPr/>
    </dgm:pt>
    <dgm:pt modelId="{65B90C1B-8071-4640-A14B-F3882C929628}" type="pres">
      <dgm:prSet presAssocID="{599A2D4F-C549-40B9-809E-35CB6E5DE78F}" presName="parentLeftMargin" presStyleLbl="node1" presStyleIdx="2" presStyleCnt="4"/>
      <dgm:spPr>
        <a:prstGeom prst="roundRect">
          <a:avLst/>
        </a:prstGeom>
      </dgm:spPr>
      <dgm:t>
        <a:bodyPr/>
        <a:lstStyle/>
        <a:p>
          <a:endParaRPr lang="en-US"/>
        </a:p>
      </dgm:t>
    </dgm:pt>
    <dgm:pt modelId="{771D2AD2-0EB6-43FC-BCE6-FDE439172A23}" type="pres">
      <dgm:prSet presAssocID="{599A2D4F-C549-40B9-809E-35CB6E5DE78F}" presName="parentText" presStyleLbl="node1" presStyleIdx="3" presStyleCnt="4" custScaleX="142857">
        <dgm:presLayoutVars>
          <dgm:chMax val="0"/>
          <dgm:bulletEnabled val="1"/>
        </dgm:presLayoutVars>
      </dgm:prSet>
      <dgm:spPr/>
      <dgm:t>
        <a:bodyPr/>
        <a:lstStyle/>
        <a:p>
          <a:endParaRPr lang="en-US"/>
        </a:p>
      </dgm:t>
    </dgm:pt>
    <dgm:pt modelId="{EC4D7B24-15EC-4377-95DF-A25D61D0A5EB}" type="pres">
      <dgm:prSet presAssocID="{599A2D4F-C549-40B9-809E-35CB6E5DE78F}" presName="negativeSpace" presStyleCnt="0"/>
      <dgm:spPr/>
    </dgm:pt>
    <dgm:pt modelId="{AB265D91-033D-4B16-902C-7D0BA9E4C020}" type="pres">
      <dgm:prSet presAssocID="{599A2D4F-C549-40B9-809E-35CB6E5DE78F}" presName="childText" presStyleLbl="conFgAcc1" presStyleIdx="3" presStyleCnt="4">
        <dgm:presLayoutVars>
          <dgm:bulletEnabled val="1"/>
        </dgm:presLayoutVars>
      </dgm:prSet>
      <dgm:spPr>
        <a:xfrm>
          <a:off x="0" y="2122020"/>
          <a:ext cx="5486400"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ln>
        <a:effectLst/>
      </dgm:spPr>
    </dgm:pt>
  </dgm:ptLst>
  <dgm:cxnLst>
    <dgm:cxn modelId="{E2495EC8-D33D-4F9E-80DE-5B84F49B6B77}" type="presOf" srcId="{8F584E6A-31F2-408F-902B-46A11513D9CD}" destId="{F1FF4534-F9C8-4C9A-8C01-09B7FBF68AAD}" srcOrd="0" destOrd="0" presId="urn:microsoft.com/office/officeart/2005/8/layout/list1"/>
    <dgm:cxn modelId="{3BE6BB11-9202-4841-B283-C4F21476D219}" type="presOf" srcId="{599A2D4F-C549-40B9-809E-35CB6E5DE78F}" destId="{65B90C1B-8071-4640-A14B-F3882C929628}" srcOrd="0" destOrd="0" presId="urn:microsoft.com/office/officeart/2005/8/layout/list1"/>
    <dgm:cxn modelId="{D59F572D-4BF6-4287-A069-F4F142153BE5}" srcId="{8F584E6A-31F2-408F-902B-46A11513D9CD}" destId="{B5ECDA4C-8B85-4076-9EEA-4DAC566639B4}" srcOrd="0" destOrd="0" parTransId="{2E5531FB-B32A-491B-A4D6-FBAD2BFB4FFB}" sibTransId="{97AF7EC1-F303-4F00-B166-820BD24FD399}"/>
    <dgm:cxn modelId="{3966B707-07AE-4E3F-9D83-CB0967E441C2}" type="presOf" srcId="{9B37371C-14D4-46B3-A0F0-3A6228DBC3C6}" destId="{B0EB84E3-B3BB-44E3-8B6A-E349A4B196D8}" srcOrd="0" destOrd="0" presId="urn:microsoft.com/office/officeart/2005/8/layout/list1"/>
    <dgm:cxn modelId="{087C8EB5-DA02-428B-8344-731D093655BF}" type="presOf" srcId="{B5ECDA4C-8B85-4076-9EEA-4DAC566639B4}" destId="{D4E62BDF-E07B-4BE8-AC5A-D550B12F528D}" srcOrd="0" destOrd="0" presId="urn:microsoft.com/office/officeart/2005/8/layout/list1"/>
    <dgm:cxn modelId="{31F20C24-65A2-4065-90C7-F3B63DB5668A}" srcId="{8F584E6A-31F2-408F-902B-46A11513D9CD}" destId="{599A2D4F-C549-40B9-809E-35CB6E5DE78F}" srcOrd="3" destOrd="0" parTransId="{3B074816-F984-4165-98C4-BEF5EAE70EAF}" sibTransId="{C8D45625-1DA7-48F6-B30C-151BD8FD816D}"/>
    <dgm:cxn modelId="{8F55FF3A-E5C0-4D23-9435-62931E2A1405}" type="presOf" srcId="{4E7F1488-AD79-4506-B3FC-38B843C45B6E}" destId="{3B372F3E-626B-4B24-AB13-B3879C7FD43D}" srcOrd="1" destOrd="0" presId="urn:microsoft.com/office/officeart/2005/8/layout/list1"/>
    <dgm:cxn modelId="{804817AD-D864-45D3-A8C1-532CEC8DDD2D}" type="presOf" srcId="{4E7F1488-AD79-4506-B3FC-38B843C45B6E}" destId="{BAB03FC7-6106-4270-88C2-C57AEECFE8A2}" srcOrd="0" destOrd="0" presId="urn:microsoft.com/office/officeart/2005/8/layout/list1"/>
    <dgm:cxn modelId="{4CABD0FA-117C-4EB1-9AD5-2E5E98C30D12}" srcId="{8F584E6A-31F2-408F-902B-46A11513D9CD}" destId="{9B37371C-14D4-46B3-A0F0-3A6228DBC3C6}" srcOrd="2" destOrd="0" parTransId="{AC6A015D-ECED-4C81-ABF8-A04556866484}" sibTransId="{2FB28291-6F3B-4786-900B-07ECEA2E4376}"/>
    <dgm:cxn modelId="{FDD19265-2912-4901-99DC-EE4DF0A53671}" type="presOf" srcId="{599A2D4F-C549-40B9-809E-35CB6E5DE78F}" destId="{771D2AD2-0EB6-43FC-BCE6-FDE439172A23}" srcOrd="1" destOrd="0" presId="urn:microsoft.com/office/officeart/2005/8/layout/list1"/>
    <dgm:cxn modelId="{AEE218BE-B8E8-4292-8F75-E90A3DDA059E}" type="presOf" srcId="{9B37371C-14D4-46B3-A0F0-3A6228DBC3C6}" destId="{ED3ECC06-E3CE-4106-9E7E-D38A58325279}" srcOrd="1" destOrd="0" presId="urn:microsoft.com/office/officeart/2005/8/layout/list1"/>
    <dgm:cxn modelId="{860ECB82-4E0C-4B3A-8657-BBF43DEB4E12}" srcId="{8F584E6A-31F2-408F-902B-46A11513D9CD}" destId="{4E7F1488-AD79-4506-B3FC-38B843C45B6E}" srcOrd="1" destOrd="0" parTransId="{F5874FA0-30BA-4B1B-B50F-AB72CB47299A}" sibTransId="{0E563D65-F66F-45AA-A2DD-9CCD47C31092}"/>
    <dgm:cxn modelId="{BAF6072C-D1F1-4D34-ABEA-8FFCC8941125}" type="presOf" srcId="{B5ECDA4C-8B85-4076-9EEA-4DAC566639B4}" destId="{36A08A41-5066-440C-AE8C-75ED9384E47B}" srcOrd="1" destOrd="0" presId="urn:microsoft.com/office/officeart/2005/8/layout/list1"/>
    <dgm:cxn modelId="{97BFD44D-3FF9-4571-BC90-B92CB57ABB40}" type="presParOf" srcId="{F1FF4534-F9C8-4C9A-8C01-09B7FBF68AAD}" destId="{D0A62FCA-0B26-4593-998F-18149DE33F1A}" srcOrd="0" destOrd="0" presId="urn:microsoft.com/office/officeart/2005/8/layout/list1"/>
    <dgm:cxn modelId="{75E0F458-A2D0-4508-B3A4-6CCAC1D0CE2C}" type="presParOf" srcId="{D0A62FCA-0B26-4593-998F-18149DE33F1A}" destId="{D4E62BDF-E07B-4BE8-AC5A-D550B12F528D}" srcOrd="0" destOrd="0" presId="urn:microsoft.com/office/officeart/2005/8/layout/list1"/>
    <dgm:cxn modelId="{78F81B02-2307-4555-A55A-483CBEDA4B30}" type="presParOf" srcId="{D0A62FCA-0B26-4593-998F-18149DE33F1A}" destId="{36A08A41-5066-440C-AE8C-75ED9384E47B}" srcOrd="1" destOrd="0" presId="urn:microsoft.com/office/officeart/2005/8/layout/list1"/>
    <dgm:cxn modelId="{2859655C-3CC9-4639-B320-C181840C3995}" type="presParOf" srcId="{F1FF4534-F9C8-4C9A-8C01-09B7FBF68AAD}" destId="{C026A91D-EEB7-47DC-A077-499871407CAE}" srcOrd="1" destOrd="0" presId="urn:microsoft.com/office/officeart/2005/8/layout/list1"/>
    <dgm:cxn modelId="{71227276-1EDC-42D3-8B6D-FC6A0C9D84DC}" type="presParOf" srcId="{F1FF4534-F9C8-4C9A-8C01-09B7FBF68AAD}" destId="{37C18A85-0D57-4EFC-8457-AB3EFB13734C}" srcOrd="2" destOrd="0" presId="urn:microsoft.com/office/officeart/2005/8/layout/list1"/>
    <dgm:cxn modelId="{C89917AC-D96A-48FE-BF03-F094A6A8D6E4}" type="presParOf" srcId="{F1FF4534-F9C8-4C9A-8C01-09B7FBF68AAD}" destId="{FD6D1551-ECD9-472A-B4FF-6518665A746A}" srcOrd="3" destOrd="0" presId="urn:microsoft.com/office/officeart/2005/8/layout/list1"/>
    <dgm:cxn modelId="{756DF944-C01E-4035-B7B1-0A246561ECDD}" type="presParOf" srcId="{F1FF4534-F9C8-4C9A-8C01-09B7FBF68AAD}" destId="{48C1FC53-DD03-4F0F-979D-86160CD287F8}" srcOrd="4" destOrd="0" presId="urn:microsoft.com/office/officeart/2005/8/layout/list1"/>
    <dgm:cxn modelId="{D8CAD5E4-6953-469C-82CA-7AC948DF5484}" type="presParOf" srcId="{48C1FC53-DD03-4F0F-979D-86160CD287F8}" destId="{BAB03FC7-6106-4270-88C2-C57AEECFE8A2}" srcOrd="0" destOrd="0" presId="urn:microsoft.com/office/officeart/2005/8/layout/list1"/>
    <dgm:cxn modelId="{2BAB2B1F-AF17-43EF-B3C7-66A545254C09}" type="presParOf" srcId="{48C1FC53-DD03-4F0F-979D-86160CD287F8}" destId="{3B372F3E-626B-4B24-AB13-B3879C7FD43D}" srcOrd="1" destOrd="0" presId="urn:microsoft.com/office/officeart/2005/8/layout/list1"/>
    <dgm:cxn modelId="{FADABBC8-648F-4A72-BC9D-8C00B8773B9B}" type="presParOf" srcId="{F1FF4534-F9C8-4C9A-8C01-09B7FBF68AAD}" destId="{07073D81-9B08-4BA8-9D0F-DD479C4962A8}" srcOrd="5" destOrd="0" presId="urn:microsoft.com/office/officeart/2005/8/layout/list1"/>
    <dgm:cxn modelId="{06A1207D-55DF-4C26-ABFF-2EB0C4F3EA85}" type="presParOf" srcId="{F1FF4534-F9C8-4C9A-8C01-09B7FBF68AAD}" destId="{F4622912-1508-48FC-9E49-004A051D94BF}" srcOrd="6" destOrd="0" presId="urn:microsoft.com/office/officeart/2005/8/layout/list1"/>
    <dgm:cxn modelId="{E3CC49D3-ABE3-4409-8496-4FF5DCA60E74}" type="presParOf" srcId="{F1FF4534-F9C8-4C9A-8C01-09B7FBF68AAD}" destId="{D023C435-1C54-4693-8DD0-DDBAE3918681}" srcOrd="7" destOrd="0" presId="urn:microsoft.com/office/officeart/2005/8/layout/list1"/>
    <dgm:cxn modelId="{FCA3B12F-E94A-4137-9DDB-AC2A4CBCAE11}" type="presParOf" srcId="{F1FF4534-F9C8-4C9A-8C01-09B7FBF68AAD}" destId="{0EDC2B1A-4586-485A-AB0A-EF4D8BD57901}" srcOrd="8" destOrd="0" presId="urn:microsoft.com/office/officeart/2005/8/layout/list1"/>
    <dgm:cxn modelId="{7C21527E-2684-4E55-B213-08EA8F237A93}" type="presParOf" srcId="{0EDC2B1A-4586-485A-AB0A-EF4D8BD57901}" destId="{B0EB84E3-B3BB-44E3-8B6A-E349A4B196D8}" srcOrd="0" destOrd="0" presId="urn:microsoft.com/office/officeart/2005/8/layout/list1"/>
    <dgm:cxn modelId="{6EC855BC-F0D7-4B28-9640-8F34500507E0}" type="presParOf" srcId="{0EDC2B1A-4586-485A-AB0A-EF4D8BD57901}" destId="{ED3ECC06-E3CE-4106-9E7E-D38A58325279}" srcOrd="1" destOrd="0" presId="urn:microsoft.com/office/officeart/2005/8/layout/list1"/>
    <dgm:cxn modelId="{F22DC87B-5284-460B-B75A-9D644D003021}" type="presParOf" srcId="{F1FF4534-F9C8-4C9A-8C01-09B7FBF68AAD}" destId="{8E52F711-8746-48BE-B43F-CDDB9C7A1B24}" srcOrd="9" destOrd="0" presId="urn:microsoft.com/office/officeart/2005/8/layout/list1"/>
    <dgm:cxn modelId="{4F410D16-D0E7-49F0-906B-C52FBE1113B5}" type="presParOf" srcId="{F1FF4534-F9C8-4C9A-8C01-09B7FBF68AAD}" destId="{058F3A22-65F1-478F-826E-46D18D2E1668}" srcOrd="10" destOrd="0" presId="urn:microsoft.com/office/officeart/2005/8/layout/list1"/>
    <dgm:cxn modelId="{005768E6-FA19-4F10-9099-E1D8BA12FE1B}" type="presParOf" srcId="{F1FF4534-F9C8-4C9A-8C01-09B7FBF68AAD}" destId="{74146DDA-AF3C-402F-9A79-44F55930C45C}" srcOrd="11" destOrd="0" presId="urn:microsoft.com/office/officeart/2005/8/layout/list1"/>
    <dgm:cxn modelId="{5826FCBB-8921-445A-B7D3-D95494F2829D}" type="presParOf" srcId="{F1FF4534-F9C8-4C9A-8C01-09B7FBF68AAD}" destId="{87F07C83-2EBF-486F-BFEE-48E6CD59D851}" srcOrd="12" destOrd="0" presId="urn:microsoft.com/office/officeart/2005/8/layout/list1"/>
    <dgm:cxn modelId="{D4254B34-6D5E-4C07-9916-7341B35D553F}" type="presParOf" srcId="{87F07C83-2EBF-486F-BFEE-48E6CD59D851}" destId="{65B90C1B-8071-4640-A14B-F3882C929628}" srcOrd="0" destOrd="0" presId="urn:microsoft.com/office/officeart/2005/8/layout/list1"/>
    <dgm:cxn modelId="{892FE2EC-0ABE-4BF3-8A97-F555468BF11E}" type="presParOf" srcId="{87F07C83-2EBF-486F-BFEE-48E6CD59D851}" destId="{771D2AD2-0EB6-43FC-BCE6-FDE439172A23}" srcOrd="1" destOrd="0" presId="urn:microsoft.com/office/officeart/2005/8/layout/list1"/>
    <dgm:cxn modelId="{A438B937-3908-458F-9786-35F2149F5FB2}" type="presParOf" srcId="{F1FF4534-F9C8-4C9A-8C01-09B7FBF68AAD}" destId="{EC4D7B24-15EC-4377-95DF-A25D61D0A5EB}" srcOrd="13" destOrd="0" presId="urn:microsoft.com/office/officeart/2005/8/layout/list1"/>
    <dgm:cxn modelId="{2579E406-AA0E-42E1-AC85-DA11CD46ABF3}" type="presParOf" srcId="{F1FF4534-F9C8-4C9A-8C01-09B7FBF68AAD}" destId="{AB265D91-033D-4B16-902C-7D0BA9E4C020}" srcOrd="14" destOrd="0" presId="urn:microsoft.com/office/officeart/2005/8/layout/lis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C18A85-0D57-4EFC-8457-AB3EFB13734C}">
      <dsp:nvSpPr>
        <dsp:cNvPr id="0" name=""/>
        <dsp:cNvSpPr/>
      </dsp:nvSpPr>
      <dsp:spPr>
        <a:xfrm>
          <a:off x="0" y="234598"/>
          <a:ext cx="4660135" cy="3024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36A08A41-5066-440C-AE8C-75ED9384E47B}">
      <dsp:nvSpPr>
        <dsp:cNvPr id="0" name=""/>
        <dsp:cNvSpPr/>
      </dsp:nvSpPr>
      <dsp:spPr>
        <a:xfrm>
          <a:off x="229593" y="57478"/>
          <a:ext cx="4426811" cy="35424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US" sz="1200" kern="1200">
              <a:solidFill>
                <a:sysClr val="windowText" lastClr="000000"/>
              </a:solidFill>
              <a:latin typeface="Times New Roman" pitchFamily="18" charset="0"/>
              <a:cs typeface="Times New Roman" pitchFamily="18" charset="0"/>
            </a:rPr>
            <a:t>Introduction</a:t>
          </a:r>
          <a:endParaRPr lang="en-US" sz="13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46886" y="74771"/>
        <a:ext cx="4392225" cy="319654"/>
      </dsp:txXfrm>
    </dsp:sp>
    <dsp:sp modelId="{F4622912-1508-48FC-9E49-004A051D94BF}">
      <dsp:nvSpPr>
        <dsp:cNvPr id="0" name=""/>
        <dsp:cNvSpPr/>
      </dsp:nvSpPr>
      <dsp:spPr>
        <a:xfrm>
          <a:off x="0" y="778918"/>
          <a:ext cx="4660135" cy="3024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3B372F3E-626B-4B24-AB13-B3879C7FD43D}">
      <dsp:nvSpPr>
        <dsp:cNvPr id="0" name=""/>
        <dsp:cNvSpPr/>
      </dsp:nvSpPr>
      <dsp:spPr>
        <a:xfrm>
          <a:off x="230731" y="601798"/>
          <a:ext cx="4425716" cy="354240"/>
        </a:xfrm>
        <a:prstGeom prst="roundRect">
          <a:avLst/>
        </a:prstGeom>
        <a:solidFill>
          <a:sysClr val="window" lastClr="FFFFFF"/>
        </a:solidFill>
        <a:ln w="63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US" sz="1200" kern="1200">
              <a:solidFill>
                <a:sysClr val="windowText" lastClr="000000"/>
              </a:solidFill>
              <a:latin typeface="Times New Roman" pitchFamily="18" charset="0"/>
              <a:cs typeface="Times New Roman" pitchFamily="18" charset="0"/>
            </a:rPr>
            <a:t>Statement of the Problem</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48024" y="619091"/>
        <a:ext cx="4391130" cy="319654"/>
      </dsp:txXfrm>
    </dsp:sp>
    <dsp:sp modelId="{058F3A22-65F1-478F-826E-46D18D2E1668}">
      <dsp:nvSpPr>
        <dsp:cNvPr id="0" name=""/>
        <dsp:cNvSpPr/>
      </dsp:nvSpPr>
      <dsp:spPr>
        <a:xfrm>
          <a:off x="0" y="1323238"/>
          <a:ext cx="4660135" cy="3024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ED3ECC06-E3CE-4106-9E7E-D38A58325279}">
      <dsp:nvSpPr>
        <dsp:cNvPr id="0" name=""/>
        <dsp:cNvSpPr/>
      </dsp:nvSpPr>
      <dsp:spPr>
        <a:xfrm>
          <a:off x="221857" y="1146118"/>
          <a:ext cx="4437135" cy="35424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US" sz="1200" kern="1200">
              <a:solidFill>
                <a:sysClr val="windowText" lastClr="000000"/>
              </a:solidFill>
              <a:latin typeface="Times New Roman" pitchFamily="18" charset="0"/>
              <a:cs typeface="Times New Roman" pitchFamily="18" charset="0"/>
            </a:rPr>
            <a:t>Research Context</a:t>
          </a:r>
          <a:r>
            <a:rPr lang="en-US" sz="1400" kern="1200">
              <a:solidFill>
                <a:sysClr val="window" lastClr="FFFFFF"/>
              </a:solidFill>
              <a:latin typeface="Calibri"/>
              <a:ea typeface="+mn-ea"/>
              <a:cs typeface="+mn-cs"/>
            </a:rPr>
            <a:t>)</a:t>
          </a:r>
        </a:p>
      </dsp:txBody>
      <dsp:txXfrm>
        <a:off x="239150" y="1163411"/>
        <a:ext cx="4402549" cy="319654"/>
      </dsp:txXfrm>
    </dsp:sp>
    <dsp:sp modelId="{B88E887B-362E-4EED-B256-9D110BD1EF10}">
      <dsp:nvSpPr>
        <dsp:cNvPr id="0" name=""/>
        <dsp:cNvSpPr/>
      </dsp:nvSpPr>
      <dsp:spPr>
        <a:xfrm>
          <a:off x="0" y="1867558"/>
          <a:ext cx="4660135" cy="3024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7DB24665-8B30-484F-9F8F-455EC35F9CCC}">
      <dsp:nvSpPr>
        <dsp:cNvPr id="0" name=""/>
        <dsp:cNvSpPr/>
      </dsp:nvSpPr>
      <dsp:spPr>
        <a:xfrm>
          <a:off x="221857" y="1690438"/>
          <a:ext cx="4437135" cy="35424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US" sz="1200" kern="1200">
              <a:solidFill>
                <a:sysClr val="windowText" lastClr="000000"/>
              </a:solidFill>
              <a:latin typeface="Times New Roman" pitchFamily="18" charset="0"/>
              <a:cs typeface="Times New Roman" pitchFamily="18" charset="0"/>
            </a:rPr>
            <a:t>Research Questions and Objectives</a:t>
          </a:r>
          <a:endParaRPr lang="en-US"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9150" y="1707731"/>
        <a:ext cx="4402549" cy="319654"/>
      </dsp:txXfrm>
    </dsp:sp>
    <dsp:sp modelId="{D2BD1AE0-0B15-4F46-9C73-9193ED08F78D}">
      <dsp:nvSpPr>
        <dsp:cNvPr id="0" name=""/>
        <dsp:cNvSpPr/>
      </dsp:nvSpPr>
      <dsp:spPr>
        <a:xfrm>
          <a:off x="0" y="2411878"/>
          <a:ext cx="4660135" cy="302400"/>
        </a:xfrm>
        <a:prstGeom prst="rect">
          <a:avLst/>
        </a:prstGeom>
        <a:solidFill>
          <a:schemeClr val="lt1">
            <a:alpha val="90000"/>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sp>
    <dsp:sp modelId="{4013FDE1-7892-4192-A3BF-A069B8BD6309}">
      <dsp:nvSpPr>
        <dsp:cNvPr id="0" name=""/>
        <dsp:cNvSpPr/>
      </dsp:nvSpPr>
      <dsp:spPr>
        <a:xfrm>
          <a:off x="221857" y="2234758"/>
          <a:ext cx="4437135" cy="354240"/>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latin typeface="Times New Roman" pitchFamily="18" charset="0"/>
              <a:cs typeface="Times New Roman" pitchFamily="18" charset="0"/>
            </a:rPr>
            <a:t>Reseach Contribution</a:t>
          </a:r>
        </a:p>
      </dsp:txBody>
      <dsp:txXfrm>
        <a:off x="239150" y="2252051"/>
        <a:ext cx="4402549" cy="319654"/>
      </dsp:txXfrm>
    </dsp:sp>
    <dsp:sp modelId="{443A92BF-D5E3-41DA-BAA5-118CFC9D46F9}">
      <dsp:nvSpPr>
        <dsp:cNvPr id="0" name=""/>
        <dsp:cNvSpPr/>
      </dsp:nvSpPr>
      <dsp:spPr>
        <a:xfrm>
          <a:off x="0" y="2956198"/>
          <a:ext cx="4660135" cy="302400"/>
        </a:xfrm>
        <a:prstGeom prst="rect">
          <a:avLst/>
        </a:prstGeom>
        <a:solidFill>
          <a:schemeClr val="lt1">
            <a:alpha val="90000"/>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sp>
    <dsp:sp modelId="{B47D026A-970C-4D4F-AD8E-362F36C127AB}">
      <dsp:nvSpPr>
        <dsp:cNvPr id="0" name=""/>
        <dsp:cNvSpPr/>
      </dsp:nvSpPr>
      <dsp:spPr>
        <a:xfrm>
          <a:off x="221857" y="2779078"/>
          <a:ext cx="4437135" cy="354240"/>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latin typeface="Times New Roman" pitchFamily="18" charset="0"/>
              <a:cs typeface="Times New Roman" pitchFamily="18" charset="0"/>
            </a:rPr>
            <a:t>Summary</a:t>
          </a:r>
        </a:p>
      </dsp:txBody>
      <dsp:txXfrm>
        <a:off x="239150" y="2796371"/>
        <a:ext cx="4402549" cy="3196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C18A85-0D57-4EFC-8457-AB3EFB13734C}">
      <dsp:nvSpPr>
        <dsp:cNvPr id="0" name=""/>
        <dsp:cNvSpPr/>
      </dsp:nvSpPr>
      <dsp:spPr>
        <a:xfrm>
          <a:off x="0" y="245038"/>
          <a:ext cx="4660135" cy="2520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36A08A41-5066-440C-AE8C-75ED9384E47B}">
      <dsp:nvSpPr>
        <dsp:cNvPr id="0" name=""/>
        <dsp:cNvSpPr/>
      </dsp:nvSpPr>
      <dsp:spPr>
        <a:xfrm>
          <a:off x="229593" y="97438"/>
          <a:ext cx="4426811" cy="29520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GB" sz="1200" kern="1200">
              <a:solidFill>
                <a:sysClr val="windowText" lastClr="000000"/>
              </a:solidFill>
              <a:latin typeface="Times New Roman" pitchFamily="18" charset="0"/>
              <a:cs typeface="Times New Roman" pitchFamily="18" charset="0"/>
            </a:rPr>
            <a:t>Change Management Overview</a:t>
          </a:r>
          <a:endParaRPr lang="en-US" sz="1300" kern="1200">
            <a:solidFill>
              <a:sysClr val="windowText" lastClr="000000"/>
            </a:solidFill>
            <a:latin typeface="Times New Roman" pitchFamily="18" charset="0"/>
            <a:ea typeface="+mn-ea"/>
            <a:cs typeface="Times New Roman" pitchFamily="18" charset="0"/>
          </a:endParaRPr>
        </a:p>
      </dsp:txBody>
      <dsp:txXfrm>
        <a:off x="244003" y="111848"/>
        <a:ext cx="4397991" cy="266380"/>
      </dsp:txXfrm>
    </dsp:sp>
    <dsp:sp modelId="{F4622912-1508-48FC-9E49-004A051D94BF}">
      <dsp:nvSpPr>
        <dsp:cNvPr id="0" name=""/>
        <dsp:cNvSpPr/>
      </dsp:nvSpPr>
      <dsp:spPr>
        <a:xfrm>
          <a:off x="0" y="698638"/>
          <a:ext cx="4660135" cy="2520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3B372F3E-626B-4B24-AB13-B3879C7FD43D}">
      <dsp:nvSpPr>
        <dsp:cNvPr id="0" name=""/>
        <dsp:cNvSpPr/>
      </dsp:nvSpPr>
      <dsp:spPr>
        <a:xfrm>
          <a:off x="230731" y="551038"/>
          <a:ext cx="4425716" cy="295200"/>
        </a:xfrm>
        <a:prstGeom prst="roundRect">
          <a:avLst/>
        </a:prstGeom>
        <a:solidFill>
          <a:sysClr val="window" lastClr="FFFFFF"/>
        </a:solidFill>
        <a:ln w="63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GB" sz="1200" kern="1200">
              <a:solidFill>
                <a:sysClr val="windowText" lastClr="000000"/>
              </a:solidFill>
              <a:latin typeface="Times New Roman" pitchFamily="18" charset="0"/>
              <a:cs typeface="Times New Roman" pitchFamily="18" charset="0"/>
            </a:rPr>
            <a:t>Change Management in Renewable Energy Market</a:t>
          </a:r>
          <a:endParaRPr lang="en-US" sz="1200" kern="1200">
            <a:solidFill>
              <a:sysClr val="windowText" lastClr="000000"/>
            </a:solidFill>
            <a:latin typeface="Times New Roman" pitchFamily="18" charset="0"/>
            <a:ea typeface="+mn-ea"/>
            <a:cs typeface="Times New Roman" pitchFamily="18" charset="0"/>
          </a:endParaRPr>
        </a:p>
      </dsp:txBody>
      <dsp:txXfrm>
        <a:off x="245141" y="565448"/>
        <a:ext cx="4396896" cy="266380"/>
      </dsp:txXfrm>
    </dsp:sp>
    <dsp:sp modelId="{058F3A22-65F1-478F-826E-46D18D2E1668}">
      <dsp:nvSpPr>
        <dsp:cNvPr id="0" name=""/>
        <dsp:cNvSpPr/>
      </dsp:nvSpPr>
      <dsp:spPr>
        <a:xfrm>
          <a:off x="0" y="1152238"/>
          <a:ext cx="4660135" cy="2520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ED3ECC06-E3CE-4106-9E7E-D38A58325279}">
      <dsp:nvSpPr>
        <dsp:cNvPr id="0" name=""/>
        <dsp:cNvSpPr/>
      </dsp:nvSpPr>
      <dsp:spPr>
        <a:xfrm>
          <a:off x="221857" y="1004638"/>
          <a:ext cx="4437135" cy="29520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GB" sz="1200" kern="1200">
              <a:solidFill>
                <a:sysClr val="windowText" lastClr="000000"/>
              </a:solidFill>
              <a:latin typeface="Times New Roman" pitchFamily="18" charset="0"/>
              <a:cs typeface="Times New Roman" pitchFamily="18" charset="0"/>
            </a:rPr>
            <a:t>Role of Stakeholder in Renewable  energy.</a:t>
          </a:r>
          <a:r>
            <a:rPr lang="en-US" sz="1200" kern="1200">
              <a:solidFill>
                <a:sysClr val="windowText" lastClr="000000"/>
              </a:solidFill>
              <a:latin typeface="Times New Roman" pitchFamily="18" charset="0"/>
              <a:cs typeface="Times New Roman" pitchFamily="18" charset="0"/>
            </a:rPr>
            <a:t> </a:t>
          </a:r>
          <a:endParaRPr lang="en-US" sz="1400" kern="1200">
            <a:solidFill>
              <a:sysClr val="windowText" lastClr="000000"/>
            </a:solidFill>
            <a:latin typeface="Times New Roman" pitchFamily="18" charset="0"/>
            <a:ea typeface="+mn-ea"/>
            <a:cs typeface="Times New Roman" pitchFamily="18" charset="0"/>
          </a:endParaRPr>
        </a:p>
      </dsp:txBody>
      <dsp:txXfrm>
        <a:off x="236267" y="1019048"/>
        <a:ext cx="4408315" cy="266380"/>
      </dsp:txXfrm>
    </dsp:sp>
    <dsp:sp modelId="{AB265D91-033D-4B16-902C-7D0BA9E4C020}">
      <dsp:nvSpPr>
        <dsp:cNvPr id="0" name=""/>
        <dsp:cNvSpPr/>
      </dsp:nvSpPr>
      <dsp:spPr>
        <a:xfrm>
          <a:off x="0" y="1605838"/>
          <a:ext cx="4660135" cy="2520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771D2AD2-0EB6-43FC-BCE6-FDE439172A23}">
      <dsp:nvSpPr>
        <dsp:cNvPr id="0" name=""/>
        <dsp:cNvSpPr/>
      </dsp:nvSpPr>
      <dsp:spPr>
        <a:xfrm>
          <a:off x="221857" y="1458238"/>
          <a:ext cx="4437135" cy="295200"/>
        </a:xfrm>
        <a:prstGeom prst="roundRect">
          <a:avLst/>
        </a:prstGeom>
        <a:solidFill>
          <a:sysClr val="window" lastClr="FFFFFF"/>
        </a:solidFill>
        <a:ln w="1587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GB" sz="1200" kern="1200">
              <a:solidFill>
                <a:sysClr val="windowText" lastClr="000000"/>
              </a:solidFill>
              <a:latin typeface="Times New Roman" pitchFamily="18" charset="0"/>
              <a:cs typeface="Times New Roman" pitchFamily="18" charset="0"/>
            </a:rPr>
            <a:t>Motivators of Change Management</a:t>
          </a:r>
          <a:endParaRPr lang="en-US" sz="1200" b="0" kern="1200">
            <a:solidFill>
              <a:sysClr val="windowText" lastClr="000000"/>
            </a:solidFill>
            <a:latin typeface="Times New Roman" pitchFamily="18" charset="0"/>
            <a:ea typeface="+mn-ea"/>
            <a:cs typeface="Times New Roman" pitchFamily="18" charset="0"/>
          </a:endParaRPr>
        </a:p>
      </dsp:txBody>
      <dsp:txXfrm>
        <a:off x="236267" y="1472648"/>
        <a:ext cx="4408315" cy="266380"/>
      </dsp:txXfrm>
    </dsp:sp>
    <dsp:sp modelId="{B88E887B-362E-4EED-B256-9D110BD1EF10}">
      <dsp:nvSpPr>
        <dsp:cNvPr id="0" name=""/>
        <dsp:cNvSpPr/>
      </dsp:nvSpPr>
      <dsp:spPr>
        <a:xfrm>
          <a:off x="0" y="2059438"/>
          <a:ext cx="4660135" cy="2520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7DB24665-8B30-484F-9F8F-455EC35F9CCC}">
      <dsp:nvSpPr>
        <dsp:cNvPr id="0" name=""/>
        <dsp:cNvSpPr/>
      </dsp:nvSpPr>
      <dsp:spPr>
        <a:xfrm>
          <a:off x="221857" y="1911838"/>
          <a:ext cx="4437135" cy="29520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GB" sz="1200" kern="1200">
              <a:solidFill>
                <a:sysClr val="windowText" lastClr="000000"/>
              </a:solidFill>
              <a:latin typeface="Times New Roman" pitchFamily="18" charset="0"/>
              <a:cs typeface="Times New Roman" pitchFamily="18" charset="0"/>
            </a:rPr>
            <a:t>Enablers of Change Management</a:t>
          </a:r>
          <a:r>
            <a:rPr lang="en-US" sz="1200" kern="1200">
              <a:solidFill>
                <a:sysClr val="windowText" lastClr="000000"/>
              </a:solidFill>
              <a:latin typeface="Times New Roman" pitchFamily="18" charset="0"/>
              <a:cs typeface="Times New Roman" pitchFamily="18" charset="0"/>
            </a:rPr>
            <a:t> </a:t>
          </a:r>
          <a:endParaRPr lang="en-US" sz="1200" b="0" kern="1200">
            <a:solidFill>
              <a:sysClr val="windowText" lastClr="000000"/>
            </a:solidFill>
            <a:latin typeface="Times New Roman" pitchFamily="18" charset="0"/>
            <a:ea typeface="+mn-ea"/>
            <a:cs typeface="Times New Roman" pitchFamily="18" charset="0"/>
          </a:endParaRPr>
        </a:p>
      </dsp:txBody>
      <dsp:txXfrm>
        <a:off x="236267" y="1926248"/>
        <a:ext cx="4408315" cy="266380"/>
      </dsp:txXfrm>
    </dsp:sp>
    <dsp:sp modelId="{D2BD1AE0-0B15-4F46-9C73-9193ED08F78D}">
      <dsp:nvSpPr>
        <dsp:cNvPr id="0" name=""/>
        <dsp:cNvSpPr/>
      </dsp:nvSpPr>
      <dsp:spPr>
        <a:xfrm>
          <a:off x="0" y="2513038"/>
          <a:ext cx="4660135" cy="252000"/>
        </a:xfrm>
        <a:prstGeom prst="rect">
          <a:avLst/>
        </a:prstGeom>
        <a:solidFill>
          <a:schemeClr val="lt1">
            <a:alpha val="90000"/>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sp>
    <dsp:sp modelId="{4013FDE1-7892-4192-A3BF-A069B8BD6309}">
      <dsp:nvSpPr>
        <dsp:cNvPr id="0" name=""/>
        <dsp:cNvSpPr/>
      </dsp:nvSpPr>
      <dsp:spPr>
        <a:xfrm>
          <a:off x="221857" y="2365438"/>
          <a:ext cx="4437135" cy="295200"/>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pPr>
          <a:r>
            <a:rPr lang="en-GB" sz="1200" kern="1200">
              <a:solidFill>
                <a:sysClr val="windowText" lastClr="000000"/>
              </a:solidFill>
              <a:latin typeface="Times New Roman" pitchFamily="18" charset="0"/>
              <a:cs typeface="Times New Roman" pitchFamily="18" charset="0"/>
            </a:rPr>
            <a:t>Barriers of Change Management</a:t>
          </a:r>
          <a:endParaRPr lang="en-US" sz="1200" kern="1200">
            <a:solidFill>
              <a:sysClr val="windowText" lastClr="000000"/>
            </a:solidFill>
            <a:latin typeface="Times New Roman" pitchFamily="18" charset="0"/>
            <a:cs typeface="Times New Roman" pitchFamily="18" charset="0"/>
          </a:endParaRPr>
        </a:p>
      </dsp:txBody>
      <dsp:txXfrm>
        <a:off x="236267" y="2379848"/>
        <a:ext cx="4408315" cy="266380"/>
      </dsp:txXfrm>
    </dsp:sp>
    <dsp:sp modelId="{443A92BF-D5E3-41DA-BAA5-118CFC9D46F9}">
      <dsp:nvSpPr>
        <dsp:cNvPr id="0" name=""/>
        <dsp:cNvSpPr/>
      </dsp:nvSpPr>
      <dsp:spPr>
        <a:xfrm>
          <a:off x="0" y="2966638"/>
          <a:ext cx="4660135" cy="252000"/>
        </a:xfrm>
        <a:prstGeom prst="rect">
          <a:avLst/>
        </a:prstGeom>
        <a:solidFill>
          <a:schemeClr val="lt1">
            <a:alpha val="90000"/>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sp>
    <dsp:sp modelId="{B47D026A-970C-4D4F-AD8E-362F36C127AB}">
      <dsp:nvSpPr>
        <dsp:cNvPr id="0" name=""/>
        <dsp:cNvSpPr/>
      </dsp:nvSpPr>
      <dsp:spPr>
        <a:xfrm>
          <a:off x="221857" y="2819038"/>
          <a:ext cx="4437135" cy="295200"/>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latin typeface="Times New Roman" pitchFamily="18" charset="0"/>
              <a:cs typeface="Times New Roman" pitchFamily="18" charset="0"/>
            </a:rPr>
            <a:t>Summary</a:t>
          </a:r>
        </a:p>
      </dsp:txBody>
      <dsp:txXfrm>
        <a:off x="236267" y="2833448"/>
        <a:ext cx="4408315" cy="2663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C18A85-0D57-4EFC-8457-AB3EFB13734C}">
      <dsp:nvSpPr>
        <dsp:cNvPr id="0" name=""/>
        <dsp:cNvSpPr/>
      </dsp:nvSpPr>
      <dsp:spPr>
        <a:xfrm>
          <a:off x="0" y="224774"/>
          <a:ext cx="4660135" cy="3528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36A08A41-5066-440C-AE8C-75ED9384E47B}">
      <dsp:nvSpPr>
        <dsp:cNvPr id="0" name=""/>
        <dsp:cNvSpPr/>
      </dsp:nvSpPr>
      <dsp:spPr>
        <a:xfrm>
          <a:off x="229593" y="18134"/>
          <a:ext cx="4426811" cy="41328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GB" sz="1200" kern="1200">
              <a:solidFill>
                <a:sysClr val="windowText" lastClr="000000"/>
              </a:solidFill>
              <a:latin typeface="Times New Roman" pitchFamily="18" charset="0"/>
              <a:cs typeface="Times New Roman" pitchFamily="18" charset="0"/>
            </a:rPr>
            <a:t>Research Design and Approach </a:t>
          </a:r>
          <a:endParaRPr lang="en-US" sz="1300" kern="1200">
            <a:solidFill>
              <a:sysClr val="windowText" lastClr="000000"/>
            </a:solidFill>
            <a:latin typeface="Times New Roman" pitchFamily="18" charset="0"/>
            <a:ea typeface="+mn-ea"/>
            <a:cs typeface="Times New Roman" pitchFamily="18" charset="0"/>
          </a:endParaRPr>
        </a:p>
      </dsp:txBody>
      <dsp:txXfrm>
        <a:off x="249768" y="38309"/>
        <a:ext cx="4386461" cy="372930"/>
      </dsp:txXfrm>
    </dsp:sp>
    <dsp:sp modelId="{F4622912-1508-48FC-9E49-004A051D94BF}">
      <dsp:nvSpPr>
        <dsp:cNvPr id="0" name=""/>
        <dsp:cNvSpPr/>
      </dsp:nvSpPr>
      <dsp:spPr>
        <a:xfrm>
          <a:off x="0" y="859814"/>
          <a:ext cx="4660135" cy="3528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3B372F3E-626B-4B24-AB13-B3879C7FD43D}">
      <dsp:nvSpPr>
        <dsp:cNvPr id="0" name=""/>
        <dsp:cNvSpPr/>
      </dsp:nvSpPr>
      <dsp:spPr>
        <a:xfrm>
          <a:off x="230731" y="653174"/>
          <a:ext cx="4425716" cy="413280"/>
        </a:xfrm>
        <a:prstGeom prst="roundRect">
          <a:avLst/>
        </a:prstGeom>
        <a:solidFill>
          <a:sysClr val="window" lastClr="FFFFFF"/>
        </a:solidFill>
        <a:ln w="63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GB" sz="1200" kern="1200">
              <a:solidFill>
                <a:sysClr val="windowText" lastClr="000000"/>
              </a:solidFill>
              <a:latin typeface="Times New Roman" pitchFamily="18" charset="0"/>
              <a:cs typeface="Times New Roman" pitchFamily="18" charset="0"/>
            </a:rPr>
            <a:t>Phase.1 (Qualitative) Interviews</a:t>
          </a:r>
          <a:endParaRPr lang="en-US" sz="1200" kern="1200">
            <a:solidFill>
              <a:sysClr val="windowText" lastClr="000000"/>
            </a:solidFill>
            <a:latin typeface="Times New Roman" pitchFamily="18" charset="0"/>
            <a:ea typeface="+mn-ea"/>
            <a:cs typeface="Times New Roman" pitchFamily="18" charset="0"/>
          </a:endParaRPr>
        </a:p>
      </dsp:txBody>
      <dsp:txXfrm>
        <a:off x="250906" y="673349"/>
        <a:ext cx="4385366" cy="372930"/>
      </dsp:txXfrm>
    </dsp:sp>
    <dsp:sp modelId="{058F3A22-65F1-478F-826E-46D18D2E1668}">
      <dsp:nvSpPr>
        <dsp:cNvPr id="0" name=""/>
        <dsp:cNvSpPr/>
      </dsp:nvSpPr>
      <dsp:spPr>
        <a:xfrm>
          <a:off x="0" y="1494854"/>
          <a:ext cx="4660135" cy="3528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ED3ECC06-E3CE-4106-9E7E-D38A58325279}">
      <dsp:nvSpPr>
        <dsp:cNvPr id="0" name=""/>
        <dsp:cNvSpPr/>
      </dsp:nvSpPr>
      <dsp:spPr>
        <a:xfrm>
          <a:off x="221857" y="1288214"/>
          <a:ext cx="4437135" cy="41328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GB" sz="1200" kern="1200">
              <a:solidFill>
                <a:sysClr val="windowText" lastClr="000000"/>
              </a:solidFill>
              <a:latin typeface="Times New Roman" pitchFamily="18" charset="0"/>
              <a:cs typeface="Times New Roman" pitchFamily="18" charset="0"/>
            </a:rPr>
            <a:t>Phase.2 (Quantitative) Survey</a:t>
          </a:r>
          <a:endParaRPr lang="en-US" sz="1400" kern="1200">
            <a:solidFill>
              <a:sysClr val="windowText" lastClr="000000"/>
            </a:solidFill>
            <a:latin typeface="Times New Roman" pitchFamily="18" charset="0"/>
            <a:ea typeface="+mn-ea"/>
            <a:cs typeface="Times New Roman" pitchFamily="18" charset="0"/>
          </a:endParaRPr>
        </a:p>
      </dsp:txBody>
      <dsp:txXfrm>
        <a:off x="242032" y="1308389"/>
        <a:ext cx="4396785" cy="372930"/>
      </dsp:txXfrm>
    </dsp:sp>
    <dsp:sp modelId="{AB265D91-033D-4B16-902C-7D0BA9E4C020}">
      <dsp:nvSpPr>
        <dsp:cNvPr id="0" name=""/>
        <dsp:cNvSpPr/>
      </dsp:nvSpPr>
      <dsp:spPr>
        <a:xfrm>
          <a:off x="0" y="2129894"/>
          <a:ext cx="4660135" cy="3528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771D2AD2-0EB6-43FC-BCE6-FDE439172A23}">
      <dsp:nvSpPr>
        <dsp:cNvPr id="0" name=""/>
        <dsp:cNvSpPr/>
      </dsp:nvSpPr>
      <dsp:spPr>
        <a:xfrm>
          <a:off x="221857" y="1923254"/>
          <a:ext cx="4437135" cy="41328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GB" sz="1200" kern="1200">
              <a:solidFill>
                <a:sysClr val="windowText" lastClr="000000"/>
              </a:solidFill>
              <a:latin typeface="Times New Roman" pitchFamily="18" charset="0"/>
              <a:cs typeface="Times New Roman" pitchFamily="18" charset="0"/>
            </a:rPr>
            <a:t>Phase.3 (Tools for Data Analysis)</a:t>
          </a:r>
          <a:endParaRPr lang="en-US" sz="1200" b="0" kern="1200">
            <a:solidFill>
              <a:sysClr val="windowText" lastClr="000000"/>
            </a:solidFill>
            <a:latin typeface="Times New Roman" pitchFamily="18" charset="0"/>
            <a:ea typeface="+mn-ea"/>
            <a:cs typeface="Times New Roman" pitchFamily="18" charset="0"/>
          </a:endParaRPr>
        </a:p>
      </dsp:txBody>
      <dsp:txXfrm>
        <a:off x="242032" y="1943429"/>
        <a:ext cx="4396785" cy="37293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C18A85-0D57-4EFC-8457-AB3EFB13734C}">
      <dsp:nvSpPr>
        <dsp:cNvPr id="0" name=""/>
        <dsp:cNvSpPr/>
      </dsp:nvSpPr>
      <dsp:spPr>
        <a:xfrm>
          <a:off x="0" y="314878"/>
          <a:ext cx="4660135" cy="3528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36A08A41-5066-440C-AE8C-75ED9384E47B}">
      <dsp:nvSpPr>
        <dsp:cNvPr id="0" name=""/>
        <dsp:cNvSpPr/>
      </dsp:nvSpPr>
      <dsp:spPr>
        <a:xfrm>
          <a:off x="229593" y="108238"/>
          <a:ext cx="4426811" cy="41328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77850">
            <a:lnSpc>
              <a:spcPct val="90000"/>
            </a:lnSpc>
            <a:spcBef>
              <a:spcPct val="0"/>
            </a:spcBef>
            <a:spcAft>
              <a:spcPct val="35000"/>
            </a:spcAft>
            <a:buNone/>
          </a:pPr>
          <a:r>
            <a:rPr lang="en-US" sz="1300" b="0" kern="1200">
              <a:solidFill>
                <a:sysClr val="windowText" lastClr="000000"/>
              </a:solidFill>
              <a:latin typeface="Times New Roman" pitchFamily="18" charset="0"/>
              <a:cs typeface="Times New Roman" pitchFamily="18" charset="0"/>
            </a:rPr>
            <a:t>Qualitative Analysis (Tematic and Commonality Approach)</a:t>
          </a:r>
          <a:endParaRPr lang="en-US" sz="1300" kern="1200">
            <a:solidFill>
              <a:sysClr val="windowText" lastClr="000000"/>
            </a:solidFill>
            <a:latin typeface="Times New Roman" pitchFamily="18" charset="0"/>
            <a:ea typeface="+mn-ea"/>
            <a:cs typeface="Times New Roman" pitchFamily="18" charset="0"/>
          </a:endParaRPr>
        </a:p>
      </dsp:txBody>
      <dsp:txXfrm>
        <a:off x="249768" y="128413"/>
        <a:ext cx="4386461" cy="372930"/>
      </dsp:txXfrm>
    </dsp:sp>
    <dsp:sp modelId="{F4622912-1508-48FC-9E49-004A051D94BF}">
      <dsp:nvSpPr>
        <dsp:cNvPr id="0" name=""/>
        <dsp:cNvSpPr/>
      </dsp:nvSpPr>
      <dsp:spPr>
        <a:xfrm>
          <a:off x="0" y="949918"/>
          <a:ext cx="4660135" cy="3528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3B372F3E-626B-4B24-AB13-B3879C7FD43D}">
      <dsp:nvSpPr>
        <dsp:cNvPr id="0" name=""/>
        <dsp:cNvSpPr/>
      </dsp:nvSpPr>
      <dsp:spPr>
        <a:xfrm>
          <a:off x="221857" y="743278"/>
          <a:ext cx="4437135" cy="41328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ea typeface="+mn-ea"/>
              <a:cs typeface="Times New Roman" panose="02020603050405020304" pitchFamily="18" charset="0"/>
            </a:rPr>
            <a:t>Tests for Assumptions</a:t>
          </a:r>
          <a:endParaRPr lang="en-US"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42032" y="763453"/>
        <a:ext cx="4396785" cy="372930"/>
      </dsp:txXfrm>
    </dsp:sp>
    <dsp:sp modelId="{058F3A22-65F1-478F-826E-46D18D2E1668}">
      <dsp:nvSpPr>
        <dsp:cNvPr id="0" name=""/>
        <dsp:cNvSpPr/>
      </dsp:nvSpPr>
      <dsp:spPr>
        <a:xfrm>
          <a:off x="0" y="1584958"/>
          <a:ext cx="4660135" cy="3528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ED3ECC06-E3CE-4106-9E7E-D38A58325279}">
      <dsp:nvSpPr>
        <dsp:cNvPr id="0" name=""/>
        <dsp:cNvSpPr/>
      </dsp:nvSpPr>
      <dsp:spPr>
        <a:xfrm>
          <a:off x="221857" y="1378318"/>
          <a:ext cx="4437135" cy="41328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ea typeface="+mn-ea"/>
              <a:cs typeface="Times New Roman" panose="02020603050405020304" pitchFamily="18" charset="0"/>
            </a:rPr>
            <a:t>Exploratory Factor Analysis (EFA)</a:t>
          </a:r>
          <a:r>
            <a:rPr lang="en-GB" sz="1200" kern="1200">
              <a:solidFill>
                <a:sysClr val="windowText" lastClr="000000"/>
              </a:solidFill>
              <a:latin typeface="Times New Roman" panose="02020603050405020304" pitchFamily="18" charset="0"/>
              <a:cs typeface="Times New Roman" panose="02020603050405020304" pitchFamily="18" charset="0"/>
            </a:rPr>
            <a:t>.</a:t>
          </a:r>
          <a:endParaRPr lang="en-US"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42032" y="1398493"/>
        <a:ext cx="4396785" cy="372930"/>
      </dsp:txXfrm>
    </dsp:sp>
    <dsp:sp modelId="{AB265D91-033D-4B16-902C-7D0BA9E4C020}">
      <dsp:nvSpPr>
        <dsp:cNvPr id="0" name=""/>
        <dsp:cNvSpPr/>
      </dsp:nvSpPr>
      <dsp:spPr>
        <a:xfrm>
          <a:off x="0" y="2219998"/>
          <a:ext cx="4660135" cy="3528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771D2AD2-0EB6-43FC-BCE6-FDE439172A23}">
      <dsp:nvSpPr>
        <dsp:cNvPr id="0" name=""/>
        <dsp:cNvSpPr/>
      </dsp:nvSpPr>
      <dsp:spPr>
        <a:xfrm>
          <a:off x="221857" y="2013358"/>
          <a:ext cx="4437135" cy="41328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GB" sz="1200" b="0" kern="1200">
              <a:solidFill>
                <a:sysClr val="windowText" lastClr="000000"/>
              </a:solidFill>
              <a:latin typeface="Times New Roman" panose="02020603050405020304" pitchFamily="18" charset="0"/>
              <a:ea typeface="+mn-ea"/>
              <a:cs typeface="Times New Roman" panose="02020603050405020304" pitchFamily="18" charset="0"/>
            </a:rPr>
            <a:t>Internal consistency and content validity</a:t>
          </a:r>
          <a:endParaRPr lang="en-US"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42032" y="2033533"/>
        <a:ext cx="4396785" cy="372930"/>
      </dsp:txXfrm>
    </dsp:sp>
    <dsp:sp modelId="{B88E887B-362E-4EED-B256-9D110BD1EF10}">
      <dsp:nvSpPr>
        <dsp:cNvPr id="0" name=""/>
        <dsp:cNvSpPr/>
      </dsp:nvSpPr>
      <dsp:spPr>
        <a:xfrm>
          <a:off x="0" y="2855038"/>
          <a:ext cx="4660135" cy="3528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7DB24665-8B30-484F-9F8F-455EC35F9CCC}">
      <dsp:nvSpPr>
        <dsp:cNvPr id="0" name=""/>
        <dsp:cNvSpPr/>
      </dsp:nvSpPr>
      <dsp:spPr>
        <a:xfrm>
          <a:off x="221857" y="2648398"/>
          <a:ext cx="4437135" cy="41328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299" tIns="0" rIns="123299" bIns="0" numCol="1" spcCol="1270" anchor="ctr" anchorCtr="0">
          <a:noAutofit/>
        </a:bodyPr>
        <a:lstStyle/>
        <a:p>
          <a:pPr lvl="0" algn="l" defTabSz="533400">
            <a:lnSpc>
              <a:spcPct val="90000"/>
            </a:lnSpc>
            <a:spcBef>
              <a:spcPct val="0"/>
            </a:spcBef>
            <a:spcAft>
              <a:spcPct val="35000"/>
            </a:spcAft>
            <a:buNone/>
          </a:pPr>
          <a:r>
            <a:rPr lang="en-GB" sz="1200" b="0" kern="1200">
              <a:solidFill>
                <a:sysClr val="windowText" lastClr="000000"/>
              </a:solidFill>
              <a:latin typeface="Times New Roman" panose="02020603050405020304" pitchFamily="18" charset="0"/>
              <a:ea typeface="+mn-ea"/>
              <a:cs typeface="Times New Roman" panose="02020603050405020304" pitchFamily="18" charset="0"/>
            </a:rPr>
            <a:t>Confirmatory factor analysis (CFA)</a:t>
          </a:r>
          <a:endParaRPr lang="en-US"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42032" y="2668573"/>
        <a:ext cx="4396785" cy="37293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C18A85-0D57-4EFC-8457-AB3EFB13734C}">
      <dsp:nvSpPr>
        <dsp:cNvPr id="0" name=""/>
        <dsp:cNvSpPr/>
      </dsp:nvSpPr>
      <dsp:spPr>
        <a:xfrm>
          <a:off x="0" y="244241"/>
          <a:ext cx="4662311"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36A08A41-5066-440C-AE8C-75ED9384E47B}">
      <dsp:nvSpPr>
        <dsp:cNvPr id="0" name=""/>
        <dsp:cNvSpPr/>
      </dsp:nvSpPr>
      <dsp:spPr>
        <a:xfrm>
          <a:off x="229700" y="52361"/>
          <a:ext cx="4428878" cy="38376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357" tIns="0" rIns="123357" bIns="0" numCol="1" spcCol="1270" anchor="ctr" anchorCtr="0">
          <a:noAutofit/>
        </a:bodyPr>
        <a:lstStyle/>
        <a:p>
          <a:pPr lvl="0" algn="l" defTabSz="533400">
            <a:lnSpc>
              <a:spcPct val="90000"/>
            </a:lnSpc>
            <a:spcBef>
              <a:spcPct val="0"/>
            </a:spcBef>
            <a:spcAft>
              <a:spcPct val="35000"/>
            </a:spcAft>
            <a:buNone/>
          </a:pPr>
          <a:r>
            <a:rPr lang="en-GB" sz="1200" kern="1200">
              <a:solidFill>
                <a:sysClr val="windowText" lastClr="000000"/>
              </a:solidFill>
              <a:latin typeface="Times New Roman" pitchFamily="18" charset="0"/>
              <a:cs typeface="Times New Roman" pitchFamily="18" charset="0"/>
            </a:rPr>
            <a:t>Discussion</a:t>
          </a:r>
          <a:endParaRPr lang="en-US" sz="1300" kern="1200">
            <a:solidFill>
              <a:sysClr val="windowText" lastClr="000000"/>
            </a:solidFill>
            <a:latin typeface="Times New Roman" pitchFamily="18" charset="0"/>
            <a:ea typeface="+mn-ea"/>
            <a:cs typeface="Times New Roman" pitchFamily="18" charset="0"/>
          </a:endParaRPr>
        </a:p>
      </dsp:txBody>
      <dsp:txXfrm>
        <a:off x="248434" y="71095"/>
        <a:ext cx="4391410" cy="346292"/>
      </dsp:txXfrm>
    </dsp:sp>
    <dsp:sp modelId="{F4622912-1508-48FC-9E49-004A051D94BF}">
      <dsp:nvSpPr>
        <dsp:cNvPr id="0" name=""/>
        <dsp:cNvSpPr/>
      </dsp:nvSpPr>
      <dsp:spPr>
        <a:xfrm>
          <a:off x="0" y="833921"/>
          <a:ext cx="4662311"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3B372F3E-626B-4B24-AB13-B3879C7FD43D}">
      <dsp:nvSpPr>
        <dsp:cNvPr id="0" name=""/>
        <dsp:cNvSpPr/>
      </dsp:nvSpPr>
      <dsp:spPr>
        <a:xfrm>
          <a:off x="230839" y="642041"/>
          <a:ext cx="4427783" cy="383760"/>
        </a:xfrm>
        <a:prstGeom prst="roundRect">
          <a:avLst/>
        </a:prstGeom>
        <a:solidFill>
          <a:sysClr val="window" lastClr="FFFFFF"/>
        </a:solidFill>
        <a:ln w="63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357" tIns="0" rIns="123357" bIns="0" numCol="1" spcCol="1270" anchor="ctr" anchorCtr="0">
          <a:noAutofit/>
        </a:bodyPr>
        <a:lstStyle/>
        <a:p>
          <a:pPr lvl="0" algn="l" defTabSz="533400">
            <a:lnSpc>
              <a:spcPct val="90000"/>
            </a:lnSpc>
            <a:spcBef>
              <a:spcPct val="0"/>
            </a:spcBef>
            <a:spcAft>
              <a:spcPct val="35000"/>
            </a:spcAft>
            <a:buNone/>
          </a:pPr>
          <a:r>
            <a:rPr lang="en-US" sz="1200" b="0" kern="1200">
              <a:solidFill>
                <a:sysClr val="windowText" lastClr="000000"/>
              </a:solidFill>
              <a:latin typeface="Times New Roman" panose="02020603050405020304" pitchFamily="18" charset="0"/>
              <a:ea typeface="+mn-ea"/>
              <a:cs typeface="Times New Roman" panose="02020603050405020304" pitchFamily="18" charset="0"/>
            </a:rPr>
            <a:t>Implications </a:t>
          </a:r>
        </a:p>
      </dsp:txBody>
      <dsp:txXfrm>
        <a:off x="249573" y="660775"/>
        <a:ext cx="4390315" cy="346292"/>
      </dsp:txXfrm>
    </dsp:sp>
    <dsp:sp modelId="{058F3A22-65F1-478F-826E-46D18D2E1668}">
      <dsp:nvSpPr>
        <dsp:cNvPr id="0" name=""/>
        <dsp:cNvSpPr/>
      </dsp:nvSpPr>
      <dsp:spPr>
        <a:xfrm>
          <a:off x="0" y="1423602"/>
          <a:ext cx="4662311"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ED3ECC06-E3CE-4106-9E7E-D38A58325279}">
      <dsp:nvSpPr>
        <dsp:cNvPr id="0" name=""/>
        <dsp:cNvSpPr/>
      </dsp:nvSpPr>
      <dsp:spPr>
        <a:xfrm>
          <a:off x="221960" y="1231722"/>
          <a:ext cx="4439207" cy="38376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357" tIns="0" rIns="123357" bIns="0" numCol="1" spcCol="1270" anchor="ctr" anchorCtr="0">
          <a:noAutofit/>
        </a:bodyPr>
        <a:lstStyle/>
        <a:p>
          <a:pPr lvl="0" algn="l" defTabSz="533400">
            <a:lnSpc>
              <a:spcPct val="90000"/>
            </a:lnSpc>
            <a:spcBef>
              <a:spcPct val="0"/>
            </a:spcBef>
            <a:spcAft>
              <a:spcPct val="35000"/>
            </a:spcAft>
            <a:buNone/>
          </a:pPr>
          <a:r>
            <a:rPr lang="en-GB" sz="1200" kern="1200">
              <a:solidFill>
                <a:sysClr val="windowText" lastClr="000000"/>
              </a:solidFill>
              <a:latin typeface="Times New Roman" pitchFamily="18" charset="0"/>
              <a:cs typeface="Times New Roman" pitchFamily="18" charset="0"/>
            </a:rPr>
            <a:t>Limitations and Future Research</a:t>
          </a:r>
          <a:r>
            <a:rPr lang="en-US" sz="1200" kern="1200">
              <a:solidFill>
                <a:sysClr val="windowText" lastClr="000000"/>
              </a:solidFill>
              <a:latin typeface="Times New Roman" pitchFamily="18" charset="0"/>
              <a:cs typeface="Times New Roman" pitchFamily="18" charset="0"/>
            </a:rPr>
            <a:t> </a:t>
          </a:r>
          <a:endParaRPr lang="en-US" sz="1400" kern="1200">
            <a:solidFill>
              <a:sysClr val="windowText" lastClr="000000"/>
            </a:solidFill>
            <a:latin typeface="Times New Roman" pitchFamily="18" charset="0"/>
            <a:ea typeface="+mn-ea"/>
            <a:cs typeface="Times New Roman" pitchFamily="18" charset="0"/>
          </a:endParaRPr>
        </a:p>
      </dsp:txBody>
      <dsp:txXfrm>
        <a:off x="240694" y="1250456"/>
        <a:ext cx="4401739" cy="346292"/>
      </dsp:txXfrm>
    </dsp:sp>
    <dsp:sp modelId="{AB265D91-033D-4B16-902C-7D0BA9E4C020}">
      <dsp:nvSpPr>
        <dsp:cNvPr id="0" name=""/>
        <dsp:cNvSpPr/>
      </dsp:nvSpPr>
      <dsp:spPr>
        <a:xfrm>
          <a:off x="0" y="2013282"/>
          <a:ext cx="4662311" cy="327600"/>
        </a:xfrm>
        <a:prstGeom prst="rect">
          <a:avLst/>
        </a:prstGeom>
        <a:solidFill>
          <a:sysClr val="window" lastClr="FFFFFF">
            <a:alpha val="90000"/>
            <a:hueOff val="0"/>
            <a:satOff val="0"/>
            <a:lumOff val="0"/>
            <a:alphaOff val="0"/>
          </a:sysClr>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771D2AD2-0EB6-43FC-BCE6-FDE439172A23}">
      <dsp:nvSpPr>
        <dsp:cNvPr id="0" name=""/>
        <dsp:cNvSpPr/>
      </dsp:nvSpPr>
      <dsp:spPr>
        <a:xfrm>
          <a:off x="221960" y="1821402"/>
          <a:ext cx="4439207" cy="383760"/>
        </a:xfrm>
        <a:prstGeom prst="roundRect">
          <a:avLst/>
        </a:prstGeom>
        <a:solidFill>
          <a:sysClr val="window" lastClr="FFFFFF"/>
        </a:solidFill>
        <a:ln w="9525"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357" tIns="0" rIns="123357" bIns="0" numCol="1" spcCol="1270" anchor="ctr" anchorCtr="0">
          <a:noAutofit/>
        </a:bodyPr>
        <a:lstStyle/>
        <a:p>
          <a:pPr lvl="0" algn="l" defTabSz="533400">
            <a:lnSpc>
              <a:spcPct val="90000"/>
            </a:lnSpc>
            <a:spcBef>
              <a:spcPct val="0"/>
            </a:spcBef>
            <a:spcAft>
              <a:spcPct val="35000"/>
            </a:spcAft>
            <a:buNone/>
          </a:pPr>
          <a:r>
            <a:rPr lang="en-GB" sz="1200" kern="1200">
              <a:solidFill>
                <a:sysClr val="windowText" lastClr="000000"/>
              </a:solidFill>
              <a:latin typeface="Times New Roman" pitchFamily="18" charset="0"/>
              <a:cs typeface="Times New Roman" pitchFamily="18" charset="0"/>
            </a:rPr>
            <a:t>Conclusion</a:t>
          </a:r>
          <a:endParaRPr lang="en-US" sz="1200" b="0" kern="1200">
            <a:solidFill>
              <a:sysClr val="windowText" lastClr="000000"/>
            </a:solidFill>
            <a:latin typeface="Times New Roman" pitchFamily="18" charset="0"/>
            <a:ea typeface="+mn-ea"/>
            <a:cs typeface="Times New Roman" pitchFamily="18" charset="0"/>
          </a:endParaRPr>
        </a:p>
      </dsp:txBody>
      <dsp:txXfrm>
        <a:off x="240694" y="1840136"/>
        <a:ext cx="4401739"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6D826-D36F-4569-87F6-0BF80F10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193</Pages>
  <Words>50086</Words>
  <Characters>285494</Characters>
  <Application>Microsoft Office Word</Application>
  <DocSecurity>0</DocSecurity>
  <Lines>2379</Lines>
  <Paragraphs>669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Husniya Mohammed Al Ali</dc:creator>
  <cp:lastModifiedBy>Sana Sayeed</cp:lastModifiedBy>
  <cp:revision>2</cp:revision>
  <dcterms:created xsi:type="dcterms:W3CDTF">2020-11-16T09:51:00Z</dcterms:created>
  <dcterms:modified xsi:type="dcterms:W3CDTF">2020-11-16T09:51:00Z</dcterms:modified>
</cp:coreProperties>
</file>